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6EA76F" w14:textId="77777777" w:rsidR="007205B9" w:rsidRPr="00304972" w:rsidRDefault="007205B9" w:rsidP="00B06D1B">
      <w:pPr>
        <w:pStyle w:val="NormalWeb"/>
        <w:spacing w:before="240" w:beforeAutospacing="0" w:after="240" w:afterAutospacing="0"/>
        <w:rPr>
          <w:rFonts w:ascii="Arial" w:hAnsi="Arial" w:cs="Arial"/>
          <w:b/>
          <w:bCs/>
          <w:color w:val="000000"/>
          <w:sz w:val="22"/>
          <w:szCs w:val="22"/>
        </w:rPr>
      </w:pPr>
      <w:bookmarkStart w:id="0" w:name="_Hlk151799434"/>
      <w:bookmarkStart w:id="1" w:name="_Hlk149319184"/>
      <w:bookmarkEnd w:id="0"/>
    </w:p>
    <w:p w14:paraId="36BE8101" w14:textId="1C40C4E5" w:rsidR="007205B9" w:rsidRPr="00304972" w:rsidRDefault="00C737D7" w:rsidP="00983E47">
      <w:pPr>
        <w:pStyle w:val="NormalWeb"/>
        <w:spacing w:before="240" w:beforeAutospacing="0" w:after="240" w:afterAutospacing="0"/>
        <w:jc w:val="center"/>
        <w:rPr>
          <w:rFonts w:ascii="Arial" w:hAnsi="Arial" w:cs="Arial"/>
          <w:b/>
          <w:bCs/>
          <w:color w:val="000000"/>
          <w:sz w:val="32"/>
          <w:szCs w:val="32"/>
        </w:rPr>
      </w:pPr>
      <w:r w:rsidRPr="00304972">
        <w:rPr>
          <w:rFonts w:ascii="Arial" w:hAnsi="Arial" w:cs="Arial"/>
          <w:b/>
          <w:bCs/>
          <w:color w:val="000000"/>
          <w:sz w:val="32"/>
          <w:szCs w:val="32"/>
        </w:rPr>
        <w:t>The Role of Trust, Social Capital and Reputation in the Networks and Connections of British Industrialising Cotton-Spinning Mills, c. 1780-1840</w:t>
      </w:r>
    </w:p>
    <w:bookmarkEnd w:id="1"/>
    <w:p w14:paraId="3AA11C74" w14:textId="77777777" w:rsidR="007205B9" w:rsidRDefault="007205B9" w:rsidP="00B06D1B">
      <w:pPr>
        <w:pStyle w:val="NormalWeb"/>
        <w:spacing w:before="240" w:beforeAutospacing="0" w:after="240" w:afterAutospacing="0"/>
        <w:rPr>
          <w:rFonts w:ascii="Arial" w:hAnsi="Arial" w:cs="Arial"/>
          <w:b/>
          <w:bCs/>
          <w:color w:val="000000"/>
          <w:sz w:val="22"/>
          <w:szCs w:val="22"/>
        </w:rPr>
      </w:pPr>
    </w:p>
    <w:p w14:paraId="501DB9BA" w14:textId="77777777" w:rsidR="007205B9" w:rsidRDefault="007205B9" w:rsidP="00B06D1B">
      <w:pPr>
        <w:pStyle w:val="NormalWeb"/>
        <w:spacing w:before="240" w:beforeAutospacing="0" w:after="240" w:afterAutospacing="0"/>
        <w:rPr>
          <w:rFonts w:ascii="Arial" w:hAnsi="Arial" w:cs="Arial"/>
          <w:b/>
          <w:bCs/>
          <w:color w:val="000000"/>
          <w:sz w:val="22"/>
          <w:szCs w:val="22"/>
        </w:rPr>
      </w:pPr>
    </w:p>
    <w:p w14:paraId="343D8DEE"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55671F8B"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48ECEBEE"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2E4164C0"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5B2FF7B7"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22F985F4" w14:textId="77777777" w:rsidR="001A36C6" w:rsidRDefault="001A36C6" w:rsidP="00AE4E73">
      <w:pPr>
        <w:pStyle w:val="NormalWeb"/>
        <w:spacing w:before="240" w:beforeAutospacing="0" w:after="240" w:afterAutospacing="0"/>
        <w:rPr>
          <w:rFonts w:ascii="Arial" w:hAnsi="Arial" w:cs="Arial"/>
          <w:color w:val="000000"/>
        </w:rPr>
      </w:pPr>
    </w:p>
    <w:p w14:paraId="394276DB" w14:textId="77777777" w:rsidR="001A36C6" w:rsidRDefault="001A36C6" w:rsidP="00AE4E73">
      <w:pPr>
        <w:pStyle w:val="NormalWeb"/>
        <w:spacing w:before="240" w:beforeAutospacing="0" w:after="240" w:afterAutospacing="0"/>
        <w:rPr>
          <w:rFonts w:ascii="Arial" w:hAnsi="Arial" w:cs="Arial"/>
          <w:color w:val="000000"/>
        </w:rPr>
      </w:pPr>
    </w:p>
    <w:p w14:paraId="53A3D13E" w14:textId="77777777" w:rsidR="001A36C6" w:rsidRDefault="001A36C6" w:rsidP="00AE4E73">
      <w:pPr>
        <w:pStyle w:val="NormalWeb"/>
        <w:spacing w:before="240" w:beforeAutospacing="0" w:after="240" w:afterAutospacing="0"/>
        <w:rPr>
          <w:rFonts w:ascii="Arial" w:hAnsi="Arial" w:cs="Arial"/>
          <w:color w:val="000000"/>
        </w:rPr>
      </w:pPr>
    </w:p>
    <w:p w14:paraId="192F1CD9" w14:textId="45D691CA" w:rsidR="00AE4E73" w:rsidRPr="00AE4E73" w:rsidRDefault="00AE4E73" w:rsidP="00AE4E73">
      <w:pPr>
        <w:pStyle w:val="NormalWeb"/>
        <w:spacing w:before="240" w:beforeAutospacing="0" w:after="240" w:afterAutospacing="0"/>
        <w:rPr>
          <w:rFonts w:ascii="Arial" w:hAnsi="Arial" w:cs="Arial"/>
          <w:color w:val="000000"/>
        </w:rPr>
      </w:pPr>
      <w:r w:rsidRPr="00AE4E73">
        <w:rPr>
          <w:rFonts w:ascii="Arial" w:hAnsi="Arial" w:cs="Arial"/>
          <w:color w:val="000000"/>
        </w:rPr>
        <w:t>This thesis is submitted for the degree of PhD in History</w:t>
      </w:r>
      <w:r w:rsidR="00696EF5">
        <w:rPr>
          <w:rFonts w:ascii="Arial" w:hAnsi="Arial" w:cs="Arial"/>
          <w:color w:val="000000"/>
        </w:rPr>
        <w:t>.</w:t>
      </w:r>
    </w:p>
    <w:p w14:paraId="0EEA335B" w14:textId="269DA96A" w:rsidR="00405541" w:rsidRPr="00AE4E73" w:rsidRDefault="00405541" w:rsidP="00B06D1B">
      <w:pPr>
        <w:pStyle w:val="NormalWeb"/>
        <w:spacing w:before="240" w:beforeAutospacing="0" w:after="240" w:afterAutospacing="0"/>
        <w:rPr>
          <w:rFonts w:ascii="Arial" w:hAnsi="Arial" w:cs="Arial"/>
          <w:color w:val="000000"/>
        </w:rPr>
      </w:pPr>
      <w:r w:rsidRPr="00AE4E73">
        <w:rPr>
          <w:rFonts w:ascii="Arial" w:hAnsi="Arial" w:cs="Arial"/>
          <w:color w:val="000000"/>
        </w:rPr>
        <w:t>Katherine Elizabeth Everitt</w:t>
      </w:r>
    </w:p>
    <w:p w14:paraId="456D4DFF" w14:textId="77777777" w:rsidR="00AE4E73" w:rsidRPr="00AE4E73" w:rsidRDefault="00AE4E73" w:rsidP="00AE4E73">
      <w:pPr>
        <w:pStyle w:val="NormalWeb"/>
        <w:spacing w:before="240" w:beforeAutospacing="0" w:after="240" w:afterAutospacing="0"/>
        <w:rPr>
          <w:rFonts w:ascii="Arial" w:hAnsi="Arial" w:cs="Arial"/>
          <w:color w:val="000000"/>
        </w:rPr>
      </w:pPr>
      <w:r w:rsidRPr="00AE4E73">
        <w:rPr>
          <w:rFonts w:ascii="Arial" w:hAnsi="Arial" w:cs="Arial"/>
          <w:color w:val="000000"/>
        </w:rPr>
        <w:t>January 2024</w:t>
      </w:r>
    </w:p>
    <w:p w14:paraId="4A1BA648" w14:textId="77777777" w:rsidR="00AE4E73" w:rsidRDefault="00AE4E73" w:rsidP="00B06D1B">
      <w:pPr>
        <w:pStyle w:val="NormalWeb"/>
        <w:spacing w:before="240" w:beforeAutospacing="0" w:after="240" w:afterAutospacing="0"/>
        <w:rPr>
          <w:rFonts w:ascii="Arial" w:hAnsi="Arial" w:cs="Arial"/>
          <w:color w:val="000000"/>
        </w:rPr>
      </w:pPr>
    </w:p>
    <w:p w14:paraId="45BAB3F8" w14:textId="77777777" w:rsidR="0037619C" w:rsidRDefault="0037619C" w:rsidP="00B06D1B">
      <w:pPr>
        <w:pStyle w:val="NormalWeb"/>
        <w:spacing w:before="240" w:beforeAutospacing="0" w:after="240" w:afterAutospacing="0"/>
        <w:rPr>
          <w:rFonts w:ascii="Arial" w:hAnsi="Arial" w:cs="Arial"/>
          <w:color w:val="000000"/>
        </w:rPr>
      </w:pPr>
    </w:p>
    <w:p w14:paraId="610FB0E4" w14:textId="2A33215E" w:rsidR="00405541" w:rsidRPr="00AE4E73" w:rsidRDefault="0044763E" w:rsidP="00B06D1B">
      <w:pPr>
        <w:pStyle w:val="NormalWeb"/>
        <w:spacing w:before="240" w:beforeAutospacing="0" w:after="240" w:afterAutospacing="0"/>
        <w:rPr>
          <w:rFonts w:ascii="Arial" w:hAnsi="Arial" w:cs="Arial"/>
          <w:color w:val="000000"/>
        </w:rPr>
      </w:pPr>
      <w:r w:rsidRPr="00AE4E73">
        <w:rPr>
          <w:rFonts w:ascii="Arial" w:hAnsi="Arial" w:cs="Arial"/>
          <w:color w:val="000000"/>
        </w:rPr>
        <w:t>University of Sheffield</w:t>
      </w:r>
    </w:p>
    <w:p w14:paraId="7D90C04A" w14:textId="203816D0" w:rsidR="0044763E" w:rsidRPr="00AE4E73" w:rsidRDefault="0044763E" w:rsidP="00B06D1B">
      <w:pPr>
        <w:pStyle w:val="NormalWeb"/>
        <w:spacing w:before="240" w:beforeAutospacing="0" w:after="240" w:afterAutospacing="0"/>
        <w:rPr>
          <w:rFonts w:ascii="Arial" w:hAnsi="Arial" w:cs="Arial"/>
          <w:color w:val="000000"/>
        </w:rPr>
      </w:pPr>
      <w:r w:rsidRPr="00AE4E73">
        <w:rPr>
          <w:rFonts w:ascii="Arial" w:hAnsi="Arial" w:cs="Arial"/>
          <w:color w:val="000000"/>
        </w:rPr>
        <w:t>Department of History</w:t>
      </w:r>
    </w:p>
    <w:p w14:paraId="1352D06C" w14:textId="77777777" w:rsidR="00405541" w:rsidRDefault="00405541" w:rsidP="00B06D1B">
      <w:pPr>
        <w:pStyle w:val="NormalWeb"/>
        <w:spacing w:before="240" w:beforeAutospacing="0" w:after="240" w:afterAutospacing="0"/>
        <w:rPr>
          <w:rFonts w:ascii="Arial" w:hAnsi="Arial" w:cs="Arial"/>
          <w:b/>
          <w:bCs/>
          <w:color w:val="000000"/>
          <w:sz w:val="22"/>
          <w:szCs w:val="22"/>
        </w:rPr>
      </w:pPr>
    </w:p>
    <w:p w14:paraId="725C8A17"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28CB942A"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037F70BB" w14:textId="77777777" w:rsidR="001A36C6" w:rsidRDefault="001A36C6" w:rsidP="00B06D1B">
      <w:pPr>
        <w:pStyle w:val="NormalWeb"/>
        <w:spacing w:before="240" w:beforeAutospacing="0" w:after="240" w:afterAutospacing="0"/>
        <w:rPr>
          <w:rFonts w:ascii="Arial" w:hAnsi="Arial" w:cs="Arial"/>
          <w:b/>
          <w:bCs/>
          <w:color w:val="000000"/>
          <w:sz w:val="22"/>
          <w:szCs w:val="22"/>
        </w:rPr>
      </w:pPr>
    </w:p>
    <w:p w14:paraId="6399ABB4" w14:textId="3DF7C46D" w:rsidR="007205B9" w:rsidRDefault="0012671D" w:rsidP="00B06D1B">
      <w:pPr>
        <w:pStyle w:val="NormalWeb"/>
        <w:spacing w:before="240" w:beforeAutospacing="0" w:after="240" w:afterAutospacing="0"/>
        <w:rPr>
          <w:rFonts w:ascii="Arial" w:hAnsi="Arial" w:cs="Arial"/>
          <w:color w:val="000000"/>
          <w:sz w:val="22"/>
          <w:szCs w:val="22"/>
        </w:rPr>
      </w:pPr>
      <w:r w:rsidRPr="0012671D">
        <w:rPr>
          <w:rFonts w:ascii="Arial" w:hAnsi="Arial" w:cs="Arial"/>
          <w:color w:val="000000"/>
          <w:sz w:val="22"/>
          <w:szCs w:val="22"/>
        </w:rPr>
        <w:t xml:space="preserve">I, </w:t>
      </w:r>
      <w:r>
        <w:rPr>
          <w:rFonts w:ascii="Arial" w:hAnsi="Arial" w:cs="Arial"/>
          <w:color w:val="000000"/>
          <w:sz w:val="22"/>
          <w:szCs w:val="22"/>
        </w:rPr>
        <w:t>Katherine Elizabeth Everitt</w:t>
      </w:r>
      <w:r w:rsidR="003521B3">
        <w:rPr>
          <w:rFonts w:ascii="Arial" w:hAnsi="Arial" w:cs="Arial"/>
          <w:color w:val="000000"/>
          <w:sz w:val="22"/>
          <w:szCs w:val="22"/>
        </w:rPr>
        <w:t xml:space="preserve">, declare </w:t>
      </w:r>
      <w:r w:rsidRPr="0012671D">
        <w:rPr>
          <w:rFonts w:ascii="Arial" w:hAnsi="Arial" w:cs="Arial"/>
          <w:color w:val="000000"/>
          <w:sz w:val="22"/>
          <w:szCs w:val="22"/>
        </w:rPr>
        <w:t xml:space="preserve">that the work presented in this thesis is my own. Where information has been </w:t>
      </w:r>
      <w:r w:rsidR="00A256A8">
        <w:rPr>
          <w:rFonts w:ascii="Arial" w:hAnsi="Arial" w:cs="Arial"/>
          <w:color w:val="000000"/>
          <w:sz w:val="22"/>
          <w:szCs w:val="22"/>
        </w:rPr>
        <w:t>inspired and collected</w:t>
      </w:r>
      <w:r w:rsidRPr="0012671D">
        <w:rPr>
          <w:rFonts w:ascii="Arial" w:hAnsi="Arial" w:cs="Arial"/>
          <w:color w:val="000000"/>
          <w:sz w:val="22"/>
          <w:szCs w:val="22"/>
        </w:rPr>
        <w:t xml:space="preserve"> from other sources, I confirm that this has been indicated in the thesis.</w:t>
      </w:r>
    </w:p>
    <w:p w14:paraId="0AB284F9" w14:textId="70DEF8FB" w:rsidR="00B06D1B" w:rsidRDefault="00B06D1B" w:rsidP="00AB24FB">
      <w:pPr>
        <w:pStyle w:val="Heading1"/>
        <w:rPr>
          <w:rFonts w:asciiTheme="minorHAnsi" w:hAnsiTheme="minorHAnsi" w:cstheme="minorHAnsi"/>
          <w:b/>
          <w:bCs/>
          <w:color w:val="auto"/>
          <w:sz w:val="28"/>
          <w:szCs w:val="28"/>
        </w:rPr>
      </w:pPr>
      <w:bookmarkStart w:id="2" w:name="_Toc170825648"/>
      <w:r w:rsidRPr="00AB24FB">
        <w:rPr>
          <w:rFonts w:asciiTheme="minorHAnsi" w:hAnsiTheme="minorHAnsi" w:cstheme="minorHAnsi"/>
          <w:b/>
          <w:bCs/>
          <w:color w:val="auto"/>
          <w:sz w:val="28"/>
          <w:szCs w:val="28"/>
        </w:rPr>
        <w:lastRenderedPageBreak/>
        <w:t>Abstract</w:t>
      </w:r>
      <w:r w:rsidR="00A67C4E" w:rsidRPr="00AB24FB">
        <w:rPr>
          <w:rFonts w:asciiTheme="minorHAnsi" w:hAnsiTheme="minorHAnsi" w:cstheme="minorHAnsi"/>
          <w:b/>
          <w:bCs/>
          <w:color w:val="auto"/>
          <w:sz w:val="28"/>
          <w:szCs w:val="28"/>
        </w:rPr>
        <w:t>.</w:t>
      </w:r>
      <w:r w:rsidR="000455FA" w:rsidRPr="00AB24FB">
        <w:rPr>
          <w:rFonts w:asciiTheme="minorHAnsi" w:hAnsiTheme="minorHAnsi" w:cstheme="minorHAnsi"/>
          <w:b/>
          <w:bCs/>
          <w:color w:val="auto"/>
          <w:sz w:val="28"/>
          <w:szCs w:val="28"/>
        </w:rPr>
        <w:t xml:space="preserve"> </w:t>
      </w:r>
      <w:r w:rsidR="00A67C4E" w:rsidRPr="00AB24FB">
        <w:rPr>
          <w:rFonts w:asciiTheme="minorHAnsi" w:hAnsiTheme="minorHAnsi" w:cstheme="minorHAnsi"/>
          <w:b/>
          <w:bCs/>
          <w:color w:val="auto"/>
          <w:sz w:val="28"/>
          <w:szCs w:val="28"/>
        </w:rPr>
        <w:t>The Role of Trust, Social Capital and Reputation in the Networks and Connections of British Industrialising Cotton-Spinning Mills, c. 1780-1840</w:t>
      </w:r>
      <w:bookmarkEnd w:id="2"/>
    </w:p>
    <w:p w14:paraId="6924157E" w14:textId="77777777" w:rsidR="00120F3E" w:rsidRDefault="00120F3E" w:rsidP="00120F3E"/>
    <w:p w14:paraId="0D41BFA7" w14:textId="30B2C752" w:rsidR="00120F3E" w:rsidRPr="00120F3E" w:rsidRDefault="00120F3E" w:rsidP="00120F3E">
      <w:r w:rsidRPr="00120F3E">
        <w:t>This thesis examines early industriali</w:t>
      </w:r>
      <w:r>
        <w:t>s</w:t>
      </w:r>
      <w:r w:rsidRPr="00120F3E">
        <w:t>ing cotton-spinning mills in Britain, focusing on their business organi</w:t>
      </w:r>
      <w:r>
        <w:t>s</w:t>
      </w:r>
      <w:r w:rsidRPr="00120F3E">
        <w:t>ation and utili</w:t>
      </w:r>
      <w:r>
        <w:t>sation</w:t>
      </w:r>
      <w:r w:rsidRPr="00120F3E">
        <w:t xml:space="preserve"> of trusted networks, social capital, and</w:t>
      </w:r>
      <w:r>
        <w:t xml:space="preserve"> the role of network actors</w:t>
      </w:r>
      <w:r w:rsidR="00CB327B">
        <w:t>’</w:t>
      </w:r>
      <w:r>
        <w:t xml:space="preserve"> r</w:t>
      </w:r>
      <w:r w:rsidRPr="00120F3E">
        <w:t>eputation</w:t>
      </w:r>
      <w:r>
        <w:t>s</w:t>
      </w:r>
      <w:r w:rsidRPr="00120F3E">
        <w:t>. The study, through</w:t>
      </w:r>
      <w:r>
        <w:t xml:space="preserve"> </w:t>
      </w:r>
      <w:r w:rsidRPr="00120F3E">
        <w:t xml:space="preserve">a comparative analysis of two case study firms—W. Evans &amp; Company </w:t>
      </w:r>
      <w:r>
        <w:t xml:space="preserve">of Darley Abbey near Derby </w:t>
      </w:r>
      <w:r w:rsidRPr="00120F3E">
        <w:t>and McConnel and Kennedy</w:t>
      </w:r>
      <w:r>
        <w:t xml:space="preserve"> of Ancoats in Manchester </w:t>
      </w:r>
      <w:r w:rsidRPr="00120F3E">
        <w:t>—</w:t>
      </w:r>
      <w:r>
        <w:t xml:space="preserve"> will </w:t>
      </w:r>
      <w:r w:rsidRPr="00120F3E">
        <w:t xml:space="preserve">explore the crucial role of trust and reputation in building and operating these mills and connecting them to broader networks. </w:t>
      </w:r>
      <w:r>
        <w:t>It explores the formation of trust within the family, kinship groups</w:t>
      </w:r>
      <w:r w:rsidR="00CB327B">
        <w:t>,</w:t>
      </w:r>
      <w:r>
        <w:t xml:space="preserve"> and the wider community. It reflects on the role of class and religion in shaping the environments of the people who managed the mills while considering what happened within the networks if trust was broken and reputations were damaged. Then the study reflects upon how trust and reputation were crucial in </w:t>
      </w:r>
      <w:r w:rsidR="00AD10B3">
        <w:t>leveraging the resources required to operate a successful large</w:t>
      </w:r>
      <w:r w:rsidR="00CB327B">
        <w:t>-</w:t>
      </w:r>
      <w:r w:rsidR="00AD10B3">
        <w:t xml:space="preserve">scale cotton spinning mill. </w:t>
      </w:r>
      <w:r>
        <w:t xml:space="preserve"> </w:t>
      </w:r>
      <w:r w:rsidRPr="00120F3E">
        <w:t xml:space="preserve">The case studies in England's main cotton manufacturing hubs (Manchester and the Derwent Valley) </w:t>
      </w:r>
      <w:r>
        <w:t xml:space="preserve">were </w:t>
      </w:r>
      <w:r w:rsidRPr="00120F3E">
        <w:t xml:space="preserve">operated </w:t>
      </w:r>
      <w:r>
        <w:t>by two</w:t>
      </w:r>
      <w:r w:rsidRPr="00120F3E">
        <w:t xml:space="preserve"> distinct kinship groups and utili</w:t>
      </w:r>
      <w:r>
        <w:t>s</w:t>
      </w:r>
      <w:r w:rsidRPr="00120F3E">
        <w:t>ed different technologies. W. Evans &amp; Company, established in 1782-3, employed water-powered technology, while McConnel &amp; Kennedy, established in 1795, relied on Crompton’s Mule and steam power. The research timeframe spans 1780-1840, encompassing the rise of the factory system</w:t>
      </w:r>
      <w:r w:rsidR="00801949">
        <w:t>, the abolition of the slave trade in Britain’s empire</w:t>
      </w:r>
      <w:r w:rsidR="00CB327B">
        <w:t>,</w:t>
      </w:r>
      <w:r w:rsidRPr="00120F3E">
        <w:t xml:space="preserve"> and</w:t>
      </w:r>
      <w:r w:rsidR="00801949">
        <w:t xml:space="preserve"> ending with</w:t>
      </w:r>
      <w:r w:rsidRPr="00120F3E">
        <w:t xml:space="preserve"> the Industrial Revolution's new phase in the 1830s and 1840s</w:t>
      </w:r>
      <w:r w:rsidR="00801949">
        <w:t>. This phase was</w:t>
      </w:r>
      <w:r w:rsidRPr="00120F3E">
        <w:t xml:space="preserve"> marked by</w:t>
      </w:r>
      <w:r w:rsidR="00801949">
        <w:t xml:space="preserve"> the advent of the</w:t>
      </w:r>
      <w:r w:rsidRPr="00120F3E">
        <w:t xml:space="preserve"> railways, </w:t>
      </w:r>
      <w:r w:rsidR="00801949">
        <w:t xml:space="preserve">vast </w:t>
      </w:r>
      <w:r w:rsidRPr="00120F3E">
        <w:t>industrial expansion,</w:t>
      </w:r>
      <w:r w:rsidR="00801949">
        <w:t xml:space="preserve"> increasing use of</w:t>
      </w:r>
      <w:r w:rsidRPr="00120F3E">
        <w:t xml:space="preserve"> coal, and the abolition of slavery in 1833.</w:t>
      </w:r>
    </w:p>
    <w:p w14:paraId="438B1A35" w14:textId="61750617" w:rsidR="00870BBF" w:rsidRDefault="00F3485B" w:rsidP="00D44030">
      <w:pPr>
        <w:pStyle w:val="NormalWeb"/>
        <w:spacing w:before="240" w:beforeAutospacing="0" w:after="240" w:afterAutospacing="0"/>
        <w:rPr>
          <w:rFonts w:asciiTheme="minorHAnsi" w:hAnsiTheme="minorHAnsi" w:cstheme="minorHAnsi"/>
          <w:color w:val="000000"/>
          <w:sz w:val="22"/>
          <w:szCs w:val="22"/>
        </w:rPr>
        <w:sectPr w:rsidR="00870BBF">
          <w:footerReference w:type="default" r:id="rId8"/>
          <w:footnotePr>
            <w:numRestart w:val="eachSect"/>
          </w:footnotePr>
          <w:pgSz w:w="11906" w:h="16838"/>
          <w:pgMar w:top="1440" w:right="1440" w:bottom="1440" w:left="1440" w:header="708" w:footer="708" w:gutter="0"/>
          <w:cols w:space="708"/>
          <w:docGrid w:linePitch="360"/>
        </w:sectPr>
      </w:pPr>
      <w:r>
        <w:rPr>
          <w:rFonts w:asciiTheme="minorHAnsi" w:hAnsiTheme="minorHAnsi" w:cstheme="minorHAnsi"/>
          <w:color w:val="000000"/>
          <w:sz w:val="22"/>
          <w:szCs w:val="22"/>
        </w:rPr>
        <w:t xml:space="preserve">The role of each of these case-study </w:t>
      </w:r>
      <w:r w:rsidR="00CB327B">
        <w:rPr>
          <w:rFonts w:asciiTheme="minorHAnsi" w:hAnsiTheme="minorHAnsi" w:cstheme="minorHAnsi"/>
          <w:color w:val="000000"/>
          <w:sz w:val="22"/>
          <w:szCs w:val="22"/>
        </w:rPr>
        <w:t>cotton-spinning</w:t>
      </w:r>
      <w:r>
        <w:rPr>
          <w:rFonts w:asciiTheme="minorHAnsi" w:hAnsiTheme="minorHAnsi" w:cstheme="minorHAnsi"/>
          <w:color w:val="000000"/>
          <w:sz w:val="22"/>
          <w:szCs w:val="22"/>
        </w:rPr>
        <w:t xml:space="preserve"> firms in their local areas was profound</w:t>
      </w:r>
      <w:r w:rsidR="00CB327B">
        <w:rPr>
          <w:rFonts w:asciiTheme="minorHAnsi" w:hAnsiTheme="minorHAnsi" w:cstheme="minorHAnsi"/>
          <w:color w:val="000000"/>
          <w:sz w:val="22"/>
          <w:szCs w:val="22"/>
        </w:rPr>
        <w:t>,</w:t>
      </w:r>
      <w:r>
        <w:rPr>
          <w:rFonts w:asciiTheme="minorHAnsi" w:hAnsiTheme="minorHAnsi" w:cstheme="minorHAnsi"/>
          <w:color w:val="000000"/>
          <w:sz w:val="22"/>
          <w:szCs w:val="22"/>
        </w:rPr>
        <w:t xml:space="preserve"> and the firms were connected via a web of connections that were underpinned by the concepts of trust, social </w:t>
      </w:r>
      <w:r w:rsidR="00120F3E">
        <w:rPr>
          <w:rFonts w:asciiTheme="minorHAnsi" w:hAnsiTheme="minorHAnsi" w:cstheme="minorHAnsi"/>
          <w:color w:val="000000"/>
          <w:sz w:val="22"/>
          <w:szCs w:val="22"/>
        </w:rPr>
        <w:t>capital,</w:t>
      </w:r>
      <w:r>
        <w:rPr>
          <w:rFonts w:asciiTheme="minorHAnsi" w:hAnsiTheme="minorHAnsi" w:cstheme="minorHAnsi"/>
          <w:color w:val="000000"/>
          <w:sz w:val="22"/>
          <w:szCs w:val="22"/>
        </w:rPr>
        <w:t xml:space="preserve"> and reputation. Collectively</w:t>
      </w:r>
      <w:r w:rsidR="00CB327B">
        <w:rPr>
          <w:rFonts w:asciiTheme="minorHAnsi" w:hAnsiTheme="minorHAnsi" w:cstheme="minorHAnsi"/>
          <w:color w:val="000000"/>
          <w:sz w:val="22"/>
          <w:szCs w:val="22"/>
        </w:rPr>
        <w:t>,</w:t>
      </w:r>
      <w:r>
        <w:rPr>
          <w:rFonts w:asciiTheme="minorHAnsi" w:hAnsiTheme="minorHAnsi" w:cstheme="minorHAnsi"/>
          <w:color w:val="000000"/>
          <w:sz w:val="22"/>
          <w:szCs w:val="22"/>
        </w:rPr>
        <w:t xml:space="preserve"> firms like W. Evans &amp; Co. and McConnel &amp; Kennedy co</w:t>
      </w:r>
      <w:r w:rsidR="00D44030">
        <w:rPr>
          <w:rFonts w:asciiTheme="minorHAnsi" w:hAnsiTheme="minorHAnsi" w:cstheme="minorHAnsi"/>
          <w:color w:val="000000"/>
          <w:sz w:val="22"/>
          <w:szCs w:val="22"/>
        </w:rPr>
        <w:t>nnected</w:t>
      </w:r>
      <w:r>
        <w:rPr>
          <w:rFonts w:asciiTheme="minorHAnsi" w:hAnsiTheme="minorHAnsi" w:cstheme="minorHAnsi"/>
          <w:color w:val="000000"/>
          <w:sz w:val="22"/>
          <w:szCs w:val="22"/>
        </w:rPr>
        <w:t xml:space="preserve"> with other firms such as suppliers, brokers, agents, bleachers, </w:t>
      </w:r>
      <w:r w:rsidR="00D44030">
        <w:rPr>
          <w:rFonts w:asciiTheme="minorHAnsi" w:hAnsiTheme="minorHAnsi" w:cstheme="minorHAnsi"/>
          <w:color w:val="000000"/>
          <w:sz w:val="22"/>
          <w:szCs w:val="22"/>
        </w:rPr>
        <w:t>weavers</w:t>
      </w:r>
      <w:r>
        <w:rPr>
          <w:rFonts w:asciiTheme="minorHAnsi" w:hAnsiTheme="minorHAnsi" w:cstheme="minorHAnsi"/>
          <w:color w:val="000000"/>
          <w:sz w:val="22"/>
          <w:szCs w:val="22"/>
        </w:rPr>
        <w:t>,</w:t>
      </w:r>
      <w:r w:rsidR="00D44030">
        <w:rPr>
          <w:rFonts w:asciiTheme="minorHAnsi" w:hAnsiTheme="minorHAnsi" w:cstheme="minorHAnsi"/>
          <w:color w:val="000000"/>
          <w:sz w:val="22"/>
          <w:szCs w:val="22"/>
        </w:rPr>
        <w:t xml:space="preserve"> shops, warehouses, dockers, and carriers and shipping across Britain. The connections</w:t>
      </w:r>
      <w:r w:rsidR="00CB327B">
        <w:rPr>
          <w:rFonts w:asciiTheme="minorHAnsi" w:hAnsiTheme="minorHAnsi" w:cstheme="minorHAnsi"/>
          <w:color w:val="000000"/>
          <w:sz w:val="22"/>
          <w:szCs w:val="22"/>
        </w:rPr>
        <w:t>,</w:t>
      </w:r>
      <w:r w:rsidR="00D44030">
        <w:rPr>
          <w:rFonts w:asciiTheme="minorHAnsi" w:hAnsiTheme="minorHAnsi" w:cstheme="minorHAnsi"/>
          <w:color w:val="000000"/>
          <w:sz w:val="22"/>
          <w:szCs w:val="22"/>
        </w:rPr>
        <w:t xml:space="preserve"> however</w:t>
      </w:r>
      <w:r w:rsidR="00CB327B">
        <w:rPr>
          <w:rFonts w:asciiTheme="minorHAnsi" w:hAnsiTheme="minorHAnsi" w:cstheme="minorHAnsi"/>
          <w:color w:val="000000"/>
          <w:sz w:val="22"/>
          <w:szCs w:val="22"/>
        </w:rPr>
        <w:t>,</w:t>
      </w:r>
      <w:r w:rsidR="00D44030">
        <w:rPr>
          <w:rFonts w:asciiTheme="minorHAnsi" w:hAnsiTheme="minorHAnsi" w:cstheme="minorHAnsi"/>
          <w:color w:val="000000"/>
          <w:sz w:val="22"/>
          <w:szCs w:val="22"/>
        </w:rPr>
        <w:t xml:space="preserve"> did not end at the national border, they were connected</w:t>
      </w:r>
      <w:r w:rsidR="00CB327B">
        <w:rPr>
          <w:rFonts w:asciiTheme="minorHAnsi" w:hAnsiTheme="minorHAnsi" w:cstheme="minorHAnsi"/>
          <w:color w:val="000000"/>
          <w:sz w:val="22"/>
          <w:szCs w:val="22"/>
        </w:rPr>
        <w:t xml:space="preserve"> d</w:t>
      </w:r>
      <w:r w:rsidR="00D44030">
        <w:rPr>
          <w:rFonts w:asciiTheme="minorHAnsi" w:hAnsiTheme="minorHAnsi" w:cstheme="minorHAnsi"/>
          <w:color w:val="000000"/>
          <w:sz w:val="22"/>
          <w:szCs w:val="22"/>
        </w:rPr>
        <w:t>irectly or indirectly to global networks, particularly in the supply of raw cotton. Global events impacted the local firms</w:t>
      </w:r>
      <w:r w:rsidR="00CB327B">
        <w:rPr>
          <w:rFonts w:asciiTheme="minorHAnsi" w:hAnsiTheme="minorHAnsi" w:cstheme="minorHAnsi"/>
          <w:color w:val="000000"/>
          <w:sz w:val="22"/>
          <w:szCs w:val="22"/>
        </w:rPr>
        <w:t>,</w:t>
      </w:r>
      <w:r w:rsidR="00D44030">
        <w:rPr>
          <w:rFonts w:asciiTheme="minorHAnsi" w:hAnsiTheme="minorHAnsi" w:cstheme="minorHAnsi"/>
          <w:color w:val="000000"/>
          <w:sz w:val="22"/>
          <w:szCs w:val="22"/>
        </w:rPr>
        <w:t xml:space="preserve"> and the local firms impacted global events. </w:t>
      </w:r>
      <w:r w:rsidR="00B06D1B" w:rsidRPr="000455FA">
        <w:rPr>
          <w:rFonts w:asciiTheme="minorHAnsi" w:hAnsiTheme="minorHAnsi" w:cstheme="minorHAnsi"/>
          <w:color w:val="000000"/>
          <w:sz w:val="22"/>
          <w:szCs w:val="22"/>
        </w:rPr>
        <w:t xml:space="preserve">The role of cotton during the Industrial Revolution and its impact on global societies has been revised by scholars such as Sven Beckert in his book </w:t>
      </w:r>
      <w:r w:rsidR="00B06D1B" w:rsidRPr="000455FA">
        <w:rPr>
          <w:rFonts w:asciiTheme="minorHAnsi" w:hAnsiTheme="minorHAnsi" w:cstheme="minorHAnsi"/>
          <w:i/>
          <w:iCs/>
          <w:color w:val="000000"/>
          <w:sz w:val="22"/>
          <w:szCs w:val="22"/>
        </w:rPr>
        <w:t xml:space="preserve">Empire of Cotton: A Global History </w:t>
      </w:r>
      <w:r w:rsidR="00B06D1B" w:rsidRPr="000455FA">
        <w:rPr>
          <w:rFonts w:asciiTheme="minorHAnsi" w:hAnsiTheme="minorHAnsi" w:cstheme="minorHAnsi"/>
          <w:color w:val="000000"/>
          <w:sz w:val="22"/>
          <w:szCs w:val="22"/>
        </w:rPr>
        <w:t xml:space="preserve">(2015), Giorgio Riello in </w:t>
      </w:r>
      <w:r w:rsidR="00B06D1B" w:rsidRPr="000455FA">
        <w:rPr>
          <w:rFonts w:asciiTheme="minorHAnsi" w:hAnsiTheme="minorHAnsi" w:cstheme="minorHAnsi"/>
          <w:i/>
          <w:iCs/>
          <w:color w:val="000000"/>
          <w:sz w:val="22"/>
          <w:szCs w:val="22"/>
        </w:rPr>
        <w:t xml:space="preserve">Cotton: The Fabric that Made the Modern World </w:t>
      </w:r>
      <w:r w:rsidR="00B06D1B" w:rsidRPr="000455FA">
        <w:rPr>
          <w:rFonts w:asciiTheme="minorHAnsi" w:hAnsiTheme="minorHAnsi" w:cstheme="minorHAnsi"/>
          <w:color w:val="000000"/>
          <w:sz w:val="22"/>
          <w:szCs w:val="22"/>
        </w:rPr>
        <w:t>(2013)</w:t>
      </w:r>
      <w:r w:rsidR="00B06D1B" w:rsidRPr="000455FA">
        <w:rPr>
          <w:rFonts w:asciiTheme="minorHAnsi" w:hAnsiTheme="minorHAnsi" w:cstheme="minorHAnsi"/>
          <w:i/>
          <w:iCs/>
          <w:color w:val="000000"/>
          <w:sz w:val="22"/>
          <w:szCs w:val="22"/>
        </w:rPr>
        <w:t>,</w:t>
      </w:r>
      <w:r w:rsidR="00B06D1B" w:rsidRPr="000455FA">
        <w:rPr>
          <w:rFonts w:asciiTheme="minorHAnsi" w:hAnsiTheme="minorHAnsi" w:cstheme="minorHAnsi"/>
          <w:color w:val="000000"/>
          <w:sz w:val="22"/>
          <w:szCs w:val="22"/>
        </w:rPr>
        <w:t xml:space="preserve"> and Beverly Lemire in her book </w:t>
      </w:r>
      <w:r w:rsidR="00B06D1B" w:rsidRPr="000455FA">
        <w:rPr>
          <w:rFonts w:asciiTheme="minorHAnsi" w:hAnsiTheme="minorHAnsi" w:cstheme="minorHAnsi"/>
          <w:i/>
          <w:iCs/>
          <w:color w:val="000000"/>
          <w:sz w:val="22"/>
          <w:szCs w:val="22"/>
        </w:rPr>
        <w:t xml:space="preserve">Cotton </w:t>
      </w:r>
      <w:r w:rsidR="00B06D1B" w:rsidRPr="000455FA">
        <w:rPr>
          <w:rFonts w:asciiTheme="minorHAnsi" w:hAnsiTheme="minorHAnsi" w:cstheme="minorHAnsi"/>
          <w:color w:val="000000"/>
          <w:sz w:val="22"/>
          <w:szCs w:val="22"/>
        </w:rPr>
        <w:t>(2011). These key examples of their work, rather than closing debates on the role of British cotton manufacturing within the global structure of trade and commercial networks, have opened new paths for consideration. This thesis will contribute to these debates by considering how British cotton manufacturers interacted with each other and how they connected to the global cotton empire. This research will refocus the narrative of British cotton manufacturing by highlighting the human relationships of mill managers, owners, agents, and their families. These relationships show how trust, reputation, and the transfer and exchange of resources were crucial to establishing the local cotton-spinning firms. It also shows how these factors connected them to national and international networks and markets. This thesis will then argue that local networks of family, kinship, and close-knit, trusted commercial communities are underpinned by trust and reputation. These social constructs within the communities enabled them to not only access global markets and networks of trade but to infiltrate them slowly and become an integral part of them.</w:t>
      </w:r>
    </w:p>
    <w:sdt>
      <w:sdtPr>
        <w:rPr>
          <w:rFonts w:asciiTheme="minorHAnsi" w:eastAsiaTheme="minorHAnsi" w:hAnsiTheme="minorHAnsi" w:cstheme="minorBidi"/>
          <w:color w:val="auto"/>
          <w:kern w:val="2"/>
          <w:sz w:val="22"/>
          <w:szCs w:val="22"/>
          <w:lang w:val="en-GB"/>
          <w14:ligatures w14:val="standardContextual"/>
        </w:rPr>
        <w:id w:val="-1251187295"/>
        <w:docPartObj>
          <w:docPartGallery w:val="Table of Contents"/>
          <w:docPartUnique/>
        </w:docPartObj>
      </w:sdtPr>
      <w:sdtEndPr>
        <w:rPr>
          <w:noProof/>
        </w:rPr>
      </w:sdtEndPr>
      <w:sdtContent>
        <w:p w14:paraId="7740F499" w14:textId="09FA19A7" w:rsidR="00F52666" w:rsidRPr="00386A89" w:rsidRDefault="00F52666">
          <w:pPr>
            <w:pStyle w:val="TOCHeading"/>
            <w:rPr>
              <w:rFonts w:asciiTheme="minorHAnsi" w:hAnsiTheme="minorHAnsi" w:cstheme="minorHAnsi"/>
              <w:b/>
              <w:bCs/>
              <w:color w:val="auto"/>
              <w:sz w:val="28"/>
              <w:szCs w:val="28"/>
            </w:rPr>
          </w:pPr>
          <w:r w:rsidRPr="00386A89">
            <w:rPr>
              <w:rFonts w:asciiTheme="minorHAnsi" w:hAnsiTheme="minorHAnsi" w:cstheme="minorHAnsi"/>
              <w:b/>
              <w:bCs/>
              <w:color w:val="auto"/>
              <w:sz w:val="28"/>
              <w:szCs w:val="28"/>
            </w:rPr>
            <w:t>Contents</w:t>
          </w:r>
        </w:p>
        <w:p w14:paraId="42A1A047" w14:textId="29206A52" w:rsidR="00BC0AB9" w:rsidRDefault="00F52666">
          <w:pPr>
            <w:pStyle w:val="TOC1"/>
            <w:rPr>
              <w:rFonts w:eastAsiaTheme="minorEastAsia" w:cstheme="minorBidi"/>
              <w:b w:val="0"/>
              <w:bCs w:val="0"/>
              <w:lang w:eastAsia="zh-CN"/>
            </w:rPr>
          </w:pPr>
          <w:r w:rsidRPr="005E7B80">
            <w:rPr>
              <w:b w:val="0"/>
              <w:bCs w:val="0"/>
            </w:rPr>
            <w:fldChar w:fldCharType="begin"/>
          </w:r>
          <w:r w:rsidRPr="005E7B80">
            <w:rPr>
              <w:b w:val="0"/>
              <w:bCs w:val="0"/>
            </w:rPr>
            <w:instrText xml:space="preserve"> TOC \o "1-3" \h \z \u </w:instrText>
          </w:r>
          <w:r w:rsidRPr="005E7B80">
            <w:rPr>
              <w:b w:val="0"/>
              <w:bCs w:val="0"/>
            </w:rPr>
            <w:fldChar w:fldCharType="separate"/>
          </w:r>
          <w:hyperlink w:anchor="_Toc170825648" w:history="1">
            <w:r w:rsidR="00BC0AB9" w:rsidRPr="00680413">
              <w:rPr>
                <w:rStyle w:val="Hyperlink"/>
              </w:rPr>
              <w:t>Abstract. The Role of Trust, Social Capital and Reputation in the Networks and Connections of British Industrialising Cotton-Spinning Mills, c. 1780-1840</w:t>
            </w:r>
            <w:r w:rsidR="00BC0AB9">
              <w:rPr>
                <w:webHidden/>
              </w:rPr>
              <w:tab/>
            </w:r>
            <w:r w:rsidR="00BC0AB9">
              <w:rPr>
                <w:webHidden/>
              </w:rPr>
              <w:fldChar w:fldCharType="begin"/>
            </w:r>
            <w:r w:rsidR="00BC0AB9">
              <w:rPr>
                <w:webHidden/>
              </w:rPr>
              <w:instrText xml:space="preserve"> PAGEREF _Toc170825648 \h </w:instrText>
            </w:r>
            <w:r w:rsidR="00BC0AB9">
              <w:rPr>
                <w:webHidden/>
              </w:rPr>
            </w:r>
            <w:r w:rsidR="00BC0AB9">
              <w:rPr>
                <w:webHidden/>
              </w:rPr>
              <w:fldChar w:fldCharType="separate"/>
            </w:r>
            <w:r w:rsidR="00BC0AB9">
              <w:rPr>
                <w:webHidden/>
              </w:rPr>
              <w:t>2</w:t>
            </w:r>
            <w:r w:rsidR="00BC0AB9">
              <w:rPr>
                <w:webHidden/>
              </w:rPr>
              <w:fldChar w:fldCharType="end"/>
            </w:r>
          </w:hyperlink>
        </w:p>
        <w:p w14:paraId="4D8E8FC5" w14:textId="2437B1E5" w:rsidR="00BC0AB9" w:rsidRDefault="00CB327B">
          <w:pPr>
            <w:pStyle w:val="TOC1"/>
            <w:rPr>
              <w:rFonts w:eastAsiaTheme="minorEastAsia" w:cstheme="minorBidi"/>
              <w:b w:val="0"/>
              <w:bCs w:val="0"/>
              <w:lang w:eastAsia="zh-CN"/>
            </w:rPr>
          </w:pPr>
          <w:hyperlink w:anchor="_Toc170825649" w:history="1">
            <w:r w:rsidR="00BC0AB9" w:rsidRPr="00680413">
              <w:rPr>
                <w:rStyle w:val="Hyperlink"/>
              </w:rPr>
              <w:t>Acknowledgments</w:t>
            </w:r>
            <w:r w:rsidR="00BC0AB9">
              <w:rPr>
                <w:webHidden/>
              </w:rPr>
              <w:tab/>
            </w:r>
            <w:r w:rsidR="00BC0AB9">
              <w:rPr>
                <w:webHidden/>
              </w:rPr>
              <w:fldChar w:fldCharType="begin"/>
            </w:r>
            <w:r w:rsidR="00BC0AB9">
              <w:rPr>
                <w:webHidden/>
              </w:rPr>
              <w:instrText xml:space="preserve"> PAGEREF _Toc170825649 \h </w:instrText>
            </w:r>
            <w:r w:rsidR="00BC0AB9">
              <w:rPr>
                <w:webHidden/>
              </w:rPr>
            </w:r>
            <w:r w:rsidR="00BC0AB9">
              <w:rPr>
                <w:webHidden/>
              </w:rPr>
              <w:fldChar w:fldCharType="separate"/>
            </w:r>
            <w:r w:rsidR="00BC0AB9">
              <w:rPr>
                <w:webHidden/>
              </w:rPr>
              <w:t>5</w:t>
            </w:r>
            <w:r w:rsidR="00BC0AB9">
              <w:rPr>
                <w:webHidden/>
              </w:rPr>
              <w:fldChar w:fldCharType="end"/>
            </w:r>
          </w:hyperlink>
        </w:p>
        <w:p w14:paraId="712E5972" w14:textId="79D04F1D" w:rsidR="00BC0AB9" w:rsidRDefault="00CB327B">
          <w:pPr>
            <w:pStyle w:val="TOC1"/>
            <w:rPr>
              <w:rFonts w:eastAsiaTheme="minorEastAsia" w:cstheme="minorBidi"/>
              <w:b w:val="0"/>
              <w:bCs w:val="0"/>
              <w:lang w:eastAsia="zh-CN"/>
            </w:rPr>
          </w:pPr>
          <w:hyperlink w:anchor="_Toc170825650" w:history="1">
            <w:r w:rsidR="00BC0AB9" w:rsidRPr="00680413">
              <w:rPr>
                <w:rStyle w:val="Hyperlink"/>
              </w:rPr>
              <w:t>Abbreviations used throughout the Thesis</w:t>
            </w:r>
            <w:r w:rsidR="00BC0AB9">
              <w:rPr>
                <w:webHidden/>
              </w:rPr>
              <w:tab/>
            </w:r>
            <w:r w:rsidR="00BC0AB9">
              <w:rPr>
                <w:webHidden/>
              </w:rPr>
              <w:fldChar w:fldCharType="begin"/>
            </w:r>
            <w:r w:rsidR="00BC0AB9">
              <w:rPr>
                <w:webHidden/>
              </w:rPr>
              <w:instrText xml:space="preserve"> PAGEREF _Toc170825650 \h </w:instrText>
            </w:r>
            <w:r w:rsidR="00BC0AB9">
              <w:rPr>
                <w:webHidden/>
              </w:rPr>
            </w:r>
            <w:r w:rsidR="00BC0AB9">
              <w:rPr>
                <w:webHidden/>
              </w:rPr>
              <w:fldChar w:fldCharType="separate"/>
            </w:r>
            <w:r w:rsidR="00BC0AB9">
              <w:rPr>
                <w:webHidden/>
              </w:rPr>
              <w:t>6</w:t>
            </w:r>
            <w:r w:rsidR="00BC0AB9">
              <w:rPr>
                <w:webHidden/>
              </w:rPr>
              <w:fldChar w:fldCharType="end"/>
            </w:r>
          </w:hyperlink>
        </w:p>
        <w:p w14:paraId="1A2A654D" w14:textId="67048BCF" w:rsidR="00BC0AB9" w:rsidRDefault="00CB327B">
          <w:pPr>
            <w:pStyle w:val="TOC1"/>
            <w:rPr>
              <w:rFonts w:eastAsiaTheme="minorEastAsia" w:cstheme="minorBidi"/>
              <w:b w:val="0"/>
              <w:bCs w:val="0"/>
              <w:lang w:eastAsia="zh-CN"/>
            </w:rPr>
          </w:pPr>
          <w:hyperlink w:anchor="_Toc170825651" w:history="1">
            <w:r w:rsidR="00BC0AB9" w:rsidRPr="00680413">
              <w:rPr>
                <w:rStyle w:val="Hyperlink"/>
              </w:rPr>
              <w:t>Introduction and Literature Review</w:t>
            </w:r>
            <w:r w:rsidR="00BC0AB9">
              <w:rPr>
                <w:webHidden/>
              </w:rPr>
              <w:tab/>
            </w:r>
            <w:r w:rsidR="00BC0AB9">
              <w:rPr>
                <w:webHidden/>
              </w:rPr>
              <w:fldChar w:fldCharType="begin"/>
            </w:r>
            <w:r w:rsidR="00BC0AB9">
              <w:rPr>
                <w:webHidden/>
              </w:rPr>
              <w:instrText xml:space="preserve"> PAGEREF _Toc170825651 \h </w:instrText>
            </w:r>
            <w:r w:rsidR="00BC0AB9">
              <w:rPr>
                <w:webHidden/>
              </w:rPr>
            </w:r>
            <w:r w:rsidR="00BC0AB9">
              <w:rPr>
                <w:webHidden/>
              </w:rPr>
              <w:fldChar w:fldCharType="separate"/>
            </w:r>
            <w:r w:rsidR="00BC0AB9">
              <w:rPr>
                <w:webHidden/>
              </w:rPr>
              <w:t>7</w:t>
            </w:r>
            <w:r w:rsidR="00BC0AB9">
              <w:rPr>
                <w:webHidden/>
              </w:rPr>
              <w:fldChar w:fldCharType="end"/>
            </w:r>
          </w:hyperlink>
        </w:p>
        <w:p w14:paraId="677CEA40" w14:textId="045BA1B7" w:rsidR="00BC0AB9" w:rsidRDefault="00CB327B">
          <w:pPr>
            <w:pStyle w:val="TOC2"/>
            <w:tabs>
              <w:tab w:val="right" w:leader="dot" w:pos="9016"/>
            </w:tabs>
            <w:rPr>
              <w:rFonts w:eastAsiaTheme="minorEastAsia"/>
              <w:noProof/>
              <w:lang w:eastAsia="zh-CN"/>
            </w:rPr>
          </w:pPr>
          <w:hyperlink w:anchor="_Toc170825652" w:history="1">
            <w:r w:rsidR="00BC0AB9" w:rsidRPr="00680413">
              <w:rPr>
                <w:rStyle w:val="Hyperlink"/>
                <w:rFonts w:cstheme="minorHAnsi"/>
                <w:b/>
                <w:bCs/>
                <w:noProof/>
              </w:rPr>
              <w:t>Literature Review: Historiography</w:t>
            </w:r>
            <w:r w:rsidR="00BC0AB9">
              <w:rPr>
                <w:noProof/>
                <w:webHidden/>
              </w:rPr>
              <w:tab/>
            </w:r>
            <w:r w:rsidR="00BC0AB9">
              <w:rPr>
                <w:noProof/>
                <w:webHidden/>
              </w:rPr>
              <w:fldChar w:fldCharType="begin"/>
            </w:r>
            <w:r w:rsidR="00BC0AB9">
              <w:rPr>
                <w:noProof/>
                <w:webHidden/>
              </w:rPr>
              <w:instrText xml:space="preserve"> PAGEREF _Toc170825652 \h </w:instrText>
            </w:r>
            <w:r w:rsidR="00BC0AB9">
              <w:rPr>
                <w:noProof/>
                <w:webHidden/>
              </w:rPr>
            </w:r>
            <w:r w:rsidR="00BC0AB9">
              <w:rPr>
                <w:noProof/>
                <w:webHidden/>
              </w:rPr>
              <w:fldChar w:fldCharType="separate"/>
            </w:r>
            <w:r w:rsidR="00BC0AB9">
              <w:rPr>
                <w:noProof/>
                <w:webHidden/>
              </w:rPr>
              <w:t>8</w:t>
            </w:r>
            <w:r w:rsidR="00BC0AB9">
              <w:rPr>
                <w:noProof/>
                <w:webHidden/>
              </w:rPr>
              <w:fldChar w:fldCharType="end"/>
            </w:r>
          </w:hyperlink>
        </w:p>
        <w:p w14:paraId="3E338AB1" w14:textId="60FD27EC" w:rsidR="00BC0AB9" w:rsidRDefault="00CB327B">
          <w:pPr>
            <w:pStyle w:val="TOC2"/>
            <w:tabs>
              <w:tab w:val="right" w:leader="dot" w:pos="9016"/>
            </w:tabs>
            <w:rPr>
              <w:rFonts w:eastAsiaTheme="minorEastAsia"/>
              <w:noProof/>
              <w:lang w:eastAsia="zh-CN"/>
            </w:rPr>
          </w:pPr>
          <w:hyperlink w:anchor="_Toc170825653" w:history="1">
            <w:r w:rsidR="00BC0AB9" w:rsidRPr="00680413">
              <w:rPr>
                <w:rStyle w:val="Hyperlink"/>
                <w:rFonts w:cstheme="minorHAnsi"/>
                <w:b/>
                <w:bCs/>
                <w:noProof/>
              </w:rPr>
              <w:t>Literature Review: A Conceptual Framework</w:t>
            </w:r>
            <w:r w:rsidR="00BC0AB9">
              <w:rPr>
                <w:noProof/>
                <w:webHidden/>
              </w:rPr>
              <w:tab/>
            </w:r>
            <w:r w:rsidR="00BC0AB9">
              <w:rPr>
                <w:noProof/>
                <w:webHidden/>
              </w:rPr>
              <w:fldChar w:fldCharType="begin"/>
            </w:r>
            <w:r w:rsidR="00BC0AB9">
              <w:rPr>
                <w:noProof/>
                <w:webHidden/>
              </w:rPr>
              <w:instrText xml:space="preserve"> PAGEREF _Toc170825653 \h </w:instrText>
            </w:r>
            <w:r w:rsidR="00BC0AB9">
              <w:rPr>
                <w:noProof/>
                <w:webHidden/>
              </w:rPr>
            </w:r>
            <w:r w:rsidR="00BC0AB9">
              <w:rPr>
                <w:noProof/>
                <w:webHidden/>
              </w:rPr>
              <w:fldChar w:fldCharType="separate"/>
            </w:r>
            <w:r w:rsidR="00BC0AB9">
              <w:rPr>
                <w:noProof/>
                <w:webHidden/>
              </w:rPr>
              <w:t>14</w:t>
            </w:r>
            <w:r w:rsidR="00BC0AB9">
              <w:rPr>
                <w:noProof/>
                <w:webHidden/>
              </w:rPr>
              <w:fldChar w:fldCharType="end"/>
            </w:r>
          </w:hyperlink>
        </w:p>
        <w:p w14:paraId="5A5C824A" w14:textId="367C98C3" w:rsidR="00BC0AB9" w:rsidRDefault="00CB327B">
          <w:pPr>
            <w:pStyle w:val="TOC2"/>
            <w:tabs>
              <w:tab w:val="right" w:leader="dot" w:pos="9016"/>
            </w:tabs>
            <w:rPr>
              <w:rFonts w:eastAsiaTheme="minorEastAsia"/>
              <w:noProof/>
              <w:lang w:eastAsia="zh-CN"/>
            </w:rPr>
          </w:pPr>
          <w:hyperlink w:anchor="_Toc170825654" w:history="1">
            <w:r w:rsidR="00BC0AB9" w:rsidRPr="00680413">
              <w:rPr>
                <w:rStyle w:val="Hyperlink"/>
                <w:rFonts w:cstheme="minorHAnsi"/>
                <w:b/>
                <w:bCs/>
                <w:noProof/>
              </w:rPr>
              <w:t>Methodology</w:t>
            </w:r>
            <w:r w:rsidR="00BC0AB9">
              <w:rPr>
                <w:noProof/>
                <w:webHidden/>
              </w:rPr>
              <w:tab/>
            </w:r>
            <w:r w:rsidR="00BC0AB9">
              <w:rPr>
                <w:noProof/>
                <w:webHidden/>
              </w:rPr>
              <w:fldChar w:fldCharType="begin"/>
            </w:r>
            <w:r w:rsidR="00BC0AB9">
              <w:rPr>
                <w:noProof/>
                <w:webHidden/>
              </w:rPr>
              <w:instrText xml:space="preserve"> PAGEREF _Toc170825654 \h </w:instrText>
            </w:r>
            <w:r w:rsidR="00BC0AB9">
              <w:rPr>
                <w:noProof/>
                <w:webHidden/>
              </w:rPr>
            </w:r>
            <w:r w:rsidR="00BC0AB9">
              <w:rPr>
                <w:noProof/>
                <w:webHidden/>
              </w:rPr>
              <w:fldChar w:fldCharType="separate"/>
            </w:r>
            <w:r w:rsidR="00BC0AB9">
              <w:rPr>
                <w:noProof/>
                <w:webHidden/>
              </w:rPr>
              <w:t>20</w:t>
            </w:r>
            <w:r w:rsidR="00BC0AB9">
              <w:rPr>
                <w:noProof/>
                <w:webHidden/>
              </w:rPr>
              <w:fldChar w:fldCharType="end"/>
            </w:r>
          </w:hyperlink>
        </w:p>
        <w:p w14:paraId="29FF307E" w14:textId="682DD538" w:rsidR="00BC0AB9" w:rsidRDefault="00CB327B">
          <w:pPr>
            <w:pStyle w:val="TOC1"/>
            <w:rPr>
              <w:rFonts w:eastAsiaTheme="minorEastAsia" w:cstheme="minorBidi"/>
              <w:b w:val="0"/>
              <w:bCs w:val="0"/>
              <w:lang w:eastAsia="zh-CN"/>
            </w:rPr>
          </w:pPr>
          <w:hyperlink w:anchor="_Toc170825655" w:history="1">
            <w:r w:rsidR="00BC0AB9" w:rsidRPr="00680413">
              <w:rPr>
                <w:rStyle w:val="Hyperlink"/>
              </w:rPr>
              <w:t>Chapter One: Setting the Scene</w:t>
            </w:r>
            <w:r w:rsidR="00BC0AB9">
              <w:rPr>
                <w:webHidden/>
              </w:rPr>
              <w:tab/>
            </w:r>
            <w:r w:rsidR="00BC0AB9">
              <w:rPr>
                <w:webHidden/>
              </w:rPr>
              <w:fldChar w:fldCharType="begin"/>
            </w:r>
            <w:r w:rsidR="00BC0AB9">
              <w:rPr>
                <w:webHidden/>
              </w:rPr>
              <w:instrText xml:space="preserve"> PAGEREF _Toc170825655 \h </w:instrText>
            </w:r>
            <w:r w:rsidR="00BC0AB9">
              <w:rPr>
                <w:webHidden/>
              </w:rPr>
            </w:r>
            <w:r w:rsidR="00BC0AB9">
              <w:rPr>
                <w:webHidden/>
              </w:rPr>
              <w:fldChar w:fldCharType="separate"/>
            </w:r>
            <w:r w:rsidR="00BC0AB9">
              <w:rPr>
                <w:webHidden/>
              </w:rPr>
              <w:t>29</w:t>
            </w:r>
            <w:r w:rsidR="00BC0AB9">
              <w:rPr>
                <w:webHidden/>
              </w:rPr>
              <w:fldChar w:fldCharType="end"/>
            </w:r>
          </w:hyperlink>
        </w:p>
        <w:p w14:paraId="3DF422EC" w14:textId="23689D6B" w:rsidR="00BC0AB9" w:rsidRDefault="00CB327B">
          <w:pPr>
            <w:pStyle w:val="TOC2"/>
            <w:tabs>
              <w:tab w:val="right" w:leader="dot" w:pos="9016"/>
            </w:tabs>
            <w:rPr>
              <w:rFonts w:eastAsiaTheme="minorEastAsia"/>
              <w:noProof/>
              <w:lang w:eastAsia="zh-CN"/>
            </w:rPr>
          </w:pPr>
          <w:hyperlink w:anchor="_Toc170825656"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_Toc170825656 \h </w:instrText>
            </w:r>
            <w:r w:rsidR="00BC0AB9">
              <w:rPr>
                <w:noProof/>
                <w:webHidden/>
              </w:rPr>
            </w:r>
            <w:r w:rsidR="00BC0AB9">
              <w:rPr>
                <w:noProof/>
                <w:webHidden/>
              </w:rPr>
              <w:fldChar w:fldCharType="separate"/>
            </w:r>
            <w:r w:rsidR="00BC0AB9">
              <w:rPr>
                <w:noProof/>
                <w:webHidden/>
              </w:rPr>
              <w:t>29</w:t>
            </w:r>
            <w:r w:rsidR="00BC0AB9">
              <w:rPr>
                <w:noProof/>
                <w:webHidden/>
              </w:rPr>
              <w:fldChar w:fldCharType="end"/>
            </w:r>
          </w:hyperlink>
        </w:p>
        <w:p w14:paraId="59EC86B5" w14:textId="388BA7EC" w:rsidR="00BC0AB9" w:rsidRDefault="00CB327B">
          <w:pPr>
            <w:pStyle w:val="TOC2"/>
            <w:tabs>
              <w:tab w:val="right" w:leader="dot" w:pos="9016"/>
            </w:tabs>
            <w:rPr>
              <w:rFonts w:eastAsiaTheme="minorEastAsia"/>
              <w:noProof/>
              <w:lang w:eastAsia="zh-CN"/>
            </w:rPr>
          </w:pPr>
          <w:hyperlink w:anchor="_Toc170825657" w:history="1">
            <w:r w:rsidR="00BC0AB9" w:rsidRPr="00680413">
              <w:rPr>
                <w:rStyle w:val="Hyperlink"/>
                <w:rFonts w:cstheme="minorHAnsi"/>
                <w:b/>
                <w:bCs/>
                <w:noProof/>
              </w:rPr>
              <w:t>The Cotton Mills</w:t>
            </w:r>
            <w:r w:rsidR="00BC0AB9">
              <w:rPr>
                <w:noProof/>
                <w:webHidden/>
              </w:rPr>
              <w:tab/>
            </w:r>
            <w:r w:rsidR="00BC0AB9">
              <w:rPr>
                <w:noProof/>
                <w:webHidden/>
              </w:rPr>
              <w:fldChar w:fldCharType="begin"/>
            </w:r>
            <w:r w:rsidR="00BC0AB9">
              <w:rPr>
                <w:noProof/>
                <w:webHidden/>
              </w:rPr>
              <w:instrText xml:space="preserve"> PAGEREF _Toc170825657 \h </w:instrText>
            </w:r>
            <w:r w:rsidR="00BC0AB9">
              <w:rPr>
                <w:noProof/>
                <w:webHidden/>
              </w:rPr>
            </w:r>
            <w:r w:rsidR="00BC0AB9">
              <w:rPr>
                <w:noProof/>
                <w:webHidden/>
              </w:rPr>
              <w:fldChar w:fldCharType="separate"/>
            </w:r>
            <w:r w:rsidR="00BC0AB9">
              <w:rPr>
                <w:noProof/>
                <w:webHidden/>
              </w:rPr>
              <w:t>30</w:t>
            </w:r>
            <w:r w:rsidR="00BC0AB9">
              <w:rPr>
                <w:noProof/>
                <w:webHidden/>
              </w:rPr>
              <w:fldChar w:fldCharType="end"/>
            </w:r>
          </w:hyperlink>
        </w:p>
        <w:p w14:paraId="61F8B8D3" w14:textId="0B377378" w:rsidR="00BC0AB9" w:rsidRDefault="00CB327B">
          <w:pPr>
            <w:pStyle w:val="TOC2"/>
            <w:tabs>
              <w:tab w:val="right" w:leader="dot" w:pos="9016"/>
            </w:tabs>
            <w:rPr>
              <w:rFonts w:eastAsiaTheme="minorEastAsia"/>
              <w:noProof/>
              <w:lang w:eastAsia="zh-CN"/>
            </w:rPr>
          </w:pPr>
          <w:hyperlink w:anchor="_Toc170825658" w:history="1">
            <w:r w:rsidR="00BC0AB9" w:rsidRPr="00680413">
              <w:rPr>
                <w:rStyle w:val="Hyperlink"/>
                <w:rFonts w:cstheme="minorHAnsi"/>
                <w:b/>
                <w:bCs/>
                <w:noProof/>
              </w:rPr>
              <w:t>The Kinship Networks, Families and Their People</w:t>
            </w:r>
            <w:r w:rsidR="00BC0AB9">
              <w:rPr>
                <w:noProof/>
                <w:webHidden/>
              </w:rPr>
              <w:tab/>
            </w:r>
            <w:r w:rsidR="00BC0AB9">
              <w:rPr>
                <w:noProof/>
                <w:webHidden/>
              </w:rPr>
              <w:fldChar w:fldCharType="begin"/>
            </w:r>
            <w:r w:rsidR="00BC0AB9">
              <w:rPr>
                <w:noProof/>
                <w:webHidden/>
              </w:rPr>
              <w:instrText xml:space="preserve"> PAGEREF _Toc170825658 \h </w:instrText>
            </w:r>
            <w:r w:rsidR="00BC0AB9">
              <w:rPr>
                <w:noProof/>
                <w:webHidden/>
              </w:rPr>
            </w:r>
            <w:r w:rsidR="00BC0AB9">
              <w:rPr>
                <w:noProof/>
                <w:webHidden/>
              </w:rPr>
              <w:fldChar w:fldCharType="separate"/>
            </w:r>
            <w:r w:rsidR="00BC0AB9">
              <w:rPr>
                <w:noProof/>
                <w:webHidden/>
              </w:rPr>
              <w:t>33</w:t>
            </w:r>
            <w:r w:rsidR="00BC0AB9">
              <w:rPr>
                <w:noProof/>
                <w:webHidden/>
              </w:rPr>
              <w:fldChar w:fldCharType="end"/>
            </w:r>
          </w:hyperlink>
        </w:p>
        <w:p w14:paraId="1DD76626" w14:textId="3107D0D2" w:rsidR="00BC0AB9" w:rsidRDefault="00CB327B">
          <w:pPr>
            <w:pStyle w:val="TOC2"/>
            <w:tabs>
              <w:tab w:val="right" w:leader="dot" w:pos="9016"/>
            </w:tabs>
            <w:rPr>
              <w:rFonts w:eastAsiaTheme="minorEastAsia"/>
              <w:noProof/>
              <w:lang w:eastAsia="zh-CN"/>
            </w:rPr>
          </w:pPr>
          <w:hyperlink w:anchor="_Toc170825659" w:history="1">
            <w:r w:rsidR="00BC0AB9" w:rsidRPr="00680413">
              <w:rPr>
                <w:rStyle w:val="Hyperlink"/>
                <w:rFonts w:cstheme="minorHAnsi"/>
                <w:b/>
                <w:bCs/>
                <w:noProof/>
              </w:rPr>
              <w:t>Networks Surrounding the Cotton Mills</w:t>
            </w:r>
            <w:r w:rsidR="00BC0AB9">
              <w:rPr>
                <w:noProof/>
                <w:webHidden/>
              </w:rPr>
              <w:tab/>
            </w:r>
            <w:r w:rsidR="00BC0AB9">
              <w:rPr>
                <w:noProof/>
                <w:webHidden/>
              </w:rPr>
              <w:fldChar w:fldCharType="begin"/>
            </w:r>
            <w:r w:rsidR="00BC0AB9">
              <w:rPr>
                <w:noProof/>
                <w:webHidden/>
              </w:rPr>
              <w:instrText xml:space="preserve"> PAGEREF _Toc170825659 \h </w:instrText>
            </w:r>
            <w:r w:rsidR="00BC0AB9">
              <w:rPr>
                <w:noProof/>
                <w:webHidden/>
              </w:rPr>
            </w:r>
            <w:r w:rsidR="00BC0AB9">
              <w:rPr>
                <w:noProof/>
                <w:webHidden/>
              </w:rPr>
              <w:fldChar w:fldCharType="separate"/>
            </w:r>
            <w:r w:rsidR="00BC0AB9">
              <w:rPr>
                <w:noProof/>
                <w:webHidden/>
              </w:rPr>
              <w:t>41</w:t>
            </w:r>
            <w:r w:rsidR="00BC0AB9">
              <w:rPr>
                <w:noProof/>
                <w:webHidden/>
              </w:rPr>
              <w:fldChar w:fldCharType="end"/>
            </w:r>
          </w:hyperlink>
        </w:p>
        <w:p w14:paraId="6B767E11" w14:textId="1E68B5CD" w:rsidR="00BC0AB9" w:rsidRDefault="00CB327B">
          <w:pPr>
            <w:pStyle w:val="TOC2"/>
            <w:tabs>
              <w:tab w:val="right" w:leader="dot" w:pos="9016"/>
            </w:tabs>
            <w:rPr>
              <w:rFonts w:eastAsiaTheme="minorEastAsia"/>
              <w:noProof/>
              <w:lang w:eastAsia="zh-CN"/>
            </w:rPr>
          </w:pPr>
          <w:hyperlink w:anchor="_Toc170825660" w:history="1">
            <w:r w:rsidR="00BC0AB9" w:rsidRPr="00680413">
              <w:rPr>
                <w:rStyle w:val="Hyperlink"/>
                <w:rFonts w:cstheme="minorHAnsi"/>
                <w:b/>
                <w:bCs/>
                <w:noProof/>
              </w:rPr>
              <w:t>The Ideals to Emulate when Building Business Networks of Trust</w:t>
            </w:r>
            <w:r w:rsidR="00BC0AB9">
              <w:rPr>
                <w:noProof/>
                <w:webHidden/>
              </w:rPr>
              <w:tab/>
            </w:r>
            <w:r w:rsidR="00BC0AB9">
              <w:rPr>
                <w:noProof/>
                <w:webHidden/>
              </w:rPr>
              <w:fldChar w:fldCharType="begin"/>
            </w:r>
            <w:r w:rsidR="00BC0AB9">
              <w:rPr>
                <w:noProof/>
                <w:webHidden/>
              </w:rPr>
              <w:instrText xml:space="preserve"> PAGEREF _Toc170825660 \h </w:instrText>
            </w:r>
            <w:r w:rsidR="00BC0AB9">
              <w:rPr>
                <w:noProof/>
                <w:webHidden/>
              </w:rPr>
            </w:r>
            <w:r w:rsidR="00BC0AB9">
              <w:rPr>
                <w:noProof/>
                <w:webHidden/>
              </w:rPr>
              <w:fldChar w:fldCharType="separate"/>
            </w:r>
            <w:r w:rsidR="00BC0AB9">
              <w:rPr>
                <w:noProof/>
                <w:webHidden/>
              </w:rPr>
              <w:t>42</w:t>
            </w:r>
            <w:r w:rsidR="00BC0AB9">
              <w:rPr>
                <w:noProof/>
                <w:webHidden/>
              </w:rPr>
              <w:fldChar w:fldCharType="end"/>
            </w:r>
          </w:hyperlink>
        </w:p>
        <w:p w14:paraId="3BCF5035" w14:textId="6BA665D9" w:rsidR="00BC0AB9" w:rsidRDefault="00CB327B">
          <w:pPr>
            <w:pStyle w:val="TOC2"/>
            <w:tabs>
              <w:tab w:val="right" w:leader="dot" w:pos="9016"/>
            </w:tabs>
            <w:rPr>
              <w:rFonts w:eastAsiaTheme="minorEastAsia"/>
              <w:noProof/>
              <w:lang w:eastAsia="zh-CN"/>
            </w:rPr>
          </w:pPr>
          <w:hyperlink w:anchor="_Toc170825661"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_Toc170825661 \h </w:instrText>
            </w:r>
            <w:r w:rsidR="00BC0AB9">
              <w:rPr>
                <w:noProof/>
                <w:webHidden/>
              </w:rPr>
            </w:r>
            <w:r w:rsidR="00BC0AB9">
              <w:rPr>
                <w:noProof/>
                <w:webHidden/>
              </w:rPr>
              <w:fldChar w:fldCharType="separate"/>
            </w:r>
            <w:r w:rsidR="00BC0AB9">
              <w:rPr>
                <w:noProof/>
                <w:webHidden/>
              </w:rPr>
              <w:t>51</w:t>
            </w:r>
            <w:r w:rsidR="00BC0AB9">
              <w:rPr>
                <w:noProof/>
                <w:webHidden/>
              </w:rPr>
              <w:fldChar w:fldCharType="end"/>
            </w:r>
          </w:hyperlink>
        </w:p>
        <w:p w14:paraId="1B44C8D0" w14:textId="387D0760" w:rsidR="00BC0AB9" w:rsidRDefault="00CB327B">
          <w:pPr>
            <w:pStyle w:val="TOC1"/>
            <w:rPr>
              <w:rFonts w:eastAsiaTheme="minorEastAsia" w:cstheme="minorBidi"/>
              <w:b w:val="0"/>
              <w:bCs w:val="0"/>
              <w:lang w:eastAsia="zh-CN"/>
            </w:rPr>
          </w:pPr>
          <w:hyperlink w:anchor="_Toc170825662" w:history="1">
            <w:r w:rsidR="00BC0AB9" w:rsidRPr="00680413">
              <w:rPr>
                <w:rStyle w:val="Hyperlink"/>
              </w:rPr>
              <w:t>Part One: The Inner Circle</w:t>
            </w:r>
            <w:r w:rsidR="00BC0AB9">
              <w:rPr>
                <w:webHidden/>
              </w:rPr>
              <w:tab/>
            </w:r>
            <w:r w:rsidR="00BC0AB9">
              <w:rPr>
                <w:webHidden/>
              </w:rPr>
              <w:fldChar w:fldCharType="begin"/>
            </w:r>
            <w:r w:rsidR="00BC0AB9">
              <w:rPr>
                <w:webHidden/>
              </w:rPr>
              <w:instrText xml:space="preserve"> PAGEREF _Toc170825662 \h </w:instrText>
            </w:r>
            <w:r w:rsidR="00BC0AB9">
              <w:rPr>
                <w:webHidden/>
              </w:rPr>
            </w:r>
            <w:r w:rsidR="00BC0AB9">
              <w:rPr>
                <w:webHidden/>
              </w:rPr>
              <w:fldChar w:fldCharType="separate"/>
            </w:r>
            <w:r w:rsidR="00BC0AB9">
              <w:rPr>
                <w:webHidden/>
              </w:rPr>
              <w:t>53</w:t>
            </w:r>
            <w:r w:rsidR="00BC0AB9">
              <w:rPr>
                <w:webHidden/>
              </w:rPr>
              <w:fldChar w:fldCharType="end"/>
            </w:r>
          </w:hyperlink>
        </w:p>
        <w:p w14:paraId="38D898F2" w14:textId="3A7A480D" w:rsidR="00BC0AB9" w:rsidRDefault="00CB327B">
          <w:pPr>
            <w:pStyle w:val="TOC1"/>
            <w:rPr>
              <w:rFonts w:eastAsiaTheme="minorEastAsia" w:cstheme="minorBidi"/>
              <w:b w:val="0"/>
              <w:bCs w:val="0"/>
              <w:lang w:eastAsia="zh-CN"/>
            </w:rPr>
          </w:pPr>
          <w:hyperlink w:anchor="_Toc170825663" w:history="1">
            <w:r w:rsidR="00BC0AB9" w:rsidRPr="00680413">
              <w:rPr>
                <w:rStyle w:val="Hyperlink"/>
              </w:rPr>
              <w:t>Chapter Two: Trust and Kinship Networks Supporting the Cotton Trade</w:t>
            </w:r>
            <w:r w:rsidR="00BC0AB9">
              <w:rPr>
                <w:webHidden/>
              </w:rPr>
              <w:tab/>
            </w:r>
            <w:r w:rsidR="00BC0AB9">
              <w:rPr>
                <w:webHidden/>
              </w:rPr>
              <w:fldChar w:fldCharType="begin"/>
            </w:r>
            <w:r w:rsidR="00BC0AB9">
              <w:rPr>
                <w:webHidden/>
              </w:rPr>
              <w:instrText xml:space="preserve"> PAGEREF _Toc170825663 \h </w:instrText>
            </w:r>
            <w:r w:rsidR="00BC0AB9">
              <w:rPr>
                <w:webHidden/>
              </w:rPr>
            </w:r>
            <w:r w:rsidR="00BC0AB9">
              <w:rPr>
                <w:webHidden/>
              </w:rPr>
              <w:fldChar w:fldCharType="separate"/>
            </w:r>
            <w:r w:rsidR="00BC0AB9">
              <w:rPr>
                <w:webHidden/>
              </w:rPr>
              <w:t>54</w:t>
            </w:r>
            <w:r w:rsidR="00BC0AB9">
              <w:rPr>
                <w:webHidden/>
              </w:rPr>
              <w:fldChar w:fldCharType="end"/>
            </w:r>
          </w:hyperlink>
        </w:p>
        <w:p w14:paraId="68705D65" w14:textId="2E876C65" w:rsidR="00BC0AB9" w:rsidRDefault="00CB327B">
          <w:pPr>
            <w:pStyle w:val="TOC2"/>
            <w:tabs>
              <w:tab w:val="right" w:leader="dot" w:pos="9016"/>
            </w:tabs>
            <w:rPr>
              <w:rFonts w:eastAsiaTheme="minorEastAsia"/>
              <w:noProof/>
              <w:lang w:eastAsia="zh-CN"/>
            </w:rPr>
          </w:pPr>
          <w:hyperlink w:anchor="_Toc170825664"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_Toc170825664 \h </w:instrText>
            </w:r>
            <w:r w:rsidR="00BC0AB9">
              <w:rPr>
                <w:noProof/>
                <w:webHidden/>
              </w:rPr>
            </w:r>
            <w:r w:rsidR="00BC0AB9">
              <w:rPr>
                <w:noProof/>
                <w:webHidden/>
              </w:rPr>
              <w:fldChar w:fldCharType="separate"/>
            </w:r>
            <w:r w:rsidR="00BC0AB9">
              <w:rPr>
                <w:noProof/>
                <w:webHidden/>
              </w:rPr>
              <w:t>54</w:t>
            </w:r>
            <w:r w:rsidR="00BC0AB9">
              <w:rPr>
                <w:noProof/>
                <w:webHidden/>
              </w:rPr>
              <w:fldChar w:fldCharType="end"/>
            </w:r>
          </w:hyperlink>
        </w:p>
        <w:p w14:paraId="39BBD198" w14:textId="0531209F" w:rsidR="00BC0AB9" w:rsidRDefault="00CB327B">
          <w:pPr>
            <w:pStyle w:val="TOC2"/>
            <w:tabs>
              <w:tab w:val="right" w:leader="dot" w:pos="9016"/>
            </w:tabs>
            <w:rPr>
              <w:rFonts w:eastAsiaTheme="minorEastAsia"/>
              <w:noProof/>
              <w:lang w:eastAsia="zh-CN"/>
            </w:rPr>
          </w:pPr>
          <w:hyperlink w:anchor="_Toc170825665" w:history="1">
            <w:r w:rsidR="00BC0AB9" w:rsidRPr="00680413">
              <w:rPr>
                <w:rStyle w:val="Hyperlink"/>
                <w:rFonts w:cstheme="minorHAnsi"/>
                <w:b/>
                <w:bCs/>
                <w:noProof/>
              </w:rPr>
              <w:t>Family and Kinship Networks</w:t>
            </w:r>
            <w:r w:rsidR="00BC0AB9">
              <w:rPr>
                <w:noProof/>
                <w:webHidden/>
              </w:rPr>
              <w:tab/>
            </w:r>
            <w:r w:rsidR="00BC0AB9">
              <w:rPr>
                <w:noProof/>
                <w:webHidden/>
              </w:rPr>
              <w:fldChar w:fldCharType="begin"/>
            </w:r>
            <w:r w:rsidR="00BC0AB9">
              <w:rPr>
                <w:noProof/>
                <w:webHidden/>
              </w:rPr>
              <w:instrText xml:space="preserve"> PAGEREF _Toc170825665 \h </w:instrText>
            </w:r>
            <w:r w:rsidR="00BC0AB9">
              <w:rPr>
                <w:noProof/>
                <w:webHidden/>
              </w:rPr>
            </w:r>
            <w:r w:rsidR="00BC0AB9">
              <w:rPr>
                <w:noProof/>
                <w:webHidden/>
              </w:rPr>
              <w:fldChar w:fldCharType="separate"/>
            </w:r>
            <w:r w:rsidR="00BC0AB9">
              <w:rPr>
                <w:noProof/>
                <w:webHidden/>
              </w:rPr>
              <w:t>54</w:t>
            </w:r>
            <w:r w:rsidR="00BC0AB9">
              <w:rPr>
                <w:noProof/>
                <w:webHidden/>
              </w:rPr>
              <w:fldChar w:fldCharType="end"/>
            </w:r>
          </w:hyperlink>
        </w:p>
        <w:p w14:paraId="75648F41" w14:textId="52FB8398" w:rsidR="00BC0AB9" w:rsidRDefault="00CB327B">
          <w:pPr>
            <w:pStyle w:val="TOC2"/>
            <w:tabs>
              <w:tab w:val="right" w:leader="dot" w:pos="9016"/>
            </w:tabs>
            <w:rPr>
              <w:rFonts w:eastAsiaTheme="minorEastAsia"/>
              <w:noProof/>
              <w:lang w:eastAsia="zh-CN"/>
            </w:rPr>
          </w:pPr>
          <w:hyperlink w:anchor="_Toc170825666" w:history="1">
            <w:r w:rsidR="00BC0AB9" w:rsidRPr="00680413">
              <w:rPr>
                <w:rStyle w:val="Hyperlink"/>
                <w:rFonts w:cstheme="minorHAnsi"/>
                <w:b/>
                <w:bCs/>
                <w:noProof/>
              </w:rPr>
              <w:t>The Domestic Household</w:t>
            </w:r>
            <w:r w:rsidR="00BC0AB9">
              <w:rPr>
                <w:noProof/>
                <w:webHidden/>
              </w:rPr>
              <w:tab/>
            </w:r>
            <w:r w:rsidR="00BC0AB9">
              <w:rPr>
                <w:noProof/>
                <w:webHidden/>
              </w:rPr>
              <w:fldChar w:fldCharType="begin"/>
            </w:r>
            <w:r w:rsidR="00BC0AB9">
              <w:rPr>
                <w:noProof/>
                <w:webHidden/>
              </w:rPr>
              <w:instrText xml:space="preserve"> PAGEREF _Toc170825666 \h </w:instrText>
            </w:r>
            <w:r w:rsidR="00BC0AB9">
              <w:rPr>
                <w:noProof/>
                <w:webHidden/>
              </w:rPr>
            </w:r>
            <w:r w:rsidR="00BC0AB9">
              <w:rPr>
                <w:noProof/>
                <w:webHidden/>
              </w:rPr>
              <w:fldChar w:fldCharType="separate"/>
            </w:r>
            <w:r w:rsidR="00BC0AB9">
              <w:rPr>
                <w:noProof/>
                <w:webHidden/>
              </w:rPr>
              <w:t>59</w:t>
            </w:r>
            <w:r w:rsidR="00BC0AB9">
              <w:rPr>
                <w:noProof/>
                <w:webHidden/>
              </w:rPr>
              <w:fldChar w:fldCharType="end"/>
            </w:r>
          </w:hyperlink>
        </w:p>
        <w:p w14:paraId="2DD8A50E" w14:textId="54C29107" w:rsidR="00BC0AB9" w:rsidRDefault="00CB327B">
          <w:pPr>
            <w:pStyle w:val="TOC2"/>
            <w:tabs>
              <w:tab w:val="right" w:leader="dot" w:pos="9016"/>
            </w:tabs>
            <w:rPr>
              <w:rFonts w:eastAsiaTheme="minorEastAsia"/>
              <w:noProof/>
              <w:lang w:eastAsia="zh-CN"/>
            </w:rPr>
          </w:pPr>
          <w:hyperlink w:anchor="_Toc170825667" w:history="1">
            <w:r w:rsidR="00BC0AB9" w:rsidRPr="00680413">
              <w:rPr>
                <w:rStyle w:val="Hyperlink"/>
                <w:rFonts w:cstheme="minorHAnsi"/>
                <w:b/>
                <w:bCs/>
                <w:noProof/>
              </w:rPr>
              <w:t>Kinship, Capital, and the Cotton-spinning Firms</w:t>
            </w:r>
            <w:r w:rsidR="00BC0AB9">
              <w:rPr>
                <w:noProof/>
                <w:webHidden/>
              </w:rPr>
              <w:tab/>
            </w:r>
            <w:r w:rsidR="00BC0AB9">
              <w:rPr>
                <w:noProof/>
                <w:webHidden/>
              </w:rPr>
              <w:fldChar w:fldCharType="begin"/>
            </w:r>
            <w:r w:rsidR="00BC0AB9">
              <w:rPr>
                <w:noProof/>
                <w:webHidden/>
              </w:rPr>
              <w:instrText xml:space="preserve"> PAGEREF _Toc170825667 \h </w:instrText>
            </w:r>
            <w:r w:rsidR="00BC0AB9">
              <w:rPr>
                <w:noProof/>
                <w:webHidden/>
              </w:rPr>
            </w:r>
            <w:r w:rsidR="00BC0AB9">
              <w:rPr>
                <w:noProof/>
                <w:webHidden/>
              </w:rPr>
              <w:fldChar w:fldCharType="separate"/>
            </w:r>
            <w:r w:rsidR="00BC0AB9">
              <w:rPr>
                <w:noProof/>
                <w:webHidden/>
              </w:rPr>
              <w:t>59</w:t>
            </w:r>
            <w:r w:rsidR="00BC0AB9">
              <w:rPr>
                <w:noProof/>
                <w:webHidden/>
              </w:rPr>
              <w:fldChar w:fldCharType="end"/>
            </w:r>
          </w:hyperlink>
        </w:p>
        <w:p w14:paraId="6B40C80D" w14:textId="3C6724A5" w:rsidR="00BC0AB9" w:rsidRDefault="00CB327B">
          <w:pPr>
            <w:pStyle w:val="TOC2"/>
            <w:tabs>
              <w:tab w:val="right" w:leader="dot" w:pos="9016"/>
            </w:tabs>
            <w:rPr>
              <w:rFonts w:eastAsiaTheme="minorEastAsia"/>
              <w:noProof/>
              <w:lang w:eastAsia="zh-CN"/>
            </w:rPr>
          </w:pPr>
          <w:hyperlink w:anchor="_Toc170825668" w:history="1">
            <w:r w:rsidR="00BC0AB9" w:rsidRPr="00680413">
              <w:rPr>
                <w:rStyle w:val="Hyperlink"/>
                <w:rFonts w:cstheme="minorHAnsi"/>
                <w:b/>
                <w:bCs/>
                <w:noProof/>
              </w:rPr>
              <w:t>Kinship Networks and Education Networks</w:t>
            </w:r>
            <w:r w:rsidR="00BC0AB9">
              <w:rPr>
                <w:noProof/>
                <w:webHidden/>
              </w:rPr>
              <w:tab/>
            </w:r>
            <w:r w:rsidR="00BC0AB9">
              <w:rPr>
                <w:noProof/>
                <w:webHidden/>
              </w:rPr>
              <w:fldChar w:fldCharType="begin"/>
            </w:r>
            <w:r w:rsidR="00BC0AB9">
              <w:rPr>
                <w:noProof/>
                <w:webHidden/>
              </w:rPr>
              <w:instrText xml:space="preserve"> PAGEREF _Toc170825668 \h </w:instrText>
            </w:r>
            <w:r w:rsidR="00BC0AB9">
              <w:rPr>
                <w:noProof/>
                <w:webHidden/>
              </w:rPr>
            </w:r>
            <w:r w:rsidR="00BC0AB9">
              <w:rPr>
                <w:noProof/>
                <w:webHidden/>
              </w:rPr>
              <w:fldChar w:fldCharType="separate"/>
            </w:r>
            <w:r w:rsidR="00BC0AB9">
              <w:rPr>
                <w:noProof/>
                <w:webHidden/>
              </w:rPr>
              <w:t>61</w:t>
            </w:r>
            <w:r w:rsidR="00BC0AB9">
              <w:rPr>
                <w:noProof/>
                <w:webHidden/>
              </w:rPr>
              <w:fldChar w:fldCharType="end"/>
            </w:r>
          </w:hyperlink>
        </w:p>
        <w:p w14:paraId="2F477CE1" w14:textId="62DB3901" w:rsidR="00BC0AB9" w:rsidRDefault="00CB327B">
          <w:pPr>
            <w:pStyle w:val="TOC2"/>
            <w:tabs>
              <w:tab w:val="right" w:leader="dot" w:pos="9016"/>
            </w:tabs>
            <w:rPr>
              <w:rFonts w:eastAsiaTheme="minorEastAsia"/>
              <w:noProof/>
              <w:lang w:eastAsia="zh-CN"/>
            </w:rPr>
          </w:pPr>
          <w:hyperlink w:anchor="_Toc170825669" w:history="1">
            <w:r w:rsidR="00BC0AB9" w:rsidRPr="00680413">
              <w:rPr>
                <w:rStyle w:val="Hyperlink"/>
                <w:rFonts w:cstheme="minorHAnsi"/>
                <w:b/>
                <w:bCs/>
                <w:noProof/>
              </w:rPr>
              <w:t>Kinship Capital and the Business Relationship</w:t>
            </w:r>
            <w:r w:rsidR="00BC0AB9">
              <w:rPr>
                <w:noProof/>
                <w:webHidden/>
              </w:rPr>
              <w:tab/>
            </w:r>
            <w:r w:rsidR="00BC0AB9">
              <w:rPr>
                <w:noProof/>
                <w:webHidden/>
              </w:rPr>
              <w:fldChar w:fldCharType="begin"/>
            </w:r>
            <w:r w:rsidR="00BC0AB9">
              <w:rPr>
                <w:noProof/>
                <w:webHidden/>
              </w:rPr>
              <w:instrText xml:space="preserve"> PAGEREF _Toc170825669 \h </w:instrText>
            </w:r>
            <w:r w:rsidR="00BC0AB9">
              <w:rPr>
                <w:noProof/>
                <w:webHidden/>
              </w:rPr>
            </w:r>
            <w:r w:rsidR="00BC0AB9">
              <w:rPr>
                <w:noProof/>
                <w:webHidden/>
              </w:rPr>
              <w:fldChar w:fldCharType="separate"/>
            </w:r>
            <w:r w:rsidR="00BC0AB9">
              <w:rPr>
                <w:noProof/>
                <w:webHidden/>
              </w:rPr>
              <w:t>64</w:t>
            </w:r>
            <w:r w:rsidR="00BC0AB9">
              <w:rPr>
                <w:noProof/>
                <w:webHidden/>
              </w:rPr>
              <w:fldChar w:fldCharType="end"/>
            </w:r>
          </w:hyperlink>
        </w:p>
        <w:p w14:paraId="648E9BC7" w14:textId="1FE92407" w:rsidR="00BC0AB9" w:rsidRDefault="00CB327B">
          <w:pPr>
            <w:pStyle w:val="TOC2"/>
            <w:tabs>
              <w:tab w:val="right" w:leader="dot" w:pos="9016"/>
            </w:tabs>
            <w:rPr>
              <w:rFonts w:eastAsiaTheme="minorEastAsia"/>
              <w:noProof/>
              <w:lang w:eastAsia="zh-CN"/>
            </w:rPr>
          </w:pPr>
          <w:hyperlink w:anchor="_Toc170825670"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_Toc170825670 \h </w:instrText>
            </w:r>
            <w:r w:rsidR="00BC0AB9">
              <w:rPr>
                <w:noProof/>
                <w:webHidden/>
              </w:rPr>
            </w:r>
            <w:r w:rsidR="00BC0AB9">
              <w:rPr>
                <w:noProof/>
                <w:webHidden/>
              </w:rPr>
              <w:fldChar w:fldCharType="separate"/>
            </w:r>
            <w:r w:rsidR="00BC0AB9">
              <w:rPr>
                <w:noProof/>
                <w:webHidden/>
              </w:rPr>
              <w:t>65</w:t>
            </w:r>
            <w:r w:rsidR="00BC0AB9">
              <w:rPr>
                <w:noProof/>
                <w:webHidden/>
              </w:rPr>
              <w:fldChar w:fldCharType="end"/>
            </w:r>
          </w:hyperlink>
        </w:p>
        <w:p w14:paraId="4DFB0B8A" w14:textId="3013AB51" w:rsidR="00BC0AB9" w:rsidRDefault="00CB327B">
          <w:pPr>
            <w:pStyle w:val="TOC1"/>
            <w:rPr>
              <w:rFonts w:eastAsiaTheme="minorEastAsia" w:cstheme="minorBidi"/>
              <w:b w:val="0"/>
              <w:bCs w:val="0"/>
              <w:lang w:eastAsia="zh-CN"/>
            </w:rPr>
          </w:pPr>
          <w:hyperlink w:anchor="_Toc170825671" w:history="1">
            <w:r w:rsidR="00BC0AB9" w:rsidRPr="00680413">
              <w:rPr>
                <w:rStyle w:val="Hyperlink"/>
              </w:rPr>
              <w:t>Chapter Three: Community, Religious, and Business Networks</w:t>
            </w:r>
            <w:r w:rsidR="00BC0AB9">
              <w:rPr>
                <w:webHidden/>
              </w:rPr>
              <w:tab/>
            </w:r>
            <w:r w:rsidR="00BC0AB9">
              <w:rPr>
                <w:webHidden/>
              </w:rPr>
              <w:fldChar w:fldCharType="begin"/>
            </w:r>
            <w:r w:rsidR="00BC0AB9">
              <w:rPr>
                <w:webHidden/>
              </w:rPr>
              <w:instrText xml:space="preserve"> PAGEREF _Toc170825671 \h </w:instrText>
            </w:r>
            <w:r w:rsidR="00BC0AB9">
              <w:rPr>
                <w:webHidden/>
              </w:rPr>
            </w:r>
            <w:r w:rsidR="00BC0AB9">
              <w:rPr>
                <w:webHidden/>
              </w:rPr>
              <w:fldChar w:fldCharType="separate"/>
            </w:r>
            <w:r w:rsidR="00BC0AB9">
              <w:rPr>
                <w:webHidden/>
              </w:rPr>
              <w:t>67</w:t>
            </w:r>
            <w:r w:rsidR="00BC0AB9">
              <w:rPr>
                <w:webHidden/>
              </w:rPr>
              <w:fldChar w:fldCharType="end"/>
            </w:r>
          </w:hyperlink>
        </w:p>
        <w:p w14:paraId="32F69CB4" w14:textId="21E5A0CD" w:rsidR="00BC0AB9" w:rsidRDefault="00CB327B">
          <w:pPr>
            <w:pStyle w:val="TOC2"/>
            <w:tabs>
              <w:tab w:val="right" w:leader="dot" w:pos="9016"/>
            </w:tabs>
            <w:rPr>
              <w:rFonts w:eastAsiaTheme="minorEastAsia"/>
              <w:noProof/>
              <w:lang w:eastAsia="zh-CN"/>
            </w:rPr>
          </w:pPr>
          <w:hyperlink w:anchor="_Toc170825672"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_Toc170825672 \h </w:instrText>
            </w:r>
            <w:r w:rsidR="00BC0AB9">
              <w:rPr>
                <w:noProof/>
                <w:webHidden/>
              </w:rPr>
            </w:r>
            <w:r w:rsidR="00BC0AB9">
              <w:rPr>
                <w:noProof/>
                <w:webHidden/>
              </w:rPr>
              <w:fldChar w:fldCharType="separate"/>
            </w:r>
            <w:r w:rsidR="00BC0AB9">
              <w:rPr>
                <w:noProof/>
                <w:webHidden/>
              </w:rPr>
              <w:t>67</w:t>
            </w:r>
            <w:r w:rsidR="00BC0AB9">
              <w:rPr>
                <w:noProof/>
                <w:webHidden/>
              </w:rPr>
              <w:fldChar w:fldCharType="end"/>
            </w:r>
          </w:hyperlink>
        </w:p>
        <w:p w14:paraId="39E66AA0" w14:textId="60FB9994" w:rsidR="00BC0AB9" w:rsidRDefault="00CB327B">
          <w:pPr>
            <w:pStyle w:val="TOC2"/>
            <w:tabs>
              <w:tab w:val="right" w:leader="dot" w:pos="9016"/>
            </w:tabs>
            <w:rPr>
              <w:rFonts w:eastAsiaTheme="minorEastAsia"/>
              <w:noProof/>
              <w:lang w:eastAsia="zh-CN"/>
            </w:rPr>
          </w:pPr>
          <w:hyperlink w:anchor="_Toc170825673" w:history="1">
            <w:r w:rsidR="00BC0AB9" w:rsidRPr="00680413">
              <w:rPr>
                <w:rStyle w:val="Hyperlink"/>
                <w:rFonts w:cstheme="minorHAnsi"/>
                <w:b/>
                <w:bCs/>
                <w:noProof/>
              </w:rPr>
              <w:t>The Cotton-Spinning Firms were an Integral Part of the Community</w:t>
            </w:r>
            <w:r w:rsidR="00BC0AB9">
              <w:rPr>
                <w:noProof/>
                <w:webHidden/>
              </w:rPr>
              <w:tab/>
            </w:r>
            <w:r w:rsidR="00BC0AB9">
              <w:rPr>
                <w:noProof/>
                <w:webHidden/>
              </w:rPr>
              <w:fldChar w:fldCharType="begin"/>
            </w:r>
            <w:r w:rsidR="00BC0AB9">
              <w:rPr>
                <w:noProof/>
                <w:webHidden/>
              </w:rPr>
              <w:instrText xml:space="preserve"> PAGEREF _Toc170825673 \h </w:instrText>
            </w:r>
            <w:r w:rsidR="00BC0AB9">
              <w:rPr>
                <w:noProof/>
                <w:webHidden/>
              </w:rPr>
            </w:r>
            <w:r w:rsidR="00BC0AB9">
              <w:rPr>
                <w:noProof/>
                <w:webHidden/>
              </w:rPr>
              <w:fldChar w:fldCharType="separate"/>
            </w:r>
            <w:r w:rsidR="00BC0AB9">
              <w:rPr>
                <w:noProof/>
                <w:webHidden/>
              </w:rPr>
              <w:t>68</w:t>
            </w:r>
            <w:r w:rsidR="00BC0AB9">
              <w:rPr>
                <w:noProof/>
                <w:webHidden/>
              </w:rPr>
              <w:fldChar w:fldCharType="end"/>
            </w:r>
          </w:hyperlink>
        </w:p>
        <w:p w14:paraId="57954FAB" w14:textId="10E3306B" w:rsidR="00BC0AB9" w:rsidRDefault="00CB327B">
          <w:pPr>
            <w:pStyle w:val="TOC2"/>
            <w:tabs>
              <w:tab w:val="right" w:leader="dot" w:pos="9016"/>
            </w:tabs>
            <w:rPr>
              <w:rFonts w:eastAsiaTheme="minorEastAsia"/>
              <w:noProof/>
              <w:lang w:eastAsia="zh-CN"/>
            </w:rPr>
          </w:pPr>
          <w:hyperlink w:anchor="_Toc170825674" w:history="1">
            <w:r w:rsidR="00BC0AB9" w:rsidRPr="00680413">
              <w:rPr>
                <w:rStyle w:val="Hyperlink"/>
                <w:rFonts w:cstheme="minorHAnsi"/>
                <w:b/>
                <w:bCs/>
                <w:noProof/>
              </w:rPr>
              <w:t>Religious Networks</w:t>
            </w:r>
            <w:r w:rsidR="00BC0AB9">
              <w:rPr>
                <w:noProof/>
                <w:webHidden/>
              </w:rPr>
              <w:tab/>
            </w:r>
            <w:r w:rsidR="00BC0AB9">
              <w:rPr>
                <w:noProof/>
                <w:webHidden/>
              </w:rPr>
              <w:fldChar w:fldCharType="begin"/>
            </w:r>
            <w:r w:rsidR="00BC0AB9">
              <w:rPr>
                <w:noProof/>
                <w:webHidden/>
              </w:rPr>
              <w:instrText xml:space="preserve"> PAGEREF _Toc170825674 \h </w:instrText>
            </w:r>
            <w:r w:rsidR="00BC0AB9">
              <w:rPr>
                <w:noProof/>
                <w:webHidden/>
              </w:rPr>
            </w:r>
            <w:r w:rsidR="00BC0AB9">
              <w:rPr>
                <w:noProof/>
                <w:webHidden/>
              </w:rPr>
              <w:fldChar w:fldCharType="separate"/>
            </w:r>
            <w:r w:rsidR="00BC0AB9">
              <w:rPr>
                <w:noProof/>
                <w:webHidden/>
              </w:rPr>
              <w:t>74</w:t>
            </w:r>
            <w:r w:rsidR="00BC0AB9">
              <w:rPr>
                <w:noProof/>
                <w:webHidden/>
              </w:rPr>
              <w:fldChar w:fldCharType="end"/>
            </w:r>
          </w:hyperlink>
        </w:p>
        <w:p w14:paraId="161E4145" w14:textId="4438F902" w:rsidR="00BC0AB9" w:rsidRDefault="00CB327B">
          <w:pPr>
            <w:pStyle w:val="TOC2"/>
            <w:tabs>
              <w:tab w:val="right" w:leader="dot" w:pos="9016"/>
            </w:tabs>
            <w:rPr>
              <w:rFonts w:eastAsiaTheme="minorEastAsia"/>
              <w:noProof/>
              <w:lang w:eastAsia="zh-CN"/>
            </w:rPr>
          </w:pPr>
          <w:hyperlink w:anchor="_Toc170825675" w:history="1">
            <w:r w:rsidR="00BC0AB9" w:rsidRPr="00680413">
              <w:rPr>
                <w:rStyle w:val="Hyperlink"/>
                <w:rFonts w:cstheme="minorHAnsi"/>
                <w:b/>
                <w:bCs/>
                <w:noProof/>
              </w:rPr>
              <w:t>Political and Community Networks</w:t>
            </w:r>
            <w:r w:rsidR="00BC0AB9">
              <w:rPr>
                <w:noProof/>
                <w:webHidden/>
              </w:rPr>
              <w:tab/>
            </w:r>
            <w:r w:rsidR="00BC0AB9">
              <w:rPr>
                <w:noProof/>
                <w:webHidden/>
              </w:rPr>
              <w:fldChar w:fldCharType="begin"/>
            </w:r>
            <w:r w:rsidR="00BC0AB9">
              <w:rPr>
                <w:noProof/>
                <w:webHidden/>
              </w:rPr>
              <w:instrText xml:space="preserve"> PAGEREF _Toc170825675 \h </w:instrText>
            </w:r>
            <w:r w:rsidR="00BC0AB9">
              <w:rPr>
                <w:noProof/>
                <w:webHidden/>
              </w:rPr>
            </w:r>
            <w:r w:rsidR="00BC0AB9">
              <w:rPr>
                <w:noProof/>
                <w:webHidden/>
              </w:rPr>
              <w:fldChar w:fldCharType="separate"/>
            </w:r>
            <w:r w:rsidR="00BC0AB9">
              <w:rPr>
                <w:noProof/>
                <w:webHidden/>
              </w:rPr>
              <w:t>77</w:t>
            </w:r>
            <w:r w:rsidR="00BC0AB9">
              <w:rPr>
                <w:noProof/>
                <w:webHidden/>
              </w:rPr>
              <w:fldChar w:fldCharType="end"/>
            </w:r>
          </w:hyperlink>
        </w:p>
        <w:p w14:paraId="21BAA7FE" w14:textId="11EF035E" w:rsidR="00BC0AB9" w:rsidRDefault="00CB327B">
          <w:pPr>
            <w:pStyle w:val="TOC2"/>
            <w:tabs>
              <w:tab w:val="right" w:leader="dot" w:pos="9016"/>
            </w:tabs>
            <w:rPr>
              <w:rFonts w:eastAsiaTheme="minorEastAsia"/>
              <w:noProof/>
              <w:lang w:eastAsia="zh-CN"/>
            </w:rPr>
          </w:pPr>
          <w:hyperlink w:anchor="_Toc170825676" w:history="1">
            <w:r w:rsidR="00BC0AB9" w:rsidRPr="00680413">
              <w:rPr>
                <w:rStyle w:val="Hyperlink"/>
                <w:rFonts w:cstheme="minorHAnsi"/>
                <w:b/>
                <w:bCs/>
                <w:noProof/>
              </w:rPr>
              <w:t>Trust and Reputation in Community Associations</w:t>
            </w:r>
            <w:r w:rsidR="00BC0AB9">
              <w:rPr>
                <w:noProof/>
                <w:webHidden/>
              </w:rPr>
              <w:tab/>
            </w:r>
            <w:r w:rsidR="00BC0AB9">
              <w:rPr>
                <w:noProof/>
                <w:webHidden/>
              </w:rPr>
              <w:fldChar w:fldCharType="begin"/>
            </w:r>
            <w:r w:rsidR="00BC0AB9">
              <w:rPr>
                <w:noProof/>
                <w:webHidden/>
              </w:rPr>
              <w:instrText xml:space="preserve"> PAGEREF _Toc170825676 \h </w:instrText>
            </w:r>
            <w:r w:rsidR="00BC0AB9">
              <w:rPr>
                <w:noProof/>
                <w:webHidden/>
              </w:rPr>
            </w:r>
            <w:r w:rsidR="00BC0AB9">
              <w:rPr>
                <w:noProof/>
                <w:webHidden/>
              </w:rPr>
              <w:fldChar w:fldCharType="separate"/>
            </w:r>
            <w:r w:rsidR="00BC0AB9">
              <w:rPr>
                <w:noProof/>
                <w:webHidden/>
              </w:rPr>
              <w:t>79</w:t>
            </w:r>
            <w:r w:rsidR="00BC0AB9">
              <w:rPr>
                <w:noProof/>
                <w:webHidden/>
              </w:rPr>
              <w:fldChar w:fldCharType="end"/>
            </w:r>
          </w:hyperlink>
        </w:p>
        <w:p w14:paraId="10CB9065" w14:textId="44DC44A9" w:rsidR="00BC0AB9" w:rsidRDefault="00CB327B">
          <w:pPr>
            <w:pStyle w:val="TOC2"/>
            <w:tabs>
              <w:tab w:val="right" w:leader="dot" w:pos="9016"/>
            </w:tabs>
            <w:rPr>
              <w:rFonts w:eastAsiaTheme="minorEastAsia"/>
              <w:noProof/>
              <w:lang w:eastAsia="zh-CN"/>
            </w:rPr>
          </w:pPr>
          <w:hyperlink w:anchor="_Toc170825677" w:history="1">
            <w:r w:rsidR="00BC0AB9" w:rsidRPr="00680413">
              <w:rPr>
                <w:rStyle w:val="Hyperlink"/>
                <w:rFonts w:cstheme="minorHAnsi"/>
                <w:b/>
                <w:bCs/>
                <w:noProof/>
              </w:rPr>
              <w:t>Abolitionism, and the Cotton Manufacturers</w:t>
            </w:r>
            <w:r w:rsidR="00BC0AB9">
              <w:rPr>
                <w:noProof/>
                <w:webHidden/>
              </w:rPr>
              <w:tab/>
            </w:r>
            <w:r w:rsidR="00BC0AB9">
              <w:rPr>
                <w:noProof/>
                <w:webHidden/>
              </w:rPr>
              <w:fldChar w:fldCharType="begin"/>
            </w:r>
            <w:r w:rsidR="00BC0AB9">
              <w:rPr>
                <w:noProof/>
                <w:webHidden/>
              </w:rPr>
              <w:instrText xml:space="preserve"> PAGEREF _Toc170825677 \h </w:instrText>
            </w:r>
            <w:r w:rsidR="00BC0AB9">
              <w:rPr>
                <w:noProof/>
                <w:webHidden/>
              </w:rPr>
            </w:r>
            <w:r w:rsidR="00BC0AB9">
              <w:rPr>
                <w:noProof/>
                <w:webHidden/>
              </w:rPr>
              <w:fldChar w:fldCharType="separate"/>
            </w:r>
            <w:r w:rsidR="00BC0AB9">
              <w:rPr>
                <w:noProof/>
                <w:webHidden/>
              </w:rPr>
              <w:t>81</w:t>
            </w:r>
            <w:r w:rsidR="00BC0AB9">
              <w:rPr>
                <w:noProof/>
                <w:webHidden/>
              </w:rPr>
              <w:fldChar w:fldCharType="end"/>
            </w:r>
          </w:hyperlink>
        </w:p>
        <w:p w14:paraId="6C6F335A" w14:textId="41B4EEB6" w:rsidR="00BC0AB9" w:rsidRDefault="00CB327B">
          <w:pPr>
            <w:pStyle w:val="TOC2"/>
            <w:tabs>
              <w:tab w:val="right" w:leader="dot" w:pos="9016"/>
            </w:tabs>
            <w:rPr>
              <w:rFonts w:eastAsiaTheme="minorEastAsia"/>
              <w:noProof/>
              <w:lang w:eastAsia="zh-CN"/>
            </w:rPr>
          </w:pPr>
          <w:hyperlink w:anchor="_Toc170825678"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_Toc170825678 \h </w:instrText>
            </w:r>
            <w:r w:rsidR="00BC0AB9">
              <w:rPr>
                <w:noProof/>
                <w:webHidden/>
              </w:rPr>
            </w:r>
            <w:r w:rsidR="00BC0AB9">
              <w:rPr>
                <w:noProof/>
                <w:webHidden/>
              </w:rPr>
              <w:fldChar w:fldCharType="separate"/>
            </w:r>
            <w:r w:rsidR="00BC0AB9">
              <w:rPr>
                <w:noProof/>
                <w:webHidden/>
              </w:rPr>
              <w:t>83</w:t>
            </w:r>
            <w:r w:rsidR="00BC0AB9">
              <w:rPr>
                <w:noProof/>
                <w:webHidden/>
              </w:rPr>
              <w:fldChar w:fldCharType="end"/>
            </w:r>
          </w:hyperlink>
        </w:p>
        <w:p w14:paraId="0111FA89" w14:textId="29C7D2DB" w:rsidR="00BC0AB9" w:rsidRDefault="00CB327B">
          <w:pPr>
            <w:pStyle w:val="TOC1"/>
            <w:rPr>
              <w:rFonts w:eastAsiaTheme="minorEastAsia" w:cstheme="minorBidi"/>
              <w:b w:val="0"/>
              <w:bCs w:val="0"/>
              <w:lang w:eastAsia="zh-CN"/>
            </w:rPr>
          </w:pPr>
          <w:hyperlink w:anchor="_Toc170825679" w:history="1">
            <w:r w:rsidR="00BC0AB9" w:rsidRPr="00680413">
              <w:rPr>
                <w:rStyle w:val="Hyperlink"/>
              </w:rPr>
              <w:t>Part Two: Towards Frayed Edges: Network Management, Trust, Mistrust and Distrust</w:t>
            </w:r>
            <w:r w:rsidR="00BC0AB9">
              <w:rPr>
                <w:webHidden/>
              </w:rPr>
              <w:tab/>
            </w:r>
            <w:r w:rsidR="00BC0AB9">
              <w:rPr>
                <w:webHidden/>
              </w:rPr>
              <w:fldChar w:fldCharType="begin"/>
            </w:r>
            <w:r w:rsidR="00BC0AB9">
              <w:rPr>
                <w:webHidden/>
              </w:rPr>
              <w:instrText xml:space="preserve"> PAGEREF _Toc170825679 \h </w:instrText>
            </w:r>
            <w:r w:rsidR="00BC0AB9">
              <w:rPr>
                <w:webHidden/>
              </w:rPr>
            </w:r>
            <w:r w:rsidR="00BC0AB9">
              <w:rPr>
                <w:webHidden/>
              </w:rPr>
              <w:fldChar w:fldCharType="separate"/>
            </w:r>
            <w:r w:rsidR="00BC0AB9">
              <w:rPr>
                <w:webHidden/>
              </w:rPr>
              <w:t>85</w:t>
            </w:r>
            <w:r w:rsidR="00BC0AB9">
              <w:rPr>
                <w:webHidden/>
              </w:rPr>
              <w:fldChar w:fldCharType="end"/>
            </w:r>
          </w:hyperlink>
        </w:p>
        <w:p w14:paraId="29C5108B" w14:textId="6242411A" w:rsidR="00BC0AB9" w:rsidRDefault="00CB327B">
          <w:pPr>
            <w:pStyle w:val="TOC1"/>
            <w:rPr>
              <w:rFonts w:eastAsiaTheme="minorEastAsia" w:cstheme="minorBidi"/>
              <w:b w:val="0"/>
              <w:bCs w:val="0"/>
              <w:lang w:eastAsia="zh-CN"/>
            </w:rPr>
          </w:pPr>
          <w:hyperlink w:anchor="_Toc170825680" w:history="1">
            <w:r w:rsidR="00BC0AB9" w:rsidRPr="00680413">
              <w:rPr>
                <w:rStyle w:val="Hyperlink"/>
              </w:rPr>
              <w:t>Chapter Four: Building the Trusted Business Network</w:t>
            </w:r>
            <w:r w:rsidR="00BC0AB9">
              <w:rPr>
                <w:webHidden/>
              </w:rPr>
              <w:tab/>
            </w:r>
            <w:r w:rsidR="00BC0AB9">
              <w:rPr>
                <w:webHidden/>
              </w:rPr>
              <w:fldChar w:fldCharType="begin"/>
            </w:r>
            <w:r w:rsidR="00BC0AB9">
              <w:rPr>
                <w:webHidden/>
              </w:rPr>
              <w:instrText xml:space="preserve"> PAGEREF _Toc170825680 \h </w:instrText>
            </w:r>
            <w:r w:rsidR="00BC0AB9">
              <w:rPr>
                <w:webHidden/>
              </w:rPr>
            </w:r>
            <w:r w:rsidR="00BC0AB9">
              <w:rPr>
                <w:webHidden/>
              </w:rPr>
              <w:fldChar w:fldCharType="separate"/>
            </w:r>
            <w:r w:rsidR="00BC0AB9">
              <w:rPr>
                <w:webHidden/>
              </w:rPr>
              <w:t>86</w:t>
            </w:r>
            <w:r w:rsidR="00BC0AB9">
              <w:rPr>
                <w:webHidden/>
              </w:rPr>
              <w:fldChar w:fldCharType="end"/>
            </w:r>
          </w:hyperlink>
        </w:p>
        <w:p w14:paraId="081875E0" w14:textId="55FD3761" w:rsidR="00BC0AB9" w:rsidRDefault="00CB327B">
          <w:pPr>
            <w:pStyle w:val="TOC2"/>
            <w:tabs>
              <w:tab w:val="right" w:leader="dot" w:pos="9016"/>
            </w:tabs>
            <w:rPr>
              <w:rFonts w:eastAsiaTheme="minorEastAsia"/>
              <w:noProof/>
              <w:lang w:eastAsia="zh-CN"/>
            </w:rPr>
          </w:pPr>
          <w:hyperlink w:anchor="_Toc170825681"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_Toc170825681 \h </w:instrText>
            </w:r>
            <w:r w:rsidR="00BC0AB9">
              <w:rPr>
                <w:noProof/>
                <w:webHidden/>
              </w:rPr>
            </w:r>
            <w:r w:rsidR="00BC0AB9">
              <w:rPr>
                <w:noProof/>
                <w:webHidden/>
              </w:rPr>
              <w:fldChar w:fldCharType="separate"/>
            </w:r>
            <w:r w:rsidR="00BC0AB9">
              <w:rPr>
                <w:noProof/>
                <w:webHidden/>
              </w:rPr>
              <w:t>86</w:t>
            </w:r>
            <w:r w:rsidR="00BC0AB9">
              <w:rPr>
                <w:noProof/>
                <w:webHidden/>
              </w:rPr>
              <w:fldChar w:fldCharType="end"/>
            </w:r>
          </w:hyperlink>
        </w:p>
        <w:p w14:paraId="2D6EB508" w14:textId="78C469B4" w:rsidR="00BC0AB9" w:rsidRDefault="00CB327B">
          <w:pPr>
            <w:pStyle w:val="TOC2"/>
            <w:tabs>
              <w:tab w:val="right" w:leader="dot" w:pos="9016"/>
            </w:tabs>
            <w:rPr>
              <w:rFonts w:eastAsiaTheme="minorEastAsia"/>
              <w:noProof/>
              <w:lang w:eastAsia="zh-CN"/>
            </w:rPr>
          </w:pPr>
          <w:hyperlink w:anchor="_Toc170825682" w:history="1">
            <w:r w:rsidR="00BC0AB9" w:rsidRPr="00680413">
              <w:rPr>
                <w:rStyle w:val="Hyperlink"/>
                <w:rFonts w:cstheme="minorHAnsi"/>
                <w:b/>
                <w:bCs/>
                <w:noProof/>
              </w:rPr>
              <w:t>Building the Trusted Business Networks</w:t>
            </w:r>
            <w:r w:rsidR="00BC0AB9">
              <w:rPr>
                <w:noProof/>
                <w:webHidden/>
              </w:rPr>
              <w:tab/>
            </w:r>
            <w:r w:rsidR="00BC0AB9">
              <w:rPr>
                <w:noProof/>
                <w:webHidden/>
              </w:rPr>
              <w:fldChar w:fldCharType="begin"/>
            </w:r>
            <w:r w:rsidR="00BC0AB9">
              <w:rPr>
                <w:noProof/>
                <w:webHidden/>
              </w:rPr>
              <w:instrText xml:space="preserve"> PAGEREF _Toc170825682 \h </w:instrText>
            </w:r>
            <w:r w:rsidR="00BC0AB9">
              <w:rPr>
                <w:noProof/>
                <w:webHidden/>
              </w:rPr>
            </w:r>
            <w:r w:rsidR="00BC0AB9">
              <w:rPr>
                <w:noProof/>
                <w:webHidden/>
              </w:rPr>
              <w:fldChar w:fldCharType="separate"/>
            </w:r>
            <w:r w:rsidR="00BC0AB9">
              <w:rPr>
                <w:noProof/>
                <w:webHidden/>
              </w:rPr>
              <w:t>86</w:t>
            </w:r>
            <w:r w:rsidR="00BC0AB9">
              <w:rPr>
                <w:noProof/>
                <w:webHidden/>
              </w:rPr>
              <w:fldChar w:fldCharType="end"/>
            </w:r>
          </w:hyperlink>
        </w:p>
        <w:p w14:paraId="0B23BAE8" w14:textId="2B07030C" w:rsidR="00BC0AB9" w:rsidRDefault="00CB327B">
          <w:pPr>
            <w:pStyle w:val="TOC2"/>
            <w:tabs>
              <w:tab w:val="right" w:leader="dot" w:pos="9016"/>
            </w:tabs>
            <w:rPr>
              <w:rFonts w:eastAsiaTheme="minorEastAsia"/>
              <w:noProof/>
              <w:lang w:eastAsia="zh-CN"/>
            </w:rPr>
          </w:pPr>
          <w:hyperlink w:anchor="_Toc170825683" w:history="1">
            <w:r w:rsidR="00BC0AB9" w:rsidRPr="00680413">
              <w:rPr>
                <w:rStyle w:val="Hyperlink"/>
                <w:rFonts w:cstheme="minorHAnsi"/>
                <w:b/>
                <w:bCs/>
                <w:noProof/>
              </w:rPr>
              <w:t>The Maintenance of the Business Networks</w:t>
            </w:r>
            <w:r w:rsidR="00BC0AB9">
              <w:rPr>
                <w:noProof/>
                <w:webHidden/>
              </w:rPr>
              <w:tab/>
            </w:r>
            <w:r w:rsidR="00BC0AB9">
              <w:rPr>
                <w:noProof/>
                <w:webHidden/>
              </w:rPr>
              <w:fldChar w:fldCharType="begin"/>
            </w:r>
            <w:r w:rsidR="00BC0AB9">
              <w:rPr>
                <w:noProof/>
                <w:webHidden/>
              </w:rPr>
              <w:instrText xml:space="preserve"> PAGEREF _Toc170825683 \h </w:instrText>
            </w:r>
            <w:r w:rsidR="00BC0AB9">
              <w:rPr>
                <w:noProof/>
                <w:webHidden/>
              </w:rPr>
            </w:r>
            <w:r w:rsidR="00BC0AB9">
              <w:rPr>
                <w:noProof/>
                <w:webHidden/>
              </w:rPr>
              <w:fldChar w:fldCharType="separate"/>
            </w:r>
            <w:r w:rsidR="00BC0AB9">
              <w:rPr>
                <w:noProof/>
                <w:webHidden/>
              </w:rPr>
              <w:t>92</w:t>
            </w:r>
            <w:r w:rsidR="00BC0AB9">
              <w:rPr>
                <w:noProof/>
                <w:webHidden/>
              </w:rPr>
              <w:fldChar w:fldCharType="end"/>
            </w:r>
          </w:hyperlink>
        </w:p>
        <w:p w14:paraId="74C5FA95" w14:textId="5A5A2C08" w:rsidR="00BC0AB9" w:rsidRDefault="00CB327B">
          <w:pPr>
            <w:pStyle w:val="TOC2"/>
            <w:tabs>
              <w:tab w:val="right" w:leader="dot" w:pos="9016"/>
            </w:tabs>
            <w:rPr>
              <w:rFonts w:eastAsiaTheme="minorEastAsia"/>
              <w:noProof/>
              <w:lang w:eastAsia="zh-CN"/>
            </w:rPr>
          </w:pPr>
          <w:hyperlink w:anchor="_Toc170825684" w:history="1">
            <w:r w:rsidR="00BC0AB9" w:rsidRPr="00680413">
              <w:rPr>
                <w:rStyle w:val="Hyperlink"/>
                <w:rFonts w:cstheme="minorHAnsi"/>
                <w:b/>
                <w:bCs/>
                <w:noProof/>
              </w:rPr>
              <w:t>The Role of Trust and Reputation in the Knowledge Networks</w:t>
            </w:r>
            <w:r w:rsidR="00BC0AB9">
              <w:rPr>
                <w:noProof/>
                <w:webHidden/>
              </w:rPr>
              <w:tab/>
            </w:r>
            <w:r w:rsidR="00BC0AB9">
              <w:rPr>
                <w:noProof/>
                <w:webHidden/>
              </w:rPr>
              <w:fldChar w:fldCharType="begin"/>
            </w:r>
            <w:r w:rsidR="00BC0AB9">
              <w:rPr>
                <w:noProof/>
                <w:webHidden/>
              </w:rPr>
              <w:instrText xml:space="preserve"> PAGEREF _Toc170825684 \h </w:instrText>
            </w:r>
            <w:r w:rsidR="00BC0AB9">
              <w:rPr>
                <w:noProof/>
                <w:webHidden/>
              </w:rPr>
            </w:r>
            <w:r w:rsidR="00BC0AB9">
              <w:rPr>
                <w:noProof/>
                <w:webHidden/>
              </w:rPr>
              <w:fldChar w:fldCharType="separate"/>
            </w:r>
            <w:r w:rsidR="00BC0AB9">
              <w:rPr>
                <w:noProof/>
                <w:webHidden/>
              </w:rPr>
              <w:t>97</w:t>
            </w:r>
            <w:r w:rsidR="00BC0AB9">
              <w:rPr>
                <w:noProof/>
                <w:webHidden/>
              </w:rPr>
              <w:fldChar w:fldCharType="end"/>
            </w:r>
          </w:hyperlink>
        </w:p>
        <w:p w14:paraId="6A2B1356" w14:textId="67B1C06C" w:rsidR="00BC0AB9" w:rsidRDefault="00CB327B">
          <w:pPr>
            <w:pStyle w:val="TOC2"/>
            <w:tabs>
              <w:tab w:val="right" w:leader="dot" w:pos="9016"/>
            </w:tabs>
            <w:rPr>
              <w:rFonts w:eastAsiaTheme="minorEastAsia"/>
              <w:noProof/>
              <w:lang w:eastAsia="zh-CN"/>
            </w:rPr>
          </w:pPr>
          <w:hyperlink w:anchor="_Toc170825685" w:history="1">
            <w:r w:rsidR="00BC0AB9" w:rsidRPr="00680413">
              <w:rPr>
                <w:rStyle w:val="Hyperlink"/>
                <w:rFonts w:cstheme="minorHAnsi"/>
                <w:b/>
                <w:bCs/>
                <w:noProof/>
              </w:rPr>
              <w:t>The Role of Trust and Reputation in the Capital and Credit Networks</w:t>
            </w:r>
            <w:r w:rsidR="00BC0AB9">
              <w:rPr>
                <w:noProof/>
                <w:webHidden/>
              </w:rPr>
              <w:tab/>
            </w:r>
            <w:r w:rsidR="00BC0AB9">
              <w:rPr>
                <w:noProof/>
                <w:webHidden/>
              </w:rPr>
              <w:fldChar w:fldCharType="begin"/>
            </w:r>
            <w:r w:rsidR="00BC0AB9">
              <w:rPr>
                <w:noProof/>
                <w:webHidden/>
              </w:rPr>
              <w:instrText xml:space="preserve"> PAGEREF _Toc170825685 \h </w:instrText>
            </w:r>
            <w:r w:rsidR="00BC0AB9">
              <w:rPr>
                <w:noProof/>
                <w:webHidden/>
              </w:rPr>
            </w:r>
            <w:r w:rsidR="00BC0AB9">
              <w:rPr>
                <w:noProof/>
                <w:webHidden/>
              </w:rPr>
              <w:fldChar w:fldCharType="separate"/>
            </w:r>
            <w:r w:rsidR="00BC0AB9">
              <w:rPr>
                <w:noProof/>
                <w:webHidden/>
              </w:rPr>
              <w:t>99</w:t>
            </w:r>
            <w:r w:rsidR="00BC0AB9">
              <w:rPr>
                <w:noProof/>
                <w:webHidden/>
              </w:rPr>
              <w:fldChar w:fldCharType="end"/>
            </w:r>
          </w:hyperlink>
        </w:p>
        <w:p w14:paraId="1191AD60" w14:textId="366D2BA3" w:rsidR="00BC0AB9" w:rsidRDefault="00CB327B">
          <w:pPr>
            <w:pStyle w:val="TOC2"/>
            <w:tabs>
              <w:tab w:val="right" w:leader="dot" w:pos="9016"/>
            </w:tabs>
            <w:rPr>
              <w:rFonts w:eastAsiaTheme="minorEastAsia"/>
              <w:noProof/>
              <w:lang w:eastAsia="zh-CN"/>
            </w:rPr>
          </w:pPr>
          <w:hyperlink w:anchor="_Toc170825686" w:history="1">
            <w:r w:rsidR="00BC0AB9" w:rsidRPr="00680413">
              <w:rPr>
                <w:rStyle w:val="Hyperlink"/>
                <w:rFonts w:cstheme="minorHAnsi"/>
                <w:b/>
                <w:bCs/>
                <w:noProof/>
              </w:rPr>
              <w:t>Trust, Reputation, and Credit Networks</w:t>
            </w:r>
            <w:r w:rsidR="00BC0AB9">
              <w:rPr>
                <w:noProof/>
                <w:webHidden/>
              </w:rPr>
              <w:tab/>
            </w:r>
            <w:r w:rsidR="00BC0AB9">
              <w:rPr>
                <w:noProof/>
                <w:webHidden/>
              </w:rPr>
              <w:fldChar w:fldCharType="begin"/>
            </w:r>
            <w:r w:rsidR="00BC0AB9">
              <w:rPr>
                <w:noProof/>
                <w:webHidden/>
              </w:rPr>
              <w:instrText xml:space="preserve"> PAGEREF _Toc170825686 \h </w:instrText>
            </w:r>
            <w:r w:rsidR="00BC0AB9">
              <w:rPr>
                <w:noProof/>
                <w:webHidden/>
              </w:rPr>
            </w:r>
            <w:r w:rsidR="00BC0AB9">
              <w:rPr>
                <w:noProof/>
                <w:webHidden/>
              </w:rPr>
              <w:fldChar w:fldCharType="separate"/>
            </w:r>
            <w:r w:rsidR="00BC0AB9">
              <w:rPr>
                <w:noProof/>
                <w:webHidden/>
              </w:rPr>
              <w:t>102</w:t>
            </w:r>
            <w:r w:rsidR="00BC0AB9">
              <w:rPr>
                <w:noProof/>
                <w:webHidden/>
              </w:rPr>
              <w:fldChar w:fldCharType="end"/>
            </w:r>
          </w:hyperlink>
        </w:p>
        <w:p w14:paraId="1CB4FB44" w14:textId="535AFE0A" w:rsidR="00BC0AB9" w:rsidRDefault="00CB327B">
          <w:pPr>
            <w:pStyle w:val="TOC2"/>
            <w:tabs>
              <w:tab w:val="right" w:leader="dot" w:pos="9016"/>
            </w:tabs>
            <w:rPr>
              <w:rFonts w:eastAsiaTheme="minorEastAsia"/>
              <w:noProof/>
              <w:lang w:eastAsia="zh-CN"/>
            </w:rPr>
          </w:pPr>
          <w:hyperlink w:anchor="_Toc170825687"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_Toc170825687 \h </w:instrText>
            </w:r>
            <w:r w:rsidR="00BC0AB9">
              <w:rPr>
                <w:noProof/>
                <w:webHidden/>
              </w:rPr>
            </w:r>
            <w:r w:rsidR="00BC0AB9">
              <w:rPr>
                <w:noProof/>
                <w:webHidden/>
              </w:rPr>
              <w:fldChar w:fldCharType="separate"/>
            </w:r>
            <w:r w:rsidR="00BC0AB9">
              <w:rPr>
                <w:noProof/>
                <w:webHidden/>
              </w:rPr>
              <w:t>104</w:t>
            </w:r>
            <w:r w:rsidR="00BC0AB9">
              <w:rPr>
                <w:noProof/>
                <w:webHidden/>
              </w:rPr>
              <w:fldChar w:fldCharType="end"/>
            </w:r>
          </w:hyperlink>
        </w:p>
        <w:p w14:paraId="66182CCD" w14:textId="79255DB0" w:rsidR="00BC0AB9" w:rsidRDefault="00CB327B">
          <w:pPr>
            <w:pStyle w:val="TOC1"/>
            <w:rPr>
              <w:rFonts w:eastAsiaTheme="minorEastAsia" w:cstheme="minorBidi"/>
              <w:b w:val="0"/>
              <w:bCs w:val="0"/>
              <w:lang w:eastAsia="zh-CN"/>
            </w:rPr>
          </w:pPr>
          <w:hyperlink w:anchor="_Toc170825688" w:history="1">
            <w:r w:rsidR="00BC0AB9" w:rsidRPr="00680413">
              <w:rPr>
                <w:rStyle w:val="Hyperlink"/>
              </w:rPr>
              <w:t>Chapter Five: Managing Risk: The Untrustworthy Connection and Damage Limitation</w:t>
            </w:r>
            <w:r w:rsidR="00BC0AB9">
              <w:rPr>
                <w:webHidden/>
              </w:rPr>
              <w:tab/>
            </w:r>
            <w:r w:rsidR="00BC0AB9">
              <w:rPr>
                <w:webHidden/>
              </w:rPr>
              <w:fldChar w:fldCharType="begin"/>
            </w:r>
            <w:r w:rsidR="00BC0AB9">
              <w:rPr>
                <w:webHidden/>
              </w:rPr>
              <w:instrText xml:space="preserve"> PAGEREF _Toc170825688 \h </w:instrText>
            </w:r>
            <w:r w:rsidR="00BC0AB9">
              <w:rPr>
                <w:webHidden/>
              </w:rPr>
            </w:r>
            <w:r w:rsidR="00BC0AB9">
              <w:rPr>
                <w:webHidden/>
              </w:rPr>
              <w:fldChar w:fldCharType="separate"/>
            </w:r>
            <w:r w:rsidR="00BC0AB9">
              <w:rPr>
                <w:webHidden/>
              </w:rPr>
              <w:t>105</w:t>
            </w:r>
            <w:r w:rsidR="00BC0AB9">
              <w:rPr>
                <w:webHidden/>
              </w:rPr>
              <w:fldChar w:fldCharType="end"/>
            </w:r>
          </w:hyperlink>
        </w:p>
        <w:p w14:paraId="487BB127" w14:textId="2CD7AE28" w:rsidR="00BC0AB9" w:rsidRDefault="00CB327B">
          <w:pPr>
            <w:pStyle w:val="TOC2"/>
            <w:tabs>
              <w:tab w:val="right" w:leader="dot" w:pos="9016"/>
            </w:tabs>
            <w:rPr>
              <w:rFonts w:eastAsiaTheme="minorEastAsia"/>
              <w:noProof/>
              <w:lang w:eastAsia="zh-CN"/>
            </w:rPr>
          </w:pPr>
          <w:hyperlink w:anchor="_Toc170825689"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_Toc170825689 \h </w:instrText>
            </w:r>
            <w:r w:rsidR="00BC0AB9">
              <w:rPr>
                <w:noProof/>
                <w:webHidden/>
              </w:rPr>
            </w:r>
            <w:r w:rsidR="00BC0AB9">
              <w:rPr>
                <w:noProof/>
                <w:webHidden/>
              </w:rPr>
              <w:fldChar w:fldCharType="separate"/>
            </w:r>
            <w:r w:rsidR="00BC0AB9">
              <w:rPr>
                <w:noProof/>
                <w:webHidden/>
              </w:rPr>
              <w:t>105</w:t>
            </w:r>
            <w:r w:rsidR="00BC0AB9">
              <w:rPr>
                <w:noProof/>
                <w:webHidden/>
              </w:rPr>
              <w:fldChar w:fldCharType="end"/>
            </w:r>
          </w:hyperlink>
        </w:p>
        <w:p w14:paraId="4C480899" w14:textId="5B201B7A" w:rsidR="00BC0AB9" w:rsidRDefault="00CB327B">
          <w:pPr>
            <w:pStyle w:val="TOC2"/>
            <w:tabs>
              <w:tab w:val="right" w:leader="dot" w:pos="9016"/>
            </w:tabs>
            <w:rPr>
              <w:rFonts w:eastAsiaTheme="minorEastAsia"/>
              <w:noProof/>
              <w:lang w:eastAsia="zh-CN"/>
            </w:rPr>
          </w:pPr>
          <w:hyperlink w:anchor="_Toc170825690" w:history="1">
            <w:r w:rsidR="00BC0AB9" w:rsidRPr="00680413">
              <w:rPr>
                <w:rStyle w:val="Hyperlink"/>
                <w:rFonts w:cstheme="minorHAnsi"/>
                <w:b/>
                <w:bCs/>
                <w:noProof/>
              </w:rPr>
              <w:t>Managing the Untrustworthy Network Members: Moral Hazards</w:t>
            </w:r>
            <w:r w:rsidR="00BC0AB9">
              <w:rPr>
                <w:noProof/>
                <w:webHidden/>
              </w:rPr>
              <w:tab/>
            </w:r>
            <w:r w:rsidR="00BC0AB9">
              <w:rPr>
                <w:noProof/>
                <w:webHidden/>
              </w:rPr>
              <w:fldChar w:fldCharType="begin"/>
            </w:r>
            <w:r w:rsidR="00BC0AB9">
              <w:rPr>
                <w:noProof/>
                <w:webHidden/>
              </w:rPr>
              <w:instrText xml:space="preserve"> PAGEREF _Toc170825690 \h </w:instrText>
            </w:r>
            <w:r w:rsidR="00BC0AB9">
              <w:rPr>
                <w:noProof/>
                <w:webHidden/>
              </w:rPr>
            </w:r>
            <w:r w:rsidR="00BC0AB9">
              <w:rPr>
                <w:noProof/>
                <w:webHidden/>
              </w:rPr>
              <w:fldChar w:fldCharType="separate"/>
            </w:r>
            <w:r w:rsidR="00BC0AB9">
              <w:rPr>
                <w:noProof/>
                <w:webHidden/>
              </w:rPr>
              <w:t>106</w:t>
            </w:r>
            <w:r w:rsidR="00BC0AB9">
              <w:rPr>
                <w:noProof/>
                <w:webHidden/>
              </w:rPr>
              <w:fldChar w:fldCharType="end"/>
            </w:r>
          </w:hyperlink>
        </w:p>
        <w:p w14:paraId="027EB0D9" w14:textId="4B380F39" w:rsidR="00BC0AB9" w:rsidRDefault="00CB327B">
          <w:pPr>
            <w:pStyle w:val="TOC2"/>
            <w:tabs>
              <w:tab w:val="right" w:leader="dot" w:pos="9016"/>
            </w:tabs>
            <w:rPr>
              <w:rFonts w:eastAsiaTheme="minorEastAsia"/>
              <w:noProof/>
              <w:lang w:eastAsia="zh-CN"/>
            </w:rPr>
          </w:pPr>
          <w:hyperlink w:anchor="_Toc170825691" w:history="1">
            <w:r w:rsidR="00BC0AB9" w:rsidRPr="00680413">
              <w:rPr>
                <w:rStyle w:val="Hyperlink"/>
                <w:rFonts w:cstheme="minorHAnsi"/>
                <w:b/>
                <w:bCs/>
                <w:noProof/>
              </w:rPr>
              <w:t>Dispute Resolution</w:t>
            </w:r>
            <w:r w:rsidR="00BC0AB9">
              <w:rPr>
                <w:noProof/>
                <w:webHidden/>
              </w:rPr>
              <w:tab/>
            </w:r>
            <w:r w:rsidR="00BC0AB9">
              <w:rPr>
                <w:noProof/>
                <w:webHidden/>
              </w:rPr>
              <w:fldChar w:fldCharType="begin"/>
            </w:r>
            <w:r w:rsidR="00BC0AB9">
              <w:rPr>
                <w:noProof/>
                <w:webHidden/>
              </w:rPr>
              <w:instrText xml:space="preserve"> PAGEREF _Toc170825691 \h </w:instrText>
            </w:r>
            <w:r w:rsidR="00BC0AB9">
              <w:rPr>
                <w:noProof/>
                <w:webHidden/>
              </w:rPr>
            </w:r>
            <w:r w:rsidR="00BC0AB9">
              <w:rPr>
                <w:noProof/>
                <w:webHidden/>
              </w:rPr>
              <w:fldChar w:fldCharType="separate"/>
            </w:r>
            <w:r w:rsidR="00BC0AB9">
              <w:rPr>
                <w:noProof/>
                <w:webHidden/>
              </w:rPr>
              <w:t>111</w:t>
            </w:r>
            <w:r w:rsidR="00BC0AB9">
              <w:rPr>
                <w:noProof/>
                <w:webHidden/>
              </w:rPr>
              <w:fldChar w:fldCharType="end"/>
            </w:r>
          </w:hyperlink>
        </w:p>
        <w:p w14:paraId="51533173" w14:textId="5557464E" w:rsidR="00BC0AB9" w:rsidRDefault="00CB327B">
          <w:pPr>
            <w:pStyle w:val="TOC2"/>
            <w:tabs>
              <w:tab w:val="right" w:leader="dot" w:pos="9016"/>
            </w:tabs>
            <w:rPr>
              <w:rFonts w:eastAsiaTheme="minorEastAsia"/>
              <w:noProof/>
              <w:lang w:eastAsia="zh-CN"/>
            </w:rPr>
          </w:pPr>
          <w:hyperlink w:anchor="_Toc170825692" w:history="1">
            <w:r w:rsidR="00BC0AB9" w:rsidRPr="00680413">
              <w:rPr>
                <w:rStyle w:val="Hyperlink"/>
                <w:rFonts w:cstheme="minorHAnsi"/>
                <w:b/>
                <w:bCs/>
                <w:noProof/>
              </w:rPr>
              <w:t>Damage Limitation</w:t>
            </w:r>
            <w:r w:rsidR="00BC0AB9">
              <w:rPr>
                <w:noProof/>
                <w:webHidden/>
              </w:rPr>
              <w:tab/>
            </w:r>
            <w:r w:rsidR="00BC0AB9">
              <w:rPr>
                <w:noProof/>
                <w:webHidden/>
              </w:rPr>
              <w:fldChar w:fldCharType="begin"/>
            </w:r>
            <w:r w:rsidR="00BC0AB9">
              <w:rPr>
                <w:noProof/>
                <w:webHidden/>
              </w:rPr>
              <w:instrText xml:space="preserve"> PAGEREF _Toc170825692 \h </w:instrText>
            </w:r>
            <w:r w:rsidR="00BC0AB9">
              <w:rPr>
                <w:noProof/>
                <w:webHidden/>
              </w:rPr>
            </w:r>
            <w:r w:rsidR="00BC0AB9">
              <w:rPr>
                <w:noProof/>
                <w:webHidden/>
              </w:rPr>
              <w:fldChar w:fldCharType="separate"/>
            </w:r>
            <w:r w:rsidR="00BC0AB9">
              <w:rPr>
                <w:noProof/>
                <w:webHidden/>
              </w:rPr>
              <w:t>114</w:t>
            </w:r>
            <w:r w:rsidR="00BC0AB9">
              <w:rPr>
                <w:noProof/>
                <w:webHidden/>
              </w:rPr>
              <w:fldChar w:fldCharType="end"/>
            </w:r>
          </w:hyperlink>
        </w:p>
        <w:p w14:paraId="7F9CE098" w14:textId="2BDD96AC" w:rsidR="00BC0AB9" w:rsidRDefault="00CB327B">
          <w:pPr>
            <w:pStyle w:val="TOC2"/>
            <w:tabs>
              <w:tab w:val="right" w:leader="dot" w:pos="9016"/>
            </w:tabs>
            <w:rPr>
              <w:rFonts w:eastAsiaTheme="minorEastAsia"/>
              <w:noProof/>
              <w:lang w:eastAsia="zh-CN"/>
            </w:rPr>
          </w:pPr>
          <w:hyperlink w:anchor="_Toc170825693" w:history="1">
            <w:r w:rsidR="00BC0AB9" w:rsidRPr="00680413">
              <w:rPr>
                <w:rStyle w:val="Hyperlink"/>
                <w:rFonts w:cstheme="minorHAnsi"/>
                <w:b/>
                <w:bCs/>
                <w:noProof/>
              </w:rPr>
              <w:t>The Greatest Betrayals of Trust</w:t>
            </w:r>
            <w:r w:rsidR="00BC0AB9">
              <w:rPr>
                <w:noProof/>
                <w:webHidden/>
              </w:rPr>
              <w:tab/>
            </w:r>
            <w:r w:rsidR="00BC0AB9">
              <w:rPr>
                <w:noProof/>
                <w:webHidden/>
              </w:rPr>
              <w:fldChar w:fldCharType="begin"/>
            </w:r>
            <w:r w:rsidR="00BC0AB9">
              <w:rPr>
                <w:noProof/>
                <w:webHidden/>
              </w:rPr>
              <w:instrText xml:space="preserve"> PAGEREF _Toc170825693 \h </w:instrText>
            </w:r>
            <w:r w:rsidR="00BC0AB9">
              <w:rPr>
                <w:noProof/>
                <w:webHidden/>
              </w:rPr>
            </w:r>
            <w:r w:rsidR="00BC0AB9">
              <w:rPr>
                <w:noProof/>
                <w:webHidden/>
              </w:rPr>
              <w:fldChar w:fldCharType="separate"/>
            </w:r>
            <w:r w:rsidR="00BC0AB9">
              <w:rPr>
                <w:noProof/>
                <w:webHidden/>
              </w:rPr>
              <w:t>117</w:t>
            </w:r>
            <w:r w:rsidR="00BC0AB9">
              <w:rPr>
                <w:noProof/>
                <w:webHidden/>
              </w:rPr>
              <w:fldChar w:fldCharType="end"/>
            </w:r>
          </w:hyperlink>
        </w:p>
        <w:p w14:paraId="40611391" w14:textId="3CCAF93F" w:rsidR="00BC0AB9" w:rsidRDefault="00CB327B">
          <w:pPr>
            <w:pStyle w:val="TOC2"/>
            <w:tabs>
              <w:tab w:val="right" w:leader="dot" w:pos="9016"/>
            </w:tabs>
            <w:rPr>
              <w:rFonts w:eastAsiaTheme="minorEastAsia"/>
              <w:noProof/>
              <w:lang w:eastAsia="zh-CN"/>
            </w:rPr>
          </w:pPr>
          <w:hyperlink w:anchor="_Toc170825694"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_Toc170825694 \h </w:instrText>
            </w:r>
            <w:r w:rsidR="00BC0AB9">
              <w:rPr>
                <w:noProof/>
                <w:webHidden/>
              </w:rPr>
            </w:r>
            <w:r w:rsidR="00BC0AB9">
              <w:rPr>
                <w:noProof/>
                <w:webHidden/>
              </w:rPr>
              <w:fldChar w:fldCharType="separate"/>
            </w:r>
            <w:r w:rsidR="00BC0AB9">
              <w:rPr>
                <w:noProof/>
                <w:webHidden/>
              </w:rPr>
              <w:t>118</w:t>
            </w:r>
            <w:r w:rsidR="00BC0AB9">
              <w:rPr>
                <w:noProof/>
                <w:webHidden/>
              </w:rPr>
              <w:fldChar w:fldCharType="end"/>
            </w:r>
          </w:hyperlink>
        </w:p>
        <w:p w14:paraId="67386E53" w14:textId="7F9819F4" w:rsidR="00BC0AB9" w:rsidRDefault="00CB327B">
          <w:pPr>
            <w:pStyle w:val="TOC1"/>
            <w:rPr>
              <w:rFonts w:eastAsiaTheme="minorEastAsia" w:cstheme="minorBidi"/>
              <w:b w:val="0"/>
              <w:bCs w:val="0"/>
              <w:lang w:eastAsia="zh-CN"/>
            </w:rPr>
          </w:pPr>
          <w:hyperlink w:anchor="_Toc170825695" w:history="1">
            <w:r w:rsidR="00BC0AB9" w:rsidRPr="00680413">
              <w:rPr>
                <w:rStyle w:val="Hyperlink"/>
              </w:rPr>
              <w:t>Part Three: Expanding Beyond the ‘Known’</w:t>
            </w:r>
            <w:r w:rsidR="00BC0AB9">
              <w:rPr>
                <w:webHidden/>
              </w:rPr>
              <w:tab/>
            </w:r>
            <w:r w:rsidR="00BC0AB9">
              <w:rPr>
                <w:webHidden/>
              </w:rPr>
              <w:fldChar w:fldCharType="begin"/>
            </w:r>
            <w:r w:rsidR="00BC0AB9">
              <w:rPr>
                <w:webHidden/>
              </w:rPr>
              <w:instrText xml:space="preserve"> PAGEREF _Toc170825695 \h </w:instrText>
            </w:r>
            <w:r w:rsidR="00BC0AB9">
              <w:rPr>
                <w:webHidden/>
              </w:rPr>
            </w:r>
            <w:r w:rsidR="00BC0AB9">
              <w:rPr>
                <w:webHidden/>
              </w:rPr>
              <w:fldChar w:fldCharType="separate"/>
            </w:r>
            <w:r w:rsidR="00BC0AB9">
              <w:rPr>
                <w:webHidden/>
              </w:rPr>
              <w:t>120</w:t>
            </w:r>
            <w:r w:rsidR="00BC0AB9">
              <w:rPr>
                <w:webHidden/>
              </w:rPr>
              <w:fldChar w:fldCharType="end"/>
            </w:r>
          </w:hyperlink>
        </w:p>
        <w:p w14:paraId="7AED5F62" w14:textId="14A94089" w:rsidR="00BC0AB9" w:rsidRDefault="00CB327B">
          <w:pPr>
            <w:pStyle w:val="TOC1"/>
            <w:rPr>
              <w:rFonts w:eastAsiaTheme="minorEastAsia" w:cstheme="minorBidi"/>
              <w:b w:val="0"/>
              <w:bCs w:val="0"/>
              <w:lang w:eastAsia="zh-CN"/>
            </w:rPr>
          </w:pPr>
          <w:hyperlink w:anchor="_Toc170825696" w:history="1">
            <w:r w:rsidR="00BC0AB9" w:rsidRPr="00680413">
              <w:rPr>
                <w:rStyle w:val="Hyperlink"/>
              </w:rPr>
              <w:t>Chapter Six: Bridging the Gap: Middlemen, Agents, Raw Materials and Sales Markets</w:t>
            </w:r>
            <w:r w:rsidR="00BC0AB9">
              <w:rPr>
                <w:webHidden/>
              </w:rPr>
              <w:tab/>
            </w:r>
            <w:r w:rsidR="00BC0AB9">
              <w:rPr>
                <w:webHidden/>
              </w:rPr>
              <w:fldChar w:fldCharType="begin"/>
            </w:r>
            <w:r w:rsidR="00BC0AB9">
              <w:rPr>
                <w:webHidden/>
              </w:rPr>
              <w:instrText xml:space="preserve"> PAGEREF _Toc170825696 \h </w:instrText>
            </w:r>
            <w:r w:rsidR="00BC0AB9">
              <w:rPr>
                <w:webHidden/>
              </w:rPr>
            </w:r>
            <w:r w:rsidR="00BC0AB9">
              <w:rPr>
                <w:webHidden/>
              </w:rPr>
              <w:fldChar w:fldCharType="separate"/>
            </w:r>
            <w:r w:rsidR="00BC0AB9">
              <w:rPr>
                <w:webHidden/>
              </w:rPr>
              <w:t>122</w:t>
            </w:r>
            <w:r w:rsidR="00BC0AB9">
              <w:rPr>
                <w:webHidden/>
              </w:rPr>
              <w:fldChar w:fldCharType="end"/>
            </w:r>
          </w:hyperlink>
        </w:p>
        <w:p w14:paraId="7F712EC1" w14:textId="4A7ABD08" w:rsidR="00BC0AB9" w:rsidRDefault="00CB327B">
          <w:pPr>
            <w:pStyle w:val="TOC2"/>
            <w:tabs>
              <w:tab w:val="right" w:leader="dot" w:pos="9016"/>
            </w:tabs>
            <w:rPr>
              <w:rFonts w:eastAsiaTheme="minorEastAsia"/>
              <w:noProof/>
              <w:lang w:eastAsia="zh-CN"/>
            </w:rPr>
          </w:pPr>
          <w:hyperlink w:anchor="_Toc170825697"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_Toc170825697 \h </w:instrText>
            </w:r>
            <w:r w:rsidR="00BC0AB9">
              <w:rPr>
                <w:noProof/>
                <w:webHidden/>
              </w:rPr>
            </w:r>
            <w:r w:rsidR="00BC0AB9">
              <w:rPr>
                <w:noProof/>
                <w:webHidden/>
              </w:rPr>
              <w:fldChar w:fldCharType="separate"/>
            </w:r>
            <w:r w:rsidR="00BC0AB9">
              <w:rPr>
                <w:noProof/>
                <w:webHidden/>
              </w:rPr>
              <w:t>122</w:t>
            </w:r>
            <w:r w:rsidR="00BC0AB9">
              <w:rPr>
                <w:noProof/>
                <w:webHidden/>
              </w:rPr>
              <w:fldChar w:fldCharType="end"/>
            </w:r>
          </w:hyperlink>
        </w:p>
        <w:p w14:paraId="341BA191" w14:textId="06E7E93C" w:rsidR="00BC0AB9" w:rsidRDefault="00CB327B">
          <w:pPr>
            <w:pStyle w:val="TOC2"/>
            <w:tabs>
              <w:tab w:val="right" w:leader="dot" w:pos="9016"/>
            </w:tabs>
            <w:rPr>
              <w:rFonts w:eastAsiaTheme="minorEastAsia"/>
              <w:noProof/>
              <w:lang w:eastAsia="zh-CN"/>
            </w:rPr>
          </w:pPr>
          <w:hyperlink w:anchor="_Toc170825698" w:history="1">
            <w:r w:rsidR="00BC0AB9" w:rsidRPr="00680413">
              <w:rPr>
                <w:rStyle w:val="Hyperlink"/>
                <w:rFonts w:cstheme="minorHAnsi"/>
                <w:b/>
                <w:bCs/>
                <w:noProof/>
              </w:rPr>
              <w:t>Supply chain Networks</w:t>
            </w:r>
            <w:r w:rsidR="00BC0AB9">
              <w:rPr>
                <w:noProof/>
                <w:webHidden/>
              </w:rPr>
              <w:tab/>
            </w:r>
            <w:r w:rsidR="00BC0AB9">
              <w:rPr>
                <w:noProof/>
                <w:webHidden/>
              </w:rPr>
              <w:fldChar w:fldCharType="begin"/>
            </w:r>
            <w:r w:rsidR="00BC0AB9">
              <w:rPr>
                <w:noProof/>
                <w:webHidden/>
              </w:rPr>
              <w:instrText xml:space="preserve"> PAGEREF _Toc170825698 \h </w:instrText>
            </w:r>
            <w:r w:rsidR="00BC0AB9">
              <w:rPr>
                <w:noProof/>
                <w:webHidden/>
              </w:rPr>
            </w:r>
            <w:r w:rsidR="00BC0AB9">
              <w:rPr>
                <w:noProof/>
                <w:webHidden/>
              </w:rPr>
              <w:fldChar w:fldCharType="separate"/>
            </w:r>
            <w:r w:rsidR="00BC0AB9">
              <w:rPr>
                <w:noProof/>
                <w:webHidden/>
              </w:rPr>
              <w:t>123</w:t>
            </w:r>
            <w:r w:rsidR="00BC0AB9">
              <w:rPr>
                <w:noProof/>
                <w:webHidden/>
              </w:rPr>
              <w:fldChar w:fldCharType="end"/>
            </w:r>
          </w:hyperlink>
        </w:p>
        <w:p w14:paraId="23121078" w14:textId="69471ABD" w:rsidR="00BC0AB9" w:rsidRDefault="00CB327B">
          <w:pPr>
            <w:pStyle w:val="TOC2"/>
            <w:tabs>
              <w:tab w:val="right" w:leader="dot" w:pos="9016"/>
            </w:tabs>
            <w:rPr>
              <w:rFonts w:eastAsiaTheme="minorEastAsia"/>
              <w:noProof/>
              <w:lang w:eastAsia="zh-CN"/>
            </w:rPr>
          </w:pPr>
          <w:hyperlink w:anchor="_Toc170825699" w:history="1">
            <w:r w:rsidR="00BC0AB9" w:rsidRPr="00680413">
              <w:rPr>
                <w:rStyle w:val="Hyperlink"/>
                <w:rFonts w:cstheme="minorHAnsi"/>
                <w:b/>
                <w:bCs/>
                <w:noProof/>
              </w:rPr>
              <w:t>Sales Markets</w:t>
            </w:r>
            <w:r w:rsidR="00BC0AB9">
              <w:rPr>
                <w:noProof/>
                <w:webHidden/>
              </w:rPr>
              <w:tab/>
            </w:r>
            <w:r w:rsidR="00BC0AB9">
              <w:rPr>
                <w:noProof/>
                <w:webHidden/>
              </w:rPr>
              <w:fldChar w:fldCharType="begin"/>
            </w:r>
            <w:r w:rsidR="00BC0AB9">
              <w:rPr>
                <w:noProof/>
                <w:webHidden/>
              </w:rPr>
              <w:instrText xml:space="preserve"> PAGEREF _Toc170825699 \h </w:instrText>
            </w:r>
            <w:r w:rsidR="00BC0AB9">
              <w:rPr>
                <w:noProof/>
                <w:webHidden/>
              </w:rPr>
            </w:r>
            <w:r w:rsidR="00BC0AB9">
              <w:rPr>
                <w:noProof/>
                <w:webHidden/>
              </w:rPr>
              <w:fldChar w:fldCharType="separate"/>
            </w:r>
            <w:r w:rsidR="00BC0AB9">
              <w:rPr>
                <w:noProof/>
                <w:webHidden/>
              </w:rPr>
              <w:t>134</w:t>
            </w:r>
            <w:r w:rsidR="00BC0AB9">
              <w:rPr>
                <w:noProof/>
                <w:webHidden/>
              </w:rPr>
              <w:fldChar w:fldCharType="end"/>
            </w:r>
          </w:hyperlink>
        </w:p>
        <w:p w14:paraId="070E8870" w14:textId="1D28D8E0" w:rsidR="00BC0AB9" w:rsidRDefault="00CB327B">
          <w:pPr>
            <w:pStyle w:val="TOC2"/>
            <w:tabs>
              <w:tab w:val="right" w:leader="dot" w:pos="9016"/>
            </w:tabs>
            <w:rPr>
              <w:rFonts w:eastAsiaTheme="minorEastAsia"/>
              <w:noProof/>
              <w:lang w:eastAsia="zh-CN"/>
            </w:rPr>
          </w:pPr>
          <w:hyperlink w:anchor="_Toc170825700"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_Toc170825700 \h </w:instrText>
            </w:r>
            <w:r w:rsidR="00BC0AB9">
              <w:rPr>
                <w:noProof/>
                <w:webHidden/>
              </w:rPr>
            </w:r>
            <w:r w:rsidR="00BC0AB9">
              <w:rPr>
                <w:noProof/>
                <w:webHidden/>
              </w:rPr>
              <w:fldChar w:fldCharType="separate"/>
            </w:r>
            <w:r w:rsidR="00BC0AB9">
              <w:rPr>
                <w:noProof/>
                <w:webHidden/>
              </w:rPr>
              <w:t>137</w:t>
            </w:r>
            <w:r w:rsidR="00BC0AB9">
              <w:rPr>
                <w:noProof/>
                <w:webHidden/>
              </w:rPr>
              <w:fldChar w:fldCharType="end"/>
            </w:r>
          </w:hyperlink>
        </w:p>
        <w:p w14:paraId="5394F70B" w14:textId="27CE106E" w:rsidR="00BC0AB9" w:rsidRDefault="00CB327B">
          <w:pPr>
            <w:pStyle w:val="TOC1"/>
            <w:rPr>
              <w:rFonts w:eastAsiaTheme="minorEastAsia" w:cstheme="minorBidi"/>
              <w:b w:val="0"/>
              <w:bCs w:val="0"/>
              <w:lang w:eastAsia="zh-CN"/>
            </w:rPr>
          </w:pPr>
          <w:hyperlink w:anchor="_Toc170825701" w:history="1">
            <w:r w:rsidR="00BC0AB9" w:rsidRPr="00680413">
              <w:rPr>
                <w:rStyle w:val="Hyperlink"/>
              </w:rPr>
              <w:t>Chapter Seven: The Stranger, Strangeness, and the Unknown</w:t>
            </w:r>
            <w:r w:rsidR="00BC0AB9">
              <w:rPr>
                <w:webHidden/>
              </w:rPr>
              <w:tab/>
            </w:r>
            <w:r w:rsidR="00BC0AB9">
              <w:rPr>
                <w:webHidden/>
              </w:rPr>
              <w:fldChar w:fldCharType="begin"/>
            </w:r>
            <w:r w:rsidR="00BC0AB9">
              <w:rPr>
                <w:webHidden/>
              </w:rPr>
              <w:instrText xml:space="preserve"> PAGEREF _Toc170825701 \h </w:instrText>
            </w:r>
            <w:r w:rsidR="00BC0AB9">
              <w:rPr>
                <w:webHidden/>
              </w:rPr>
            </w:r>
            <w:r w:rsidR="00BC0AB9">
              <w:rPr>
                <w:webHidden/>
              </w:rPr>
              <w:fldChar w:fldCharType="separate"/>
            </w:r>
            <w:r w:rsidR="00BC0AB9">
              <w:rPr>
                <w:webHidden/>
              </w:rPr>
              <w:t>139</w:t>
            </w:r>
            <w:r w:rsidR="00BC0AB9">
              <w:rPr>
                <w:webHidden/>
              </w:rPr>
              <w:fldChar w:fldCharType="end"/>
            </w:r>
          </w:hyperlink>
        </w:p>
        <w:p w14:paraId="14D65058" w14:textId="31D4CAA4" w:rsidR="00BC0AB9" w:rsidRDefault="00CB327B">
          <w:pPr>
            <w:pStyle w:val="TOC2"/>
            <w:tabs>
              <w:tab w:val="right" w:leader="dot" w:pos="9016"/>
            </w:tabs>
            <w:rPr>
              <w:rFonts w:eastAsiaTheme="minorEastAsia"/>
              <w:noProof/>
              <w:lang w:eastAsia="zh-CN"/>
            </w:rPr>
          </w:pPr>
          <w:hyperlink w:anchor="_Toc170825702" w:history="1">
            <w:r w:rsidR="00BC0AB9" w:rsidRPr="00680413">
              <w:rPr>
                <w:rStyle w:val="Hyperlink"/>
                <w:rFonts w:cstheme="minorHAnsi"/>
                <w:b/>
                <w:bCs/>
                <w:noProof/>
              </w:rPr>
              <w:t>Introduction</w:t>
            </w:r>
            <w:r w:rsidR="00BC0AB9">
              <w:rPr>
                <w:noProof/>
                <w:webHidden/>
              </w:rPr>
              <w:tab/>
            </w:r>
            <w:r w:rsidR="00BC0AB9">
              <w:rPr>
                <w:noProof/>
                <w:webHidden/>
              </w:rPr>
              <w:fldChar w:fldCharType="begin"/>
            </w:r>
            <w:r w:rsidR="00BC0AB9">
              <w:rPr>
                <w:noProof/>
                <w:webHidden/>
              </w:rPr>
              <w:instrText xml:space="preserve"> PAGEREF _Toc170825702 \h </w:instrText>
            </w:r>
            <w:r w:rsidR="00BC0AB9">
              <w:rPr>
                <w:noProof/>
                <w:webHidden/>
              </w:rPr>
            </w:r>
            <w:r w:rsidR="00BC0AB9">
              <w:rPr>
                <w:noProof/>
                <w:webHidden/>
              </w:rPr>
              <w:fldChar w:fldCharType="separate"/>
            </w:r>
            <w:r w:rsidR="00BC0AB9">
              <w:rPr>
                <w:noProof/>
                <w:webHidden/>
              </w:rPr>
              <w:t>139</w:t>
            </w:r>
            <w:r w:rsidR="00BC0AB9">
              <w:rPr>
                <w:noProof/>
                <w:webHidden/>
              </w:rPr>
              <w:fldChar w:fldCharType="end"/>
            </w:r>
          </w:hyperlink>
        </w:p>
        <w:p w14:paraId="7CD4F04B" w14:textId="680C43FA" w:rsidR="00BC0AB9" w:rsidRDefault="00CB327B">
          <w:pPr>
            <w:pStyle w:val="TOC2"/>
            <w:tabs>
              <w:tab w:val="right" w:leader="dot" w:pos="9016"/>
            </w:tabs>
            <w:rPr>
              <w:rFonts w:eastAsiaTheme="minorEastAsia"/>
              <w:noProof/>
              <w:lang w:eastAsia="zh-CN"/>
            </w:rPr>
          </w:pPr>
          <w:hyperlink w:anchor="_Toc170825703" w:history="1">
            <w:r w:rsidR="00BC0AB9" w:rsidRPr="00680413">
              <w:rPr>
                <w:rStyle w:val="Hyperlink"/>
                <w:rFonts w:cstheme="minorHAnsi"/>
                <w:b/>
                <w:bCs/>
                <w:noProof/>
              </w:rPr>
              <w:t>The Contemporary Conceptualisation of a Stranger</w:t>
            </w:r>
            <w:r w:rsidR="00BC0AB9">
              <w:rPr>
                <w:noProof/>
                <w:webHidden/>
              </w:rPr>
              <w:tab/>
            </w:r>
            <w:r w:rsidR="00BC0AB9">
              <w:rPr>
                <w:noProof/>
                <w:webHidden/>
              </w:rPr>
              <w:fldChar w:fldCharType="begin"/>
            </w:r>
            <w:r w:rsidR="00BC0AB9">
              <w:rPr>
                <w:noProof/>
                <w:webHidden/>
              </w:rPr>
              <w:instrText xml:space="preserve"> PAGEREF _Toc170825703 \h </w:instrText>
            </w:r>
            <w:r w:rsidR="00BC0AB9">
              <w:rPr>
                <w:noProof/>
                <w:webHidden/>
              </w:rPr>
            </w:r>
            <w:r w:rsidR="00BC0AB9">
              <w:rPr>
                <w:noProof/>
                <w:webHidden/>
              </w:rPr>
              <w:fldChar w:fldCharType="separate"/>
            </w:r>
            <w:r w:rsidR="00BC0AB9">
              <w:rPr>
                <w:noProof/>
                <w:webHidden/>
              </w:rPr>
              <w:t>139</w:t>
            </w:r>
            <w:r w:rsidR="00BC0AB9">
              <w:rPr>
                <w:noProof/>
                <w:webHidden/>
              </w:rPr>
              <w:fldChar w:fldCharType="end"/>
            </w:r>
          </w:hyperlink>
        </w:p>
        <w:p w14:paraId="10137385" w14:textId="53465BE3" w:rsidR="00BC0AB9" w:rsidRDefault="00CB327B">
          <w:pPr>
            <w:pStyle w:val="TOC2"/>
            <w:tabs>
              <w:tab w:val="right" w:leader="dot" w:pos="9016"/>
            </w:tabs>
            <w:rPr>
              <w:rFonts w:eastAsiaTheme="minorEastAsia"/>
              <w:noProof/>
              <w:lang w:eastAsia="zh-CN"/>
            </w:rPr>
          </w:pPr>
          <w:hyperlink w:anchor="_Toc170825704" w:history="1">
            <w:r w:rsidR="00BC0AB9" w:rsidRPr="00680413">
              <w:rPr>
                <w:rStyle w:val="Hyperlink"/>
                <w:rFonts w:cstheme="minorHAnsi"/>
                <w:b/>
                <w:bCs/>
                <w:noProof/>
              </w:rPr>
              <w:t>Managing the Unknown</w:t>
            </w:r>
            <w:r w:rsidR="00BC0AB9">
              <w:rPr>
                <w:noProof/>
                <w:webHidden/>
              </w:rPr>
              <w:tab/>
            </w:r>
            <w:r w:rsidR="00BC0AB9">
              <w:rPr>
                <w:noProof/>
                <w:webHidden/>
              </w:rPr>
              <w:fldChar w:fldCharType="begin"/>
            </w:r>
            <w:r w:rsidR="00BC0AB9">
              <w:rPr>
                <w:noProof/>
                <w:webHidden/>
              </w:rPr>
              <w:instrText xml:space="preserve"> PAGEREF _Toc170825704 \h </w:instrText>
            </w:r>
            <w:r w:rsidR="00BC0AB9">
              <w:rPr>
                <w:noProof/>
                <w:webHidden/>
              </w:rPr>
            </w:r>
            <w:r w:rsidR="00BC0AB9">
              <w:rPr>
                <w:noProof/>
                <w:webHidden/>
              </w:rPr>
              <w:fldChar w:fldCharType="separate"/>
            </w:r>
            <w:r w:rsidR="00BC0AB9">
              <w:rPr>
                <w:noProof/>
                <w:webHidden/>
              </w:rPr>
              <w:t>142</w:t>
            </w:r>
            <w:r w:rsidR="00BC0AB9">
              <w:rPr>
                <w:noProof/>
                <w:webHidden/>
              </w:rPr>
              <w:fldChar w:fldCharType="end"/>
            </w:r>
          </w:hyperlink>
        </w:p>
        <w:p w14:paraId="55437BF9" w14:textId="43B5C7A5" w:rsidR="00BC0AB9" w:rsidRDefault="00CB327B">
          <w:pPr>
            <w:pStyle w:val="TOC2"/>
            <w:tabs>
              <w:tab w:val="right" w:leader="dot" w:pos="9016"/>
            </w:tabs>
            <w:rPr>
              <w:rFonts w:eastAsiaTheme="minorEastAsia"/>
              <w:noProof/>
              <w:lang w:eastAsia="zh-CN"/>
            </w:rPr>
          </w:pPr>
          <w:hyperlink w:anchor="_Toc170825705" w:history="1">
            <w:r w:rsidR="00BC0AB9" w:rsidRPr="00680413">
              <w:rPr>
                <w:rStyle w:val="Hyperlink"/>
                <w:rFonts w:cstheme="minorHAnsi"/>
                <w:b/>
                <w:bCs/>
                <w:noProof/>
              </w:rPr>
              <w:t>The Global Networks and the Unknowable Stranger</w:t>
            </w:r>
            <w:r w:rsidR="00BC0AB9">
              <w:rPr>
                <w:noProof/>
                <w:webHidden/>
              </w:rPr>
              <w:tab/>
            </w:r>
            <w:r w:rsidR="00BC0AB9">
              <w:rPr>
                <w:noProof/>
                <w:webHidden/>
              </w:rPr>
              <w:fldChar w:fldCharType="begin"/>
            </w:r>
            <w:r w:rsidR="00BC0AB9">
              <w:rPr>
                <w:noProof/>
                <w:webHidden/>
              </w:rPr>
              <w:instrText xml:space="preserve"> PAGEREF _Toc170825705 \h </w:instrText>
            </w:r>
            <w:r w:rsidR="00BC0AB9">
              <w:rPr>
                <w:noProof/>
                <w:webHidden/>
              </w:rPr>
            </w:r>
            <w:r w:rsidR="00BC0AB9">
              <w:rPr>
                <w:noProof/>
                <w:webHidden/>
              </w:rPr>
              <w:fldChar w:fldCharType="separate"/>
            </w:r>
            <w:r w:rsidR="00BC0AB9">
              <w:rPr>
                <w:noProof/>
                <w:webHidden/>
              </w:rPr>
              <w:t>144</w:t>
            </w:r>
            <w:r w:rsidR="00BC0AB9">
              <w:rPr>
                <w:noProof/>
                <w:webHidden/>
              </w:rPr>
              <w:fldChar w:fldCharType="end"/>
            </w:r>
          </w:hyperlink>
        </w:p>
        <w:p w14:paraId="18F7E450" w14:textId="05084772" w:rsidR="00BC0AB9" w:rsidRDefault="00CB327B">
          <w:pPr>
            <w:pStyle w:val="TOC2"/>
            <w:tabs>
              <w:tab w:val="right" w:leader="dot" w:pos="9016"/>
            </w:tabs>
            <w:rPr>
              <w:rFonts w:eastAsiaTheme="minorEastAsia"/>
              <w:noProof/>
              <w:lang w:eastAsia="zh-CN"/>
            </w:rPr>
          </w:pPr>
          <w:hyperlink w:anchor="_Toc170825706" w:history="1">
            <w:r w:rsidR="00BC0AB9" w:rsidRPr="00680413">
              <w:rPr>
                <w:rStyle w:val="Hyperlink"/>
                <w:rFonts w:cstheme="minorHAnsi"/>
                <w:b/>
                <w:bCs/>
                <w:noProof/>
              </w:rPr>
              <w:t>Conclusions</w:t>
            </w:r>
            <w:r w:rsidR="00BC0AB9">
              <w:rPr>
                <w:noProof/>
                <w:webHidden/>
              </w:rPr>
              <w:tab/>
            </w:r>
            <w:r w:rsidR="00BC0AB9">
              <w:rPr>
                <w:noProof/>
                <w:webHidden/>
              </w:rPr>
              <w:fldChar w:fldCharType="begin"/>
            </w:r>
            <w:r w:rsidR="00BC0AB9">
              <w:rPr>
                <w:noProof/>
                <w:webHidden/>
              </w:rPr>
              <w:instrText xml:space="preserve"> PAGEREF _Toc170825706 \h </w:instrText>
            </w:r>
            <w:r w:rsidR="00BC0AB9">
              <w:rPr>
                <w:noProof/>
                <w:webHidden/>
              </w:rPr>
            </w:r>
            <w:r w:rsidR="00BC0AB9">
              <w:rPr>
                <w:noProof/>
                <w:webHidden/>
              </w:rPr>
              <w:fldChar w:fldCharType="separate"/>
            </w:r>
            <w:r w:rsidR="00BC0AB9">
              <w:rPr>
                <w:noProof/>
                <w:webHidden/>
              </w:rPr>
              <w:t>147</w:t>
            </w:r>
            <w:r w:rsidR="00BC0AB9">
              <w:rPr>
                <w:noProof/>
                <w:webHidden/>
              </w:rPr>
              <w:fldChar w:fldCharType="end"/>
            </w:r>
          </w:hyperlink>
        </w:p>
        <w:p w14:paraId="78FE9744" w14:textId="4096DF7F" w:rsidR="00BC0AB9" w:rsidRDefault="00CB327B">
          <w:pPr>
            <w:pStyle w:val="TOC1"/>
            <w:rPr>
              <w:rFonts w:eastAsiaTheme="minorEastAsia" w:cstheme="minorBidi"/>
              <w:b w:val="0"/>
              <w:bCs w:val="0"/>
              <w:lang w:eastAsia="zh-CN"/>
            </w:rPr>
          </w:pPr>
          <w:hyperlink w:anchor="_Toc170825707" w:history="1">
            <w:r w:rsidR="00BC0AB9" w:rsidRPr="00680413">
              <w:rPr>
                <w:rStyle w:val="Hyperlink"/>
              </w:rPr>
              <w:t>Conclusions, Discussion, and Wider Implications</w:t>
            </w:r>
            <w:r w:rsidR="00BC0AB9">
              <w:rPr>
                <w:webHidden/>
              </w:rPr>
              <w:tab/>
            </w:r>
            <w:r w:rsidR="00BC0AB9">
              <w:rPr>
                <w:webHidden/>
              </w:rPr>
              <w:fldChar w:fldCharType="begin"/>
            </w:r>
            <w:r w:rsidR="00BC0AB9">
              <w:rPr>
                <w:webHidden/>
              </w:rPr>
              <w:instrText xml:space="preserve"> PAGEREF _Toc170825707 \h </w:instrText>
            </w:r>
            <w:r w:rsidR="00BC0AB9">
              <w:rPr>
                <w:webHidden/>
              </w:rPr>
            </w:r>
            <w:r w:rsidR="00BC0AB9">
              <w:rPr>
                <w:webHidden/>
              </w:rPr>
              <w:fldChar w:fldCharType="separate"/>
            </w:r>
            <w:r w:rsidR="00BC0AB9">
              <w:rPr>
                <w:webHidden/>
              </w:rPr>
              <w:t>148</w:t>
            </w:r>
            <w:r w:rsidR="00BC0AB9">
              <w:rPr>
                <w:webHidden/>
              </w:rPr>
              <w:fldChar w:fldCharType="end"/>
            </w:r>
          </w:hyperlink>
        </w:p>
        <w:p w14:paraId="59FE1379" w14:textId="722DF54E" w:rsidR="00BC0AB9" w:rsidRDefault="00CB327B">
          <w:pPr>
            <w:pStyle w:val="TOC1"/>
            <w:rPr>
              <w:rFonts w:eastAsiaTheme="minorEastAsia" w:cstheme="minorBidi"/>
              <w:b w:val="0"/>
              <w:bCs w:val="0"/>
              <w:lang w:eastAsia="zh-CN"/>
            </w:rPr>
          </w:pPr>
          <w:hyperlink w:anchor="_Toc170825708" w:history="1">
            <w:r w:rsidR="00BC0AB9" w:rsidRPr="00680413">
              <w:rPr>
                <w:rStyle w:val="Hyperlink"/>
              </w:rPr>
              <w:t>Bibliography</w:t>
            </w:r>
            <w:r w:rsidR="00BC0AB9">
              <w:rPr>
                <w:webHidden/>
              </w:rPr>
              <w:tab/>
            </w:r>
            <w:r w:rsidR="00BC0AB9">
              <w:rPr>
                <w:webHidden/>
              </w:rPr>
              <w:fldChar w:fldCharType="begin"/>
            </w:r>
            <w:r w:rsidR="00BC0AB9">
              <w:rPr>
                <w:webHidden/>
              </w:rPr>
              <w:instrText xml:space="preserve"> PAGEREF _Toc170825708 \h </w:instrText>
            </w:r>
            <w:r w:rsidR="00BC0AB9">
              <w:rPr>
                <w:webHidden/>
              </w:rPr>
            </w:r>
            <w:r w:rsidR="00BC0AB9">
              <w:rPr>
                <w:webHidden/>
              </w:rPr>
              <w:fldChar w:fldCharType="separate"/>
            </w:r>
            <w:r w:rsidR="00BC0AB9">
              <w:rPr>
                <w:webHidden/>
              </w:rPr>
              <w:t>155</w:t>
            </w:r>
            <w:r w:rsidR="00BC0AB9">
              <w:rPr>
                <w:webHidden/>
              </w:rPr>
              <w:fldChar w:fldCharType="end"/>
            </w:r>
          </w:hyperlink>
        </w:p>
        <w:p w14:paraId="033DE7E5" w14:textId="08287493" w:rsidR="00BC0AB9" w:rsidRDefault="00CB327B">
          <w:pPr>
            <w:pStyle w:val="TOC2"/>
            <w:tabs>
              <w:tab w:val="right" w:leader="dot" w:pos="9016"/>
            </w:tabs>
            <w:rPr>
              <w:rFonts w:eastAsiaTheme="minorEastAsia"/>
              <w:noProof/>
              <w:lang w:eastAsia="zh-CN"/>
            </w:rPr>
          </w:pPr>
          <w:hyperlink w:anchor="_Toc170825709" w:history="1">
            <w:r w:rsidR="00BC0AB9" w:rsidRPr="00680413">
              <w:rPr>
                <w:rStyle w:val="Hyperlink"/>
                <w:rFonts w:cstheme="minorHAnsi"/>
                <w:b/>
                <w:bCs/>
                <w:noProof/>
              </w:rPr>
              <w:t>Primary Sources – Archival Material</w:t>
            </w:r>
            <w:r w:rsidR="00BC0AB9">
              <w:rPr>
                <w:noProof/>
                <w:webHidden/>
              </w:rPr>
              <w:tab/>
            </w:r>
            <w:r w:rsidR="00BC0AB9">
              <w:rPr>
                <w:noProof/>
                <w:webHidden/>
              </w:rPr>
              <w:fldChar w:fldCharType="begin"/>
            </w:r>
            <w:r w:rsidR="00BC0AB9">
              <w:rPr>
                <w:noProof/>
                <w:webHidden/>
              </w:rPr>
              <w:instrText xml:space="preserve"> PAGEREF _Toc170825709 \h </w:instrText>
            </w:r>
            <w:r w:rsidR="00BC0AB9">
              <w:rPr>
                <w:noProof/>
                <w:webHidden/>
              </w:rPr>
            </w:r>
            <w:r w:rsidR="00BC0AB9">
              <w:rPr>
                <w:noProof/>
                <w:webHidden/>
              </w:rPr>
              <w:fldChar w:fldCharType="separate"/>
            </w:r>
            <w:r w:rsidR="00BC0AB9">
              <w:rPr>
                <w:noProof/>
                <w:webHidden/>
              </w:rPr>
              <w:t>155</w:t>
            </w:r>
            <w:r w:rsidR="00BC0AB9">
              <w:rPr>
                <w:noProof/>
                <w:webHidden/>
              </w:rPr>
              <w:fldChar w:fldCharType="end"/>
            </w:r>
          </w:hyperlink>
        </w:p>
        <w:p w14:paraId="78F5F4FC" w14:textId="5E44D25B" w:rsidR="00BC0AB9" w:rsidRDefault="00CB327B">
          <w:pPr>
            <w:pStyle w:val="TOC2"/>
            <w:tabs>
              <w:tab w:val="right" w:leader="dot" w:pos="9016"/>
            </w:tabs>
            <w:rPr>
              <w:rFonts w:eastAsiaTheme="minorEastAsia"/>
              <w:noProof/>
              <w:lang w:eastAsia="zh-CN"/>
            </w:rPr>
          </w:pPr>
          <w:hyperlink w:anchor="_Toc170825710" w:history="1">
            <w:r w:rsidR="00BC0AB9" w:rsidRPr="00680413">
              <w:rPr>
                <w:rStyle w:val="Hyperlink"/>
                <w:rFonts w:cstheme="minorHAnsi"/>
                <w:b/>
                <w:bCs/>
                <w:noProof/>
              </w:rPr>
              <w:t>Online Sources</w:t>
            </w:r>
            <w:r w:rsidR="00BC0AB9">
              <w:rPr>
                <w:noProof/>
                <w:webHidden/>
              </w:rPr>
              <w:tab/>
            </w:r>
            <w:r w:rsidR="00BC0AB9">
              <w:rPr>
                <w:noProof/>
                <w:webHidden/>
              </w:rPr>
              <w:fldChar w:fldCharType="begin"/>
            </w:r>
            <w:r w:rsidR="00BC0AB9">
              <w:rPr>
                <w:noProof/>
                <w:webHidden/>
              </w:rPr>
              <w:instrText xml:space="preserve"> PAGEREF _Toc170825710 \h </w:instrText>
            </w:r>
            <w:r w:rsidR="00BC0AB9">
              <w:rPr>
                <w:noProof/>
                <w:webHidden/>
              </w:rPr>
            </w:r>
            <w:r w:rsidR="00BC0AB9">
              <w:rPr>
                <w:noProof/>
                <w:webHidden/>
              </w:rPr>
              <w:fldChar w:fldCharType="separate"/>
            </w:r>
            <w:r w:rsidR="00BC0AB9">
              <w:rPr>
                <w:noProof/>
                <w:webHidden/>
              </w:rPr>
              <w:t>155</w:t>
            </w:r>
            <w:r w:rsidR="00BC0AB9">
              <w:rPr>
                <w:noProof/>
                <w:webHidden/>
              </w:rPr>
              <w:fldChar w:fldCharType="end"/>
            </w:r>
          </w:hyperlink>
        </w:p>
        <w:p w14:paraId="0EC45B9E" w14:textId="0E681361" w:rsidR="00BC0AB9" w:rsidRDefault="00CB327B">
          <w:pPr>
            <w:pStyle w:val="TOC2"/>
            <w:tabs>
              <w:tab w:val="right" w:leader="dot" w:pos="9016"/>
            </w:tabs>
            <w:rPr>
              <w:rFonts w:eastAsiaTheme="minorEastAsia"/>
              <w:noProof/>
              <w:lang w:eastAsia="zh-CN"/>
            </w:rPr>
          </w:pPr>
          <w:hyperlink w:anchor="_Toc170825711" w:history="1">
            <w:r w:rsidR="00BC0AB9" w:rsidRPr="00680413">
              <w:rPr>
                <w:rStyle w:val="Hyperlink"/>
                <w:rFonts w:cstheme="minorHAnsi"/>
                <w:b/>
                <w:bCs/>
                <w:noProof/>
              </w:rPr>
              <w:t>Secondary Sources</w:t>
            </w:r>
            <w:r w:rsidR="00BC0AB9">
              <w:rPr>
                <w:noProof/>
                <w:webHidden/>
              </w:rPr>
              <w:tab/>
            </w:r>
            <w:r w:rsidR="00BC0AB9">
              <w:rPr>
                <w:noProof/>
                <w:webHidden/>
              </w:rPr>
              <w:fldChar w:fldCharType="begin"/>
            </w:r>
            <w:r w:rsidR="00BC0AB9">
              <w:rPr>
                <w:noProof/>
                <w:webHidden/>
              </w:rPr>
              <w:instrText xml:space="preserve"> PAGEREF _Toc170825711 \h </w:instrText>
            </w:r>
            <w:r w:rsidR="00BC0AB9">
              <w:rPr>
                <w:noProof/>
                <w:webHidden/>
              </w:rPr>
            </w:r>
            <w:r w:rsidR="00BC0AB9">
              <w:rPr>
                <w:noProof/>
                <w:webHidden/>
              </w:rPr>
              <w:fldChar w:fldCharType="separate"/>
            </w:r>
            <w:r w:rsidR="00BC0AB9">
              <w:rPr>
                <w:noProof/>
                <w:webHidden/>
              </w:rPr>
              <w:t>156</w:t>
            </w:r>
            <w:r w:rsidR="00BC0AB9">
              <w:rPr>
                <w:noProof/>
                <w:webHidden/>
              </w:rPr>
              <w:fldChar w:fldCharType="end"/>
            </w:r>
          </w:hyperlink>
        </w:p>
        <w:p w14:paraId="1DFB6E61" w14:textId="0CF7CB0A" w:rsidR="00BC0AB9" w:rsidRDefault="00CB327B">
          <w:pPr>
            <w:pStyle w:val="TOC1"/>
            <w:rPr>
              <w:rFonts w:eastAsiaTheme="minorEastAsia" w:cstheme="minorBidi"/>
              <w:b w:val="0"/>
              <w:bCs w:val="0"/>
              <w:lang w:eastAsia="zh-CN"/>
            </w:rPr>
          </w:pPr>
          <w:hyperlink w:anchor="_Toc170825712" w:history="1">
            <w:r w:rsidR="00BC0AB9" w:rsidRPr="00680413">
              <w:rPr>
                <w:rStyle w:val="Hyperlink"/>
              </w:rPr>
              <w:t>Appendix One: The Evans Family Case Study</w:t>
            </w:r>
            <w:r w:rsidR="00BC0AB9">
              <w:rPr>
                <w:webHidden/>
              </w:rPr>
              <w:tab/>
            </w:r>
            <w:r w:rsidR="00BC0AB9">
              <w:rPr>
                <w:webHidden/>
              </w:rPr>
              <w:fldChar w:fldCharType="begin"/>
            </w:r>
            <w:r w:rsidR="00BC0AB9">
              <w:rPr>
                <w:webHidden/>
              </w:rPr>
              <w:instrText xml:space="preserve"> PAGEREF _Toc170825712 \h </w:instrText>
            </w:r>
            <w:r w:rsidR="00BC0AB9">
              <w:rPr>
                <w:webHidden/>
              </w:rPr>
            </w:r>
            <w:r w:rsidR="00BC0AB9">
              <w:rPr>
                <w:webHidden/>
              </w:rPr>
              <w:fldChar w:fldCharType="separate"/>
            </w:r>
            <w:r w:rsidR="00BC0AB9">
              <w:rPr>
                <w:webHidden/>
              </w:rPr>
              <w:t>167</w:t>
            </w:r>
            <w:r w:rsidR="00BC0AB9">
              <w:rPr>
                <w:webHidden/>
              </w:rPr>
              <w:fldChar w:fldCharType="end"/>
            </w:r>
          </w:hyperlink>
        </w:p>
        <w:p w14:paraId="51C638A2" w14:textId="3CA33E3C" w:rsidR="00BC0AB9" w:rsidRDefault="00CB327B">
          <w:pPr>
            <w:pStyle w:val="TOC2"/>
            <w:tabs>
              <w:tab w:val="right" w:leader="dot" w:pos="9016"/>
            </w:tabs>
            <w:rPr>
              <w:rFonts w:eastAsiaTheme="minorEastAsia"/>
              <w:noProof/>
              <w:lang w:eastAsia="zh-CN"/>
            </w:rPr>
          </w:pPr>
          <w:hyperlink w:anchor="_Toc170825713" w:history="1">
            <w:r w:rsidR="00BC0AB9" w:rsidRPr="00680413">
              <w:rPr>
                <w:rStyle w:val="Hyperlink"/>
                <w:rFonts w:cstheme="minorHAnsi"/>
                <w:b/>
                <w:bCs/>
                <w:noProof/>
              </w:rPr>
              <w:t>Short Biographies of Key Network Members</w:t>
            </w:r>
            <w:r w:rsidR="00BC0AB9">
              <w:rPr>
                <w:noProof/>
                <w:webHidden/>
              </w:rPr>
              <w:tab/>
            </w:r>
            <w:r w:rsidR="00BC0AB9">
              <w:rPr>
                <w:noProof/>
                <w:webHidden/>
              </w:rPr>
              <w:fldChar w:fldCharType="begin"/>
            </w:r>
            <w:r w:rsidR="00BC0AB9">
              <w:rPr>
                <w:noProof/>
                <w:webHidden/>
              </w:rPr>
              <w:instrText xml:space="preserve"> PAGEREF _Toc170825713 \h </w:instrText>
            </w:r>
            <w:r w:rsidR="00BC0AB9">
              <w:rPr>
                <w:noProof/>
                <w:webHidden/>
              </w:rPr>
            </w:r>
            <w:r w:rsidR="00BC0AB9">
              <w:rPr>
                <w:noProof/>
                <w:webHidden/>
              </w:rPr>
              <w:fldChar w:fldCharType="separate"/>
            </w:r>
            <w:r w:rsidR="00BC0AB9">
              <w:rPr>
                <w:noProof/>
                <w:webHidden/>
              </w:rPr>
              <w:t>167</w:t>
            </w:r>
            <w:r w:rsidR="00BC0AB9">
              <w:rPr>
                <w:noProof/>
                <w:webHidden/>
              </w:rPr>
              <w:fldChar w:fldCharType="end"/>
            </w:r>
          </w:hyperlink>
        </w:p>
        <w:p w14:paraId="3C777DF0" w14:textId="09CAEEAF" w:rsidR="00BC0AB9" w:rsidRDefault="00CB327B">
          <w:pPr>
            <w:pStyle w:val="TOC1"/>
            <w:rPr>
              <w:rFonts w:eastAsiaTheme="minorEastAsia" w:cstheme="minorBidi"/>
              <w:b w:val="0"/>
              <w:bCs w:val="0"/>
              <w:lang w:eastAsia="zh-CN"/>
            </w:rPr>
          </w:pPr>
          <w:hyperlink w:anchor="_Toc170825714" w:history="1">
            <w:r w:rsidR="00BC0AB9" w:rsidRPr="00680413">
              <w:rPr>
                <w:rStyle w:val="Hyperlink"/>
              </w:rPr>
              <w:t>Appendix Two: The McConnel &amp; Kennedy Case Study</w:t>
            </w:r>
            <w:r w:rsidR="00BC0AB9">
              <w:rPr>
                <w:webHidden/>
              </w:rPr>
              <w:tab/>
            </w:r>
            <w:r w:rsidR="00BC0AB9">
              <w:rPr>
                <w:webHidden/>
              </w:rPr>
              <w:fldChar w:fldCharType="begin"/>
            </w:r>
            <w:r w:rsidR="00BC0AB9">
              <w:rPr>
                <w:webHidden/>
              </w:rPr>
              <w:instrText xml:space="preserve"> PAGEREF _Toc170825714 \h </w:instrText>
            </w:r>
            <w:r w:rsidR="00BC0AB9">
              <w:rPr>
                <w:webHidden/>
              </w:rPr>
            </w:r>
            <w:r w:rsidR="00BC0AB9">
              <w:rPr>
                <w:webHidden/>
              </w:rPr>
              <w:fldChar w:fldCharType="separate"/>
            </w:r>
            <w:r w:rsidR="00BC0AB9">
              <w:rPr>
                <w:webHidden/>
              </w:rPr>
              <w:t>173</w:t>
            </w:r>
            <w:r w:rsidR="00BC0AB9">
              <w:rPr>
                <w:webHidden/>
              </w:rPr>
              <w:fldChar w:fldCharType="end"/>
            </w:r>
          </w:hyperlink>
        </w:p>
        <w:p w14:paraId="4F2726EB" w14:textId="4D10332E" w:rsidR="00BC0AB9" w:rsidRDefault="00CB327B">
          <w:pPr>
            <w:pStyle w:val="TOC2"/>
            <w:tabs>
              <w:tab w:val="right" w:leader="dot" w:pos="9016"/>
            </w:tabs>
            <w:rPr>
              <w:rFonts w:eastAsiaTheme="minorEastAsia"/>
              <w:noProof/>
              <w:lang w:eastAsia="zh-CN"/>
            </w:rPr>
          </w:pPr>
          <w:hyperlink w:anchor="_Toc170825715" w:history="1">
            <w:r w:rsidR="00BC0AB9" w:rsidRPr="00680413">
              <w:rPr>
                <w:rStyle w:val="Hyperlink"/>
                <w:rFonts w:cstheme="minorHAnsi"/>
                <w:b/>
                <w:bCs/>
                <w:noProof/>
              </w:rPr>
              <w:t>Short biographies</w:t>
            </w:r>
            <w:r w:rsidR="00BC0AB9">
              <w:rPr>
                <w:noProof/>
                <w:webHidden/>
              </w:rPr>
              <w:tab/>
            </w:r>
            <w:r w:rsidR="00BC0AB9">
              <w:rPr>
                <w:noProof/>
                <w:webHidden/>
              </w:rPr>
              <w:fldChar w:fldCharType="begin"/>
            </w:r>
            <w:r w:rsidR="00BC0AB9">
              <w:rPr>
                <w:noProof/>
                <w:webHidden/>
              </w:rPr>
              <w:instrText xml:space="preserve"> PAGEREF _Toc170825715 \h </w:instrText>
            </w:r>
            <w:r w:rsidR="00BC0AB9">
              <w:rPr>
                <w:noProof/>
                <w:webHidden/>
              </w:rPr>
            </w:r>
            <w:r w:rsidR="00BC0AB9">
              <w:rPr>
                <w:noProof/>
                <w:webHidden/>
              </w:rPr>
              <w:fldChar w:fldCharType="separate"/>
            </w:r>
            <w:r w:rsidR="00BC0AB9">
              <w:rPr>
                <w:noProof/>
                <w:webHidden/>
              </w:rPr>
              <w:t>173</w:t>
            </w:r>
            <w:r w:rsidR="00BC0AB9">
              <w:rPr>
                <w:noProof/>
                <w:webHidden/>
              </w:rPr>
              <w:fldChar w:fldCharType="end"/>
            </w:r>
          </w:hyperlink>
        </w:p>
        <w:p w14:paraId="11F47A1C" w14:textId="2C0CF132" w:rsidR="00F52666" w:rsidRPr="005E7B80" w:rsidRDefault="00F52666">
          <w:r w:rsidRPr="005E7B80">
            <w:rPr>
              <w:noProof/>
            </w:rPr>
            <w:fldChar w:fldCharType="end"/>
          </w:r>
        </w:p>
      </w:sdtContent>
    </w:sdt>
    <w:p w14:paraId="3C5CF1CD" w14:textId="4DBC5B95" w:rsidR="00875953" w:rsidRDefault="00875953" w:rsidP="00BF708E">
      <w:pPr>
        <w:pStyle w:val="Heading1"/>
        <w:sectPr w:rsidR="00875953">
          <w:footnotePr>
            <w:numRestart w:val="eachSect"/>
          </w:footnotePr>
          <w:pgSz w:w="11906" w:h="16838"/>
          <w:pgMar w:top="1440" w:right="1440" w:bottom="1440" w:left="1440" w:header="708" w:footer="708" w:gutter="0"/>
          <w:cols w:space="708"/>
          <w:docGrid w:linePitch="360"/>
        </w:sectPr>
      </w:pPr>
    </w:p>
    <w:p w14:paraId="602392A7" w14:textId="77777777" w:rsidR="00BF708E" w:rsidRPr="00BF708E" w:rsidRDefault="00BF708E" w:rsidP="00BF708E">
      <w:pPr>
        <w:pStyle w:val="Heading1"/>
        <w:rPr>
          <w:rFonts w:asciiTheme="minorHAnsi" w:hAnsiTheme="minorHAnsi" w:cstheme="minorHAnsi"/>
          <w:b/>
          <w:bCs/>
          <w:color w:val="auto"/>
          <w:sz w:val="28"/>
          <w:szCs w:val="28"/>
        </w:rPr>
      </w:pPr>
      <w:bookmarkStart w:id="3" w:name="_Toc170825649"/>
      <w:r w:rsidRPr="00BF708E">
        <w:rPr>
          <w:rFonts w:asciiTheme="minorHAnsi" w:hAnsiTheme="minorHAnsi" w:cstheme="minorHAnsi"/>
          <w:b/>
          <w:bCs/>
          <w:color w:val="auto"/>
          <w:sz w:val="28"/>
          <w:szCs w:val="28"/>
        </w:rPr>
        <w:lastRenderedPageBreak/>
        <w:t>Acknowledgments</w:t>
      </w:r>
      <w:bookmarkEnd w:id="3"/>
    </w:p>
    <w:p w14:paraId="4FBDF474" w14:textId="32F326E1" w:rsidR="00BF708E" w:rsidRDefault="00BF708E" w:rsidP="00BF708E">
      <w:pPr>
        <w:sectPr w:rsidR="00BF708E" w:rsidSect="00197C8B">
          <w:footnotePr>
            <w:numRestart w:val="eachSect"/>
          </w:footnotePr>
          <w:pgSz w:w="11906" w:h="16838"/>
          <w:pgMar w:top="1440" w:right="1440" w:bottom="1440" w:left="1440" w:header="708" w:footer="708" w:gutter="0"/>
          <w:cols w:space="708"/>
          <w:docGrid w:linePitch="360"/>
        </w:sectPr>
      </w:pPr>
      <w:r w:rsidRPr="00875953">
        <w:t xml:space="preserve">Firstly, I would like to thank Dr Esme </w:t>
      </w:r>
      <w:proofErr w:type="spellStart"/>
      <w:r w:rsidRPr="00875953">
        <w:t>Cleall</w:t>
      </w:r>
      <w:proofErr w:type="spellEnd"/>
      <w:r w:rsidRPr="00875953">
        <w:t xml:space="preserve"> and Dr James Shaw for their patient supervision of this thesis and for offering their time and expertise in guiding the project. Within the University of Sheffield, I would also like to thank Beky </w:t>
      </w:r>
      <w:proofErr w:type="spellStart"/>
      <w:r w:rsidRPr="00875953">
        <w:t>Hasnip</w:t>
      </w:r>
      <w:proofErr w:type="spellEnd"/>
      <w:r w:rsidRPr="00875953">
        <w:t xml:space="preserve"> for her guidance throughout my postgraduate studies at the University of Sheffield, Hayley Rennie for being my mentor, particularly during the difficult days of the pandemic, James Foley from the English Language Teaching Centre for his guidance and encouragement, Rory Hanna for the opportunity of sharing my research with the Modern International History Group within the University of Sheffield. In my more formative years as an undergraduate student, I owe much thanks to Professor Hugo Frey of the University of Chichester for his encouragement and guidance as my supervisor and personal tutor. I would also like to thank the staff at the Derby Local Studies Library, in particular, Mark Young and Mandy </w:t>
      </w:r>
      <w:proofErr w:type="spellStart"/>
      <w:r w:rsidRPr="00875953">
        <w:t>Henchliffe</w:t>
      </w:r>
      <w:proofErr w:type="spellEnd"/>
      <w:r w:rsidRPr="00875953">
        <w:t xml:space="preserve">, for their assistance and unwavering support of my postgraduate studies. I would also like to thank the staff at the John Rylands Library for helping me access the primary sources throughout the pandemic. My thanks must also go to Maxwell Craven, Dr Stephen Walker, and Karen Willis of the University of Keele, who have offered different perspectives on the Evans family, and the cotton trade and their support for my research. Additional thanks must go to the Allestree Local History Group and their support and assistance in researching the Boar’s Head Cotton Mills. Shirley Smith, the group archivist, has allowed access to documents relating to the Evans family. Other thanks must go to Dr Matthew Pitt, Mike Hannah, Michael Cooke, Gerald Price, and Mavis Riley for their support on the Allestree Local History Group Committee and the members for voting me onto the committee since 2022. On a more personal level, I am grateful to my parents for providing me with a home and all life necessities while pursuing this project. Dr Umberto Montanaro, thank you for being a guide in navigating doctoral studies and offering unwavering support for someone who was the first in my family to earn a degree, let alone a postgraduate qualification or doctorate. </w:t>
      </w:r>
      <w:r w:rsidR="000A3805" w:rsidRPr="00875953">
        <w:t>Finally,</w:t>
      </w:r>
      <w:r w:rsidRPr="00875953">
        <w:t xml:space="preserve"> and importantly, I would like to thank Matthew Till, Louise Cronin, Lucy Houghton, and Lisa </w:t>
      </w:r>
      <w:proofErr w:type="spellStart"/>
      <w:r w:rsidRPr="00875953">
        <w:t>Mourbey</w:t>
      </w:r>
      <w:proofErr w:type="spellEnd"/>
      <w:r w:rsidRPr="00875953">
        <w:t xml:space="preserve"> for being a fundamental support network to me throughout my time as a postgraduate student.</w:t>
      </w:r>
    </w:p>
    <w:p w14:paraId="17726524" w14:textId="557F96BA" w:rsidR="00197C8B" w:rsidRPr="00BF708E" w:rsidRDefault="00875953" w:rsidP="00BF708E">
      <w:pPr>
        <w:pStyle w:val="Heading1"/>
        <w:rPr>
          <w:rFonts w:asciiTheme="minorHAnsi" w:hAnsiTheme="minorHAnsi" w:cstheme="minorHAnsi"/>
          <w:b/>
          <w:bCs/>
          <w:color w:val="auto"/>
          <w:sz w:val="28"/>
          <w:szCs w:val="28"/>
        </w:rPr>
      </w:pPr>
      <w:bookmarkStart w:id="4" w:name="_Toc170825650"/>
      <w:r w:rsidRPr="00BF708E">
        <w:rPr>
          <w:rFonts w:asciiTheme="minorHAnsi" w:hAnsiTheme="minorHAnsi" w:cstheme="minorHAnsi"/>
          <w:b/>
          <w:bCs/>
          <w:color w:val="auto"/>
          <w:sz w:val="28"/>
          <w:szCs w:val="28"/>
        </w:rPr>
        <w:lastRenderedPageBreak/>
        <w:t xml:space="preserve">Abbreviations </w:t>
      </w:r>
      <w:r w:rsidR="00197C8B" w:rsidRPr="00BF708E">
        <w:rPr>
          <w:rFonts w:asciiTheme="minorHAnsi" w:hAnsiTheme="minorHAnsi" w:cstheme="minorHAnsi"/>
          <w:b/>
          <w:bCs/>
          <w:color w:val="auto"/>
          <w:sz w:val="28"/>
          <w:szCs w:val="28"/>
        </w:rPr>
        <w:t>u</w:t>
      </w:r>
      <w:r w:rsidR="004B3E03" w:rsidRPr="00BF708E">
        <w:rPr>
          <w:rFonts w:asciiTheme="minorHAnsi" w:hAnsiTheme="minorHAnsi" w:cstheme="minorHAnsi"/>
          <w:b/>
          <w:bCs/>
          <w:color w:val="auto"/>
          <w:sz w:val="28"/>
          <w:szCs w:val="28"/>
        </w:rPr>
        <w:t xml:space="preserve">sed </w:t>
      </w:r>
      <w:r w:rsidR="00197C8B" w:rsidRPr="00BF708E">
        <w:rPr>
          <w:rFonts w:asciiTheme="minorHAnsi" w:hAnsiTheme="minorHAnsi" w:cstheme="minorHAnsi"/>
          <w:b/>
          <w:bCs/>
          <w:color w:val="auto"/>
          <w:sz w:val="28"/>
          <w:szCs w:val="28"/>
        </w:rPr>
        <w:t>t</w:t>
      </w:r>
      <w:r w:rsidR="004B3E03" w:rsidRPr="00BF708E">
        <w:rPr>
          <w:rFonts w:asciiTheme="minorHAnsi" w:hAnsiTheme="minorHAnsi" w:cstheme="minorHAnsi"/>
          <w:b/>
          <w:bCs/>
          <w:color w:val="auto"/>
          <w:sz w:val="28"/>
          <w:szCs w:val="28"/>
        </w:rPr>
        <w:t>hroughout the</w:t>
      </w:r>
      <w:r w:rsidR="00BF708E" w:rsidRPr="00BF708E">
        <w:rPr>
          <w:rFonts w:asciiTheme="minorHAnsi" w:hAnsiTheme="minorHAnsi" w:cstheme="minorHAnsi"/>
          <w:b/>
          <w:bCs/>
          <w:color w:val="auto"/>
          <w:sz w:val="28"/>
          <w:szCs w:val="28"/>
        </w:rPr>
        <w:t xml:space="preserve"> </w:t>
      </w:r>
      <w:r w:rsidR="00197C8B" w:rsidRPr="00BF708E">
        <w:rPr>
          <w:rFonts w:asciiTheme="minorHAnsi" w:hAnsiTheme="minorHAnsi" w:cstheme="minorHAnsi"/>
          <w:b/>
          <w:bCs/>
          <w:color w:val="auto"/>
          <w:sz w:val="28"/>
          <w:szCs w:val="28"/>
        </w:rPr>
        <w:t>Thesis</w:t>
      </w:r>
      <w:bookmarkEnd w:id="4"/>
    </w:p>
    <w:p w14:paraId="77BDF89A" w14:textId="77777777" w:rsidR="00197C8B" w:rsidRDefault="00197C8B" w:rsidP="00664EA8">
      <w:pPr>
        <w:pStyle w:val="NoSpacing"/>
        <w:rPr>
          <w:b/>
          <w:bCs/>
          <w:sz w:val="28"/>
          <w:szCs w:val="28"/>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126"/>
      </w:tblGrid>
      <w:tr w:rsidR="00A8556E" w:rsidRPr="00A8556E" w14:paraId="456BB909" w14:textId="77777777" w:rsidTr="00565A30">
        <w:tc>
          <w:tcPr>
            <w:tcW w:w="4508" w:type="dxa"/>
          </w:tcPr>
          <w:p w14:paraId="6C61C49E" w14:textId="77777777" w:rsidR="00A8556E" w:rsidRDefault="00A8556E" w:rsidP="00A8556E">
            <w:pPr>
              <w:rPr>
                <w:rFonts w:ascii="Calibri" w:eastAsia="Aptos" w:hAnsi="Calibri" w:cs="Calibri"/>
              </w:rPr>
            </w:pPr>
            <w:r w:rsidRPr="00A8556E">
              <w:rPr>
                <w:rFonts w:ascii="Calibri" w:eastAsia="Aptos" w:hAnsi="Calibri" w:cs="Calibri"/>
              </w:rPr>
              <w:t>BS 677 EVA DL119</w:t>
            </w:r>
          </w:p>
          <w:p w14:paraId="64539001" w14:textId="77777777" w:rsidR="00565A30" w:rsidRPr="00A8556E" w:rsidRDefault="00565A30" w:rsidP="00A8556E">
            <w:pPr>
              <w:rPr>
                <w:rFonts w:ascii="Calibri" w:eastAsia="Aptos" w:hAnsi="Calibri" w:cs="Calibri"/>
              </w:rPr>
            </w:pPr>
          </w:p>
        </w:tc>
        <w:tc>
          <w:tcPr>
            <w:tcW w:w="5126" w:type="dxa"/>
          </w:tcPr>
          <w:p w14:paraId="74C85B83" w14:textId="77777777" w:rsidR="00A8556E" w:rsidRPr="00A8556E" w:rsidRDefault="00A8556E" w:rsidP="00A8556E">
            <w:pPr>
              <w:rPr>
                <w:rFonts w:ascii="Calibri" w:eastAsia="Aptos" w:hAnsi="Calibri" w:cs="Calibri"/>
              </w:rPr>
            </w:pPr>
            <w:r w:rsidRPr="00A8556E">
              <w:rPr>
                <w:rFonts w:ascii="Calibri" w:eastAsia="Aptos" w:hAnsi="Calibri" w:cs="Calibri"/>
              </w:rPr>
              <w:t>Derby Libraries Accession Number</w:t>
            </w:r>
          </w:p>
        </w:tc>
      </w:tr>
      <w:tr w:rsidR="00A8556E" w:rsidRPr="00A8556E" w14:paraId="04AA2C39" w14:textId="77777777" w:rsidTr="00565A30">
        <w:tc>
          <w:tcPr>
            <w:tcW w:w="4508" w:type="dxa"/>
          </w:tcPr>
          <w:p w14:paraId="50A65F44" w14:textId="77777777" w:rsidR="00A8556E" w:rsidRPr="00A8556E" w:rsidRDefault="00A8556E" w:rsidP="00A8556E">
            <w:pPr>
              <w:rPr>
                <w:rFonts w:ascii="Calibri" w:eastAsia="Calibri" w:hAnsi="Calibri" w:cs="Calibri"/>
              </w:rPr>
            </w:pPr>
            <w:r w:rsidRPr="00A8556E">
              <w:rPr>
                <w:rFonts w:ascii="Calibri" w:eastAsia="Calibri" w:hAnsi="Calibri" w:cs="Calibri"/>
              </w:rPr>
              <w:t>DLSL</w:t>
            </w:r>
          </w:p>
          <w:p w14:paraId="19A19B1B" w14:textId="77777777" w:rsidR="00A8556E" w:rsidRPr="00A8556E" w:rsidRDefault="00A8556E" w:rsidP="00A8556E">
            <w:pPr>
              <w:rPr>
                <w:rFonts w:ascii="Calibri" w:eastAsia="Aptos" w:hAnsi="Calibri" w:cs="Calibri"/>
              </w:rPr>
            </w:pPr>
          </w:p>
        </w:tc>
        <w:tc>
          <w:tcPr>
            <w:tcW w:w="5126" w:type="dxa"/>
          </w:tcPr>
          <w:p w14:paraId="67C827C2" w14:textId="77777777" w:rsidR="00A8556E" w:rsidRPr="00A8556E" w:rsidRDefault="00A8556E" w:rsidP="00A8556E">
            <w:pPr>
              <w:rPr>
                <w:rFonts w:ascii="Calibri" w:eastAsia="Aptos" w:hAnsi="Calibri" w:cs="Calibri"/>
              </w:rPr>
            </w:pPr>
            <w:r w:rsidRPr="00A8556E">
              <w:rPr>
                <w:rFonts w:ascii="Calibri" w:eastAsia="Calibri" w:hAnsi="Calibri" w:cs="Calibri"/>
              </w:rPr>
              <w:t>Derby Local Studies Library, Derby</w:t>
            </w:r>
          </w:p>
        </w:tc>
      </w:tr>
      <w:tr w:rsidR="00A8556E" w:rsidRPr="00A8556E" w14:paraId="6BA560C0" w14:textId="77777777" w:rsidTr="00565A30">
        <w:tc>
          <w:tcPr>
            <w:tcW w:w="4508" w:type="dxa"/>
          </w:tcPr>
          <w:p w14:paraId="6B3CC708" w14:textId="77777777" w:rsidR="00A8556E" w:rsidRDefault="00A8556E" w:rsidP="00A8556E">
            <w:pPr>
              <w:rPr>
                <w:rFonts w:ascii="Calibri" w:eastAsia="Calibri" w:hAnsi="Calibri" w:cs="Calibri"/>
              </w:rPr>
            </w:pPr>
            <w:r w:rsidRPr="00A8556E">
              <w:rPr>
                <w:rFonts w:ascii="Calibri" w:eastAsia="Calibri" w:hAnsi="Calibri" w:cs="Calibri"/>
              </w:rPr>
              <w:t>DRO</w:t>
            </w:r>
          </w:p>
          <w:p w14:paraId="0F6F4C05" w14:textId="77777777" w:rsidR="00565A30" w:rsidRPr="00A8556E" w:rsidRDefault="00565A30" w:rsidP="00A8556E">
            <w:pPr>
              <w:rPr>
                <w:rFonts w:ascii="Calibri" w:eastAsia="Aptos" w:hAnsi="Calibri" w:cs="Calibri"/>
              </w:rPr>
            </w:pPr>
          </w:p>
        </w:tc>
        <w:tc>
          <w:tcPr>
            <w:tcW w:w="5126" w:type="dxa"/>
          </w:tcPr>
          <w:p w14:paraId="3BC40FF8" w14:textId="77777777" w:rsidR="00A8556E" w:rsidRPr="00A8556E" w:rsidRDefault="00A8556E" w:rsidP="00A8556E">
            <w:pPr>
              <w:rPr>
                <w:rFonts w:ascii="Calibri" w:eastAsia="Aptos" w:hAnsi="Calibri" w:cs="Calibri"/>
              </w:rPr>
            </w:pPr>
            <w:r w:rsidRPr="00A8556E">
              <w:rPr>
                <w:rFonts w:ascii="Calibri" w:eastAsia="Calibri" w:hAnsi="Calibri" w:cs="Calibri"/>
              </w:rPr>
              <w:t>Derbyshire Records Office, Matlock, Derbyshire</w:t>
            </w:r>
          </w:p>
        </w:tc>
      </w:tr>
      <w:tr w:rsidR="00A8556E" w:rsidRPr="00A8556E" w14:paraId="05385F62" w14:textId="77777777" w:rsidTr="00565A30">
        <w:tc>
          <w:tcPr>
            <w:tcW w:w="4508" w:type="dxa"/>
          </w:tcPr>
          <w:p w14:paraId="427DA6C7" w14:textId="77777777" w:rsidR="00A8556E" w:rsidRPr="00A8556E" w:rsidRDefault="00A8556E" w:rsidP="00A8556E">
            <w:pPr>
              <w:rPr>
                <w:rFonts w:ascii="Calibri" w:eastAsia="Calibri" w:hAnsi="Calibri" w:cs="Calibri"/>
              </w:rPr>
            </w:pPr>
            <w:r w:rsidRPr="00A8556E">
              <w:rPr>
                <w:rFonts w:ascii="Calibri" w:eastAsia="Aptos" w:hAnsi="Calibri" w:cs="Calibri"/>
              </w:rPr>
              <w:t>EVA CB R1</w:t>
            </w:r>
          </w:p>
          <w:p w14:paraId="6973F20A" w14:textId="77777777" w:rsidR="00A8556E" w:rsidRPr="00A8556E" w:rsidRDefault="00A8556E" w:rsidP="00A8556E">
            <w:pPr>
              <w:rPr>
                <w:rFonts w:ascii="Calibri" w:eastAsia="Aptos" w:hAnsi="Calibri" w:cs="Calibri"/>
              </w:rPr>
            </w:pPr>
          </w:p>
        </w:tc>
        <w:tc>
          <w:tcPr>
            <w:tcW w:w="5126" w:type="dxa"/>
          </w:tcPr>
          <w:p w14:paraId="201949FE" w14:textId="77777777" w:rsidR="00A8556E" w:rsidRPr="00A8556E" w:rsidRDefault="00A8556E" w:rsidP="00A8556E">
            <w:pPr>
              <w:rPr>
                <w:rFonts w:ascii="Calibri" w:eastAsia="Aptos" w:hAnsi="Calibri" w:cs="Calibri"/>
              </w:rPr>
            </w:pPr>
            <w:r w:rsidRPr="00A8556E">
              <w:rPr>
                <w:rFonts w:ascii="Calibri" w:eastAsia="Aptos" w:hAnsi="Calibri" w:cs="Calibri"/>
              </w:rPr>
              <w:t>Evans Correspondence Book, Reel 1</w:t>
            </w:r>
          </w:p>
        </w:tc>
      </w:tr>
      <w:tr w:rsidR="00A8556E" w:rsidRPr="00A8556E" w14:paraId="43634496" w14:textId="77777777" w:rsidTr="00565A30">
        <w:tc>
          <w:tcPr>
            <w:tcW w:w="4508" w:type="dxa"/>
          </w:tcPr>
          <w:p w14:paraId="14D950A6" w14:textId="77777777" w:rsidR="00A8556E" w:rsidRDefault="00A8556E" w:rsidP="00A8556E">
            <w:pPr>
              <w:rPr>
                <w:rFonts w:ascii="Calibri" w:eastAsia="Aptos" w:hAnsi="Calibri" w:cs="Calibri"/>
              </w:rPr>
            </w:pPr>
            <w:r w:rsidRPr="00A8556E">
              <w:rPr>
                <w:rFonts w:ascii="Calibri" w:eastAsia="Aptos" w:hAnsi="Calibri" w:cs="Calibri"/>
              </w:rPr>
              <w:t>EVA LB R2</w:t>
            </w:r>
          </w:p>
          <w:p w14:paraId="5EAFD85D" w14:textId="77777777" w:rsidR="00565A30" w:rsidRPr="00A8556E" w:rsidRDefault="00565A30" w:rsidP="00A8556E">
            <w:pPr>
              <w:rPr>
                <w:rFonts w:ascii="Calibri" w:eastAsia="Aptos" w:hAnsi="Calibri" w:cs="Calibri"/>
              </w:rPr>
            </w:pPr>
          </w:p>
        </w:tc>
        <w:tc>
          <w:tcPr>
            <w:tcW w:w="5126" w:type="dxa"/>
          </w:tcPr>
          <w:p w14:paraId="1B0C569B" w14:textId="77777777" w:rsidR="00A8556E" w:rsidRPr="00A8556E" w:rsidRDefault="00A8556E" w:rsidP="00A8556E">
            <w:pPr>
              <w:rPr>
                <w:rFonts w:ascii="Calibri" w:eastAsia="Aptos" w:hAnsi="Calibri" w:cs="Calibri"/>
              </w:rPr>
            </w:pPr>
            <w:r w:rsidRPr="00A8556E">
              <w:rPr>
                <w:rFonts w:ascii="Calibri" w:eastAsia="Aptos" w:hAnsi="Calibri" w:cs="Calibri"/>
              </w:rPr>
              <w:t>Evans Ledger Book, Reel 2</w:t>
            </w:r>
          </w:p>
        </w:tc>
      </w:tr>
      <w:tr w:rsidR="00A8556E" w:rsidRPr="00A8556E" w14:paraId="67A8D1A4" w14:textId="77777777" w:rsidTr="00565A30">
        <w:tc>
          <w:tcPr>
            <w:tcW w:w="4508" w:type="dxa"/>
          </w:tcPr>
          <w:p w14:paraId="08EBB17F" w14:textId="77777777" w:rsidR="00A8556E" w:rsidRDefault="00A8556E" w:rsidP="00A8556E">
            <w:pPr>
              <w:rPr>
                <w:rFonts w:ascii="Calibri" w:eastAsia="Aptos" w:hAnsi="Calibri" w:cs="Calibri"/>
              </w:rPr>
            </w:pPr>
            <w:r w:rsidRPr="00A8556E">
              <w:rPr>
                <w:rFonts w:ascii="Calibri" w:eastAsia="Aptos" w:hAnsi="Calibri" w:cs="Calibri"/>
              </w:rPr>
              <w:t>EVA LB R3</w:t>
            </w:r>
          </w:p>
          <w:p w14:paraId="524B04E2" w14:textId="77777777" w:rsidR="00565A30" w:rsidRPr="00A8556E" w:rsidRDefault="00565A30" w:rsidP="00A8556E">
            <w:pPr>
              <w:rPr>
                <w:rFonts w:ascii="Calibri" w:eastAsia="Aptos" w:hAnsi="Calibri" w:cs="Calibri"/>
              </w:rPr>
            </w:pPr>
          </w:p>
        </w:tc>
        <w:tc>
          <w:tcPr>
            <w:tcW w:w="5126" w:type="dxa"/>
          </w:tcPr>
          <w:p w14:paraId="23073C80" w14:textId="77777777" w:rsidR="00A8556E" w:rsidRPr="00A8556E" w:rsidRDefault="00A8556E" w:rsidP="00A8556E">
            <w:pPr>
              <w:rPr>
                <w:rFonts w:ascii="Calibri" w:eastAsia="Aptos" w:hAnsi="Calibri" w:cs="Calibri"/>
              </w:rPr>
            </w:pPr>
            <w:r w:rsidRPr="00A8556E">
              <w:rPr>
                <w:rFonts w:ascii="Calibri" w:eastAsia="Aptos" w:hAnsi="Calibri" w:cs="Calibri"/>
              </w:rPr>
              <w:t>Evans Ledger Book, Reel 3</w:t>
            </w:r>
          </w:p>
        </w:tc>
      </w:tr>
      <w:tr w:rsidR="00A8556E" w:rsidRPr="00A8556E" w14:paraId="1E5A6172" w14:textId="77777777" w:rsidTr="00565A30">
        <w:tc>
          <w:tcPr>
            <w:tcW w:w="4508" w:type="dxa"/>
          </w:tcPr>
          <w:p w14:paraId="527F63EF" w14:textId="3426F598" w:rsidR="00A8556E" w:rsidRPr="00A8556E" w:rsidRDefault="00A8556E" w:rsidP="00A8556E">
            <w:pPr>
              <w:rPr>
                <w:rFonts w:ascii="Calibri" w:eastAsia="Calibri" w:hAnsi="Calibri" w:cs="Calibri"/>
              </w:rPr>
            </w:pPr>
            <w:r w:rsidRPr="00A8556E">
              <w:rPr>
                <w:rFonts w:ascii="Calibri" w:eastAsia="Calibri" w:hAnsi="Calibri" w:cs="Calibri"/>
              </w:rPr>
              <w:t>MCK</w:t>
            </w:r>
            <w:r w:rsidR="00C30CEC">
              <w:rPr>
                <w:rFonts w:ascii="Calibri" w:eastAsia="Calibri" w:hAnsi="Calibri" w:cs="Calibri"/>
              </w:rPr>
              <w:t xml:space="preserve"> (GB 133) </w:t>
            </w:r>
          </w:p>
          <w:p w14:paraId="7C299C1D" w14:textId="77777777" w:rsidR="00A8556E" w:rsidRPr="00A8556E" w:rsidRDefault="00A8556E" w:rsidP="00A8556E">
            <w:pPr>
              <w:rPr>
                <w:rFonts w:ascii="Calibri" w:eastAsia="Aptos" w:hAnsi="Calibri" w:cs="Calibri"/>
              </w:rPr>
            </w:pPr>
          </w:p>
        </w:tc>
        <w:tc>
          <w:tcPr>
            <w:tcW w:w="5126" w:type="dxa"/>
          </w:tcPr>
          <w:p w14:paraId="635711FF" w14:textId="77777777" w:rsidR="00A8556E" w:rsidRPr="00A8556E" w:rsidRDefault="00A8556E" w:rsidP="00A8556E">
            <w:pPr>
              <w:rPr>
                <w:rFonts w:ascii="Calibri" w:eastAsia="Aptos" w:hAnsi="Calibri" w:cs="Calibri"/>
              </w:rPr>
            </w:pPr>
            <w:r w:rsidRPr="00A8556E">
              <w:rPr>
                <w:rFonts w:ascii="Calibri" w:eastAsia="Calibri" w:hAnsi="Calibri" w:cs="Calibri"/>
              </w:rPr>
              <w:t>McConnel &amp; Kennedy Firm</w:t>
            </w:r>
          </w:p>
        </w:tc>
      </w:tr>
      <w:tr w:rsidR="00A8556E" w:rsidRPr="00A8556E" w14:paraId="0090666C" w14:textId="77777777" w:rsidTr="00565A30">
        <w:tc>
          <w:tcPr>
            <w:tcW w:w="4508" w:type="dxa"/>
          </w:tcPr>
          <w:p w14:paraId="0C5904EB" w14:textId="77777777" w:rsidR="00A8556E" w:rsidRPr="00A8556E" w:rsidRDefault="00A8556E" w:rsidP="00A8556E">
            <w:pPr>
              <w:rPr>
                <w:rFonts w:ascii="Calibri" w:eastAsia="Calibri" w:hAnsi="Calibri" w:cs="Calibri"/>
              </w:rPr>
            </w:pPr>
            <w:r w:rsidRPr="00A8556E">
              <w:rPr>
                <w:rFonts w:ascii="Calibri" w:eastAsia="Calibri" w:hAnsi="Calibri" w:cs="Calibri"/>
              </w:rPr>
              <w:t xml:space="preserve">JRL </w:t>
            </w:r>
          </w:p>
          <w:p w14:paraId="4E1E6F2E" w14:textId="77777777" w:rsidR="00A8556E" w:rsidRPr="00A8556E" w:rsidRDefault="00A8556E" w:rsidP="00A8556E">
            <w:pPr>
              <w:rPr>
                <w:rFonts w:ascii="Calibri" w:eastAsia="Aptos" w:hAnsi="Calibri" w:cs="Calibri"/>
              </w:rPr>
            </w:pPr>
          </w:p>
        </w:tc>
        <w:tc>
          <w:tcPr>
            <w:tcW w:w="5126" w:type="dxa"/>
          </w:tcPr>
          <w:p w14:paraId="009C2051" w14:textId="77777777" w:rsidR="00A8556E" w:rsidRPr="00A8556E" w:rsidRDefault="00A8556E" w:rsidP="00A8556E">
            <w:pPr>
              <w:rPr>
                <w:rFonts w:ascii="Calibri" w:eastAsia="Aptos" w:hAnsi="Calibri" w:cs="Calibri"/>
              </w:rPr>
            </w:pPr>
            <w:r w:rsidRPr="00A8556E">
              <w:rPr>
                <w:rFonts w:ascii="Calibri" w:eastAsia="Calibri" w:hAnsi="Calibri" w:cs="Calibri"/>
              </w:rPr>
              <w:t>John Rylands Library, Manchester</w:t>
            </w:r>
          </w:p>
        </w:tc>
      </w:tr>
      <w:tr w:rsidR="00A8556E" w:rsidRPr="00A8556E" w14:paraId="180AB2F7" w14:textId="77777777" w:rsidTr="00565A30">
        <w:tc>
          <w:tcPr>
            <w:tcW w:w="4508" w:type="dxa"/>
          </w:tcPr>
          <w:p w14:paraId="3EB5EA0B" w14:textId="77777777" w:rsidR="00A8556E" w:rsidRPr="00A8556E" w:rsidRDefault="00A8556E" w:rsidP="00A8556E">
            <w:pPr>
              <w:rPr>
                <w:rFonts w:ascii="Calibri" w:eastAsia="Calibri" w:hAnsi="Calibri" w:cs="Calibri"/>
              </w:rPr>
            </w:pPr>
            <w:r w:rsidRPr="00A8556E">
              <w:rPr>
                <w:rFonts w:ascii="Calibri" w:eastAsia="Calibri" w:hAnsi="Calibri" w:cs="Calibri"/>
              </w:rPr>
              <w:t>SRO</w:t>
            </w:r>
          </w:p>
          <w:p w14:paraId="63E07ECC" w14:textId="77777777" w:rsidR="00A8556E" w:rsidRPr="00A8556E" w:rsidRDefault="00A8556E" w:rsidP="00A8556E">
            <w:pPr>
              <w:rPr>
                <w:rFonts w:ascii="Calibri" w:eastAsia="Calibri" w:hAnsi="Calibri" w:cs="Calibri"/>
              </w:rPr>
            </w:pPr>
          </w:p>
        </w:tc>
        <w:tc>
          <w:tcPr>
            <w:tcW w:w="5126" w:type="dxa"/>
          </w:tcPr>
          <w:p w14:paraId="366D3EB0" w14:textId="77777777" w:rsidR="00A8556E" w:rsidRPr="00A8556E" w:rsidRDefault="00A8556E" w:rsidP="00A8556E">
            <w:pPr>
              <w:rPr>
                <w:rFonts w:ascii="Calibri" w:eastAsia="Calibri" w:hAnsi="Calibri" w:cs="Calibri"/>
              </w:rPr>
            </w:pPr>
            <w:r w:rsidRPr="00A8556E">
              <w:rPr>
                <w:rFonts w:ascii="Calibri" w:eastAsia="Calibri" w:hAnsi="Calibri" w:cs="Calibri"/>
              </w:rPr>
              <w:t xml:space="preserve">Staffordshire Records Office, Stafford, Staffordshire  </w:t>
            </w:r>
          </w:p>
        </w:tc>
      </w:tr>
    </w:tbl>
    <w:p w14:paraId="5ED3DD06" w14:textId="77777777" w:rsidR="00197C8B" w:rsidRDefault="00197C8B" w:rsidP="00664EA8">
      <w:pPr>
        <w:pStyle w:val="NoSpacing"/>
        <w:rPr>
          <w:b/>
          <w:bCs/>
          <w:sz w:val="28"/>
          <w:szCs w:val="28"/>
        </w:rPr>
      </w:pPr>
    </w:p>
    <w:p w14:paraId="3224B03C" w14:textId="6669B8A2" w:rsidR="006402BB" w:rsidRDefault="00A8556E" w:rsidP="00664EA8">
      <w:pPr>
        <w:pStyle w:val="NoSpacing"/>
        <w:rPr>
          <w:b/>
          <w:bCs/>
          <w:sz w:val="28"/>
          <w:szCs w:val="28"/>
        </w:rPr>
      </w:pPr>
      <w:r w:rsidRPr="00A8556E">
        <w:rPr>
          <w:b/>
          <w:bCs/>
          <w:sz w:val="28"/>
          <w:szCs w:val="28"/>
        </w:rPr>
        <w:t>List of Charts and Tables</w:t>
      </w:r>
    </w:p>
    <w:p w14:paraId="3D595521" w14:textId="77777777" w:rsidR="00A8556E" w:rsidRDefault="00A8556E" w:rsidP="00664EA8">
      <w:pPr>
        <w:pStyle w:val="NoSpacing"/>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6520"/>
        <w:gridCol w:w="1508"/>
      </w:tblGrid>
      <w:tr w:rsidR="00A8556E" w:rsidRPr="00A8556E" w14:paraId="6929DEAD" w14:textId="77777777" w:rsidTr="00565A30">
        <w:tc>
          <w:tcPr>
            <w:tcW w:w="988" w:type="dxa"/>
          </w:tcPr>
          <w:p w14:paraId="32603755" w14:textId="692DEAC9" w:rsidR="00A8556E" w:rsidRPr="00A8556E" w:rsidRDefault="00A8556E" w:rsidP="00664EA8">
            <w:pPr>
              <w:pStyle w:val="NoSpacing"/>
            </w:pPr>
            <w:r w:rsidRPr="00A8556E">
              <w:t>Figure 1</w:t>
            </w:r>
          </w:p>
        </w:tc>
        <w:tc>
          <w:tcPr>
            <w:tcW w:w="6520" w:type="dxa"/>
          </w:tcPr>
          <w:p w14:paraId="303783C8" w14:textId="63A71FF9" w:rsidR="00A8556E" w:rsidRPr="00A8556E" w:rsidRDefault="00A8556E" w:rsidP="00664EA8">
            <w:pPr>
              <w:pStyle w:val="NoSpacing"/>
            </w:pPr>
            <w:r w:rsidRPr="00A8556E">
              <w:t>Family Tree Chart for the Evans Family</w:t>
            </w:r>
          </w:p>
        </w:tc>
        <w:tc>
          <w:tcPr>
            <w:tcW w:w="1508" w:type="dxa"/>
          </w:tcPr>
          <w:p w14:paraId="5CC76992" w14:textId="350C4B5A" w:rsidR="00A8556E" w:rsidRPr="00A8556E" w:rsidRDefault="00A8556E" w:rsidP="00664EA8">
            <w:pPr>
              <w:pStyle w:val="NoSpacing"/>
            </w:pPr>
            <w:r w:rsidRPr="00A8556E">
              <w:t>Page 33</w:t>
            </w:r>
          </w:p>
        </w:tc>
      </w:tr>
      <w:tr w:rsidR="00A8556E" w14:paraId="6F2A267C" w14:textId="77777777" w:rsidTr="00565A30">
        <w:tc>
          <w:tcPr>
            <w:tcW w:w="988" w:type="dxa"/>
          </w:tcPr>
          <w:p w14:paraId="06508E7C" w14:textId="25B332FD" w:rsidR="00A8556E" w:rsidRPr="00565A30" w:rsidRDefault="00565A30" w:rsidP="00664EA8">
            <w:pPr>
              <w:pStyle w:val="NoSpacing"/>
            </w:pPr>
            <w:r w:rsidRPr="00565A30">
              <w:t>Figure 2</w:t>
            </w:r>
          </w:p>
        </w:tc>
        <w:tc>
          <w:tcPr>
            <w:tcW w:w="6520" w:type="dxa"/>
          </w:tcPr>
          <w:p w14:paraId="5B76D348" w14:textId="775FFD98" w:rsidR="00A8556E" w:rsidRPr="00565A30" w:rsidRDefault="00565A30" w:rsidP="00664EA8">
            <w:pPr>
              <w:pStyle w:val="NoSpacing"/>
            </w:pPr>
            <w:r w:rsidRPr="00565A30">
              <w:t>Family Tree Chart for the Kennedy Family</w:t>
            </w:r>
          </w:p>
        </w:tc>
        <w:tc>
          <w:tcPr>
            <w:tcW w:w="1508" w:type="dxa"/>
          </w:tcPr>
          <w:p w14:paraId="78945FBF" w14:textId="2B7E2B87" w:rsidR="00A8556E" w:rsidRPr="00565A30" w:rsidRDefault="00565A30" w:rsidP="00664EA8">
            <w:pPr>
              <w:pStyle w:val="NoSpacing"/>
            </w:pPr>
            <w:r>
              <w:t>Page 36</w:t>
            </w:r>
          </w:p>
        </w:tc>
      </w:tr>
      <w:tr w:rsidR="00A8556E" w14:paraId="6643C641" w14:textId="77777777" w:rsidTr="00565A30">
        <w:tc>
          <w:tcPr>
            <w:tcW w:w="988" w:type="dxa"/>
          </w:tcPr>
          <w:p w14:paraId="3F1345E1" w14:textId="014F700C" w:rsidR="00A8556E" w:rsidRPr="00565A30" w:rsidRDefault="00565A30" w:rsidP="00664EA8">
            <w:pPr>
              <w:pStyle w:val="NoSpacing"/>
            </w:pPr>
            <w:r w:rsidRPr="00565A30">
              <w:t>Figure 3</w:t>
            </w:r>
          </w:p>
        </w:tc>
        <w:tc>
          <w:tcPr>
            <w:tcW w:w="6520" w:type="dxa"/>
          </w:tcPr>
          <w:p w14:paraId="616C92B1" w14:textId="32B5A6BF" w:rsidR="00A8556E" w:rsidRPr="00565A30" w:rsidRDefault="00565A30" w:rsidP="00664EA8">
            <w:pPr>
              <w:pStyle w:val="NoSpacing"/>
            </w:pPr>
            <w:r>
              <w:t>Family Tree Chart for the McConnel Family</w:t>
            </w:r>
          </w:p>
        </w:tc>
        <w:tc>
          <w:tcPr>
            <w:tcW w:w="1508" w:type="dxa"/>
          </w:tcPr>
          <w:p w14:paraId="1D4474DB" w14:textId="2938DD0D" w:rsidR="00A8556E" w:rsidRPr="00565A30" w:rsidRDefault="00565A30" w:rsidP="00664EA8">
            <w:pPr>
              <w:pStyle w:val="NoSpacing"/>
            </w:pPr>
            <w:r>
              <w:t>Page 37</w:t>
            </w:r>
          </w:p>
        </w:tc>
      </w:tr>
      <w:tr w:rsidR="00A8556E" w14:paraId="6D3C07F4" w14:textId="77777777" w:rsidTr="00565A30">
        <w:tc>
          <w:tcPr>
            <w:tcW w:w="988" w:type="dxa"/>
          </w:tcPr>
          <w:p w14:paraId="51199D81" w14:textId="63C10C41" w:rsidR="00A8556E" w:rsidRPr="00565A30" w:rsidRDefault="00565A30" w:rsidP="00664EA8">
            <w:pPr>
              <w:pStyle w:val="NoSpacing"/>
            </w:pPr>
            <w:r w:rsidRPr="00565A30">
              <w:t>Figure 4</w:t>
            </w:r>
          </w:p>
        </w:tc>
        <w:tc>
          <w:tcPr>
            <w:tcW w:w="6520" w:type="dxa"/>
          </w:tcPr>
          <w:p w14:paraId="5EBC3B4C" w14:textId="3B4E26C4" w:rsidR="00A8556E" w:rsidRPr="00565A30" w:rsidRDefault="00565A30" w:rsidP="00664EA8">
            <w:pPr>
              <w:pStyle w:val="NoSpacing"/>
            </w:pPr>
            <w:r w:rsidRPr="00565A30">
              <w:t>Table 1 – The Leading Suppliers of Raw Cotton to M</w:t>
            </w:r>
            <w:r>
              <w:t>cConnel &amp; Kennedy 1795-1809</w:t>
            </w:r>
          </w:p>
        </w:tc>
        <w:tc>
          <w:tcPr>
            <w:tcW w:w="1508" w:type="dxa"/>
          </w:tcPr>
          <w:p w14:paraId="763BBFDA" w14:textId="79D9705A" w:rsidR="00A8556E" w:rsidRPr="00565A30" w:rsidRDefault="00565A30" w:rsidP="00664EA8">
            <w:pPr>
              <w:pStyle w:val="NoSpacing"/>
            </w:pPr>
            <w:r>
              <w:t>Page 119</w:t>
            </w:r>
          </w:p>
        </w:tc>
      </w:tr>
      <w:tr w:rsidR="00A8556E" w14:paraId="3F717A55" w14:textId="77777777" w:rsidTr="00565A30">
        <w:tc>
          <w:tcPr>
            <w:tcW w:w="988" w:type="dxa"/>
          </w:tcPr>
          <w:p w14:paraId="3309FBED" w14:textId="3145CDA3" w:rsidR="00A8556E" w:rsidRPr="00565A30" w:rsidRDefault="00565A30" w:rsidP="00664EA8">
            <w:pPr>
              <w:pStyle w:val="NoSpacing"/>
            </w:pPr>
            <w:r>
              <w:t>Figure 5</w:t>
            </w:r>
          </w:p>
        </w:tc>
        <w:tc>
          <w:tcPr>
            <w:tcW w:w="6520" w:type="dxa"/>
          </w:tcPr>
          <w:p w14:paraId="21127650" w14:textId="79011E7D" w:rsidR="00A8556E" w:rsidRPr="00565A30" w:rsidRDefault="00565A30" w:rsidP="00664EA8">
            <w:pPr>
              <w:pStyle w:val="NoSpacing"/>
            </w:pPr>
            <w:r w:rsidRPr="00565A30">
              <w:t>Table 2 – The Origins of Raw Cotton for Boar’s Head</w:t>
            </w:r>
            <w:r w:rsidR="000648E0">
              <w:t xml:space="preserve"> Cotton</w:t>
            </w:r>
            <w:r w:rsidRPr="00565A30">
              <w:t xml:space="preserve"> Mills and M</w:t>
            </w:r>
            <w:r>
              <w:t xml:space="preserve">cConnel &amp; </w:t>
            </w:r>
            <w:r w:rsidRPr="00565A30">
              <w:t>K</w:t>
            </w:r>
            <w:r>
              <w:t>ennedy</w:t>
            </w:r>
            <w:r w:rsidRPr="00565A30">
              <w:t xml:space="preserve"> Mills 1787-1810</w:t>
            </w:r>
          </w:p>
        </w:tc>
        <w:tc>
          <w:tcPr>
            <w:tcW w:w="1508" w:type="dxa"/>
          </w:tcPr>
          <w:p w14:paraId="5C518BEA" w14:textId="15FEA4D5" w:rsidR="00A8556E" w:rsidRPr="00565A30" w:rsidRDefault="00565A30" w:rsidP="00664EA8">
            <w:pPr>
              <w:pStyle w:val="NoSpacing"/>
            </w:pPr>
            <w:r>
              <w:t>Page 120-121</w:t>
            </w:r>
          </w:p>
        </w:tc>
      </w:tr>
      <w:tr w:rsidR="00A8556E" w14:paraId="3F5DFCE8" w14:textId="77777777" w:rsidTr="00565A30">
        <w:tc>
          <w:tcPr>
            <w:tcW w:w="988" w:type="dxa"/>
          </w:tcPr>
          <w:p w14:paraId="7F6EDF0C" w14:textId="5B83D4C2" w:rsidR="00A8556E" w:rsidRPr="00565A30" w:rsidRDefault="00565A30" w:rsidP="00664EA8">
            <w:pPr>
              <w:pStyle w:val="NoSpacing"/>
            </w:pPr>
            <w:r>
              <w:t>Chart 1</w:t>
            </w:r>
          </w:p>
        </w:tc>
        <w:tc>
          <w:tcPr>
            <w:tcW w:w="6520" w:type="dxa"/>
          </w:tcPr>
          <w:p w14:paraId="5B6FDD33" w14:textId="5287D62E" w:rsidR="00A8556E" w:rsidRPr="00565A30" w:rsidRDefault="00565A30" w:rsidP="00664EA8">
            <w:pPr>
              <w:pStyle w:val="NoSpacing"/>
            </w:pPr>
            <w:r w:rsidRPr="00565A30">
              <w:t>Appendix One: Family Tree Chart for the Evans Family</w:t>
            </w:r>
          </w:p>
        </w:tc>
        <w:tc>
          <w:tcPr>
            <w:tcW w:w="1508" w:type="dxa"/>
          </w:tcPr>
          <w:p w14:paraId="6D85C185" w14:textId="66ECDE27" w:rsidR="00A8556E" w:rsidRPr="00565A30" w:rsidRDefault="00565A30" w:rsidP="00664EA8">
            <w:pPr>
              <w:pStyle w:val="NoSpacing"/>
            </w:pPr>
            <w:r>
              <w:t>Page 160</w:t>
            </w:r>
          </w:p>
        </w:tc>
      </w:tr>
      <w:tr w:rsidR="00A8556E" w14:paraId="515A2C53" w14:textId="77777777" w:rsidTr="00565A30">
        <w:tc>
          <w:tcPr>
            <w:tcW w:w="988" w:type="dxa"/>
          </w:tcPr>
          <w:p w14:paraId="13BC3836" w14:textId="49731156" w:rsidR="00A8556E" w:rsidRPr="00565A30" w:rsidRDefault="00565A30" w:rsidP="00664EA8">
            <w:pPr>
              <w:pStyle w:val="NoSpacing"/>
            </w:pPr>
            <w:r>
              <w:t>Chart 2</w:t>
            </w:r>
          </w:p>
        </w:tc>
        <w:tc>
          <w:tcPr>
            <w:tcW w:w="6520" w:type="dxa"/>
          </w:tcPr>
          <w:p w14:paraId="36C5209F" w14:textId="4F3A8F80" w:rsidR="00A8556E" w:rsidRPr="00565A30" w:rsidRDefault="00565A30" w:rsidP="00664EA8">
            <w:pPr>
              <w:pStyle w:val="NoSpacing"/>
            </w:pPr>
            <w:r w:rsidRPr="00565A30">
              <w:t>Appendix One: Family Tree Chart for William Evans’ Family</w:t>
            </w:r>
          </w:p>
        </w:tc>
        <w:tc>
          <w:tcPr>
            <w:tcW w:w="1508" w:type="dxa"/>
          </w:tcPr>
          <w:p w14:paraId="438145A9" w14:textId="5D2756A7" w:rsidR="00A8556E" w:rsidRPr="00565A30" w:rsidRDefault="00565A30" w:rsidP="00664EA8">
            <w:pPr>
              <w:pStyle w:val="NoSpacing"/>
            </w:pPr>
            <w:r>
              <w:t>Page 161</w:t>
            </w:r>
          </w:p>
        </w:tc>
      </w:tr>
      <w:tr w:rsidR="00A8556E" w14:paraId="2F623092" w14:textId="77777777" w:rsidTr="00565A30">
        <w:tc>
          <w:tcPr>
            <w:tcW w:w="988" w:type="dxa"/>
          </w:tcPr>
          <w:p w14:paraId="0B635462" w14:textId="047ED87D" w:rsidR="00A8556E" w:rsidRPr="00565A30" w:rsidRDefault="00565A30" w:rsidP="00664EA8">
            <w:pPr>
              <w:pStyle w:val="NoSpacing"/>
            </w:pPr>
            <w:r>
              <w:t>Chart 3</w:t>
            </w:r>
          </w:p>
        </w:tc>
        <w:tc>
          <w:tcPr>
            <w:tcW w:w="6520" w:type="dxa"/>
          </w:tcPr>
          <w:p w14:paraId="7CA8DA1D" w14:textId="5575E15A" w:rsidR="00A8556E" w:rsidRPr="00565A30" w:rsidRDefault="00565A30" w:rsidP="00664EA8">
            <w:pPr>
              <w:pStyle w:val="NoSpacing"/>
            </w:pPr>
            <w:r w:rsidRPr="00565A30">
              <w:t>Appendix One: Family Tree Chart for Samuel Evans’ Family</w:t>
            </w:r>
          </w:p>
        </w:tc>
        <w:tc>
          <w:tcPr>
            <w:tcW w:w="1508" w:type="dxa"/>
          </w:tcPr>
          <w:p w14:paraId="74C4724F" w14:textId="6275F646" w:rsidR="00A8556E" w:rsidRPr="00565A30" w:rsidRDefault="00565A30" w:rsidP="00664EA8">
            <w:pPr>
              <w:pStyle w:val="NoSpacing"/>
            </w:pPr>
            <w:r>
              <w:t>Page 162</w:t>
            </w:r>
          </w:p>
        </w:tc>
      </w:tr>
      <w:tr w:rsidR="00565A30" w14:paraId="13AFDB1B" w14:textId="77777777" w:rsidTr="00565A30">
        <w:tc>
          <w:tcPr>
            <w:tcW w:w="988" w:type="dxa"/>
          </w:tcPr>
          <w:p w14:paraId="34803EA0" w14:textId="75405286" w:rsidR="00565A30" w:rsidRDefault="00565A30" w:rsidP="00664EA8">
            <w:pPr>
              <w:pStyle w:val="NoSpacing"/>
            </w:pPr>
            <w:r>
              <w:t>Chart 4</w:t>
            </w:r>
          </w:p>
        </w:tc>
        <w:tc>
          <w:tcPr>
            <w:tcW w:w="6520" w:type="dxa"/>
          </w:tcPr>
          <w:p w14:paraId="36EF5864" w14:textId="53F8B34E" w:rsidR="00565A30" w:rsidRPr="00565A30" w:rsidRDefault="00565A30" w:rsidP="00664EA8">
            <w:pPr>
              <w:pStyle w:val="NoSpacing"/>
            </w:pPr>
            <w:r w:rsidRPr="00565A30">
              <w:t>Appendix One: Family Tree Chart for Edmund Evans’ Family</w:t>
            </w:r>
          </w:p>
        </w:tc>
        <w:tc>
          <w:tcPr>
            <w:tcW w:w="1508" w:type="dxa"/>
          </w:tcPr>
          <w:p w14:paraId="171ECD1F" w14:textId="2158DDC4" w:rsidR="00565A30" w:rsidRPr="00565A30" w:rsidRDefault="00565A30" w:rsidP="00664EA8">
            <w:pPr>
              <w:pStyle w:val="NoSpacing"/>
            </w:pPr>
            <w:r>
              <w:t>Page 162</w:t>
            </w:r>
          </w:p>
        </w:tc>
      </w:tr>
      <w:tr w:rsidR="00565A30" w14:paraId="506C6828" w14:textId="77777777" w:rsidTr="00565A30">
        <w:tc>
          <w:tcPr>
            <w:tcW w:w="988" w:type="dxa"/>
          </w:tcPr>
          <w:p w14:paraId="2ECC0A88" w14:textId="1AECAAAE" w:rsidR="00565A30" w:rsidRDefault="00565A30" w:rsidP="00664EA8">
            <w:pPr>
              <w:pStyle w:val="NoSpacing"/>
            </w:pPr>
            <w:r>
              <w:t>Chart 5</w:t>
            </w:r>
          </w:p>
        </w:tc>
        <w:tc>
          <w:tcPr>
            <w:tcW w:w="6520" w:type="dxa"/>
          </w:tcPr>
          <w:p w14:paraId="64BCC770" w14:textId="73C6BBC0" w:rsidR="00565A30" w:rsidRPr="00565A30" w:rsidRDefault="00565A30" w:rsidP="00664EA8">
            <w:pPr>
              <w:pStyle w:val="NoSpacing"/>
            </w:pPr>
            <w:r w:rsidRPr="00565A30">
              <w:t xml:space="preserve">Appendix </w:t>
            </w:r>
            <w:r>
              <w:t>Two</w:t>
            </w:r>
            <w:r w:rsidRPr="00565A30">
              <w:t>: Family Tree Chart for the Kennedy Family</w:t>
            </w:r>
          </w:p>
        </w:tc>
        <w:tc>
          <w:tcPr>
            <w:tcW w:w="1508" w:type="dxa"/>
          </w:tcPr>
          <w:p w14:paraId="393C1131" w14:textId="42329882" w:rsidR="00565A30" w:rsidRPr="00565A30" w:rsidRDefault="00565A30" w:rsidP="00664EA8">
            <w:pPr>
              <w:pStyle w:val="NoSpacing"/>
            </w:pPr>
            <w:r>
              <w:t>Page 164</w:t>
            </w:r>
          </w:p>
        </w:tc>
      </w:tr>
      <w:tr w:rsidR="00565A30" w14:paraId="0340042C" w14:textId="77777777" w:rsidTr="00565A30">
        <w:tc>
          <w:tcPr>
            <w:tcW w:w="988" w:type="dxa"/>
          </w:tcPr>
          <w:p w14:paraId="7AEABE1F" w14:textId="50047B9D" w:rsidR="00565A30" w:rsidRDefault="00565A30" w:rsidP="00664EA8">
            <w:pPr>
              <w:pStyle w:val="NoSpacing"/>
            </w:pPr>
            <w:r>
              <w:t>Chart 6</w:t>
            </w:r>
          </w:p>
        </w:tc>
        <w:tc>
          <w:tcPr>
            <w:tcW w:w="6520" w:type="dxa"/>
          </w:tcPr>
          <w:p w14:paraId="1A8C9849" w14:textId="7429AEBA" w:rsidR="00565A30" w:rsidRPr="00565A30" w:rsidRDefault="00565A30" w:rsidP="00664EA8">
            <w:pPr>
              <w:pStyle w:val="NoSpacing"/>
            </w:pPr>
            <w:r>
              <w:t>Appendix Two: Family Tree Chart for the McConnel Family</w:t>
            </w:r>
          </w:p>
        </w:tc>
        <w:tc>
          <w:tcPr>
            <w:tcW w:w="1508" w:type="dxa"/>
          </w:tcPr>
          <w:p w14:paraId="1EBAE716" w14:textId="7D040D8B" w:rsidR="00565A30" w:rsidRPr="00565A30" w:rsidRDefault="00565A30" w:rsidP="00664EA8">
            <w:pPr>
              <w:pStyle w:val="NoSpacing"/>
            </w:pPr>
            <w:r>
              <w:t>Page 165</w:t>
            </w:r>
          </w:p>
        </w:tc>
      </w:tr>
    </w:tbl>
    <w:p w14:paraId="1F4DF6C8" w14:textId="0342C3EF" w:rsidR="00A8556E" w:rsidRDefault="00A8556E" w:rsidP="00664EA8">
      <w:pPr>
        <w:pStyle w:val="NoSpacing"/>
        <w:rPr>
          <w:b/>
          <w:bCs/>
          <w:sz w:val="28"/>
          <w:szCs w:val="28"/>
        </w:rPr>
      </w:pPr>
    </w:p>
    <w:p w14:paraId="3D105F57" w14:textId="77777777" w:rsidR="00197C8B" w:rsidRDefault="00197C8B" w:rsidP="00664EA8">
      <w:pPr>
        <w:pStyle w:val="NoSpacing"/>
        <w:rPr>
          <w:b/>
          <w:bCs/>
          <w:sz w:val="28"/>
          <w:szCs w:val="28"/>
        </w:rPr>
      </w:pPr>
    </w:p>
    <w:p w14:paraId="3830DEBB" w14:textId="77777777" w:rsidR="00197C8B" w:rsidRDefault="00197C8B" w:rsidP="00664EA8">
      <w:pPr>
        <w:pStyle w:val="NoSpacing"/>
        <w:rPr>
          <w:b/>
          <w:bCs/>
          <w:sz w:val="28"/>
          <w:szCs w:val="28"/>
        </w:rPr>
        <w:sectPr w:rsidR="00197C8B">
          <w:footnotePr>
            <w:numRestart w:val="eachSect"/>
          </w:footnotePr>
          <w:pgSz w:w="11906" w:h="16838"/>
          <w:pgMar w:top="1440" w:right="1440" w:bottom="1440" w:left="1440" w:header="708" w:footer="708" w:gutter="0"/>
          <w:cols w:space="708"/>
          <w:docGrid w:linePitch="360"/>
        </w:sectPr>
      </w:pPr>
    </w:p>
    <w:p w14:paraId="3362A0E9" w14:textId="77777777" w:rsidR="00197C8B" w:rsidRDefault="00197C8B" w:rsidP="00197C8B"/>
    <w:p w14:paraId="10010A44" w14:textId="3F432B5A" w:rsidR="00197C8B" w:rsidRDefault="00197C8B" w:rsidP="00197C8B">
      <w:pPr>
        <w:sectPr w:rsidR="00197C8B" w:rsidSect="004B3E03">
          <w:footnotePr>
            <w:numRestart w:val="eachSect"/>
          </w:footnotePr>
          <w:type w:val="continuous"/>
          <w:pgSz w:w="11906" w:h="16838"/>
          <w:pgMar w:top="1440" w:right="1440" w:bottom="1440" w:left="1440" w:header="708" w:footer="708" w:gutter="0"/>
          <w:cols w:space="708"/>
          <w:docGrid w:linePitch="360"/>
        </w:sectPr>
      </w:pPr>
    </w:p>
    <w:p w14:paraId="32CFF0D0" w14:textId="4D62463A" w:rsidR="005A05DF" w:rsidRDefault="005A05DF" w:rsidP="00BF708E">
      <w:pPr>
        <w:pStyle w:val="Heading1"/>
        <w:rPr>
          <w:rFonts w:asciiTheme="minorHAnsi" w:hAnsiTheme="minorHAnsi" w:cstheme="minorHAnsi"/>
          <w:b/>
          <w:bCs/>
          <w:color w:val="auto"/>
          <w:sz w:val="28"/>
          <w:szCs w:val="28"/>
        </w:rPr>
      </w:pPr>
      <w:bookmarkStart w:id="5" w:name="_Toc170825651"/>
      <w:r w:rsidRPr="00BF708E">
        <w:rPr>
          <w:rFonts w:asciiTheme="minorHAnsi" w:hAnsiTheme="minorHAnsi" w:cstheme="minorHAnsi"/>
          <w:b/>
          <w:bCs/>
          <w:color w:val="auto"/>
          <w:sz w:val="28"/>
          <w:szCs w:val="28"/>
        </w:rPr>
        <w:lastRenderedPageBreak/>
        <w:t>Introduction</w:t>
      </w:r>
      <w:r w:rsidR="000455FA" w:rsidRPr="00BF708E">
        <w:rPr>
          <w:rFonts w:asciiTheme="minorHAnsi" w:hAnsiTheme="minorHAnsi" w:cstheme="minorHAnsi"/>
          <w:b/>
          <w:bCs/>
          <w:color w:val="auto"/>
          <w:sz w:val="28"/>
          <w:szCs w:val="28"/>
        </w:rPr>
        <w:t xml:space="preserve"> and Literature Review</w:t>
      </w:r>
      <w:bookmarkEnd w:id="5"/>
    </w:p>
    <w:p w14:paraId="1C9BCEC7" w14:textId="77777777" w:rsidR="001934D6" w:rsidRPr="001934D6" w:rsidRDefault="001934D6" w:rsidP="001934D6"/>
    <w:p w14:paraId="6E562165" w14:textId="7E1D01DE" w:rsidR="005A05DF" w:rsidRDefault="005A05DF" w:rsidP="005A05DF">
      <w:r w:rsidRPr="00EB37EA">
        <w:t xml:space="preserve">This thesis is about </w:t>
      </w:r>
      <w:r>
        <w:t>how</w:t>
      </w:r>
      <w:r w:rsidRPr="00EB37EA">
        <w:t xml:space="preserve"> two successful </w:t>
      </w:r>
      <w:r>
        <w:t>cotton-spinning</w:t>
      </w:r>
      <w:r w:rsidRPr="00EB37EA">
        <w:t xml:space="preserve"> enterprises constructed and utilised trust and reputation to create communities and networks that enabled their successful navigation of the ever-changing industrialising cotton </w:t>
      </w:r>
      <w:r>
        <w:t>industry</w:t>
      </w:r>
      <w:r w:rsidRPr="00EB37EA">
        <w:t xml:space="preserve"> in Britain and beyond. </w:t>
      </w:r>
      <w:r w:rsidR="006F7C27">
        <w:t xml:space="preserve">The thesis </w:t>
      </w:r>
      <w:r w:rsidR="007A1194">
        <w:t>primarily studies</w:t>
      </w:r>
      <w:r w:rsidR="006F7C27">
        <w:t xml:space="preserve"> </w:t>
      </w:r>
      <w:r w:rsidR="00322A97">
        <w:t xml:space="preserve">the </w:t>
      </w:r>
      <w:r w:rsidR="006F7C27">
        <w:t xml:space="preserve">business organisation </w:t>
      </w:r>
      <w:r w:rsidR="001B5898">
        <w:t>of the two cotton mills</w:t>
      </w:r>
      <w:r w:rsidR="00F82AD0">
        <w:t>, focusing</w:t>
      </w:r>
      <w:r w:rsidR="00E72F22">
        <w:t xml:space="preserve"> on</w:t>
      </w:r>
      <w:r w:rsidR="00CA3B8D">
        <w:t xml:space="preserve"> the concepts of trust, social capital</w:t>
      </w:r>
      <w:r w:rsidR="00651710">
        <w:t>,</w:t>
      </w:r>
      <w:r w:rsidR="00CA3B8D">
        <w:t xml:space="preserve"> and reputation within the</w:t>
      </w:r>
      <w:r w:rsidR="008E5D00">
        <w:t xml:space="preserve"> social networks surrounding the cotton</w:t>
      </w:r>
      <w:r w:rsidR="00322A97">
        <w:t>-spinning industry.</w:t>
      </w:r>
      <w:r w:rsidR="00406685">
        <w:t xml:space="preserve"> Its secondary aim is to situate the firms</w:t>
      </w:r>
      <w:r w:rsidR="00DF66EA">
        <w:t xml:space="preserve"> within the broader local, national, and global contexts. </w:t>
      </w:r>
      <w:r>
        <w:t xml:space="preserve">The two case studies are the Boar’s Head Cotton Spinning Mills at Darley Abbey near Derby in the Derwent Valley and McConnel &amp; Kennedy (later McConnel &amp; Co.) of Ancoats, Manchester, in Lancashire. </w:t>
      </w:r>
      <w:r w:rsidRPr="00EB37EA">
        <w:t>These two firms were unusual in their successes and longevity</w:t>
      </w:r>
      <w:r>
        <w:t xml:space="preserve">. </w:t>
      </w:r>
      <w:r w:rsidRPr="00E4152E">
        <w:t>Three generations of the same family eventually managed each</w:t>
      </w:r>
      <w:r>
        <w:t xml:space="preserve"> firm</w:t>
      </w:r>
      <w:r w:rsidRPr="00EB37EA">
        <w:t xml:space="preserve"> from the late eighteenth century </w:t>
      </w:r>
      <w:r>
        <w:t>in</w:t>
      </w:r>
      <w:r w:rsidRPr="00EB37EA">
        <w:t>to the</w:t>
      </w:r>
      <w:r>
        <w:t xml:space="preserve"> </w:t>
      </w:r>
      <w:r w:rsidRPr="00EB37EA">
        <w:t xml:space="preserve">twentieth century. </w:t>
      </w:r>
      <w:r>
        <w:t xml:space="preserve">In the business, social, and domestic spheres of the cotton mill owners, managers, close associations, and kin, the concepts of trust and reputation were pivotal in their interactions, investments, and decision-making processes. Who network members chose to invite into their inner circle of kinship and friendship and whom they chose to go into business with or enact a business transaction </w:t>
      </w:r>
      <w:r w:rsidR="006F29B5">
        <w:t xml:space="preserve">with </w:t>
      </w:r>
      <w:r>
        <w:t>was crucial to their overall success within the cotton industry. The surviving business records of both firms</w:t>
      </w:r>
      <w:r w:rsidRPr="00E2258F">
        <w:t xml:space="preserve"> and their social and familial correspondence</w:t>
      </w:r>
      <w:r>
        <w:t xml:space="preserve"> provide valuable insights and examples of how the cotton manufacturers built and maintained trusted networks that traversed both the business and private spheres of their lives. A key mechanism that ensured trust could be relied upon was creating a trustworthy reputation. Potential network members should possess a positive reputation by having previously enacted reliable behaviours. Existing members could rely on either past conduct or by placing their faith in the word of another trusted member. It is these mechanisms that I wish to examine to gain insights into why these firms were successful when many firms went bankrupt during the uncertain times of industrialisation. </w:t>
      </w:r>
    </w:p>
    <w:p w14:paraId="794C049E" w14:textId="55D0D25A" w:rsidR="005A05DF" w:rsidRDefault="00F41AEC" w:rsidP="005A05DF">
      <w:r>
        <w:t xml:space="preserve">This study </w:t>
      </w:r>
      <w:r w:rsidR="001F487F">
        <w:t>will examine the primary source</w:t>
      </w:r>
      <w:r w:rsidR="002B2409">
        <w:t xml:space="preserve"> documents left by the </w:t>
      </w:r>
      <w:r w:rsidR="006B226D">
        <w:t>two cotton mills' owners, managers, and kinship connections</w:t>
      </w:r>
      <w:r w:rsidR="00C153E7">
        <w:t xml:space="preserve"> </w:t>
      </w:r>
      <w:r w:rsidR="00A042AC">
        <w:t>to establish their kinship and business networks initially</w:t>
      </w:r>
      <w:r w:rsidR="00FE7B3C">
        <w:t xml:space="preserve">, and </w:t>
      </w:r>
      <w:r w:rsidR="00583D24">
        <w:t>then analyse</w:t>
      </w:r>
      <w:r w:rsidR="00116CBD">
        <w:t xml:space="preserve"> how the concepts of trust, social capital</w:t>
      </w:r>
      <w:r w:rsidR="00480ADC">
        <w:t>,</w:t>
      </w:r>
      <w:r w:rsidR="00116CBD">
        <w:t xml:space="preserve"> and reputation</w:t>
      </w:r>
      <w:r w:rsidR="006F29B5">
        <w:t xml:space="preserve"> operated</w:t>
      </w:r>
      <w:r w:rsidR="00A042AC">
        <w:t xml:space="preserve"> within these networks</w:t>
      </w:r>
      <w:r w:rsidR="006B226D">
        <w:t xml:space="preserve">. </w:t>
      </w:r>
      <w:r w:rsidR="00480ADC">
        <w:t>The research</w:t>
      </w:r>
      <w:r w:rsidR="005A05DF">
        <w:t xml:space="preserve"> will</w:t>
      </w:r>
      <w:r w:rsidR="00480ADC">
        <w:t xml:space="preserve"> include using </w:t>
      </w:r>
      <w:r w:rsidR="005A05DF">
        <w:t xml:space="preserve">the letters and correspondence of network members in their business and private spheres as a lens through which to </w:t>
      </w:r>
      <w:r w:rsidR="006F29B5">
        <w:t xml:space="preserve">view </w:t>
      </w:r>
      <w:r w:rsidR="005A05DF">
        <w:t xml:space="preserve">the local and global cotton trade and its place within the wider industrial revolution. I will examine the use, construction, and maintenance of trusted networks. These networks built upon trustworthiness and reputation as mechanisms that enabled less risky access to vital resources and markets. This, in turn, enabled each group to build a successful mechanised cotton-spinning enterprise. My research examines the archival records left by each firm and its network members, including wills, letters and correspondence, marriage agreements, and ledgers. The analysis explores themes of family and kinship, business networks, capital and credit, and the spread of industrialisation within the cotton trade. Above all, it addresses the impacts of local factors on global trade and global factors on local trade. The following literature review and introduction explain how these themes have stemmed from my engagement with existing historiography and the source material in the archives. This engagement has led to the following research questions: </w:t>
      </w:r>
      <w:bookmarkStart w:id="6" w:name="_Hlk156476034"/>
      <w:r w:rsidR="005A05DF">
        <w:t xml:space="preserve">How were trust and reputation created and used by each firm and its networks? How did these locally based networks connect and engage with global networks? </w:t>
      </w:r>
      <w:r w:rsidR="00480ADC">
        <w:t>Was each case study connected</w:t>
      </w:r>
      <w:r w:rsidR="005A05DF">
        <w:t xml:space="preserve"> to similar or different networks? Did each firm follow a similar pattern of trust and reputation creation and usage pattern, or were there significant differences? </w:t>
      </w:r>
      <w:r w:rsidR="00AD10B3" w:rsidRPr="00AD10B3">
        <w:t xml:space="preserve">How does a deeper comprehension of networks and related concepts contribute to our </w:t>
      </w:r>
      <w:r w:rsidR="006F29B5">
        <w:lastRenderedPageBreak/>
        <w:t xml:space="preserve">understanding of </w:t>
      </w:r>
      <w:r w:rsidR="00AD10B3" w:rsidRPr="00AD10B3">
        <w:t>the dynamics of the late eighteenth and early nineteenth-century cotton trade, business, and manufacturing?</w:t>
      </w:r>
      <w:r w:rsidR="00AD10B3">
        <w:t xml:space="preserve"> </w:t>
      </w:r>
    </w:p>
    <w:p w14:paraId="03EC54E1" w14:textId="18BBCF86" w:rsidR="00AC78B2" w:rsidRDefault="005A05DF" w:rsidP="00C4723E">
      <w:pPr>
        <w:rPr>
          <w:color w:val="FF0000"/>
        </w:rPr>
      </w:pPr>
      <w:bookmarkStart w:id="7" w:name="_Hlk169697387"/>
      <w:bookmarkEnd w:id="6"/>
      <w:r>
        <w:t xml:space="preserve">My engagement with the history and development of the cotton industry began during my research for a </w:t>
      </w:r>
      <w:r w:rsidR="000A3805">
        <w:t>M</w:t>
      </w:r>
      <w:r>
        <w:t>asters dissertation that examined the global cotton connections of the Evans family cotton spinning firm in the Derwent Valley.</w:t>
      </w:r>
      <w:r w:rsidR="00543331">
        <w:rPr>
          <w:rStyle w:val="FootnoteReference"/>
        </w:rPr>
        <w:footnoteReference w:id="1"/>
      </w:r>
      <w:r w:rsidR="000747BE">
        <w:t xml:space="preserve"> </w:t>
      </w:r>
      <w:r w:rsidR="000A3805">
        <w:t xml:space="preserve">This research explored the trade networks of the Evans family and considered whether there was any evidence that enslaved labourers were responsible for cultivating the raw cotton spun in Darley Abbey. </w:t>
      </w:r>
      <w:r>
        <w:t>It was on this foundation that I developed my research into this thesis. This thesis will expand the parameters into a comparative study by adding another case study</w:t>
      </w:r>
      <w:r w:rsidR="00AC78B2">
        <w:t>; this</w:t>
      </w:r>
      <w:r w:rsidR="000A3805">
        <w:t xml:space="preserve"> will expand the thesis from a local history to </w:t>
      </w:r>
      <w:r w:rsidR="00AC78B2">
        <w:t>a more comprehensive nationally and internationally</w:t>
      </w:r>
      <w:r w:rsidR="000A3805">
        <w:t xml:space="preserve"> relevant study</w:t>
      </w:r>
      <w:r>
        <w:t xml:space="preserve">. It will shift the focus from simply showing connectivity and exploring the connections between the firm and enslaved labour to a more conceptual study </w:t>
      </w:r>
      <w:r w:rsidR="00C4723E">
        <w:t>reflecting on the concepts of trust, social capital</w:t>
      </w:r>
      <w:r w:rsidR="00AC78B2">
        <w:t>,</w:t>
      </w:r>
      <w:r w:rsidR="00C4723E">
        <w:t xml:space="preserve"> and reputation. It will also </w:t>
      </w:r>
      <w:r>
        <w:t xml:space="preserve">engage more deeply with debates on the overall development of the cotton trade within the wider concept of the Industrial Revolution. It will </w:t>
      </w:r>
      <w:r w:rsidR="00C4723E">
        <w:t>consider</w:t>
      </w:r>
      <w:r>
        <w:t xml:space="preserve"> </w:t>
      </w:r>
      <w:r w:rsidR="00C4723E">
        <w:t xml:space="preserve">the findings of </w:t>
      </w:r>
      <w:r>
        <w:t>recent global studies of the cotton trade and refocus the narrative of each case study beyond a local focus on a single firm</w:t>
      </w:r>
      <w:r w:rsidR="001230C5">
        <w:t>.</w:t>
      </w:r>
      <w:r w:rsidRPr="006F29B5">
        <w:rPr>
          <w:color w:val="FF0000"/>
        </w:rPr>
        <w:t xml:space="preserve"> </w:t>
      </w:r>
      <w:r w:rsidR="00AC78B2" w:rsidRPr="00DA310E">
        <w:rPr>
          <w:color w:val="000000" w:themeColor="text1"/>
        </w:rPr>
        <w:t xml:space="preserve">It will build upon the global network approach </w:t>
      </w:r>
      <w:r w:rsidR="003613A1" w:rsidRPr="00DA310E">
        <w:rPr>
          <w:color w:val="000000" w:themeColor="text1"/>
        </w:rPr>
        <w:t>Sven Beckert took</w:t>
      </w:r>
      <w:r w:rsidR="001230C5" w:rsidRPr="00DA310E">
        <w:rPr>
          <w:color w:val="000000" w:themeColor="text1"/>
        </w:rPr>
        <w:t xml:space="preserve"> in his research on the cotton trade</w:t>
      </w:r>
      <w:r w:rsidR="00AC78B2" w:rsidRPr="00DA310E">
        <w:rPr>
          <w:color w:val="000000" w:themeColor="text1"/>
        </w:rPr>
        <w:t xml:space="preserve"> by reflecting on how the cotton trade was organised.</w:t>
      </w:r>
      <w:r w:rsidR="001230C5" w:rsidRPr="00DA310E">
        <w:rPr>
          <w:rStyle w:val="FootnoteReference"/>
          <w:color w:val="000000" w:themeColor="text1"/>
        </w:rPr>
        <w:footnoteReference w:id="2"/>
      </w:r>
      <w:r w:rsidR="001230C5" w:rsidRPr="00DA310E">
        <w:rPr>
          <w:color w:val="000000" w:themeColor="text1"/>
        </w:rPr>
        <w:t xml:space="preserve"> The methodology will be partially drawn from the work of </w:t>
      </w:r>
      <w:proofErr w:type="spellStart"/>
      <w:r w:rsidR="001230C5" w:rsidRPr="00DA310E">
        <w:rPr>
          <w:color w:val="000000" w:themeColor="text1"/>
        </w:rPr>
        <w:t>Sheryllynne</w:t>
      </w:r>
      <w:proofErr w:type="spellEnd"/>
      <w:r w:rsidR="001230C5" w:rsidRPr="00DA310E">
        <w:rPr>
          <w:b/>
          <w:bCs/>
          <w:color w:val="000000" w:themeColor="text1"/>
        </w:rPr>
        <w:t xml:space="preserve"> </w:t>
      </w:r>
      <w:r w:rsidR="001230C5" w:rsidRPr="00DA310E">
        <w:rPr>
          <w:color w:val="000000" w:themeColor="text1"/>
        </w:rPr>
        <w:t xml:space="preserve">Haggerty with her approach to Atlantic trade networks but </w:t>
      </w:r>
      <w:r w:rsidR="003613A1" w:rsidRPr="00DA310E">
        <w:rPr>
          <w:color w:val="000000" w:themeColor="text1"/>
        </w:rPr>
        <w:t xml:space="preserve">this research </w:t>
      </w:r>
      <w:r w:rsidR="001230C5" w:rsidRPr="00DA310E">
        <w:rPr>
          <w:color w:val="000000" w:themeColor="text1"/>
        </w:rPr>
        <w:t>will focus primarily of the cotton trade.</w:t>
      </w:r>
      <w:r w:rsidR="003613A1" w:rsidRPr="00DA310E">
        <w:rPr>
          <w:rStyle w:val="FootnoteReference"/>
          <w:color w:val="000000" w:themeColor="text1"/>
        </w:rPr>
        <w:footnoteReference w:id="3"/>
      </w:r>
      <w:r w:rsidR="00AC78B2" w:rsidRPr="00DA310E">
        <w:rPr>
          <w:color w:val="000000" w:themeColor="text1"/>
        </w:rPr>
        <w:t xml:space="preserve"> It will then use</w:t>
      </w:r>
      <w:r w:rsidR="003613A1" w:rsidRPr="00DA310E">
        <w:rPr>
          <w:color w:val="000000" w:themeColor="text1"/>
        </w:rPr>
        <w:t xml:space="preserve"> the</w:t>
      </w:r>
      <w:r w:rsidR="001230C5" w:rsidRPr="00DA310E">
        <w:rPr>
          <w:color w:val="000000" w:themeColor="text1"/>
        </w:rPr>
        <w:t xml:space="preserve"> concepts of trust, social capital and reputation as a tool to gain insights into how the networks</w:t>
      </w:r>
      <w:r w:rsidR="003613A1" w:rsidRPr="00DA310E">
        <w:rPr>
          <w:color w:val="000000" w:themeColor="text1"/>
        </w:rPr>
        <w:t xml:space="preserve"> surrounding the cotton mills</w:t>
      </w:r>
      <w:r w:rsidR="001230C5" w:rsidRPr="00DA310E">
        <w:rPr>
          <w:color w:val="000000" w:themeColor="text1"/>
        </w:rPr>
        <w:t xml:space="preserve"> were constructed, how they operated and how they </w:t>
      </w:r>
      <w:r w:rsidR="003613A1" w:rsidRPr="00DA310E">
        <w:rPr>
          <w:color w:val="000000" w:themeColor="text1"/>
        </w:rPr>
        <w:t xml:space="preserve">enabled the firms to access their necessary resources. </w:t>
      </w:r>
    </w:p>
    <w:p w14:paraId="3EE4F86B" w14:textId="2F5E486B" w:rsidR="005A05DF" w:rsidRPr="001934D6" w:rsidRDefault="005A05DF" w:rsidP="001934D6">
      <w:pPr>
        <w:pStyle w:val="Heading2"/>
        <w:rPr>
          <w:rFonts w:asciiTheme="minorHAnsi" w:hAnsiTheme="minorHAnsi" w:cstheme="minorHAnsi"/>
          <w:b/>
          <w:bCs/>
          <w:color w:val="auto"/>
          <w:sz w:val="24"/>
          <w:szCs w:val="24"/>
        </w:rPr>
      </w:pPr>
      <w:bookmarkStart w:id="9" w:name="_Toc170825652"/>
      <w:bookmarkEnd w:id="7"/>
      <w:r w:rsidRPr="001934D6">
        <w:rPr>
          <w:rFonts w:asciiTheme="minorHAnsi" w:hAnsiTheme="minorHAnsi" w:cstheme="minorHAnsi"/>
          <w:b/>
          <w:bCs/>
          <w:color w:val="auto"/>
          <w:sz w:val="24"/>
          <w:szCs w:val="24"/>
        </w:rPr>
        <w:t xml:space="preserve">Literature Review: </w:t>
      </w:r>
      <w:r w:rsidR="000455FA" w:rsidRPr="001934D6">
        <w:rPr>
          <w:rFonts w:asciiTheme="minorHAnsi" w:hAnsiTheme="minorHAnsi" w:cstheme="minorHAnsi"/>
          <w:b/>
          <w:bCs/>
          <w:color w:val="auto"/>
          <w:sz w:val="24"/>
          <w:szCs w:val="24"/>
        </w:rPr>
        <w:t>H</w:t>
      </w:r>
      <w:r w:rsidRPr="001934D6">
        <w:rPr>
          <w:rFonts w:asciiTheme="minorHAnsi" w:hAnsiTheme="minorHAnsi" w:cstheme="minorHAnsi"/>
          <w:b/>
          <w:bCs/>
          <w:color w:val="auto"/>
          <w:sz w:val="24"/>
          <w:szCs w:val="24"/>
        </w:rPr>
        <w:t>istoriography</w:t>
      </w:r>
      <w:bookmarkEnd w:id="9"/>
    </w:p>
    <w:p w14:paraId="5016CA4F" w14:textId="03AFD94F" w:rsidR="001934D6" w:rsidRDefault="00EE19DE" w:rsidP="001934D6">
      <w:pPr>
        <w:rPr>
          <w:b/>
          <w:bCs/>
        </w:rPr>
      </w:pPr>
      <w:r>
        <w:rPr>
          <w:b/>
          <w:bCs/>
        </w:rPr>
        <w:t xml:space="preserve">Approaches, </w:t>
      </w:r>
      <w:r w:rsidR="001934D6" w:rsidRPr="001934D6">
        <w:rPr>
          <w:b/>
          <w:bCs/>
        </w:rPr>
        <w:t xml:space="preserve">Debates and Theories </w:t>
      </w:r>
    </w:p>
    <w:p w14:paraId="5E1F44B3" w14:textId="4E5FABB6" w:rsidR="00872D48" w:rsidRPr="00EE19DE" w:rsidRDefault="00872D48" w:rsidP="00872D48">
      <w:pPr>
        <w:rPr>
          <w:rFonts w:ascii="Calibri" w:eastAsia="Calibri" w:hAnsi="Calibri" w:cs="Arial"/>
        </w:rPr>
      </w:pPr>
      <w:r w:rsidRPr="00872D48">
        <w:rPr>
          <w:rFonts w:ascii="Calibri" w:eastAsia="Calibri" w:hAnsi="Calibri" w:cs="Arial"/>
        </w:rPr>
        <w:t xml:space="preserve">This research has engaged with historiography and theories that have stemmed from a series of debates surrounding the cotton trade and the Industrial Revolution. These include debates about the production and consumption of cotton as a commodity, social and economic debates influenced by local studies, and regional, national, and global scale analyses of both areas of study. Previous work has often focused on socio-economic themes such as rural to urban migration, population expansion and urbanisation, the development of new technologies, advancements in scientific thought, capital accumulation and economic growth. A significant debate surrounding the decline in living standards of the working classes has included contributions from E. P. Thompson, Emma Griffin, E. A Wrigley and Bill </w:t>
      </w:r>
      <w:proofErr w:type="spellStart"/>
      <w:r w:rsidRPr="00872D48">
        <w:rPr>
          <w:rFonts w:ascii="Calibri" w:eastAsia="Calibri" w:hAnsi="Calibri" w:cs="Arial"/>
        </w:rPr>
        <w:t>Luckin</w:t>
      </w:r>
      <w:proofErr w:type="spellEnd"/>
      <w:r w:rsidRPr="00872D48">
        <w:rPr>
          <w:rFonts w:ascii="Calibri" w:eastAsia="Calibri" w:hAnsi="Calibri" w:cs="Arial"/>
        </w:rPr>
        <w:t>.</w:t>
      </w:r>
      <w:r>
        <w:rPr>
          <w:rStyle w:val="FootnoteReference"/>
          <w:rFonts w:ascii="Calibri" w:eastAsia="Calibri" w:hAnsi="Calibri" w:cs="Arial"/>
        </w:rPr>
        <w:footnoteReference w:id="4"/>
      </w:r>
      <w:r w:rsidRPr="00872D48">
        <w:rPr>
          <w:rFonts w:ascii="Calibri" w:eastAsia="Calibri" w:hAnsi="Calibri" w:cs="Arial"/>
        </w:rPr>
        <w:t xml:space="preserve"> Emma Griffin notes that the debates surrounding urbanization and the living standards of the working population of Britain have often utilised quantitative methodologies to draw out new knowledge about the wider narrative of the impact of the industrial revolution on this group in society.</w:t>
      </w:r>
      <w:r w:rsidRPr="00872D48">
        <w:rPr>
          <w:rFonts w:ascii="Calibri" w:eastAsia="Calibri" w:hAnsi="Calibri" w:cs="Arial"/>
          <w:vertAlign w:val="superscript"/>
        </w:rPr>
        <w:footnoteReference w:id="5"/>
      </w:r>
      <w:r w:rsidRPr="00872D48">
        <w:rPr>
          <w:rFonts w:ascii="Calibri" w:eastAsia="Calibri" w:hAnsi="Calibri" w:cs="Arial"/>
        </w:rPr>
        <w:t xml:space="preserve"> Quantitative approaches and methodologies have been applied to debates in economic growth and capital accumulation. Scholars such as N. F. R Crafts have explored the themes of cotton textiles in relation to economic growth and industrial output of goods.</w:t>
      </w:r>
      <w:r w:rsidRPr="00872D48">
        <w:rPr>
          <w:rFonts w:ascii="Calibri" w:eastAsia="Calibri" w:hAnsi="Calibri" w:cs="Arial"/>
          <w:vertAlign w:val="superscript"/>
        </w:rPr>
        <w:footnoteReference w:id="6"/>
      </w:r>
      <w:r w:rsidRPr="00872D48">
        <w:rPr>
          <w:rFonts w:ascii="Calibri" w:eastAsia="Calibri" w:hAnsi="Calibri" w:cs="Arial"/>
        </w:rPr>
        <w:t xml:space="preserve"> Oded Galor has </w:t>
      </w:r>
      <w:r w:rsidRPr="00872D48">
        <w:rPr>
          <w:rFonts w:ascii="Calibri" w:eastAsia="Calibri" w:hAnsi="Calibri" w:cs="Arial"/>
        </w:rPr>
        <w:lastRenderedPageBreak/>
        <w:t>suggested Unified Growth Theory as a method to explain the shift from Malthusian economics to economic and population growth during the Industrial Revolution.</w:t>
      </w:r>
      <w:r w:rsidRPr="00872D48">
        <w:rPr>
          <w:rFonts w:ascii="Calibri" w:eastAsia="Calibri" w:hAnsi="Calibri" w:cs="Arial"/>
          <w:vertAlign w:val="superscript"/>
        </w:rPr>
        <w:footnoteReference w:id="7"/>
      </w:r>
      <w:r w:rsidRPr="00872D48">
        <w:rPr>
          <w:rFonts w:ascii="Calibri" w:eastAsia="Calibri" w:hAnsi="Calibri" w:cs="Arial"/>
        </w:rPr>
        <w:t xml:space="preserve"> This long-term theory explores the accumulation of technological progress and population dynamics to explain economic growth </w:t>
      </w:r>
      <w:r w:rsidRPr="00EE19DE">
        <w:rPr>
          <w:rFonts w:ascii="Calibri" w:eastAsia="Calibri" w:hAnsi="Calibri" w:cs="Arial"/>
        </w:rPr>
        <w:t xml:space="preserve">and the Industrial Revolution, aiming to draw together many aspects of growth of the period. </w:t>
      </w:r>
    </w:p>
    <w:p w14:paraId="141C539C" w14:textId="77777777" w:rsidR="00872D48" w:rsidRPr="00EE19DE" w:rsidRDefault="00872D48" w:rsidP="00872D48">
      <w:pPr>
        <w:rPr>
          <w:rFonts w:ascii="Calibri" w:eastAsia="Calibri" w:hAnsi="Calibri" w:cs="Arial"/>
          <w:i/>
          <w:iCs/>
        </w:rPr>
      </w:pPr>
      <w:r w:rsidRPr="00EE19DE">
        <w:rPr>
          <w:rFonts w:ascii="Calibri" w:eastAsia="Calibri" w:hAnsi="Calibri" w:cs="Arial"/>
          <w:i/>
          <w:iCs/>
        </w:rPr>
        <w:t>National, Regional and Local Approaches to the Cotton Trade</w:t>
      </w:r>
    </w:p>
    <w:p w14:paraId="1DC030F6" w14:textId="77777777" w:rsidR="00872D48" w:rsidRPr="00872D48" w:rsidRDefault="00872D48" w:rsidP="00872D48">
      <w:pPr>
        <w:rPr>
          <w:rFonts w:ascii="Calibri" w:eastAsia="Calibri" w:hAnsi="Calibri" w:cs="Arial"/>
        </w:rPr>
      </w:pPr>
      <w:r w:rsidRPr="00872D48">
        <w:rPr>
          <w:rFonts w:ascii="Calibri" w:eastAsia="Calibri" w:hAnsi="Calibri" w:cs="Arial"/>
        </w:rPr>
        <w:t>Existing studies of the cotton industry in the Derwent Valley have greatly emphasised the role of Richard Arkwright and, to a lesser extent, Jedediah Strutt and their cotton mills within the valley. The work of Robert S. Fitton and A. P. Wadsworth and S. D. Chapman has extensively explored the shift from small-scale domestic cotton production towards a factory-based system during the late eighteenth century, of which Arkwright is hailed as one of its greatest pioneers.</w:t>
      </w:r>
      <w:r w:rsidRPr="00872D48">
        <w:rPr>
          <w:rFonts w:ascii="Calibri" w:eastAsia="Calibri" w:hAnsi="Calibri" w:cs="Arial"/>
          <w:vertAlign w:val="superscript"/>
        </w:rPr>
        <w:footnoteReference w:id="8"/>
      </w:r>
      <w:r w:rsidRPr="00872D48">
        <w:rPr>
          <w:rFonts w:ascii="Calibri" w:eastAsia="Calibri" w:hAnsi="Calibri" w:cs="Arial"/>
        </w:rPr>
        <w:t xml:space="preserve"> The Evans family mill at Darley Abbey has received less attention from scholars. Jean Lindsay’s 1960 article offered a notable study of this mill.</w:t>
      </w:r>
      <w:r w:rsidRPr="00872D48">
        <w:rPr>
          <w:rFonts w:ascii="Calibri" w:eastAsia="Calibri" w:hAnsi="Calibri" w:cs="Arial"/>
          <w:vertAlign w:val="superscript"/>
        </w:rPr>
        <w:footnoteReference w:id="9"/>
      </w:r>
      <w:r w:rsidRPr="00872D48">
        <w:rPr>
          <w:rFonts w:ascii="Calibri" w:eastAsia="Calibri" w:hAnsi="Calibri" w:cs="Arial"/>
        </w:rPr>
        <w:t xml:space="preserve"> This paper introduced the Evans family and their cotton mill to the historiography of the Industrial Revolution and the cotton trade. In this study, Lindsay emphasised the Evans family being gentlemen rather than inventors or entrepreneurs like Arkwright and Strutt. This study suggested the Evans family held a unique position within the valley’s industrial development and hinted at their importance in the region's history.</w:t>
      </w:r>
      <w:r w:rsidRPr="00872D48">
        <w:rPr>
          <w:rFonts w:ascii="Calibri" w:eastAsia="Calibri" w:hAnsi="Calibri" w:cs="Arial"/>
          <w:vertAlign w:val="superscript"/>
        </w:rPr>
        <w:footnoteReference w:id="10"/>
      </w:r>
      <w:r w:rsidRPr="00872D48">
        <w:rPr>
          <w:rFonts w:ascii="Calibri" w:eastAsia="Calibri" w:hAnsi="Calibri" w:cs="Arial"/>
        </w:rPr>
        <w:t xml:space="preserve"> This understanding, though fundamentally correct, tended to oversimplify the Evans family's role in the region's industrial development and their input to the cotton trade. Rather than simply being gentlemen, the male members of the family had been industrialists in the mid-late eighteenth century. The family had acquired wealth via landed interests, the lead and calamine industry during the boom of the early eighteenth century. The family then invested this wealth across many other industries before entering the cotton trade in the 1780s. The family also invested some of their wealth to become financial backers of Arkwright, Strutt, and Samuel Oldknow, all early cotton trade industrialists.</w:t>
      </w:r>
      <w:r w:rsidRPr="00872D48">
        <w:rPr>
          <w:rFonts w:ascii="Calibri" w:eastAsia="Calibri" w:hAnsi="Calibri" w:cs="Arial"/>
          <w:vertAlign w:val="superscript"/>
        </w:rPr>
        <w:footnoteReference w:id="11"/>
      </w:r>
      <w:r w:rsidRPr="00872D48">
        <w:rPr>
          <w:rFonts w:ascii="Calibri" w:eastAsia="Calibri" w:hAnsi="Calibri" w:cs="Arial"/>
        </w:rPr>
        <w:t xml:space="preserve"> This shows that the establishment of the early cotton mills resulted from many strands of resources being channelled into one direction and that the Evans family was a fundamental part of this. Other aspects of the role of the Evans family are glossed over or not explored in this article. Although Lindsay mentions their acquisition of globally sourced raw cotton, she does not mention how they could access these resources via their networks or the importance of trust, social capital, and reputation in their kinship and business networks.</w:t>
      </w:r>
      <w:r w:rsidRPr="00872D48">
        <w:rPr>
          <w:rFonts w:ascii="Calibri" w:eastAsia="Calibri" w:hAnsi="Calibri" w:cs="Arial"/>
          <w:vertAlign w:val="superscript"/>
        </w:rPr>
        <w:footnoteReference w:id="12"/>
      </w:r>
      <w:r w:rsidRPr="00872D48">
        <w:rPr>
          <w:rFonts w:ascii="Calibri" w:eastAsia="Calibri" w:hAnsi="Calibri" w:cs="Arial"/>
        </w:rPr>
        <w:t xml:space="preserve"> </w:t>
      </w:r>
    </w:p>
    <w:p w14:paraId="71230410" w14:textId="77777777" w:rsidR="00872D48" w:rsidRPr="00872D48" w:rsidRDefault="00872D48" w:rsidP="00872D48">
      <w:pPr>
        <w:rPr>
          <w:rFonts w:ascii="Calibri" w:eastAsia="Calibri" w:hAnsi="Calibri" w:cs="Arial"/>
        </w:rPr>
      </w:pPr>
      <w:r w:rsidRPr="00872D48">
        <w:rPr>
          <w:rFonts w:ascii="Calibri" w:eastAsia="Calibri" w:hAnsi="Calibri" w:cs="Arial"/>
        </w:rPr>
        <w:t>Existing studies of the cotton industry in Lancashire and Manchester have included the work of G. W. Daniels and Clive H. Lee regarding the mills of McConnel &amp; Kennedy.</w:t>
      </w:r>
      <w:r w:rsidRPr="00872D48">
        <w:rPr>
          <w:rFonts w:ascii="Calibri" w:eastAsia="Calibri" w:hAnsi="Calibri" w:cs="Arial"/>
          <w:vertAlign w:val="superscript"/>
        </w:rPr>
        <w:footnoteReference w:id="13"/>
      </w:r>
      <w:r w:rsidRPr="00872D48">
        <w:rPr>
          <w:rFonts w:ascii="Calibri" w:eastAsia="Calibri" w:hAnsi="Calibri" w:cs="Arial"/>
        </w:rPr>
        <w:t xml:space="preserve"> Lee’s work on McConnel and Kennedy in Manchester builds upon the earlier work of Daniels by utilising the mill documents of the firm McConnel &amp; Kennedy, and McConnel &amp; Co. Lee’s 1972 study appears to place McConnel &amp; Kennedy at the centre of their industry.</w:t>
      </w:r>
      <w:r w:rsidRPr="00872D48">
        <w:rPr>
          <w:rFonts w:ascii="Calibri" w:eastAsia="Calibri" w:hAnsi="Calibri" w:cs="Arial"/>
          <w:vertAlign w:val="superscript"/>
        </w:rPr>
        <w:footnoteReference w:id="14"/>
      </w:r>
      <w:r w:rsidRPr="00872D48">
        <w:rPr>
          <w:rFonts w:ascii="Calibri" w:eastAsia="Calibri" w:hAnsi="Calibri" w:cs="Arial"/>
        </w:rPr>
        <w:t xml:space="preserve"> Lee’s work skews their place within the wider local, regional, national, and international networks by using their centrality as his point of perception and understanding. Other studies of individual cotton mills tend to misalign the role of the individual firm within the broader collective networks, though the cotton mills were of importance to the wider </w:t>
      </w:r>
      <w:r w:rsidRPr="00872D48">
        <w:rPr>
          <w:rFonts w:ascii="Calibri" w:eastAsia="Calibri" w:hAnsi="Calibri" w:cs="Arial"/>
        </w:rPr>
        <w:lastRenderedPageBreak/>
        <w:t>cotton industry and the industrialisation of Britain. Mary B. Rose’s Study of the Greg Family and Rhodes Boyson’s examination of the Ashworth cotton enterprise are valuable additions to the field.</w:t>
      </w:r>
      <w:r w:rsidRPr="00872D48">
        <w:rPr>
          <w:rFonts w:ascii="Calibri" w:eastAsia="Calibri" w:hAnsi="Calibri" w:cs="Arial"/>
          <w:vertAlign w:val="superscript"/>
        </w:rPr>
        <w:footnoteReference w:id="15"/>
      </w:r>
      <w:r w:rsidRPr="00872D48">
        <w:rPr>
          <w:rFonts w:ascii="Calibri" w:eastAsia="Calibri" w:hAnsi="Calibri" w:cs="Arial"/>
        </w:rPr>
        <w:t xml:space="preserve"> Still, they also tend to isolate the firms rather than show the interconnectivity of the firms as part of wider networks of exchange. This thesis aims to show that the cotton firms of this study were integral parts of a broader system and that they could connect to more expansive systems by building local and regional networks of trust, using social capital and reputations. </w:t>
      </w:r>
    </w:p>
    <w:p w14:paraId="675FCA94" w14:textId="77777777" w:rsidR="00872D48" w:rsidRPr="00872D48" w:rsidRDefault="00872D48" w:rsidP="00872D48">
      <w:pPr>
        <w:rPr>
          <w:rFonts w:ascii="Calibri" w:eastAsia="Calibri" w:hAnsi="Calibri" w:cs="Arial"/>
        </w:rPr>
      </w:pPr>
      <w:r w:rsidRPr="00872D48">
        <w:rPr>
          <w:rFonts w:ascii="Calibri" w:eastAsia="Calibri" w:hAnsi="Calibri" w:cs="Arial"/>
        </w:rPr>
        <w:t>The interconnected regional business networks of the Derwent Valley and Greater Manchester played a pivotal role in shaping the success of the early Industrial Revolution, particularly in the flourishing cotton industry. Studies by S. D. Chapman and Peter Maw shed light on the collaborative dynamics and commercial significance that propelled Manchester into a central role within this transformative era.</w:t>
      </w:r>
      <w:r w:rsidRPr="00872D48">
        <w:rPr>
          <w:rFonts w:ascii="Calibri" w:eastAsia="Calibri" w:hAnsi="Calibri" w:cs="Arial"/>
          <w:vertAlign w:val="superscript"/>
        </w:rPr>
        <w:footnoteReference w:id="16"/>
      </w:r>
      <w:r w:rsidRPr="00872D48">
        <w:rPr>
          <w:rFonts w:ascii="Calibri" w:eastAsia="Calibri" w:hAnsi="Calibri" w:cs="Arial"/>
        </w:rPr>
        <w:t xml:space="preserve"> Chapman's exploration of Richard Arkwright's influence in Lancashire and the Midlands highlights Manchester’s role as a nexus connecting key industrialists during the early stages of the Industrial Revolution. Meanwhile, Peter Maw's study underscores the importance of Manchester's merchant community as a vital force in laying the foundations for the world's first industrial economy.</w:t>
      </w:r>
      <w:r w:rsidRPr="00872D48">
        <w:rPr>
          <w:rFonts w:ascii="Calibri" w:eastAsia="Calibri" w:hAnsi="Calibri" w:cs="Arial"/>
          <w:vertAlign w:val="superscript"/>
        </w:rPr>
        <w:footnoteReference w:id="17"/>
      </w:r>
      <w:r w:rsidRPr="00872D48">
        <w:rPr>
          <w:rFonts w:ascii="Calibri" w:eastAsia="Calibri" w:hAnsi="Calibri" w:cs="Arial"/>
        </w:rPr>
        <w:t xml:space="preserve"> However, this study will show that it is crucial to recognise the pivotal role played by the Evans family of the Derwent Valley in this narrative. By financing local and regional cotton trade and offering financial backing to Arkwright, Strutt, and Oldknow, the Evans and other banking families provided the essential financial underpinning that allowed Arkwright to move to Manchester. This had a knock-on effect on Manchester and altered the town’s development. The Evans family was also integral to the Manchester economy as Samuel Evans (the founder Thomas’s grandson) lived and worked as a cotton broker and sales agent in Manchester.</w:t>
      </w:r>
      <w:r w:rsidRPr="00872D48">
        <w:rPr>
          <w:rFonts w:ascii="Calibri" w:eastAsia="Calibri" w:hAnsi="Calibri" w:cs="Arial"/>
          <w:vertAlign w:val="superscript"/>
        </w:rPr>
        <w:footnoteReference w:id="18"/>
      </w:r>
      <w:r w:rsidRPr="00872D48">
        <w:rPr>
          <w:rFonts w:ascii="Calibri" w:eastAsia="Calibri" w:hAnsi="Calibri" w:cs="Arial"/>
        </w:rPr>
        <w:t xml:space="preserve"> Other Manchester merchants acted as sales agents to the Boar’s Head Cotton Mills, many of whom were part of the Great Oaks that Peter Maw’s work examines. </w:t>
      </w:r>
    </w:p>
    <w:p w14:paraId="60EB77D7" w14:textId="77777777" w:rsidR="00872D48" w:rsidRPr="00872D48" w:rsidRDefault="00872D48" w:rsidP="00872D48">
      <w:pPr>
        <w:rPr>
          <w:rFonts w:ascii="Calibri" w:eastAsia="Calibri" w:hAnsi="Calibri" w:cs="Arial"/>
        </w:rPr>
      </w:pPr>
      <w:r w:rsidRPr="00872D48">
        <w:rPr>
          <w:rFonts w:ascii="Calibri" w:eastAsia="Calibri" w:hAnsi="Calibri" w:cs="Arial"/>
        </w:rPr>
        <w:t>The narratives of the Evans family and McConnel &amp; Kennedy were also entwined as they were customers and suppliers of each other.</w:t>
      </w:r>
      <w:r w:rsidRPr="00872D48">
        <w:rPr>
          <w:rFonts w:ascii="Calibri" w:eastAsia="Calibri" w:hAnsi="Calibri" w:cs="Arial"/>
          <w:vertAlign w:val="superscript"/>
        </w:rPr>
        <w:footnoteReference w:id="19"/>
      </w:r>
      <w:r w:rsidRPr="00872D48">
        <w:rPr>
          <w:rFonts w:ascii="Calibri" w:eastAsia="Calibri" w:hAnsi="Calibri" w:cs="Arial"/>
        </w:rPr>
        <w:t xml:space="preserve"> However, care must be taken when concluding how important Arkwright was within the Manchester-based economy, as many Manchester-based mills developed along the lines of Crompton’s mule rather than Arkwright’s technology – whose patents were challenged by Manchester men.</w:t>
      </w:r>
      <w:r w:rsidRPr="00872D48">
        <w:rPr>
          <w:rFonts w:ascii="Calibri" w:eastAsia="Calibri" w:hAnsi="Calibri" w:cs="Arial"/>
          <w:vertAlign w:val="superscript"/>
        </w:rPr>
        <w:footnoteReference w:id="20"/>
      </w:r>
      <w:r w:rsidRPr="00872D48">
        <w:rPr>
          <w:rFonts w:ascii="Calibri" w:eastAsia="Calibri" w:hAnsi="Calibri" w:cs="Arial"/>
        </w:rPr>
        <w:t xml:space="preserve"> However, it could still be argued that without the formative financial support from the Evans family in the industry, and Arkwright’s establishment of the </w:t>
      </w:r>
      <w:proofErr w:type="spellStart"/>
      <w:r w:rsidRPr="00872D48">
        <w:rPr>
          <w:rFonts w:ascii="Calibri" w:eastAsia="Calibri" w:hAnsi="Calibri" w:cs="Arial"/>
        </w:rPr>
        <w:t>Shudehill</w:t>
      </w:r>
      <w:proofErr w:type="spellEnd"/>
      <w:r w:rsidRPr="00872D48">
        <w:rPr>
          <w:rFonts w:ascii="Calibri" w:eastAsia="Calibri" w:hAnsi="Calibri" w:cs="Arial"/>
        </w:rPr>
        <w:t xml:space="preserve"> Mill in Manchester in 1782, the robust development of Manchester's economy, particularly in the cotton industry, might have taken a different course.</w:t>
      </w:r>
      <w:r w:rsidRPr="00872D48">
        <w:rPr>
          <w:rFonts w:ascii="Calibri" w:eastAsia="Calibri" w:hAnsi="Calibri" w:cs="Arial"/>
          <w:vertAlign w:val="superscript"/>
        </w:rPr>
        <w:footnoteReference w:id="21"/>
      </w:r>
      <w:r w:rsidRPr="00872D48">
        <w:rPr>
          <w:rFonts w:ascii="Calibri" w:eastAsia="Calibri" w:hAnsi="Calibri" w:cs="Arial"/>
        </w:rPr>
        <w:t xml:space="preserve"> Their contributions acted as a catalyst, fostering connectivity, and enabling the growth of the broader industrial landscape that later defined Manchester during this transformative period. The Evans family's financial backing emerges as a linchpin in the success story of the Derwent Valley, whose economic and industrial evolution led the way for Manchester’s subsequent growth. By building on these local studies, this thesis aims to explore the inner workings of the networks that connected these two areas. by exploring the concepts of trust, social capital, and reputation. </w:t>
      </w:r>
    </w:p>
    <w:p w14:paraId="44615869" w14:textId="77777777" w:rsidR="00872D48" w:rsidRPr="00872D48" w:rsidRDefault="00872D48" w:rsidP="00872D48">
      <w:pPr>
        <w:rPr>
          <w:rFonts w:ascii="Calibri" w:eastAsia="Calibri" w:hAnsi="Calibri" w:cs="Arial"/>
        </w:rPr>
      </w:pPr>
      <w:r w:rsidRPr="00872D48">
        <w:rPr>
          <w:rFonts w:ascii="Calibri" w:eastAsia="Calibri" w:hAnsi="Calibri" w:cs="Arial"/>
        </w:rPr>
        <w:lastRenderedPageBreak/>
        <w:t>The cotton trade's broader historiography and the overarching concept of the industrial revolution have also guided my research by historically showing the depth, breadth, and complexity of the copious amounts of background information surrounding the existing topics. The diversity of this work is phenomenal and has shown a variety of directions in which studies in this field have gone. Most studies into the cotton industry during the Industrial Revolution have split into two main categories: either the production or the consumption of the commodity. Production studies have often focused on quantitative studies at a national level, such as the importation of raw cotton, the accumulation of capital to process the raw cotton into manufactured goods, and the markets for the sale of cotton goods.</w:t>
      </w:r>
      <w:r w:rsidRPr="00872D48">
        <w:rPr>
          <w:rFonts w:ascii="Calibri" w:eastAsia="Calibri" w:hAnsi="Calibri" w:cs="Arial"/>
          <w:vertAlign w:val="superscript"/>
        </w:rPr>
        <w:footnoteReference w:id="22"/>
      </w:r>
      <w:r w:rsidRPr="00872D48">
        <w:rPr>
          <w:rFonts w:ascii="Calibri" w:eastAsia="Calibri" w:hAnsi="Calibri" w:cs="Arial"/>
        </w:rPr>
        <w:t xml:space="preserve"> Other production studies have explored the local and regional narratives of a single firm manufacturing cotton. These often focused on qualitative analysis that emphasised the role of the cotton mill owner and his family, the workers and their living conditions, and the inventions that enabled more cotton to be processed there. </w:t>
      </w:r>
    </w:p>
    <w:p w14:paraId="65897DCC" w14:textId="77777777" w:rsidR="00872D48" w:rsidRPr="00EE19DE" w:rsidRDefault="00872D48" w:rsidP="00872D48">
      <w:pPr>
        <w:rPr>
          <w:rFonts w:ascii="Calibri" w:eastAsia="Calibri" w:hAnsi="Calibri" w:cs="Arial"/>
          <w:i/>
          <w:iCs/>
        </w:rPr>
      </w:pPr>
      <w:r w:rsidRPr="00EE19DE">
        <w:rPr>
          <w:rFonts w:ascii="Calibri" w:eastAsia="Calibri" w:hAnsi="Calibri" w:cs="Arial"/>
          <w:i/>
          <w:iCs/>
        </w:rPr>
        <w:t>Global Approaches to the Cotton Trade</w:t>
      </w:r>
    </w:p>
    <w:p w14:paraId="66ABEA27" w14:textId="3F3D040A" w:rsidR="00872D48" w:rsidRPr="00872D48" w:rsidRDefault="00872D48" w:rsidP="00872D48">
      <w:pPr>
        <w:rPr>
          <w:rFonts w:ascii="Calibri" w:eastAsia="Calibri" w:hAnsi="Calibri" w:cs="Arial"/>
          <w:b/>
          <w:bCs/>
        </w:rPr>
      </w:pPr>
      <w:r w:rsidRPr="00872D48">
        <w:rPr>
          <w:rFonts w:ascii="Calibri" w:eastAsia="Calibri" w:hAnsi="Calibri" w:cs="Arial"/>
        </w:rPr>
        <w:t>Recent historiography of the cotton trade has shown a shift towards a greater acknowledgment of the connectedness of the local and national narratives to the wider global picture. The theoretical underpinning for this shift can be found in a variety of useful theories and models, including the sociologist Immanuel Wallerstein’s World Systems Theory.</w:t>
      </w:r>
      <w:r w:rsidR="005C2FAF" w:rsidRPr="00872D48">
        <w:rPr>
          <w:rFonts w:ascii="Calibri" w:eastAsia="Calibri" w:hAnsi="Calibri" w:cs="Arial"/>
          <w:vertAlign w:val="superscript"/>
        </w:rPr>
        <w:footnoteReference w:id="23"/>
      </w:r>
      <w:r w:rsidRPr="00872D48">
        <w:rPr>
          <w:rFonts w:ascii="Calibri" w:eastAsia="Calibri" w:hAnsi="Calibri" w:cs="Arial"/>
        </w:rPr>
        <w:t xml:space="preserve"> This theory emphasises a world system, not nation-states, as a unit of analysis. Wallerstein’s work influenced the work of Giorgio Riello (which I will review below) and forms the basis of shifts from nationalistic interpretations of the cotton trade towards global ones.</w:t>
      </w:r>
      <w:r w:rsidR="005C2FAF">
        <w:rPr>
          <w:rStyle w:val="FootnoteReference"/>
          <w:rFonts w:ascii="Calibri" w:eastAsia="Calibri" w:hAnsi="Calibri" w:cs="Arial"/>
        </w:rPr>
        <w:footnoteReference w:id="24"/>
      </w:r>
      <w:r w:rsidRPr="00872D48">
        <w:rPr>
          <w:rFonts w:ascii="Calibri" w:eastAsia="Calibri" w:hAnsi="Calibri" w:cs="Arial"/>
        </w:rPr>
        <w:t xml:space="preserve"> Viewing the history of British cotton spinning firms in the context of being part of a global system of trade rather than simply a national one has allowed the global importance of the local firms to be acknowledged. It has also allowed an understanding of the firms as links in the global commodity chains that process raw materials into manufactured goods. However, not all global histories about the development of cotton adopt or completely adhere to Wallerstein’s theory. The work of Sven Beckert adopts a global scale analysis but emphasises the role of nation-states in their interactions on the global stage.</w:t>
      </w:r>
      <w:r w:rsidRPr="00872D48">
        <w:rPr>
          <w:rFonts w:ascii="Calibri" w:eastAsia="Calibri" w:hAnsi="Calibri" w:cs="Arial"/>
          <w:vertAlign w:val="superscript"/>
        </w:rPr>
        <w:footnoteReference w:id="25"/>
      </w:r>
      <w:r w:rsidRPr="00872D48">
        <w:rPr>
          <w:rFonts w:ascii="Calibri" w:eastAsia="Calibri" w:hAnsi="Calibri" w:cs="Arial"/>
        </w:rPr>
        <w:t xml:space="preserve"> Other theories and debates such as divergence, globalisation, shifts in modes and geographical locations of production, change in the global system of economy, technological explanations for economic shifts, economic explanations of social change, and social explanations of economic change and development have also been brought to the foreground of the recent literature on the cotton trade. </w:t>
      </w:r>
    </w:p>
    <w:p w14:paraId="6C42BB59" w14:textId="77777777" w:rsidR="00872D48" w:rsidRPr="00872D48" w:rsidRDefault="00872D48" w:rsidP="00872D48">
      <w:pPr>
        <w:rPr>
          <w:rFonts w:ascii="Calibri" w:eastAsia="Calibri" w:hAnsi="Calibri" w:cs="Arial"/>
        </w:rPr>
      </w:pPr>
      <w:r w:rsidRPr="00872D48">
        <w:rPr>
          <w:rFonts w:ascii="Calibri" w:eastAsia="Calibri" w:hAnsi="Calibri" w:cs="Arial"/>
        </w:rPr>
        <w:t>As an historian of capitalism who adopted a global scale of analysis, Beckert explored the long-term development of capitalism via the lens of cotton as a global commodity. Beckert argues that Europeans used power and violence to form a basis of a new system of global production which incorporated the movement of resources around the globe, resulting in the transformation of capitalism.</w:t>
      </w:r>
      <w:r w:rsidRPr="00872D48">
        <w:rPr>
          <w:rFonts w:ascii="Calibri" w:eastAsia="Calibri" w:hAnsi="Calibri" w:cs="Arial"/>
          <w:vertAlign w:val="superscript"/>
        </w:rPr>
        <w:footnoteReference w:id="26"/>
      </w:r>
      <w:r w:rsidRPr="00872D48">
        <w:rPr>
          <w:rFonts w:ascii="Calibri" w:eastAsia="Calibri" w:hAnsi="Calibri" w:cs="Arial"/>
        </w:rPr>
        <w:t xml:space="preserve"> This transformation utilised the power of nation-states in expropriating land and resources and enslaving people for labour. He describes this process as war capitalism which he argues was the foundation on which the industrialisation of the cotton industry and the dominance of the capitalist system of European nation-states and Western societies was built. This transformation included the development of industrial capitalism, which saw the establishment of cotton factories manufacturing cotton goods, firstly within Britain, then Europe, and later the United </w:t>
      </w:r>
      <w:r w:rsidRPr="00872D48">
        <w:rPr>
          <w:rFonts w:ascii="Calibri" w:eastAsia="Calibri" w:hAnsi="Calibri" w:cs="Arial"/>
        </w:rPr>
        <w:lastRenderedPageBreak/>
        <w:t>States and beyond.</w:t>
      </w:r>
      <w:r w:rsidRPr="00872D48">
        <w:rPr>
          <w:rFonts w:ascii="Calibri" w:eastAsia="Calibri" w:hAnsi="Calibri" w:cs="Arial"/>
          <w:vertAlign w:val="superscript"/>
        </w:rPr>
        <w:footnoteReference w:id="27"/>
      </w:r>
      <w:r w:rsidRPr="00872D48">
        <w:rPr>
          <w:rFonts w:ascii="Calibri" w:eastAsia="Calibri" w:hAnsi="Calibri" w:cs="Arial"/>
        </w:rPr>
        <w:t xml:space="preserve"> This interpretation would place the establishment of the Boar’s Head Cotton Mills and the mills of McConnel &amp; Kennedy within the first phase of industrial capitalism. Each firm then connected to the wider global development of the cotton industry, including the production and consumption networks that spanned the globe. This contextualising of the two case studies within Beckert’s capitalism development theory provoked my thinking about how each firm could achieve this and what mechanisms they adopted to make their enterprises successful within this global system. It also got me questioning how earlier explanations of the development of the factory system, such as those forwarded by Stanley Chapman about factory masters and their technology, could sit within Beckert’s ‘global capitalism development theory,’ if at all.</w:t>
      </w:r>
      <w:r w:rsidRPr="00872D48">
        <w:rPr>
          <w:rFonts w:ascii="Calibri" w:eastAsia="Calibri" w:hAnsi="Calibri" w:cs="Arial"/>
          <w:vertAlign w:val="superscript"/>
        </w:rPr>
        <w:footnoteReference w:id="28"/>
      </w:r>
    </w:p>
    <w:p w14:paraId="571A35B9" w14:textId="77777777" w:rsidR="00872D48" w:rsidRPr="00872D48" w:rsidRDefault="00872D48" w:rsidP="00872D48">
      <w:pPr>
        <w:rPr>
          <w:rFonts w:ascii="Calibri" w:eastAsia="Calibri" w:hAnsi="Calibri" w:cs="Arial"/>
        </w:rPr>
      </w:pPr>
      <w:r w:rsidRPr="00872D48">
        <w:rPr>
          <w:rFonts w:ascii="Calibri" w:eastAsia="Calibri" w:hAnsi="Calibri" w:cs="Arial"/>
        </w:rPr>
        <w:t>Beckert cites many examples of cotton factories to illustrate his theory, however, his primary case study highlighting industrial capitalism development in Britain is the Greg family mill at Styal in Cheshire.</w:t>
      </w:r>
      <w:r w:rsidRPr="00872D48">
        <w:rPr>
          <w:rFonts w:ascii="Calibri" w:eastAsia="Calibri" w:hAnsi="Calibri" w:cs="Arial"/>
          <w:vertAlign w:val="superscript"/>
        </w:rPr>
        <w:footnoteReference w:id="29"/>
      </w:r>
      <w:r w:rsidRPr="00872D48">
        <w:rPr>
          <w:rFonts w:ascii="Calibri" w:eastAsia="Calibri" w:hAnsi="Calibri" w:cs="Arial"/>
        </w:rPr>
        <w:t xml:space="preserve"> His selection of this mill reflects the conceptual framing of his study to explore war, violence, and enslavement to explain the mechanisms of industrial capitalism. The Greg family case study includes the development of a mill community of wage labourers processing cotton in Britain.</w:t>
      </w:r>
      <w:r w:rsidRPr="00872D48">
        <w:rPr>
          <w:rFonts w:ascii="Calibri" w:eastAsia="Calibri" w:hAnsi="Calibri" w:cs="Arial"/>
          <w:vertAlign w:val="superscript"/>
        </w:rPr>
        <w:footnoteReference w:id="30"/>
      </w:r>
      <w:r w:rsidRPr="00872D48">
        <w:rPr>
          <w:rFonts w:ascii="Calibri" w:eastAsia="Calibri" w:hAnsi="Calibri" w:cs="Arial"/>
        </w:rPr>
        <w:t xml:space="preserve"> This British factory was connected to globe-spanning networks and a mill-owning family with colonial interests that owned enslaved people on the island of Dominica.</w:t>
      </w:r>
      <w:r w:rsidRPr="00872D48">
        <w:rPr>
          <w:rFonts w:ascii="Calibri" w:eastAsia="Calibri" w:hAnsi="Calibri" w:cs="Arial"/>
          <w:vertAlign w:val="superscript"/>
        </w:rPr>
        <w:footnoteReference w:id="31"/>
      </w:r>
      <w:r w:rsidRPr="00872D48">
        <w:rPr>
          <w:rFonts w:ascii="Calibri" w:eastAsia="Calibri" w:hAnsi="Calibri" w:cs="Arial"/>
        </w:rPr>
        <w:t xml:space="preserve"> The Greg family were an important part of the growth of cotton manufacturing in Britain during this period. The Greg family were not typical and their story, while illustrative of Beckert’s points, they do not reflect the norm, even of the larger more successful cotton spinning firms of the time. They were however a significant part of the network of cotton manufacturers and industrialists of the period. What Beckert’s work does well is bring out the interconnectedness of the local, regional, national and global trade networks and outlines many different aspects that combined to create the industry – such as the colonial expansion, violent expropriation of the land to grow cotton, armed trade to achieve dominance on the trade routes and the economic developments of global finance. Beckert’s work creates a research gap when considering the different scales of networks and how the cotton trade was able to create and sustain the networks. Beckert argument for the importance of the networks is clear but it leaves open questions regarding what enabled the people in the networks to connect with each other, both within Britain and globally. </w:t>
      </w:r>
    </w:p>
    <w:p w14:paraId="238BE5BB" w14:textId="77777777" w:rsidR="00872D48" w:rsidRPr="00872D48" w:rsidRDefault="00872D48" w:rsidP="00872D48">
      <w:pPr>
        <w:rPr>
          <w:rFonts w:ascii="Calibri" w:eastAsia="Calibri" w:hAnsi="Calibri" w:cs="Arial"/>
        </w:rPr>
      </w:pPr>
      <w:r w:rsidRPr="00872D48">
        <w:rPr>
          <w:rFonts w:ascii="Calibri" w:eastAsia="Calibri" w:hAnsi="Calibri" w:cs="Arial"/>
        </w:rPr>
        <w:t>As a global historian, Riello’s has also adopted an economic, global-scale analysis of the cotton trade via a long-term development perspective.</w:t>
      </w:r>
      <w:r w:rsidRPr="00872D48">
        <w:rPr>
          <w:rFonts w:ascii="Calibri" w:eastAsia="Calibri" w:hAnsi="Calibri" w:cs="Arial"/>
          <w:vertAlign w:val="superscript"/>
        </w:rPr>
        <w:footnoteReference w:id="32"/>
      </w:r>
      <w:r w:rsidRPr="00872D48">
        <w:rPr>
          <w:rFonts w:ascii="Calibri" w:eastAsia="Calibri" w:hAnsi="Calibri" w:cs="Arial"/>
        </w:rPr>
        <w:t xml:space="preserve"> Riello argues that there is no simplification possible when explaining the development of the cotton industry globally. The overall development of trade and manufacturing cotton as a commodity is explained by his ‘centrifugal–learning and connecting–centripetal model’ of two cotton revolutions separated by a phase of learning, connecting, and exchange. His research aims to explain industrialisation in a more global way.</w:t>
      </w:r>
      <w:r w:rsidRPr="00872D48">
        <w:rPr>
          <w:rFonts w:ascii="Calibri" w:eastAsia="Calibri" w:hAnsi="Calibri" w:cs="Arial"/>
          <w:vertAlign w:val="superscript"/>
        </w:rPr>
        <w:footnoteReference w:id="33"/>
      </w:r>
      <w:r w:rsidRPr="00872D48">
        <w:rPr>
          <w:rFonts w:ascii="Calibri" w:eastAsia="Calibri" w:hAnsi="Calibri" w:cs="Arial"/>
        </w:rPr>
        <w:t xml:space="preserve"> Riello’s research has influenced my research and enabled a contextualisation within the second cotton revolution or the centripetal system of his model. The Evans family and McConnel &amp; Kennedy started their input into the global cotton story by establishing their factories as machine makers and cotton spinners. Their inputs came after the influx of Indian textiles into Europe had resulted in protectionist moves by </w:t>
      </w:r>
      <w:r w:rsidRPr="00872D48">
        <w:rPr>
          <w:rFonts w:ascii="Calibri" w:eastAsia="Calibri" w:hAnsi="Calibri" w:cs="Arial"/>
        </w:rPr>
        <w:lastRenderedPageBreak/>
        <w:t xml:space="preserve">British manufacturers, new habits of consumption were well underway within Europe and across the globe, and cotton was already being grown in the Caribbean by enslaved labourers. These two cotton enterprises were made possible partly by the connections and exchanges that had already occurred before the 1780s and by Riello’s interpretation by the 1750s. They were also made possible by inventors and industrialists in Britain, such as Arkwright, an initial business partner of Thomas Evans at the Boar’s Head Cotton Mills. Still, these efforts were part of a wider system of exchange and learning laid out by Riello in his connection and learning phase. </w:t>
      </w:r>
    </w:p>
    <w:p w14:paraId="48F90383" w14:textId="77777777" w:rsidR="00872D48" w:rsidRPr="00872D48" w:rsidRDefault="00872D48" w:rsidP="00872D48">
      <w:pPr>
        <w:rPr>
          <w:rFonts w:ascii="Calibri" w:eastAsia="Calibri" w:hAnsi="Calibri" w:cs="Arial"/>
        </w:rPr>
      </w:pPr>
      <w:r w:rsidRPr="00872D48">
        <w:rPr>
          <w:rFonts w:ascii="Calibri" w:eastAsia="Calibri" w:hAnsi="Calibri" w:cs="Arial"/>
        </w:rPr>
        <w:t>The Great Divergence theory and the European miracle interpretation of global economics have been debated among historians of the Industrial Revolution and the cotton trade.</w:t>
      </w:r>
      <w:r w:rsidRPr="00872D48">
        <w:rPr>
          <w:rFonts w:ascii="Calibri" w:eastAsia="Calibri" w:hAnsi="Calibri" w:cs="Arial"/>
          <w:vertAlign w:val="superscript"/>
        </w:rPr>
        <w:footnoteReference w:id="34"/>
      </w:r>
      <w:r w:rsidRPr="00872D48">
        <w:rPr>
          <w:rFonts w:ascii="Calibri" w:eastAsia="Calibri" w:hAnsi="Calibri" w:cs="Arial"/>
        </w:rPr>
        <w:t xml:space="preserve"> Kenneth Pomeranz, a Professor in East Asian and world history conducted a key study on global economics that is useful when applied to the cotton trade. Pomeranz’s work</w:t>
      </w:r>
      <w:r w:rsidRPr="00872D48">
        <w:rPr>
          <w:rFonts w:ascii="Calibri" w:eastAsia="Calibri" w:hAnsi="Calibri" w:cs="Arial"/>
          <w:i/>
          <w:iCs/>
        </w:rPr>
        <w:t xml:space="preserve"> </w:t>
      </w:r>
      <w:r w:rsidRPr="00872D48">
        <w:rPr>
          <w:rFonts w:ascii="Calibri" w:eastAsia="Calibri" w:hAnsi="Calibri" w:cs="Arial"/>
        </w:rPr>
        <w:t>has explored Europe's economic path, particularly during large-scale mechanisation.</w:t>
      </w:r>
      <w:r w:rsidRPr="00872D48">
        <w:rPr>
          <w:rFonts w:ascii="Calibri" w:eastAsia="Calibri" w:hAnsi="Calibri" w:cs="Arial"/>
          <w:vertAlign w:val="superscript"/>
        </w:rPr>
        <w:footnoteReference w:id="35"/>
      </w:r>
      <w:r w:rsidRPr="00872D48">
        <w:rPr>
          <w:rFonts w:ascii="Calibri" w:eastAsia="Calibri" w:hAnsi="Calibri" w:cs="Arial"/>
        </w:rPr>
        <w:t xml:space="preserve"> This theory argues that a socio-economic shift occurred in the global economy, which saw Western economies overcome the growth constraints of a pre-modern world and emerge more powerful and wealthy than other nations.</w:t>
      </w:r>
      <w:r w:rsidRPr="00872D48">
        <w:rPr>
          <w:rFonts w:ascii="Calibri" w:eastAsia="Calibri" w:hAnsi="Calibri" w:cs="Arial"/>
          <w:vertAlign w:val="superscript"/>
        </w:rPr>
        <w:footnoteReference w:id="36"/>
      </w:r>
      <w:r w:rsidRPr="00872D48">
        <w:rPr>
          <w:rFonts w:ascii="Calibri" w:eastAsia="Calibri" w:hAnsi="Calibri" w:cs="Arial"/>
        </w:rPr>
        <w:t xml:space="preserve"> Pomeranz’s theory chimes well with Beckert’s when considering his explanation of this shift in terms of the exploitation of non-Europeans, Europe’s privileged access to overseas resources, and Europe’s move to more technological modes of production. Both accounts, whether specific to cotton (Beckert) or more general (Pomeranz), seek to explain economic development with similar arguments. However,</w:t>
      </w:r>
      <w:r w:rsidRPr="00872D48">
        <w:rPr>
          <w:rFonts w:ascii="Calibri" w:eastAsia="Calibri" w:hAnsi="Calibri" w:cs="Arial"/>
          <w:b/>
          <w:bCs/>
        </w:rPr>
        <w:t xml:space="preserve"> </w:t>
      </w:r>
      <w:r w:rsidRPr="00872D48">
        <w:rPr>
          <w:rFonts w:ascii="Calibri" w:eastAsia="Calibri" w:hAnsi="Calibri" w:cs="Arial"/>
        </w:rPr>
        <w:t>Beckert's theory rejects the ‘Great Divergence theory’ to explain the development of the cotton trade and the world economy during the industrial revolution. Beckert argues that the great divergence accounts are flawed without discussing what he means by this.</w:t>
      </w:r>
      <w:r w:rsidRPr="00872D48">
        <w:rPr>
          <w:rFonts w:ascii="Calibri" w:eastAsia="Calibri" w:hAnsi="Calibri" w:cs="Arial"/>
          <w:vertAlign w:val="superscript"/>
        </w:rPr>
        <w:footnoteReference w:id="37"/>
      </w:r>
      <w:r w:rsidRPr="00872D48">
        <w:rPr>
          <w:rFonts w:ascii="Calibri" w:eastAsia="Calibri" w:hAnsi="Calibri" w:cs="Arial"/>
        </w:rPr>
        <w:t xml:space="preserve"> Riello’s </w:t>
      </w:r>
      <w:r w:rsidRPr="00872D48">
        <w:rPr>
          <w:rFonts w:ascii="Calibri" w:eastAsia="Calibri" w:hAnsi="Calibri" w:cs="Arial"/>
          <w:i/>
          <w:iCs/>
        </w:rPr>
        <w:t>Cotton</w:t>
      </w:r>
      <w:r w:rsidRPr="00872D48">
        <w:rPr>
          <w:rFonts w:ascii="Calibri" w:eastAsia="Calibri" w:hAnsi="Calibri" w:cs="Arial"/>
        </w:rPr>
        <w:t xml:space="preserve"> engages more with the ‘Great Divergence theory,’ explaining that cotton changed how economies worldwide operated.</w:t>
      </w:r>
      <w:r w:rsidRPr="00872D48">
        <w:rPr>
          <w:rFonts w:ascii="Calibri" w:eastAsia="Calibri" w:hAnsi="Calibri" w:cs="Arial"/>
          <w:vertAlign w:val="superscript"/>
        </w:rPr>
        <w:footnoteReference w:id="38"/>
      </w:r>
      <w:r w:rsidRPr="00872D48">
        <w:rPr>
          <w:rFonts w:ascii="Calibri" w:eastAsia="Calibri" w:hAnsi="Calibri" w:cs="Arial"/>
        </w:rPr>
        <w:t xml:space="preserve"> Still, unlike Beckert, he sees the global development of the cotton trade showing a shift from Asia (India) to Europe (Britain) as the beginning of a divergence between different parts of the world. Where Riello differs from Pomeranz in his Great Divergence interpretation is the speed at which change occurred in the global economy. Pomeranz’s theory suggested a divergence in global economic development occurring in the late eighteenth century, but at a quick pace; Riello, on the other hand, argues for a slower process of change.</w:t>
      </w:r>
      <w:r w:rsidRPr="00872D48">
        <w:rPr>
          <w:rFonts w:ascii="Calibri" w:eastAsia="Calibri" w:hAnsi="Calibri" w:cs="Arial"/>
          <w:vertAlign w:val="superscript"/>
        </w:rPr>
        <w:footnoteReference w:id="39"/>
      </w:r>
      <w:r w:rsidRPr="00872D48">
        <w:rPr>
          <w:rFonts w:ascii="Calibri" w:eastAsia="Calibri" w:hAnsi="Calibri" w:cs="Arial"/>
        </w:rPr>
        <w:t xml:space="preserve"> Riello suggests that factories may have appeared suddenly in Britain during the late eighteenth and early nineteenth centuries but resulted from a much longer process of change.</w:t>
      </w:r>
      <w:r w:rsidRPr="00872D48">
        <w:rPr>
          <w:rFonts w:ascii="Calibri" w:eastAsia="Calibri" w:hAnsi="Calibri" w:cs="Arial"/>
          <w:vertAlign w:val="superscript"/>
        </w:rPr>
        <w:footnoteReference w:id="40"/>
      </w:r>
      <w:r w:rsidRPr="00872D48">
        <w:rPr>
          <w:rFonts w:ascii="Calibri" w:eastAsia="Calibri" w:hAnsi="Calibri" w:cs="Arial"/>
        </w:rPr>
        <w:t xml:space="preserve"> It is with this point that the national, regional and local studies of the development of the factory system can connect with the global body of literature. </w:t>
      </w:r>
    </w:p>
    <w:p w14:paraId="1408847F" w14:textId="77777777" w:rsidR="00872D48" w:rsidRPr="00872D48" w:rsidRDefault="00872D48" w:rsidP="00872D48">
      <w:pPr>
        <w:rPr>
          <w:rFonts w:ascii="Calibri" w:eastAsia="Calibri" w:hAnsi="Calibri" w:cs="Arial"/>
        </w:rPr>
      </w:pPr>
      <w:r w:rsidRPr="00872D48">
        <w:rPr>
          <w:rFonts w:ascii="Calibri" w:eastAsia="Calibri" w:hAnsi="Calibri" w:cs="Arial"/>
        </w:rPr>
        <w:t>As a historian of fashion, material culture, and global trade, Beverly Lemire approaches the development of the cotton trade with an equal emphasis on the production and consumption of cotton as a commodity.</w:t>
      </w:r>
      <w:r w:rsidRPr="00872D48">
        <w:rPr>
          <w:rFonts w:ascii="Calibri" w:eastAsia="Calibri" w:hAnsi="Calibri" w:cs="Arial"/>
          <w:vertAlign w:val="superscript"/>
        </w:rPr>
        <w:footnoteReference w:id="41"/>
      </w:r>
      <w:r w:rsidRPr="00872D48">
        <w:rPr>
          <w:rFonts w:ascii="Calibri" w:eastAsia="Calibri" w:hAnsi="Calibri" w:cs="Arial"/>
        </w:rPr>
        <w:t xml:space="preserve"> Lemire’s work takes a less economic focus and adopts a more socio-economic approach. Of particular interest to the period of the Industrial Revolution is her work on the industrialisation of cotton and what she describes as the ‘New World Order’ c.1400-1860. Her theory works on the assumption that the development of cotton as a global commodity stemmed from the shaping and reshaping of the world over a long period of time through many generations.</w:t>
      </w:r>
      <w:r w:rsidRPr="00872D48">
        <w:rPr>
          <w:rFonts w:ascii="Calibri" w:eastAsia="Calibri" w:hAnsi="Calibri" w:cs="Arial"/>
          <w:vertAlign w:val="superscript"/>
        </w:rPr>
        <w:footnoteReference w:id="42"/>
      </w:r>
      <w:r w:rsidRPr="00872D48">
        <w:rPr>
          <w:rFonts w:ascii="Calibri" w:eastAsia="Calibri" w:hAnsi="Calibri" w:cs="Arial"/>
        </w:rPr>
        <w:t xml:space="preserve"> </w:t>
      </w:r>
      <w:r w:rsidRPr="00872D48">
        <w:rPr>
          <w:rFonts w:ascii="Calibri" w:eastAsia="Calibri" w:hAnsi="Calibri" w:cs="Arial"/>
        </w:rPr>
        <w:lastRenderedPageBreak/>
        <w:t>Therefore, the genesis of European and British industrialisation of cotton production has many antecedents of which other textile trades such as wool, linen, and fustians form a part. Lemire views the development of cotton as a small part of a wider process within an evolving system of colonial commerce. The production of cotton utilising enslaved labour had forerunners in producing other commodities such as sugar, tobacco, rice, and indigo. The shift to cotton production using this system was simply an adaptation of existing production models, and the British involvement in this process was another adaptation from other textile trades and commodity trading.</w:t>
      </w:r>
      <w:r w:rsidRPr="00872D48">
        <w:rPr>
          <w:rFonts w:ascii="Calibri" w:eastAsia="Calibri" w:hAnsi="Calibri" w:cs="Arial"/>
          <w:vertAlign w:val="superscript"/>
        </w:rPr>
        <w:footnoteReference w:id="43"/>
      </w:r>
      <w:r w:rsidRPr="00872D48">
        <w:rPr>
          <w:rFonts w:ascii="Calibri" w:eastAsia="Calibri" w:hAnsi="Calibri" w:cs="Arial"/>
        </w:rPr>
        <w:t xml:space="preserve"> </w:t>
      </w:r>
    </w:p>
    <w:p w14:paraId="25CFAFB0" w14:textId="77777777" w:rsidR="00872D48" w:rsidRPr="00872D48" w:rsidRDefault="00872D48" w:rsidP="00872D48">
      <w:pPr>
        <w:rPr>
          <w:rFonts w:ascii="Calibri" w:eastAsia="Calibri" w:hAnsi="Calibri" w:cs="Arial"/>
        </w:rPr>
      </w:pPr>
      <w:r w:rsidRPr="00872D48">
        <w:rPr>
          <w:rFonts w:ascii="Calibri" w:eastAsia="Calibri" w:hAnsi="Calibri" w:cs="Arial"/>
        </w:rPr>
        <w:t>Beckert, Riello, and Lemire were driven by their own engagement with existing scholarship, which resulted in their acknowledgment of meaningful questions regarding the global development of the cotton trade unanswered. Their research has offered new insights into how the global cotton industry developed. This has provoked the need for new ways of interpreting the local narratives of cotton manufacturing within Britain and beyond. They have all questioned the nationalistic interpretations of the development of the cotton trade in different ways. They all show the shift from the dominance of Indian production towards Britain, Europe, and the United States. This general shift from east to west is explained differently across diverse timeframes. Lemire interweaves global scales of analysis with national explanations like Beckert but with different theoretical explanations and a greater emphasis on the consumption of cotton goods and end markets. Riello favours an explanation more akin to a world system, whilst Beckert sees nation-states operating in a world system as more significant.</w:t>
      </w:r>
      <w:r w:rsidRPr="00872D48">
        <w:rPr>
          <w:rFonts w:ascii="Calibri" w:eastAsia="Calibri" w:hAnsi="Calibri" w:cs="Arial"/>
          <w:vertAlign w:val="superscript"/>
        </w:rPr>
        <w:footnoteReference w:id="44"/>
      </w:r>
      <w:r w:rsidRPr="00872D48">
        <w:rPr>
          <w:rFonts w:ascii="Calibri" w:eastAsia="Calibri" w:hAnsi="Calibri" w:cs="Arial"/>
        </w:rPr>
        <w:t xml:space="preserve"> Their work has allowed my thinking to evolve and ask more meaningful questions about the place of Britain and, within Britain, my case studies in this global development. </w:t>
      </w:r>
    </w:p>
    <w:p w14:paraId="2F5C220E" w14:textId="2DBCF874" w:rsidR="005A05DF" w:rsidRPr="00386A89" w:rsidRDefault="005A05DF" w:rsidP="00AB24FB">
      <w:pPr>
        <w:pStyle w:val="Heading2"/>
        <w:rPr>
          <w:rFonts w:asciiTheme="minorHAnsi" w:hAnsiTheme="minorHAnsi" w:cstheme="minorHAnsi"/>
          <w:b/>
          <w:bCs/>
          <w:color w:val="auto"/>
          <w:sz w:val="24"/>
          <w:szCs w:val="24"/>
        </w:rPr>
      </w:pPr>
      <w:bookmarkStart w:id="21" w:name="_Toc170825653"/>
      <w:r w:rsidRPr="00386A89">
        <w:rPr>
          <w:rFonts w:asciiTheme="minorHAnsi" w:hAnsiTheme="minorHAnsi" w:cstheme="minorHAnsi"/>
          <w:b/>
          <w:bCs/>
          <w:color w:val="auto"/>
          <w:sz w:val="24"/>
          <w:szCs w:val="24"/>
        </w:rPr>
        <w:t xml:space="preserve">Literature Review: </w:t>
      </w:r>
      <w:r w:rsidR="000455FA" w:rsidRPr="00386A89">
        <w:rPr>
          <w:rFonts w:asciiTheme="minorHAnsi" w:hAnsiTheme="minorHAnsi" w:cstheme="minorHAnsi"/>
          <w:b/>
          <w:bCs/>
          <w:color w:val="auto"/>
          <w:sz w:val="24"/>
          <w:szCs w:val="24"/>
        </w:rPr>
        <w:t>A</w:t>
      </w:r>
      <w:r w:rsidRPr="00386A89">
        <w:rPr>
          <w:rFonts w:asciiTheme="minorHAnsi" w:hAnsiTheme="minorHAnsi" w:cstheme="minorHAnsi"/>
          <w:b/>
          <w:bCs/>
          <w:color w:val="auto"/>
          <w:sz w:val="24"/>
          <w:szCs w:val="24"/>
        </w:rPr>
        <w:t xml:space="preserve"> </w:t>
      </w:r>
      <w:r w:rsidR="000455FA" w:rsidRPr="00386A89">
        <w:rPr>
          <w:rFonts w:asciiTheme="minorHAnsi" w:hAnsiTheme="minorHAnsi" w:cstheme="minorHAnsi"/>
          <w:b/>
          <w:bCs/>
          <w:color w:val="auto"/>
          <w:sz w:val="24"/>
          <w:szCs w:val="24"/>
        </w:rPr>
        <w:t>C</w:t>
      </w:r>
      <w:r w:rsidRPr="00386A89">
        <w:rPr>
          <w:rFonts w:asciiTheme="minorHAnsi" w:hAnsiTheme="minorHAnsi" w:cstheme="minorHAnsi"/>
          <w:b/>
          <w:bCs/>
          <w:color w:val="auto"/>
          <w:sz w:val="24"/>
          <w:szCs w:val="24"/>
        </w:rPr>
        <w:t xml:space="preserve">onceptual </w:t>
      </w:r>
      <w:r w:rsidR="000455FA" w:rsidRPr="00386A89">
        <w:rPr>
          <w:rFonts w:asciiTheme="minorHAnsi" w:hAnsiTheme="minorHAnsi" w:cstheme="minorHAnsi"/>
          <w:b/>
          <w:bCs/>
          <w:color w:val="auto"/>
          <w:sz w:val="24"/>
          <w:szCs w:val="24"/>
        </w:rPr>
        <w:t>F</w:t>
      </w:r>
      <w:r w:rsidRPr="00386A89">
        <w:rPr>
          <w:rFonts w:asciiTheme="minorHAnsi" w:hAnsiTheme="minorHAnsi" w:cstheme="minorHAnsi"/>
          <w:b/>
          <w:bCs/>
          <w:color w:val="auto"/>
          <w:sz w:val="24"/>
          <w:szCs w:val="24"/>
        </w:rPr>
        <w:t>ramework</w:t>
      </w:r>
      <w:bookmarkEnd w:id="21"/>
    </w:p>
    <w:p w14:paraId="4E8A5BAA" w14:textId="77777777" w:rsidR="0065373F" w:rsidRDefault="005A05DF" w:rsidP="005A05DF">
      <w:pPr>
        <w:rPr>
          <w:b/>
          <w:bCs/>
        </w:rPr>
      </w:pPr>
      <w:r w:rsidRPr="00AB24FB">
        <w:rPr>
          <w:b/>
          <w:bCs/>
        </w:rPr>
        <w:t>Trust, Trustworthiness, and Reputation</w:t>
      </w:r>
    </w:p>
    <w:p w14:paraId="514E1627" w14:textId="77777777" w:rsidR="0065373F" w:rsidRPr="0065373F" w:rsidRDefault="005A05DF" w:rsidP="0065373F">
      <w:pPr>
        <w:rPr>
          <w:rFonts w:ascii="Calibri" w:eastAsia="Calibri" w:hAnsi="Calibri" w:cs="Arial"/>
        </w:rPr>
      </w:pPr>
      <w:r w:rsidRPr="00AB24FB">
        <w:rPr>
          <w:b/>
          <w:bCs/>
        </w:rPr>
        <w:t xml:space="preserve"> </w:t>
      </w:r>
      <w:r w:rsidR="0065373F" w:rsidRPr="0065373F">
        <w:rPr>
          <w:rFonts w:ascii="Calibri" w:eastAsia="Calibri" w:hAnsi="Calibri" w:cs="Arial"/>
        </w:rPr>
        <w:t xml:space="preserve">To design a conceptual framework that could ask new and innovative questions about the cotton trade in the early industrial period, I focused on trust, trustworthiness, and reputation. This idea stemmed from the concept’s limited use in the historiography of the cotton trade and the early industrial revolution, though there is extensive research on the concepts in our contemporary business and entrepreneurship literature of the late twentieth and twenty-first century. Additionally, the examination of the primary documents highlighted many examples of the importance of trust and reputation. This research then engaged with literature that explores theoretical discussions and debates surrounding the concepts of trust, trustworthiness, and reputation. These include debates about the meaning and conceptualisation of the terms and the practical application of the concepts as tools of analysis for historical (and other academic) inquiry. The economists Mark Casson and Marina Della </w:t>
      </w:r>
      <w:proofErr w:type="spellStart"/>
      <w:r w:rsidR="0065373F" w:rsidRPr="0065373F">
        <w:rPr>
          <w:rFonts w:ascii="Calibri" w:eastAsia="Calibri" w:hAnsi="Calibri" w:cs="Arial"/>
        </w:rPr>
        <w:t>Giusta</w:t>
      </w:r>
      <w:proofErr w:type="spellEnd"/>
      <w:r w:rsidR="0065373F" w:rsidRPr="0065373F">
        <w:rPr>
          <w:rFonts w:ascii="Calibri" w:eastAsia="Calibri" w:hAnsi="Calibri" w:cs="Arial"/>
        </w:rPr>
        <w:t xml:space="preserve"> have worked on defining trust as the predictability of behaviour and a propensity to honour obligations has allowed valuable insights into conceptualising the term trust.</w:t>
      </w:r>
      <w:r w:rsidR="0065373F" w:rsidRPr="0065373F">
        <w:rPr>
          <w:rFonts w:ascii="Calibri" w:eastAsia="Calibri" w:hAnsi="Calibri" w:cs="Arial"/>
          <w:vertAlign w:val="superscript"/>
        </w:rPr>
        <w:footnoteReference w:id="45"/>
      </w:r>
      <w:r w:rsidR="0065373F" w:rsidRPr="0065373F">
        <w:rPr>
          <w:rFonts w:ascii="Calibri" w:eastAsia="Calibri" w:hAnsi="Calibri" w:cs="Arial"/>
        </w:rPr>
        <w:t xml:space="preserve"> What this work shows that trust can be viewed as a mechanism for sharing resources and information. Additionally, Casson’s trust determinants to measure the levels of trust in a culture. Casson’s work has influenced the work of Andrew Popp in providing a framework to measure the levels of trust within an industrial district.</w:t>
      </w:r>
      <w:r w:rsidR="0065373F" w:rsidRPr="0065373F">
        <w:rPr>
          <w:rFonts w:ascii="Calibri" w:eastAsia="Calibri" w:hAnsi="Calibri" w:cs="Arial"/>
          <w:vertAlign w:val="superscript"/>
        </w:rPr>
        <w:footnoteReference w:id="46"/>
      </w:r>
      <w:r w:rsidR="0065373F" w:rsidRPr="0065373F">
        <w:rPr>
          <w:rFonts w:ascii="Calibri" w:eastAsia="Calibri" w:hAnsi="Calibri" w:cs="Arial"/>
        </w:rPr>
        <w:t xml:space="preserve"> </w:t>
      </w:r>
    </w:p>
    <w:p w14:paraId="3BB4B5B4" w14:textId="77777777" w:rsidR="0065373F" w:rsidRPr="0065373F" w:rsidRDefault="0065373F" w:rsidP="0065373F">
      <w:pPr>
        <w:rPr>
          <w:rFonts w:ascii="Calibri" w:eastAsia="Calibri" w:hAnsi="Calibri" w:cs="Arial"/>
        </w:rPr>
      </w:pPr>
      <w:r w:rsidRPr="0065373F">
        <w:rPr>
          <w:rFonts w:ascii="Calibri" w:eastAsia="Calibri" w:hAnsi="Calibri" w:cs="Arial"/>
        </w:rPr>
        <w:t>The business historian Andrew Popp examined trust in the industrial district of the potteries between 1850 and 1900.</w:t>
      </w:r>
      <w:r w:rsidRPr="0065373F">
        <w:rPr>
          <w:rFonts w:ascii="Calibri" w:eastAsia="Calibri" w:hAnsi="Calibri" w:cs="Arial"/>
          <w:vertAlign w:val="superscript"/>
        </w:rPr>
        <w:footnoteReference w:id="47"/>
      </w:r>
      <w:r w:rsidRPr="0065373F">
        <w:rPr>
          <w:rFonts w:ascii="Calibri" w:eastAsia="Calibri" w:hAnsi="Calibri" w:cs="Arial"/>
        </w:rPr>
        <w:t xml:space="preserve"> The most relevant determinants to Popp’s study are proximity and familiarity, </w:t>
      </w:r>
      <w:r w:rsidRPr="0065373F">
        <w:rPr>
          <w:rFonts w:ascii="Calibri" w:eastAsia="Calibri" w:hAnsi="Calibri" w:cs="Arial"/>
        </w:rPr>
        <w:lastRenderedPageBreak/>
        <w:t>where repeat encounters are likely to build a sense of certainty in which risk can be assessed with greater knowledge.</w:t>
      </w:r>
      <w:r w:rsidRPr="0065373F">
        <w:rPr>
          <w:rFonts w:ascii="Calibri" w:eastAsia="Calibri" w:hAnsi="Calibri" w:cs="Arial"/>
          <w:vertAlign w:val="superscript"/>
        </w:rPr>
        <w:footnoteReference w:id="48"/>
      </w:r>
      <w:r w:rsidRPr="0065373F">
        <w:rPr>
          <w:rFonts w:ascii="Calibri" w:eastAsia="Calibri" w:hAnsi="Calibri" w:cs="Arial"/>
        </w:rPr>
        <w:t xml:space="preserve"> Casson and Popp believe that trust is unlikely to flourish in an environment of anonymity.</w:t>
      </w:r>
      <w:r w:rsidRPr="0065373F">
        <w:rPr>
          <w:rFonts w:ascii="Calibri" w:eastAsia="Calibri" w:hAnsi="Calibri" w:cs="Arial"/>
          <w:vertAlign w:val="superscript"/>
        </w:rPr>
        <w:footnoteReference w:id="49"/>
      </w:r>
      <w:r w:rsidRPr="0065373F">
        <w:rPr>
          <w:rFonts w:ascii="Calibri" w:eastAsia="Calibri" w:hAnsi="Calibri" w:cs="Arial"/>
        </w:rPr>
        <w:t xml:space="preserve"> Having prior knowledge of someone can uncover whether they hold a comparable commitment to similar basic values as the actor, and repeated encounters can shed light on how deeply they are committed to these values. Repeat encounters also open possibilities of rewarding good behaviour in the long run. Popp’s conceptual framework primarily focuses on the long-term study of an industrial district and incorporates the concepts of social embeddedness, cross-generational trust, and competition versus cooperation within industrial districts to measure trust levels in the district.</w:t>
      </w:r>
      <w:r w:rsidRPr="0065373F">
        <w:rPr>
          <w:rFonts w:ascii="Calibri" w:eastAsia="Calibri" w:hAnsi="Calibri" w:cs="Arial"/>
          <w:vertAlign w:val="superscript"/>
        </w:rPr>
        <w:footnoteReference w:id="50"/>
      </w:r>
      <w:r w:rsidRPr="0065373F">
        <w:rPr>
          <w:rFonts w:ascii="Calibri" w:eastAsia="Calibri" w:hAnsi="Calibri" w:cs="Arial"/>
        </w:rPr>
        <w:t xml:space="preserve"> By engaging with Popp’s work, considerations on building and measuring trust can be explored. This is useful to my research as it has ensured I have considered how trust can be measured to understand how it could have impacted on the success of my case studies. </w:t>
      </w:r>
    </w:p>
    <w:p w14:paraId="1EAB8492" w14:textId="77777777" w:rsidR="0065373F" w:rsidRPr="0065373F" w:rsidRDefault="0065373F" w:rsidP="0065373F">
      <w:pPr>
        <w:rPr>
          <w:rFonts w:ascii="Calibri" w:eastAsia="Calibri" w:hAnsi="Calibri" w:cs="Arial"/>
        </w:rPr>
      </w:pPr>
      <w:r w:rsidRPr="0065373F">
        <w:rPr>
          <w:rFonts w:ascii="Calibri" w:eastAsia="Calibri" w:hAnsi="Calibri" w:cs="Arial"/>
        </w:rPr>
        <w:t>As a historian who explores the economic history of the British-Atlantic world, Haggerty has researched the role of trust concerning risk, reputation, networks, and commerce in the eighteenth century.</w:t>
      </w:r>
      <w:r w:rsidRPr="0065373F">
        <w:rPr>
          <w:rFonts w:ascii="Calibri" w:eastAsia="Calibri" w:hAnsi="Calibri" w:cs="Arial"/>
          <w:vertAlign w:val="superscript"/>
        </w:rPr>
        <w:footnoteReference w:id="51"/>
      </w:r>
      <w:r w:rsidRPr="0065373F">
        <w:rPr>
          <w:rFonts w:ascii="Calibri" w:eastAsia="Calibri" w:hAnsi="Calibri" w:cs="Arial"/>
        </w:rPr>
        <w:t xml:space="preserve"> In her research, Haggerty has come to understand trust as a temporal construct in which perceptions create conditions for trust and mistrust, and she has noted that emotions produced by uncertainty have ensured that trust is always provisional and contested by actors of the past.</w:t>
      </w:r>
      <w:r w:rsidRPr="0065373F">
        <w:rPr>
          <w:rFonts w:ascii="Calibri" w:eastAsia="Calibri" w:hAnsi="Calibri" w:cs="Arial"/>
          <w:vertAlign w:val="superscript"/>
        </w:rPr>
        <w:footnoteReference w:id="52"/>
      </w:r>
      <w:r w:rsidRPr="0065373F">
        <w:rPr>
          <w:rFonts w:ascii="Calibri" w:eastAsia="Calibri" w:hAnsi="Calibri" w:cs="Arial"/>
        </w:rPr>
        <w:t xml:space="preserve"> Her conceptualisation of trust differs from Mark Casson’s in emphasising trust’s fluid and emotive nature and exploring human responses to their environment. Haggerty’s understanding of trust places greater emphasis on people’s agency from the past in contrast to Casson’s more theoretical and abstract understanding. Casson highlights predictability and obligations rather than the emotions and perceptions of the actors in a trust relationship influencing the trust-building process.</w:t>
      </w:r>
      <w:r w:rsidRPr="0065373F">
        <w:rPr>
          <w:rFonts w:ascii="Calibri" w:eastAsia="Calibri" w:hAnsi="Calibri" w:cs="Arial"/>
          <w:vertAlign w:val="superscript"/>
        </w:rPr>
        <w:footnoteReference w:id="53"/>
      </w:r>
      <w:r w:rsidRPr="0065373F">
        <w:rPr>
          <w:rFonts w:ascii="Calibri" w:eastAsia="Calibri" w:hAnsi="Calibri" w:cs="Arial"/>
        </w:rPr>
        <w:t xml:space="preserve"> While both interpretations give valuable insights, Haggerty’s work allows the examination of how trust is constructed, and the mechanisms of trust, trustworthiness, and reputation. This leads to the ability to draw in thoughts and questions about how network members relied on their perceptions and emotions to influence their decision-making process and alter the course of their businesses and lives. These emotions could be linked to fears regarding the innate risks involved in commerce and the devastating consequences of potential failure, in terms of both social and economic life.</w:t>
      </w:r>
    </w:p>
    <w:p w14:paraId="3509A823" w14:textId="77777777" w:rsidR="0065373F" w:rsidRPr="0065373F" w:rsidRDefault="0065373F" w:rsidP="0065373F">
      <w:pPr>
        <w:rPr>
          <w:rFonts w:ascii="Calibri" w:eastAsia="Calibri" w:hAnsi="Calibri" w:cs="Arial"/>
        </w:rPr>
      </w:pPr>
      <w:r w:rsidRPr="0065373F">
        <w:rPr>
          <w:rFonts w:ascii="Calibri" w:eastAsia="Calibri" w:hAnsi="Calibri" w:cs="Arial"/>
        </w:rPr>
        <w:t>While Haggerty’s research focussed on Atlantic trade networks, the work of Carolyn Downs applied the wider conceptual framework of networks to a specific case study. As an economic historian Carolyn Downs conducted a research project using a case study approach to ask questions about networks, trust, and risk mitigation during the American Revolutionary War.</w:t>
      </w:r>
      <w:r w:rsidRPr="0065373F">
        <w:rPr>
          <w:rFonts w:ascii="Calibri" w:eastAsia="Calibri" w:hAnsi="Calibri" w:cs="Arial"/>
          <w:vertAlign w:val="superscript"/>
        </w:rPr>
        <w:footnoteReference w:id="54"/>
      </w:r>
      <w:r w:rsidRPr="0065373F">
        <w:rPr>
          <w:rFonts w:ascii="Calibri" w:eastAsia="Calibri" w:hAnsi="Calibri" w:cs="Arial"/>
        </w:rPr>
        <w:t xml:space="preserve"> This study explored the trust-building activities and networks of Daniel Eccleston of Lancaster to understand how he reduced risk in his business activities. Downs used empirical analysis of the business records of Eccleston to gain insights into how trust and risk were managed at this time. Mark Casson, Pearson, Robinson, Wilson, and Andrew Popp informed her conceptual framework.</w:t>
      </w:r>
      <w:r w:rsidRPr="0065373F">
        <w:rPr>
          <w:rFonts w:ascii="Calibri" w:eastAsia="Calibri" w:hAnsi="Calibri" w:cs="Arial"/>
          <w:vertAlign w:val="superscript"/>
        </w:rPr>
        <w:footnoteReference w:id="55"/>
      </w:r>
      <w:r w:rsidRPr="0065373F">
        <w:rPr>
          <w:rFonts w:ascii="Calibri" w:eastAsia="Calibri" w:hAnsi="Calibri" w:cs="Arial"/>
        </w:rPr>
        <w:t xml:space="preserve"> As Downs suggested in her study of Eccleston, Eccleston needed to be proactive and reactive, often within the same trusted relationships.</w:t>
      </w:r>
      <w:r w:rsidRPr="0065373F">
        <w:rPr>
          <w:rFonts w:ascii="Calibri" w:eastAsia="Calibri" w:hAnsi="Calibri" w:cs="Arial"/>
          <w:vertAlign w:val="superscript"/>
        </w:rPr>
        <w:footnoteReference w:id="56"/>
      </w:r>
      <w:r w:rsidRPr="0065373F">
        <w:rPr>
          <w:rFonts w:ascii="Calibri" w:eastAsia="Calibri" w:hAnsi="Calibri" w:cs="Arial"/>
        </w:rPr>
        <w:t xml:space="preserve"> This means that whilst he needed to trust others, others also needed to trust him. This ever-shifting power structure in building trust is likely true of any interaction and operates on </w:t>
      </w:r>
      <w:r w:rsidRPr="0065373F">
        <w:rPr>
          <w:rFonts w:ascii="Calibri" w:eastAsia="Calibri" w:hAnsi="Calibri" w:cs="Arial"/>
        </w:rPr>
        <w:lastRenderedPageBreak/>
        <w:t xml:space="preserve">many levels. Down’s work also offers the ability to consider the mechanisms involved in building trust, and her methodology provides a useful framework for acquiring this knowledge. The acknowledgment of the nature of trust building and the need to utilise trust to minimize risk are concepts that could be applied to a study of the cotton trade. It is worth noting that Down’s research also highlights that within a family or business organisation, members could hold complex and variable levels of trust depending on the object of trust at a given time. This shows a flexible nature of the concept of trust and that multiple forms of trust can exist, which has been noted by David Sunderland in his research on trust during the Industrial Revolution.      </w:t>
      </w:r>
    </w:p>
    <w:p w14:paraId="4E840B0D" w14:textId="77777777" w:rsidR="0065373F" w:rsidRPr="0065373F" w:rsidRDefault="0065373F" w:rsidP="0065373F">
      <w:pPr>
        <w:rPr>
          <w:rFonts w:ascii="Calibri" w:eastAsia="Calibri" w:hAnsi="Calibri" w:cs="Arial"/>
        </w:rPr>
      </w:pPr>
      <w:r w:rsidRPr="0065373F">
        <w:rPr>
          <w:rFonts w:ascii="Calibri" w:eastAsia="Calibri" w:hAnsi="Calibri" w:cs="Arial"/>
        </w:rPr>
        <w:t>As a business historian, Sunderland conducted an overview study of many different types of trust within society during his study of trust during the Industrial Revolution.</w:t>
      </w:r>
      <w:r w:rsidRPr="0065373F">
        <w:rPr>
          <w:rFonts w:ascii="Calibri" w:eastAsia="Calibri" w:hAnsi="Calibri" w:cs="Arial"/>
          <w:vertAlign w:val="superscript"/>
        </w:rPr>
        <w:footnoteReference w:id="57"/>
      </w:r>
      <w:r w:rsidRPr="0065373F">
        <w:rPr>
          <w:rFonts w:ascii="Calibri" w:eastAsia="Calibri" w:hAnsi="Calibri" w:cs="Arial"/>
        </w:rPr>
        <w:t xml:space="preserve"> In this study, Sunderland defines trust as an expectation that a partner will honour implicit or explicit obligations.</w:t>
      </w:r>
      <w:r w:rsidRPr="0065373F">
        <w:rPr>
          <w:rFonts w:ascii="Calibri" w:eastAsia="Calibri" w:hAnsi="Calibri" w:cs="Arial"/>
          <w:vertAlign w:val="superscript"/>
        </w:rPr>
        <w:footnoteReference w:id="58"/>
      </w:r>
      <w:r w:rsidRPr="0065373F">
        <w:rPr>
          <w:rFonts w:ascii="Calibri" w:eastAsia="Calibri" w:hAnsi="Calibri" w:cs="Arial"/>
        </w:rPr>
        <w:t xml:space="preserve"> This expectation is expressed through actions and can be disappointed or fulfilled. He acknowledges that his theoretical framework for understanding trust is borrowed from economics and sociology.</w:t>
      </w:r>
      <w:r w:rsidRPr="0065373F">
        <w:rPr>
          <w:rFonts w:ascii="Calibri" w:eastAsia="Calibri" w:hAnsi="Calibri" w:cs="Arial"/>
          <w:vertAlign w:val="superscript"/>
        </w:rPr>
        <w:footnoteReference w:id="59"/>
      </w:r>
      <w:r w:rsidRPr="0065373F">
        <w:rPr>
          <w:rFonts w:ascii="Calibri" w:eastAsia="Calibri" w:hAnsi="Calibri" w:cs="Arial"/>
        </w:rPr>
        <w:t xml:space="preserve"> His understanding of the term connects well with Casson’s interpretation. He highlights at least sixteen types of trust, ten of which are relevant to this thesis. Kin trust, business trust, affluence trust, and </w:t>
      </w:r>
      <w:r w:rsidRPr="0065373F">
        <w:rPr>
          <w:rFonts w:ascii="Calibri" w:eastAsia="Calibri" w:hAnsi="Calibri" w:cs="Arial"/>
          <w:i/>
          <w:iCs/>
        </w:rPr>
        <w:t>ascribed trust</w:t>
      </w:r>
      <w:r w:rsidRPr="0065373F">
        <w:rPr>
          <w:rFonts w:ascii="Calibri" w:eastAsia="Calibri" w:hAnsi="Calibri" w:cs="Arial"/>
        </w:rPr>
        <w:t xml:space="preserve"> are the most relevant. His explanation of how trust is developed within different societal groups has also influenced my research. Networks, signs, signifiers of trust, shared attributes, and social and personal norms and routines have been the most influential. Sunderland argues that networks are the main arena for generating and transferring trust. Sunderland’s work has sought to fill a gap in the historiography of late eighteenth and early nineteenth-century trust. He has noted historians’ limited engagement with using trust as their conceptual framework. Sunderland states historians who have written about trust can almost be counted on the fingers of one hand.</w:t>
      </w:r>
      <w:r w:rsidRPr="0065373F">
        <w:rPr>
          <w:rFonts w:ascii="Calibri" w:eastAsia="Calibri" w:hAnsi="Calibri" w:cs="Arial"/>
          <w:vertAlign w:val="superscript"/>
        </w:rPr>
        <w:footnoteReference w:id="60"/>
      </w:r>
      <w:r w:rsidRPr="0065373F">
        <w:rPr>
          <w:rFonts w:ascii="Calibri" w:eastAsia="Calibri" w:hAnsi="Calibri" w:cs="Arial"/>
        </w:rPr>
        <w:t xml:space="preserve"> This indicates a research gap in terms of applying the conceptual framework of trust to the cotton trade of the industrialising period. Sunderland’s work offers a foundation for understanding the concept of trust from a historical perspective of the industrial revolution, which could be applied to the specifics of the cotton trade. </w:t>
      </w:r>
    </w:p>
    <w:p w14:paraId="3AA8BE60" w14:textId="77777777" w:rsidR="0065373F" w:rsidRPr="0065373F" w:rsidRDefault="0065373F" w:rsidP="0065373F">
      <w:pPr>
        <w:spacing w:after="0" w:line="240" w:lineRule="auto"/>
        <w:rPr>
          <w:rFonts w:ascii="Calibri" w:eastAsia="Calibri" w:hAnsi="Calibri" w:cs="Arial"/>
        </w:rPr>
      </w:pPr>
      <w:r w:rsidRPr="0065373F">
        <w:rPr>
          <w:rFonts w:ascii="Calibri" w:eastAsia="Calibri" w:hAnsi="Calibri" w:cs="Arial"/>
        </w:rPr>
        <w:t>Another approach to understanding trust can be seen in the financial and economic aspects of the cotton trade. Trust and reputation were vital in extending credit and accumulating capital. While there are few studies specifically regarding trust and reputation in the cotton trade, other studies have touched upon trust within the banking sector. Lucy Newton, a historian of finance and banking, approached her research into trust and virtue in English banking at the turn of the nineteenth century using a subjective, qualitative analysis framework. Her research questions understanding how reputation was defined. Her understanding of trust is embedded in the concepts of reputation and virtue.</w:t>
      </w:r>
      <w:r w:rsidRPr="0065373F">
        <w:rPr>
          <w:rFonts w:ascii="Calibri" w:eastAsia="Calibri" w:hAnsi="Calibri" w:cs="Arial"/>
          <w:vertAlign w:val="superscript"/>
        </w:rPr>
        <w:footnoteReference w:id="61"/>
      </w:r>
      <w:r w:rsidRPr="0065373F">
        <w:rPr>
          <w:rFonts w:ascii="Calibri" w:eastAsia="Calibri" w:hAnsi="Calibri" w:cs="Arial"/>
        </w:rPr>
        <w:t xml:space="preserve"> Newton draws on the work of M. Pohle to explain that virtue, trustworthiness, and reputation at this time in English banking were based on bourgeois values.</w:t>
      </w:r>
      <w:r w:rsidRPr="0065373F">
        <w:rPr>
          <w:rFonts w:ascii="Calibri" w:eastAsia="Calibri" w:hAnsi="Calibri" w:cs="Arial"/>
          <w:vertAlign w:val="superscript"/>
        </w:rPr>
        <w:footnoteReference w:id="62"/>
      </w:r>
      <w:r w:rsidRPr="0065373F">
        <w:rPr>
          <w:rFonts w:ascii="Calibri" w:eastAsia="Calibri" w:hAnsi="Calibri" w:cs="Arial"/>
        </w:rPr>
        <w:t xml:space="preserve"> Theoretically and conceptually, this is a valuable understanding of how Newton understood trust as a historian, the historical actors in the nineteenth century, and how trust can be seen in historical examples. Newton’s reputational approach prompted me to think about how each firm understood its own reputation as a firm, the different types of reputation members of the networks could hold, and how these could impact their abilities to access resources and capital. It also got me thinking about how these reputations might play out differently in the networks behind each firm. The Evans family who </w:t>
      </w:r>
      <w:r w:rsidRPr="0065373F">
        <w:rPr>
          <w:rFonts w:ascii="Calibri" w:eastAsia="Calibri" w:hAnsi="Calibri" w:cs="Arial"/>
        </w:rPr>
        <w:lastRenderedPageBreak/>
        <w:t>operated the Boar’s Head Cotton Mills were also bankers while simultaneously being cotton masters; their access to capital would, therefore, be different to the McConnel and Kennedy families, whose access to capital would have been more limited, particularly in the firm’s early years.</w:t>
      </w:r>
    </w:p>
    <w:p w14:paraId="769C3BBE" w14:textId="77777777" w:rsidR="0065373F" w:rsidRPr="0065373F" w:rsidRDefault="0065373F" w:rsidP="0065373F">
      <w:pPr>
        <w:spacing w:after="0" w:line="240" w:lineRule="auto"/>
        <w:rPr>
          <w:rFonts w:ascii="Calibri" w:eastAsia="Calibri" w:hAnsi="Calibri" w:cs="Arial"/>
        </w:rPr>
      </w:pPr>
    </w:p>
    <w:p w14:paraId="62ACE42E" w14:textId="77777777" w:rsidR="0065373F" w:rsidRPr="0065373F" w:rsidRDefault="0065373F" w:rsidP="0065373F">
      <w:pPr>
        <w:rPr>
          <w:rFonts w:ascii="Calibri" w:eastAsia="Calibri" w:hAnsi="Calibri" w:cs="Arial"/>
          <w:b/>
          <w:bCs/>
          <w:i/>
          <w:iCs/>
        </w:rPr>
      </w:pPr>
      <w:r w:rsidRPr="0065373F">
        <w:rPr>
          <w:rFonts w:ascii="Calibri" w:eastAsia="Calibri" w:hAnsi="Calibri" w:cs="Arial"/>
          <w:b/>
          <w:bCs/>
          <w:i/>
          <w:iCs/>
        </w:rPr>
        <w:t xml:space="preserve">Trust, Trustworthiness, and Reputation in this Thesis </w:t>
      </w:r>
    </w:p>
    <w:p w14:paraId="1DBA91CE" w14:textId="77777777" w:rsidR="0065373F" w:rsidRPr="0065373F" w:rsidRDefault="0065373F" w:rsidP="0065373F">
      <w:pPr>
        <w:rPr>
          <w:rFonts w:ascii="Calibri" w:eastAsia="Calibri" w:hAnsi="Calibri" w:cs="Arial"/>
        </w:rPr>
      </w:pPr>
      <w:bookmarkStart w:id="27" w:name="_Hlk136439138"/>
      <w:r w:rsidRPr="0065373F">
        <w:rPr>
          <w:rFonts w:ascii="Calibri" w:eastAsia="Calibri" w:hAnsi="Calibri" w:cs="Arial"/>
        </w:rPr>
        <w:t xml:space="preserve">This research has engaged with various theories and debates surrounding the meaning and usage of the concepts of trust, trustworthiness, and reputation as tools for academic and historical analysis. However, considering the depth and breadth of the body of literature, I have stuck to finding the most relevant studies to my research. One of the main aims of this thesis is to explore the concepts of trust, trustworthiness, and reputation concerning the social, kinship, and business networks of the two cotton-spinning enterprises. This is driven by the research questions of how the concepts were constructed and utilised, analysis of similarities and differences in patterns within each case study, and what acquiring this knowledge can tell us about the development and operation of industrializing cotton mills. Keeping this research aim in mind, the key examples of literature relevant to this thesis were chosen to assist in creating a workable definition of the concepts. To ensure clarity of the conceptual meanings, in this research, </w:t>
      </w:r>
      <w:r w:rsidRPr="0065373F">
        <w:rPr>
          <w:rFonts w:ascii="Calibri" w:eastAsia="Calibri" w:hAnsi="Calibri" w:cs="Arial"/>
          <w:i/>
          <w:iCs/>
        </w:rPr>
        <w:t xml:space="preserve">trust </w:t>
      </w:r>
      <w:r w:rsidRPr="0065373F">
        <w:rPr>
          <w:rFonts w:ascii="Calibri" w:eastAsia="Calibri" w:hAnsi="Calibri" w:cs="Arial"/>
        </w:rPr>
        <w:t>will be understood as either</w:t>
      </w:r>
      <w:bookmarkEnd w:id="27"/>
      <w:r w:rsidRPr="0065373F">
        <w:rPr>
          <w:rFonts w:ascii="Calibri" w:eastAsia="Calibri" w:hAnsi="Calibri" w:cs="Arial"/>
        </w:rPr>
        <w:t xml:space="preserve"> a) a firm belief and confidence in the reliability, truth, or ability of someone or something to correspond to expectations or b) a belief that someone will adhere to a set of behaviours expected of them or c) an abstract mental attitude towards someone or something. Trustworthiness is a similar concept but relates more to a person’s ability to be reliable, truthful, and honest. Reputation is linked to trust and trustworthiness. However, it is an abstract belief or opinion about someone or something, which can include characteristics and is often developed by evaluation following certain criteria. Reputation can be developed on different levels of agency. Personal, familial, and business reputations are all relevant to this research. Within the family and an individual’s reputation, the themes of image, identity, status, legitimacy, and social approval are all elements of a reputation. For a business’s reputation, these elements are also crucial. Still, their implications reflect on the decision-making process of another firm to understand the level of risk a transaction with them would hold. </w:t>
      </w:r>
    </w:p>
    <w:p w14:paraId="09F8138A" w14:textId="20C628CA" w:rsidR="005A05DF" w:rsidRPr="000F1C29" w:rsidRDefault="005A05DF" w:rsidP="005A05DF">
      <w:pPr>
        <w:rPr>
          <w:b/>
          <w:bCs/>
          <w:sz w:val="24"/>
          <w:szCs w:val="24"/>
        </w:rPr>
      </w:pPr>
      <w:r w:rsidRPr="000F1C29">
        <w:rPr>
          <w:b/>
          <w:bCs/>
          <w:sz w:val="24"/>
          <w:szCs w:val="24"/>
        </w:rPr>
        <w:t xml:space="preserve">Other </w:t>
      </w:r>
      <w:r w:rsidR="000455FA">
        <w:rPr>
          <w:b/>
          <w:bCs/>
          <w:sz w:val="24"/>
          <w:szCs w:val="24"/>
        </w:rPr>
        <w:t>R</w:t>
      </w:r>
      <w:r w:rsidRPr="000F1C29">
        <w:rPr>
          <w:b/>
          <w:bCs/>
          <w:sz w:val="24"/>
          <w:szCs w:val="24"/>
        </w:rPr>
        <w:t xml:space="preserve">elevant </w:t>
      </w:r>
      <w:r w:rsidR="000455FA">
        <w:rPr>
          <w:b/>
          <w:bCs/>
          <w:sz w:val="24"/>
          <w:szCs w:val="24"/>
        </w:rPr>
        <w:t>C</w:t>
      </w:r>
      <w:r w:rsidRPr="000F1C29">
        <w:rPr>
          <w:b/>
          <w:bCs/>
          <w:sz w:val="24"/>
          <w:szCs w:val="24"/>
        </w:rPr>
        <w:t xml:space="preserve">oncepts and </w:t>
      </w:r>
      <w:r w:rsidR="000455FA">
        <w:rPr>
          <w:b/>
          <w:bCs/>
          <w:sz w:val="24"/>
          <w:szCs w:val="24"/>
        </w:rPr>
        <w:t>T</w:t>
      </w:r>
      <w:r w:rsidRPr="000F1C29">
        <w:rPr>
          <w:b/>
          <w:bCs/>
          <w:sz w:val="24"/>
          <w:szCs w:val="24"/>
        </w:rPr>
        <w:t>hemes</w:t>
      </w:r>
    </w:p>
    <w:p w14:paraId="4B3BD4F4" w14:textId="77777777" w:rsidR="005A05DF" w:rsidRPr="00BD705A" w:rsidRDefault="005A05DF" w:rsidP="005A05DF">
      <w:pPr>
        <w:rPr>
          <w:b/>
          <w:bCs/>
          <w:i/>
          <w:iCs/>
        </w:rPr>
      </w:pPr>
      <w:r w:rsidRPr="00BD705A">
        <w:rPr>
          <w:b/>
          <w:bCs/>
          <w:i/>
          <w:iCs/>
        </w:rPr>
        <w:t>Family and Kinship</w:t>
      </w:r>
    </w:p>
    <w:p w14:paraId="51656B1B" w14:textId="182683CF" w:rsidR="005A05DF" w:rsidRDefault="005A05DF" w:rsidP="005A05DF">
      <w:r>
        <w:t>Early conceptualisations of the family have envisaged a wider sense of the family than modern understandings. The ancient family consisted of parents, children, uncles and aunts, nephews and nieces, cousins, and grandparents. The Industrial Revolution is thought to have changed the concept to be more concise and only include parents and their children. Young and Willmott have suggested that the wider family of the past, according to sociologists, shrunk to a smaller body in modern times.</w:t>
      </w:r>
      <w:r>
        <w:rPr>
          <w:rStyle w:val="FootnoteReference"/>
        </w:rPr>
        <w:footnoteReference w:id="63"/>
      </w:r>
      <w:r>
        <w:t xml:space="preserve"> My engagement with this idea led me to think about how the families in my case studies would have understood the term and how this might influence my approach to understanding their familial networks. Suppose the Industrial Revolution had changed the nature of the family. How likely would it have been that these changes would have affected the families in my case studies as they embarked on industrialisation at the beginning phase of the cotton industrial revolution? Perhaps this change process would have taken a long time to develop and would have had a limited effect on the early industrial family. Therefore, this study will approach family in its earlier conceptualisation and broad terms. Although Young and Willmott’s </w:t>
      </w:r>
      <w:r w:rsidRPr="001355CE">
        <w:t>study of family and kinship in East London</w:t>
      </w:r>
      <w:r>
        <w:t xml:space="preserve"> looks at twentieth-century families</w:t>
      </w:r>
      <w:r w:rsidRPr="001355CE">
        <w:t xml:space="preserve">, </w:t>
      </w:r>
      <w:r>
        <w:t>they employed a useful model that functionally explained the family.</w:t>
      </w:r>
      <w:r w:rsidR="00FD2C9F">
        <w:rPr>
          <w:rStyle w:val="FootnoteReference"/>
        </w:rPr>
        <w:footnoteReference w:id="64"/>
      </w:r>
      <w:r>
        <w:t xml:space="preserve"> </w:t>
      </w:r>
      <w:r>
        <w:lastRenderedPageBreak/>
        <w:t xml:space="preserve">Each relative became a link with another part of the family, and marriages connected two or sometimes three components of a wider group of relatives. The </w:t>
      </w:r>
      <w:r w:rsidRPr="004D4920">
        <w:t>family's three parts were the spouse's family</w:t>
      </w:r>
      <w:r>
        <w:t xml:space="preserve">, the new family of the other spouse, and their children. This interlocking pattern was repeated in different forms, and the web of connections provided the kinship group to which the families belonged.   </w:t>
      </w:r>
    </w:p>
    <w:p w14:paraId="222D00FF" w14:textId="3ACFC567" w:rsidR="009F7885" w:rsidRDefault="005A05DF" w:rsidP="005A05DF">
      <w:r>
        <w:t>The terms family, kin, and kinship have nuanced but important differences in their conceptualisation. Kin is used historically to refer to people who held relationships bound by marriage or blood.</w:t>
      </w:r>
      <w:r>
        <w:rPr>
          <w:rStyle w:val="FootnoteReference"/>
        </w:rPr>
        <w:footnoteReference w:id="65"/>
      </w:r>
      <w:r>
        <w:t xml:space="preserve"> The term kinship refers to a formal system of relationships bound by alliances and lines of descent.</w:t>
      </w:r>
      <w:r>
        <w:rPr>
          <w:rStyle w:val="FootnoteReference"/>
        </w:rPr>
        <w:footnoteReference w:id="66"/>
      </w:r>
      <w:r>
        <w:t xml:space="preserve"> Young and Willmott showed that kindred were bound together throughout their lives in a comprehensive system of mutual rights and duties consisting of strong ties.</w:t>
      </w:r>
      <w:r>
        <w:rPr>
          <w:rStyle w:val="FootnoteReference"/>
        </w:rPr>
        <w:footnoteReference w:id="67"/>
      </w:r>
      <w:r>
        <w:t xml:space="preserve"> </w:t>
      </w:r>
      <w:r w:rsidRPr="00FC6CCB">
        <w:t xml:space="preserve">These strong ties have drawn many families into establishing business enterprises with </w:t>
      </w:r>
      <w:r>
        <w:t xml:space="preserve">the </w:t>
      </w:r>
      <w:r w:rsidRPr="00FC6CCB">
        <w:t xml:space="preserve">people </w:t>
      </w:r>
      <w:r>
        <w:t xml:space="preserve">they trust the most. This idea has prompted my engagement with the historiography of family and family business studies in </w:t>
      </w:r>
      <w:r w:rsidRPr="00D73393">
        <w:t>Britain's industrialisation period</w:t>
      </w:r>
      <w:r>
        <w:t>. Cookson argues that family firms were vital to industrial growth between 1780 and 1830.</w:t>
      </w:r>
      <w:r>
        <w:rPr>
          <w:rStyle w:val="FootnoteReference"/>
        </w:rPr>
        <w:footnoteReference w:id="68"/>
      </w:r>
      <w:r w:rsidR="00FD2C9F">
        <w:t xml:space="preserve"> </w:t>
      </w:r>
      <w:proofErr w:type="spellStart"/>
      <w:r>
        <w:t>Nenadic</w:t>
      </w:r>
      <w:proofErr w:type="spellEnd"/>
      <w:r>
        <w:t xml:space="preserve"> believes family firms became prominent in the nineteenth century due to </w:t>
      </w:r>
      <w:r w:rsidRPr="00FC6CCB">
        <w:t>low trust and morality in business environments</w:t>
      </w:r>
      <w:r>
        <w:t>.</w:t>
      </w:r>
      <w:r>
        <w:rPr>
          <w:rStyle w:val="FootnoteReference"/>
        </w:rPr>
        <w:footnoteReference w:id="69"/>
      </w:r>
      <w:r>
        <w:t xml:space="preserve"> Alternatively, Rose has proposed a contrasting view in which extended kinship groups based on shared attributes and blood became the basis of trust networks, and their ties drew trusted members of wider communities together to form businesses.</w:t>
      </w:r>
      <w:r>
        <w:rPr>
          <w:rStyle w:val="FootnoteReference"/>
        </w:rPr>
        <w:footnoteReference w:id="70"/>
      </w:r>
      <w:r>
        <w:t xml:space="preserve"> Rose’s interpretation works well with my research in this thesis, as not all the partners in each case study were related by blood, and James McConnel and John Kennedy only became kin by marriage when their children connected them. </w:t>
      </w:r>
    </w:p>
    <w:p w14:paraId="0A9E64B0" w14:textId="02C844E0" w:rsidR="00D047DF" w:rsidRDefault="009F7885" w:rsidP="009F7885">
      <w:r>
        <w:t xml:space="preserve">Relevant studies that explore family dynamics during the early industrial period </w:t>
      </w:r>
      <w:r w:rsidR="00770558">
        <w:t>include</w:t>
      </w:r>
      <w:r>
        <w:t xml:space="preserve"> </w:t>
      </w:r>
      <w:r w:rsidR="00D047DF">
        <w:t>Davidoff and Hall’s ‘</w:t>
      </w:r>
      <w:r w:rsidR="00D047DF" w:rsidRPr="009F7885">
        <w:rPr>
          <w:i/>
          <w:iCs/>
        </w:rPr>
        <w:t>Men and Women of the English Middle Class, 1780-1850</w:t>
      </w:r>
      <w:r w:rsidR="00D047DF">
        <w:t xml:space="preserve">,’ </w:t>
      </w:r>
      <w:r>
        <w:t>Hannah Barker’s ‘</w:t>
      </w:r>
      <w:r w:rsidRPr="009F7885">
        <w:rPr>
          <w:i/>
          <w:iCs/>
        </w:rPr>
        <w:t>Family and Business during the Industrial Revolution</w:t>
      </w:r>
      <w:r>
        <w:t xml:space="preserve">,’ </w:t>
      </w:r>
      <w:r w:rsidR="00D047DF">
        <w:t xml:space="preserve">and </w:t>
      </w:r>
      <w:r>
        <w:t>Katie Donington’s ‘</w:t>
      </w:r>
      <w:r w:rsidRPr="009F7885">
        <w:rPr>
          <w:i/>
          <w:iCs/>
        </w:rPr>
        <w:t>The Bonds of Family</w:t>
      </w:r>
      <w:r w:rsidR="00711141">
        <w:rPr>
          <w:i/>
          <w:iCs/>
        </w:rPr>
        <w:t>: Slavery, Commerce and Culture in the British Atlantic World</w:t>
      </w:r>
      <w:r w:rsidR="00D047DF">
        <w:t>.</w:t>
      </w:r>
      <w:r>
        <w:t>’</w:t>
      </w:r>
      <w:r w:rsidR="00FD2C9F">
        <w:rPr>
          <w:rStyle w:val="FootnoteReference"/>
        </w:rPr>
        <w:footnoteReference w:id="71"/>
      </w:r>
      <w:r>
        <w:t xml:space="preserve"> Each study provides distinct perspectives on family and gender relations within family and kinship networks. </w:t>
      </w:r>
      <w:r w:rsidR="007C5F15">
        <w:t>Davidoff and Hall</w:t>
      </w:r>
      <w:r w:rsidR="007242D3">
        <w:t xml:space="preserve"> work, published in 1987 is still a key text on family and the structure of familial relationships and gender roles during the period of the Industrial Revolution.</w:t>
      </w:r>
      <w:r w:rsidR="00FD2C9F">
        <w:rPr>
          <w:rStyle w:val="FootnoteReference"/>
        </w:rPr>
        <w:footnoteReference w:id="72"/>
      </w:r>
      <w:r w:rsidR="007242D3">
        <w:t xml:space="preserve"> </w:t>
      </w:r>
      <w:r w:rsidR="00D944D1">
        <w:t xml:space="preserve">The legacy of this study </w:t>
      </w:r>
      <w:r w:rsidR="006B5289">
        <w:t>has been</w:t>
      </w:r>
      <w:r w:rsidR="00D944D1">
        <w:t xml:space="preserve"> </w:t>
      </w:r>
      <w:r w:rsidR="006B5289">
        <w:t>fundamental to understanding family dynamics of</w:t>
      </w:r>
      <w:r w:rsidR="00617D4C">
        <w:t xml:space="preserve"> this class during</w:t>
      </w:r>
      <w:r w:rsidR="006B5289">
        <w:t xml:space="preserve"> this period. </w:t>
      </w:r>
      <w:r w:rsidR="00EB47D7">
        <w:t>Their study of trade and commerce in Birmingham focused primarily on the dynamics of family and social change in the English middle-class</w:t>
      </w:r>
      <w:r w:rsidR="008F41FF">
        <w:t xml:space="preserve"> and how the changes impacted the </w:t>
      </w:r>
      <w:r w:rsidR="00526ACB">
        <w:t>family structure, and their resulting relationships. Gender roles, ideas of manliness and masculinity</w:t>
      </w:r>
      <w:r w:rsidR="00C52ACE">
        <w:t>, domesticity and femininity, marriage patterns, inheritance practices and family economics</w:t>
      </w:r>
      <w:r w:rsidR="007E3F73">
        <w:t xml:space="preserve"> all came together with religious ideology to form the lived experiences of the </w:t>
      </w:r>
      <w:proofErr w:type="spellStart"/>
      <w:r w:rsidR="004C462A">
        <w:t>Luckcock</w:t>
      </w:r>
      <w:proofErr w:type="spellEnd"/>
      <w:r w:rsidR="004C462A">
        <w:t xml:space="preserve"> and Cadbury </w:t>
      </w:r>
      <w:r w:rsidR="008F77B2">
        <w:t>families</w:t>
      </w:r>
      <w:r w:rsidR="004C462A">
        <w:t>.</w:t>
      </w:r>
      <w:r w:rsidR="00FD2C9F">
        <w:rPr>
          <w:rStyle w:val="FootnoteReference"/>
        </w:rPr>
        <w:footnoteReference w:id="73"/>
      </w:r>
      <w:r w:rsidR="004C462A">
        <w:t xml:space="preserve"> </w:t>
      </w:r>
      <w:r w:rsidR="008F77B2">
        <w:t>The study</w:t>
      </w:r>
      <w:r w:rsidR="00EB47D7">
        <w:t xml:space="preserve"> </w:t>
      </w:r>
      <w:r w:rsidR="00374065">
        <w:t>suggests a demarcation between the domestic lives and the public sphere of the middle-</w:t>
      </w:r>
      <w:r w:rsidR="00926460">
        <w:t>classes,</w:t>
      </w:r>
      <w:r w:rsidR="00447424">
        <w:t xml:space="preserve"> and this demarcation was heavily influenced by the religious and gender ideologies</w:t>
      </w:r>
      <w:r w:rsidR="00713788">
        <w:t xml:space="preserve"> that evolved. This study has </w:t>
      </w:r>
      <w:r w:rsidR="006C7307">
        <w:t xml:space="preserve">helped </w:t>
      </w:r>
      <w:r w:rsidR="00713788">
        <w:t xml:space="preserve">inform the way </w:t>
      </w:r>
      <w:r w:rsidR="006C7307">
        <w:t>my research</w:t>
      </w:r>
      <w:r w:rsidR="00FC5D85">
        <w:t xml:space="preserve"> has approached both the domestic and commercial aspects of the cotton trade</w:t>
      </w:r>
      <w:r w:rsidR="00ED6B6D">
        <w:t xml:space="preserve"> and the family dynamics. </w:t>
      </w:r>
      <w:r w:rsidR="00ED6B6D">
        <w:lastRenderedPageBreak/>
        <w:t xml:space="preserve">Where my research builds upon this work is to focus more specifically </w:t>
      </w:r>
      <w:r w:rsidR="00926460">
        <w:t>on</w:t>
      </w:r>
      <w:r w:rsidR="00ED6B6D">
        <w:t xml:space="preserve"> </w:t>
      </w:r>
      <w:r w:rsidR="001714D4">
        <w:t xml:space="preserve">the conceptual framework </w:t>
      </w:r>
      <w:r w:rsidR="00ED6B6D">
        <w:t>of trust, social capital</w:t>
      </w:r>
      <w:r w:rsidR="001714D4">
        <w:t>,</w:t>
      </w:r>
      <w:r w:rsidR="00ED6B6D">
        <w:t xml:space="preserve"> and reputation</w:t>
      </w:r>
      <w:r w:rsidR="00926460">
        <w:t xml:space="preserve"> within these demarcated arenas. </w:t>
      </w:r>
    </w:p>
    <w:p w14:paraId="3ACADC2D" w14:textId="3ABDB365" w:rsidR="005A05DF" w:rsidRDefault="009F7885" w:rsidP="009F7885">
      <w:r>
        <w:t xml:space="preserve">Hannah Barker’s </w:t>
      </w:r>
      <w:r w:rsidR="00D047DF">
        <w:t xml:space="preserve">2017 </w:t>
      </w:r>
      <w:r>
        <w:t>research delves into family-run small businesses in Liverpool and Manchester, focusing on lower-middle-class trading families.</w:t>
      </w:r>
      <w:r w:rsidR="00386A89">
        <w:rPr>
          <w:rStyle w:val="FootnoteReference"/>
        </w:rPr>
        <w:footnoteReference w:id="74"/>
      </w:r>
      <w:r>
        <w:t xml:space="preserve"> </w:t>
      </w:r>
      <w:r w:rsidR="00386A89">
        <w:t>Barker’s</w:t>
      </w:r>
      <w:r>
        <w:t xml:space="preserve"> emphasis lies on their lived experiences, wealth management, social relations, and physical spaces. While her work differs from the current study in terms of the scale of business ventures, it conceptually aligns in the timeframe and in-depth examination of family relationships.</w:t>
      </w:r>
      <w:r w:rsidR="00CC33A4">
        <w:t xml:space="preserve"> </w:t>
      </w:r>
      <w:r>
        <w:t>Regarding class relevance, Barker's study more closely resembles the early years of the McConnel and Kennedy families than the Evans family. Her focus on the ideas of duty, love, fractures, disputes, and cooperation within family ties—both horizontally between siblings and intergenerationally—reveals a sophisticated approach to familial contexts. Barker concludes that each family exhibited a nuanced approach to handling their familial circumstances, particularly in the transfer of wealth across generations.</w:t>
      </w:r>
      <w:r w:rsidR="00386A89">
        <w:rPr>
          <w:rStyle w:val="FootnoteReference"/>
        </w:rPr>
        <w:footnoteReference w:id="75"/>
      </w:r>
      <w:r>
        <w:t xml:space="preserve"> Notably, a strict hierarchy within the family places spouses and children above all other kinship connections, highlighting the paramount importance of the close nuclear family in the lower-middle-class small businesses of Liverpool and Manchester. This conclusion slightly contrasts with Margaret Hunt’s broader kinship understanding of family.</w:t>
      </w:r>
      <w:r w:rsidR="00386A89">
        <w:rPr>
          <w:rStyle w:val="FootnoteReference"/>
        </w:rPr>
        <w:footnoteReference w:id="76"/>
      </w:r>
      <w:r>
        <w:t xml:space="preserve"> This study aims to investigate which of these conclusions best aligns with the evidence in </w:t>
      </w:r>
      <w:r w:rsidR="00CC33A4">
        <w:t>this</w:t>
      </w:r>
      <w:r>
        <w:t xml:space="preserve"> research.</w:t>
      </w:r>
    </w:p>
    <w:p w14:paraId="3007410C" w14:textId="236F8EF7" w:rsidR="00D13375" w:rsidRDefault="00D13375" w:rsidP="00D13375">
      <w:r>
        <w:t>Katie Donington's research and analysis of familial bonds within the Hibbert family of Manchester build upon the historiography of family, exploring a kinship network that gained increasing geographical and economic influence.</w:t>
      </w:r>
      <w:r w:rsidR="00386A89">
        <w:rPr>
          <w:rStyle w:val="FootnoteReference"/>
        </w:rPr>
        <w:footnoteReference w:id="77"/>
      </w:r>
      <w:r>
        <w:t xml:space="preserve"> </w:t>
      </w:r>
      <w:r w:rsidR="00386A89">
        <w:t>Donington</w:t>
      </w:r>
      <w:r>
        <w:t xml:space="preserve"> employs family as both a narrative device and a means of illustrating personal connectivity—a technique acknowledged by Donington herself and earlier observed by Andrea Stuart in </w:t>
      </w:r>
      <w:r w:rsidRPr="00D13375">
        <w:rPr>
          <w:i/>
          <w:iCs/>
        </w:rPr>
        <w:t>Sugar in the Blood: A Family’s Story of Slavery and Empire</w:t>
      </w:r>
      <w:r>
        <w:t>.</w:t>
      </w:r>
      <w:r>
        <w:rPr>
          <w:rStyle w:val="FootnoteReference"/>
        </w:rPr>
        <w:footnoteReference w:id="78"/>
      </w:r>
      <w:r>
        <w:t xml:space="preserve"> By examining family dynamics not only as a social unit but also as an integral economic component of their commercial enterprises, Donington extends the groundwork laid by Davidoff and Hall. </w:t>
      </w:r>
      <w:r w:rsidR="00386A89">
        <w:t xml:space="preserve">Donington’s </w:t>
      </w:r>
      <w:r>
        <w:t>study delves into the human relations behind the commercial structure of the Atlantic trade networks. While the theoretical framework shares similarities with the work of Davidoff and Hall, Donington broadens the focus beyond England. She explores the role of slavery within the microcosm of the Hibbert family, considering its implications for the macro aspects of the British Empire, Atlantic Commerce, and the interconnectivity of London, Manchester, and Jamaica. This nuanced understanding of the family's role facilitated the expansion of the Hibbert family's commercial ventures, establishing branches in London, Manchester, and Jamaica.</w:t>
      </w:r>
    </w:p>
    <w:p w14:paraId="136D7D5F" w14:textId="5CD8D896" w:rsidR="005A05DF" w:rsidRPr="00081CDE" w:rsidRDefault="005A05DF" w:rsidP="005A05DF">
      <w:pPr>
        <w:rPr>
          <w:b/>
          <w:bCs/>
          <w:i/>
          <w:iCs/>
        </w:rPr>
      </w:pPr>
      <w:r w:rsidRPr="00081CDE">
        <w:rPr>
          <w:b/>
          <w:bCs/>
          <w:i/>
          <w:iCs/>
        </w:rPr>
        <w:t xml:space="preserve">Capital and </w:t>
      </w:r>
      <w:r>
        <w:rPr>
          <w:b/>
          <w:bCs/>
          <w:i/>
          <w:iCs/>
        </w:rPr>
        <w:t>C</w:t>
      </w:r>
      <w:r w:rsidRPr="00081CDE">
        <w:rPr>
          <w:b/>
          <w:bCs/>
          <w:i/>
          <w:iCs/>
        </w:rPr>
        <w:t xml:space="preserve">redit </w:t>
      </w:r>
    </w:p>
    <w:p w14:paraId="6A6F62E0" w14:textId="469B96F2" w:rsidR="005A05DF" w:rsidRPr="00081CDE" w:rsidRDefault="005A05DF" w:rsidP="005A05DF">
      <w:r w:rsidRPr="00081CDE">
        <w:t>Networks, trust, trustworthiness, and reputation all form part of a firm or individual’s social capital</w:t>
      </w:r>
      <w:r>
        <w:t>,</w:t>
      </w:r>
      <w:r w:rsidRPr="00081CDE">
        <w:t xml:space="preserve"> </w:t>
      </w:r>
      <w:r>
        <w:t>ensuring</w:t>
      </w:r>
      <w:r w:rsidRPr="00081CDE">
        <w:t xml:space="preserve"> their access to capital and credit. By examining the networks and connections of my case studies, understanding their abilities to access capital and credit will add insights into how they successfully established and operated their mills. An economic understanding of capital can refer to </w:t>
      </w:r>
      <w:r>
        <w:t>a firm’s or individual’s monetary assets</w:t>
      </w:r>
      <w:r w:rsidRPr="00081CDE">
        <w:t xml:space="preserve">, or it can incorporate other assets such as land, buildings, </w:t>
      </w:r>
      <w:r>
        <w:t xml:space="preserve">and </w:t>
      </w:r>
      <w:r w:rsidRPr="00081CDE">
        <w:t xml:space="preserve">natural resources. </w:t>
      </w:r>
      <w:r w:rsidR="00214F3B">
        <w:t>In David Riccardo’s</w:t>
      </w:r>
      <w:r w:rsidR="00EB7B11">
        <w:t xml:space="preserve"> theory</w:t>
      </w:r>
      <w:r w:rsidR="00214F3B">
        <w:t>, c</w:t>
      </w:r>
      <w:r w:rsidRPr="00081CDE">
        <w:t>apital can be fixed or circulating.</w:t>
      </w:r>
      <w:r w:rsidR="00084435">
        <w:rPr>
          <w:rStyle w:val="FootnoteReference"/>
        </w:rPr>
        <w:footnoteReference w:id="79"/>
      </w:r>
      <w:r w:rsidRPr="00081CDE">
        <w:t xml:space="preserve"> </w:t>
      </w:r>
      <w:r w:rsidR="00BF7B97">
        <w:t xml:space="preserve">Fixed capital, which means the buildings, factories, warehouses, land, infrastructure and their improvements, financial </w:t>
      </w:r>
      <w:r w:rsidR="00BF7B97">
        <w:lastRenderedPageBreak/>
        <w:t>investments, machinery, and vehicles.</w:t>
      </w:r>
      <w:r w:rsidR="00692670">
        <w:rPr>
          <w:rStyle w:val="FootnoteReference"/>
        </w:rPr>
        <w:footnoteReference w:id="80"/>
      </w:r>
      <w:r w:rsidR="00BF7B97">
        <w:t xml:space="preserve"> It will also include the concept of circulating capital to include cash, operating expenses, raw materials, goods in manufacture, and money owed to the firms. </w:t>
      </w:r>
      <w:r w:rsidRPr="00081CDE">
        <w:t>As Phyllis Deane has argued</w:t>
      </w:r>
      <w:r>
        <w:t>,</w:t>
      </w:r>
      <w:r w:rsidRPr="00081CDE">
        <w:t xml:space="preserve"> there is no right answer to the question, “</w:t>
      </w:r>
      <w:r>
        <w:t>What</w:t>
      </w:r>
      <w:r w:rsidRPr="00081CDE">
        <w:t xml:space="preserve"> is capital?”</w:t>
      </w:r>
      <w:r w:rsidR="00E75667">
        <w:rPr>
          <w:rStyle w:val="FootnoteReference"/>
        </w:rPr>
        <w:footnoteReference w:id="81"/>
      </w:r>
      <w:r>
        <w:t xml:space="preserve"> However, for </w:t>
      </w:r>
      <w:r w:rsidRPr="00081CDE">
        <w:t>this research</w:t>
      </w:r>
      <w:r>
        <w:t>,</w:t>
      </w:r>
      <w:r w:rsidRPr="00081CDE">
        <w:t xml:space="preserve"> </w:t>
      </w:r>
      <w:r w:rsidR="002F4D48">
        <w:t xml:space="preserve">the term </w:t>
      </w:r>
      <w:r w:rsidRPr="00081CDE">
        <w:t xml:space="preserve">capital will include </w:t>
      </w:r>
      <w:r w:rsidR="002754CD">
        <w:t xml:space="preserve">the </w:t>
      </w:r>
      <w:r w:rsidRPr="00081CDE">
        <w:t>monetary and non-monetary assets</w:t>
      </w:r>
      <w:r w:rsidR="002754CD">
        <w:t xml:space="preserve"> of fixed and circulating capital.</w:t>
      </w:r>
      <w:r w:rsidR="003E0F53">
        <w:t xml:space="preserve"> </w:t>
      </w:r>
      <w:r w:rsidR="00BE33FD">
        <w:t xml:space="preserve">The accumulation of capital </w:t>
      </w:r>
      <w:r w:rsidR="00873E09">
        <w:t xml:space="preserve">is understood in broader terms than simply the acquisition of monetary assets. </w:t>
      </w:r>
      <w:r w:rsidR="003E0F53">
        <w:t>Other forms of capital</w:t>
      </w:r>
      <w:r w:rsidR="006E17B3">
        <w:t>,</w:t>
      </w:r>
      <w:r w:rsidR="003E0F53">
        <w:t xml:space="preserve"> such as human</w:t>
      </w:r>
      <w:r w:rsidR="00F964AF">
        <w:t>,</w:t>
      </w:r>
      <w:r w:rsidR="003E0F53">
        <w:t xml:space="preserve"> social</w:t>
      </w:r>
      <w:r w:rsidR="00F964AF">
        <w:t xml:space="preserve">, and </w:t>
      </w:r>
      <w:r w:rsidR="006E17B3">
        <w:t>cultural capital</w:t>
      </w:r>
      <w:r w:rsidR="003E0F53">
        <w:t xml:space="preserve"> </w:t>
      </w:r>
      <w:r w:rsidR="00A97C39">
        <w:t>are all</w:t>
      </w:r>
      <w:r w:rsidR="00F964AF">
        <w:t xml:space="preserve"> currencies of the networks</w:t>
      </w:r>
      <w:r w:rsidR="00A97C39">
        <w:t xml:space="preserve"> relevant to this research but will not be referred to as simply capital. </w:t>
      </w:r>
      <w:r w:rsidR="002754CD">
        <w:t xml:space="preserve"> </w:t>
      </w:r>
    </w:p>
    <w:p w14:paraId="4E312283" w14:textId="77777777" w:rsidR="005A05DF" w:rsidRPr="00081CDE" w:rsidRDefault="005A05DF" w:rsidP="005A05DF">
      <w:r w:rsidRPr="00081CDE">
        <w:t xml:space="preserve">Economic historian John Smail has argued that credit is </w:t>
      </w:r>
      <w:r>
        <w:t>important</w:t>
      </w:r>
      <w:r w:rsidRPr="00081CDE">
        <w:t xml:space="preserve"> in almost any economy whose exchanges are more complex than simple barter. However</w:t>
      </w:r>
      <w:r w:rsidRPr="001970EF">
        <w:t xml:space="preserve">, credit was particularly interesting in the eighteenth century </w:t>
      </w:r>
      <w:r w:rsidRPr="00A80917">
        <w:t>because it depended</w:t>
      </w:r>
      <w:r w:rsidRPr="00081CDE">
        <w:t xml:space="preserve"> on personal trust for all economic interactions</w:t>
      </w:r>
      <w:r>
        <w:t>,</w:t>
      </w:r>
      <w:r w:rsidRPr="00081CDE">
        <w:t xml:space="preserve"> from commercial payments to capital formation.</w:t>
      </w:r>
      <w:r w:rsidRPr="00081CDE">
        <w:rPr>
          <w:rStyle w:val="FootnoteReference"/>
        </w:rPr>
        <w:footnoteReference w:id="82"/>
      </w:r>
      <w:r w:rsidRPr="00081CDE">
        <w:t xml:space="preserve"> This understanding of the eighteenth-century economy has provided crucial information regarding the credit system </w:t>
      </w:r>
      <w:r>
        <w:t xml:space="preserve">in which my case studies would have operated </w:t>
      </w:r>
      <w:r w:rsidRPr="00081CDE">
        <w:t xml:space="preserve">and links back to the use of trust and reputation in acquiring credit throughout their business lives. A more detailed analysis of the concepts of capital and credit will be undertaken in chapter </w:t>
      </w:r>
      <w:r>
        <w:t>four</w:t>
      </w:r>
      <w:r w:rsidRPr="00081CDE">
        <w:t xml:space="preserve"> of this thesis.  </w:t>
      </w:r>
    </w:p>
    <w:p w14:paraId="4E05CE16" w14:textId="77777777" w:rsidR="005A05DF" w:rsidRPr="00AB24FB" w:rsidRDefault="005A05DF" w:rsidP="00AB24FB">
      <w:pPr>
        <w:pStyle w:val="Heading2"/>
        <w:rPr>
          <w:rFonts w:asciiTheme="minorHAnsi" w:hAnsiTheme="minorHAnsi" w:cstheme="minorHAnsi"/>
          <w:b/>
          <w:bCs/>
          <w:color w:val="auto"/>
          <w:sz w:val="28"/>
          <w:szCs w:val="28"/>
        </w:rPr>
      </w:pPr>
      <w:bookmarkStart w:id="31" w:name="_Toc170825654"/>
      <w:r w:rsidRPr="00AB24FB">
        <w:rPr>
          <w:rFonts w:asciiTheme="minorHAnsi" w:hAnsiTheme="minorHAnsi" w:cstheme="minorHAnsi"/>
          <w:b/>
          <w:bCs/>
          <w:color w:val="auto"/>
          <w:sz w:val="28"/>
          <w:szCs w:val="28"/>
        </w:rPr>
        <w:t>Methodology</w:t>
      </w:r>
      <w:bookmarkEnd w:id="31"/>
    </w:p>
    <w:p w14:paraId="54EE8E81" w14:textId="5A35620A" w:rsidR="00E86726" w:rsidRDefault="00E86726" w:rsidP="00E86726">
      <w:pPr>
        <w:rPr>
          <w:b/>
          <w:bCs/>
          <w:i/>
          <w:iCs/>
        </w:rPr>
      </w:pPr>
      <w:r>
        <w:rPr>
          <w:b/>
          <w:bCs/>
          <w:i/>
          <w:iCs/>
        </w:rPr>
        <w:t>A Network Approach</w:t>
      </w:r>
    </w:p>
    <w:p w14:paraId="350D0AE4" w14:textId="77777777" w:rsidR="00E86726" w:rsidRDefault="00E86726" w:rsidP="00E86726">
      <w:r>
        <w:t>This research has explored theories and debates surrounding the meaning and usage of the concept of a network as a tool for historical analysis. One of the main</w:t>
      </w:r>
      <w:r w:rsidRPr="002A18CA">
        <w:t xml:space="preserve"> aim</w:t>
      </w:r>
      <w:r>
        <w:t>s</w:t>
      </w:r>
      <w:r w:rsidRPr="002A18CA">
        <w:t xml:space="preserve"> of this thesis is to </w:t>
      </w:r>
      <w:r>
        <w:t>explore</w:t>
      </w:r>
      <w:r w:rsidRPr="002A18CA">
        <w:t xml:space="preserve"> </w:t>
      </w:r>
      <w:r>
        <w:t>my key concepts (trust, trustworthiness, and reputation) within the networks that enacted the successful establishment and operations</w:t>
      </w:r>
      <w:r w:rsidRPr="002A18CA">
        <w:t xml:space="preserve"> of</w:t>
      </w:r>
      <w:r>
        <w:t xml:space="preserve"> the</w:t>
      </w:r>
      <w:r w:rsidRPr="002A18CA">
        <w:t xml:space="preserve"> two</w:t>
      </w:r>
      <w:r>
        <w:t xml:space="preserve"> cotton-spinning enterprises. Kate Davison has argued that networks are a vehicle for transmitting knowledge and that network approaches are suited to studies within the trade and commercial activities, of which this study is one.</w:t>
      </w:r>
      <w:r>
        <w:rPr>
          <w:rStyle w:val="FootnoteReference"/>
        </w:rPr>
        <w:footnoteReference w:id="83"/>
      </w:r>
      <w:r>
        <w:t xml:space="preserve"> Networks in this study are groups of people who connect and interact with each other on a particular level of agency and implicitly or explicitly agree to work towards a common goal or outcome. Cookson has argued that businesses need networks to connect with others, buy and sell products, find finances and partners, recruit and train staff, discover technical information, and develop technologies.</w:t>
      </w:r>
      <w:r>
        <w:rPr>
          <w:rStyle w:val="FootnoteReference"/>
        </w:rPr>
        <w:footnoteReference w:id="84"/>
      </w:r>
      <w:r>
        <w:t xml:space="preserve"> Cookson’s work has influenced how I understand a business network. I define a business network as a group of people drawn together (though not always geographically) by business entities, agreements, obligations, and legal contracts to achieve a common commercial goal. As Cookson has shown, business networks can be training, trading, and more personal and social networks that influence business transactions.</w:t>
      </w:r>
      <w:r>
        <w:rPr>
          <w:rStyle w:val="FootnoteReference"/>
        </w:rPr>
        <w:footnoteReference w:id="85"/>
      </w:r>
      <w:r>
        <w:t xml:space="preserve">  </w:t>
      </w:r>
    </w:p>
    <w:p w14:paraId="50679CDA" w14:textId="77777777" w:rsidR="00E86726" w:rsidRDefault="00E86726" w:rsidP="00E86726">
      <w:r>
        <w:t xml:space="preserve">The methodological approach I have taken to applying my understanding of networks has been a more traditional qualitative approach rather than apply a digital methodology of creating a computer-based network visualisations to represent social connections as graphs. While this methodology would be a very useful approach to take, I chose the qualitive approach for two key reasons. </w:t>
      </w:r>
      <w:r w:rsidRPr="00DA310E">
        <w:rPr>
          <w:color w:val="000000" w:themeColor="text1"/>
        </w:rPr>
        <w:t xml:space="preserve">The first is that that archives were full of interesting and enlightening letters and correspondence which allowed the study to gain insights into the lives and lived experiences of many of the human actors in the networks. This rich vein of information would have been left unexplored </w:t>
      </w:r>
      <w:r w:rsidRPr="00DA310E">
        <w:rPr>
          <w:color w:val="000000" w:themeColor="text1"/>
        </w:rPr>
        <w:lastRenderedPageBreak/>
        <w:t xml:space="preserve">with a more mathematical approach. The second key reason was that this approach did not fully explore my research aims and research questions. </w:t>
      </w:r>
      <w:r>
        <w:t xml:space="preserve">However, there would be scope for further research into this area, as the available archives would lend themselves to a study of this kind as well. </w:t>
      </w:r>
    </w:p>
    <w:p w14:paraId="31F930BC" w14:textId="77777777" w:rsidR="00E86726" w:rsidRDefault="00E86726" w:rsidP="00E86726">
      <w:r>
        <w:t>Without the graphs and visual representations, the networks have been metaphorically envisaged, and these have included both abstract and concrete forms of networks. The networks took a diversity of forms, shapes, and functions and included and excluded people of a variety of premises. The networks claimed their connectivity by both physical contact and practical interaction. The interactions could be relational, familial, kinship based, economic, legal, financial, a business transaction but at the centre of these networks were the people that created the connectivity. However, institutions and other entities could influence the quality and strength of the connectivity with networks. Beyond the understandings of Davison and Cookson, this study has also been informed by actor networks theory (ANT). This theoretical framework developed in the 1980s in the field of science and technology, has influenced my understanding of networks.</w:t>
      </w:r>
      <w:r>
        <w:rPr>
          <w:rStyle w:val="FootnoteReference"/>
        </w:rPr>
        <w:footnoteReference w:id="86"/>
      </w:r>
      <w:r>
        <w:t xml:space="preserve"> The theory, developed by the sociologists Michel Callon, Bruno Latour, and John Law, among others, emphasises the role of non-human actors (objects, technologies, and institutions) in shaping social interactions.</w:t>
      </w:r>
      <w:r>
        <w:rPr>
          <w:rStyle w:val="FootnoteReference"/>
        </w:rPr>
        <w:footnoteReference w:id="87"/>
      </w:r>
      <w:r>
        <w:t xml:space="preserve"> In this study these can also include the business and social contracts, letters and resources as methods to connecting the nodes (businesses or institutions or human actors) This study, though not a true application of the theory, draws upon its ideas for theoretical framing, particularly citing the influence of institutions such as schools, churches, associational societies, and most importantly business and financial institutions such as the cotton brokerage firms, and banks on the development of the local cotton spinning firms and the people in their management structures. These nodes and relationships of the networks were all crucial in influencing human interactions. However, where my interpretation of the concept of ‘networks’ differs is that human interactions take precedence over non-human interactions. This is not due to a result of analysis or measurement but rather a preference to understand human agency and human interactivity above the impact of institutions and technologies.  </w:t>
      </w:r>
    </w:p>
    <w:p w14:paraId="3FCF7876" w14:textId="77777777" w:rsidR="00E86726" w:rsidRPr="00801949" w:rsidRDefault="00E86726" w:rsidP="00E86726">
      <w:pPr>
        <w:rPr>
          <w:i/>
          <w:iCs/>
        </w:rPr>
      </w:pPr>
      <w:r>
        <w:rPr>
          <w:i/>
          <w:iCs/>
        </w:rPr>
        <w:t>H</w:t>
      </w:r>
      <w:r w:rsidRPr="00801949">
        <w:rPr>
          <w:i/>
          <w:iCs/>
        </w:rPr>
        <w:t xml:space="preserve">uman </w:t>
      </w:r>
      <w:r>
        <w:rPr>
          <w:i/>
          <w:iCs/>
        </w:rPr>
        <w:t>N</w:t>
      </w:r>
      <w:r w:rsidRPr="00801949">
        <w:rPr>
          <w:i/>
          <w:iCs/>
        </w:rPr>
        <w:t>etworks</w:t>
      </w:r>
      <w:r>
        <w:rPr>
          <w:i/>
          <w:iCs/>
        </w:rPr>
        <w:t xml:space="preserve">: Strong. Weak and Absent Ties </w:t>
      </w:r>
      <w:r w:rsidRPr="00801949">
        <w:rPr>
          <w:i/>
          <w:iCs/>
        </w:rPr>
        <w:t xml:space="preserve"> </w:t>
      </w:r>
    </w:p>
    <w:p w14:paraId="154D0A61" w14:textId="77777777" w:rsidR="00E86726" w:rsidRDefault="00E86726" w:rsidP="00E86726">
      <w:r>
        <w:t xml:space="preserve">This study incorporates two valuable theories on network analysis: sociologist Mark </w:t>
      </w:r>
      <w:proofErr w:type="spellStart"/>
      <w:r>
        <w:t>Granovetter’s</w:t>
      </w:r>
      <w:proofErr w:type="spellEnd"/>
      <w:r>
        <w:t xml:space="preserve"> theory, which distinguishes between strong, weak, and absent ties in social networks and management Professor Peter Smith Ring’s distinction between fragile and resilient forms of trust seen in business networks.</w:t>
      </w:r>
      <w:r>
        <w:rPr>
          <w:rStyle w:val="FootnoteReference"/>
        </w:rPr>
        <w:footnoteReference w:id="88"/>
      </w:r>
      <w:r>
        <w:t xml:space="preserve"> </w:t>
      </w:r>
      <w:proofErr w:type="spellStart"/>
      <w:r>
        <w:t>Granovetter’s</w:t>
      </w:r>
      <w:proofErr w:type="spellEnd"/>
      <w:r>
        <w:t xml:space="preserve"> theory can be seen throughout the networks of each case study, and his understanding of social network analysis has offered a significant grounding to my research. Smith Ring’s management theory of types of trust fits well with </w:t>
      </w:r>
      <w:proofErr w:type="spellStart"/>
      <w:r>
        <w:t>Granovetter’s</w:t>
      </w:r>
      <w:proofErr w:type="spellEnd"/>
      <w:r>
        <w:t xml:space="preserve"> distinctions because Smith Ring’s ‘fragile trust’ closely resembles </w:t>
      </w:r>
      <w:proofErr w:type="spellStart"/>
      <w:r>
        <w:t>Granovetters</w:t>
      </w:r>
      <w:proofErr w:type="spellEnd"/>
      <w:r>
        <w:t xml:space="preserve"> ‘weak ties’ and Smith Ring’s ‘resilient trust’ resembles </w:t>
      </w:r>
      <w:proofErr w:type="spellStart"/>
      <w:r>
        <w:t>Granovetter’s</w:t>
      </w:r>
      <w:proofErr w:type="spellEnd"/>
      <w:r>
        <w:t xml:space="preserve"> </w:t>
      </w:r>
      <w:r w:rsidRPr="00C30CEC">
        <w:rPr>
          <w:i/>
          <w:iCs/>
        </w:rPr>
        <w:t>strong ties</w:t>
      </w:r>
      <w:r>
        <w:t xml:space="preserve"> and no trust at all would correspond well to the absent ties. However, the theories are subtly different, as social networks operate using trust, but trust itself is not a social network. Smith Ring theorises about trust in a business setting and while the theory may have broader applications, it is specifically tailored to the business realm. Additionally, Granovetter highlights the strength of ‘weak ties’, suggesting that they were essential connections in the flow of trust, information, and knowledge of the reputational status of network </w:t>
      </w:r>
      <w:r>
        <w:lastRenderedPageBreak/>
        <w:t xml:space="preserve">actors. In relation to this study, </w:t>
      </w:r>
      <w:proofErr w:type="spellStart"/>
      <w:r>
        <w:t>Granovetter’s</w:t>
      </w:r>
      <w:proofErr w:type="spellEnd"/>
      <w:r>
        <w:t xml:space="preserve"> ‘strong ties’ reflect well the kinship, family, and close community networks held together by robust ties discussed in chapters two and three. In the context of this study, </w:t>
      </w:r>
      <w:proofErr w:type="spellStart"/>
      <w:r>
        <w:t>Granovetter’s</w:t>
      </w:r>
      <w:proofErr w:type="spellEnd"/>
      <w:r>
        <w:t xml:space="preserve"> ‘weak ties’ could be seen as the business networks and connections, particularly those without kinship or family ties and his absent ties are those which include the stranger and outsiders to the closed networks in which both firms operated.</w:t>
      </w:r>
    </w:p>
    <w:p w14:paraId="7DF33775" w14:textId="33CDE3B6" w:rsidR="003B75F4" w:rsidRPr="003B75F4" w:rsidRDefault="003B75F4" w:rsidP="003B75F4">
      <w:pPr>
        <w:rPr>
          <w:rFonts w:ascii="Calibri" w:eastAsia="DengXian" w:hAnsi="Calibri" w:cs="Arial"/>
          <w:b/>
          <w:bCs/>
          <w:lang w:eastAsia="zh-CN"/>
        </w:rPr>
      </w:pPr>
      <w:bookmarkStart w:id="33" w:name="_Hlk169006442"/>
      <w:r w:rsidRPr="003B75F4">
        <w:rPr>
          <w:rFonts w:ascii="Calibri" w:eastAsia="DengXian" w:hAnsi="Calibri" w:cs="Arial"/>
          <w:b/>
          <w:bCs/>
          <w:lang w:eastAsia="zh-CN"/>
        </w:rPr>
        <w:t>A Comparative Approach</w:t>
      </w:r>
    </w:p>
    <w:p w14:paraId="2C56FA54" w14:textId="77777777" w:rsidR="00903C20" w:rsidRPr="00DA310E" w:rsidRDefault="00903C20" w:rsidP="00903C20">
      <w:pPr>
        <w:rPr>
          <w:rFonts w:ascii="Calibri" w:eastAsia="DengXian" w:hAnsi="Calibri" w:cs="Arial"/>
          <w:color w:val="000000" w:themeColor="text1"/>
          <w:lang w:eastAsia="zh-CN"/>
        </w:rPr>
      </w:pPr>
      <w:r w:rsidRPr="00DA310E">
        <w:rPr>
          <w:rFonts w:ascii="Calibri" w:eastAsia="DengXian" w:hAnsi="Calibri" w:cs="Arial"/>
          <w:color w:val="000000" w:themeColor="text1"/>
          <w:lang w:eastAsia="zh-CN"/>
        </w:rPr>
        <w:t>My methodology initially aimed to be solely a qualitative comparative historical analysis of the two case studies. Each study was situated in distinct but interdependent geographical hubs of cotton spinning during the same timeframe. My initial research uncovered significant differences in the case studies, beyond being established in different regions. The case-studies connected to different major regional markets – for example McConnel and Kennedy, were well connected into Scottish markets (Glasgow and Paisley) whereas the Evans family were not. This reflected not only their geographical location and their social connectivity but also the types of cotton each firm chose to spin and the demands of these marketplaces. It also reflected that the two firms operated different technologies, altering the ability to spin certain types of cotton – The Evans family used Arkwright’s Water Frame, whereas McConnel &amp; Kennedy used Crompton’s Mule. The mills were also financed using different methods of capital accumulation – the Evans family had accumulated much of their wealth through resources on the lands and the metals trades, whereas McConnel &amp; Kenney recycled their profits from cotton machine making and cotton spinning to fund their growth and longevity in the trade.   The comparison between the upper-middle-class and gentry Evans family and their business enterprise with their counterparts John Kennedy and James McConnel, who came from more humble backgrounds, provides a greater understanding of the varied needs for trust and reputation. It also reflects their differing starting points for their ability to access social capital. These factors make the case studies an interesting comparison.</w:t>
      </w:r>
    </w:p>
    <w:p w14:paraId="1FCE2B94" w14:textId="7778D9E6" w:rsidR="00903C20" w:rsidRPr="00DA310E" w:rsidRDefault="00903C20" w:rsidP="00903C20">
      <w:pPr>
        <w:rPr>
          <w:rFonts w:ascii="Calibri" w:eastAsia="DengXian" w:hAnsi="Calibri" w:cs="Arial"/>
          <w:color w:val="000000" w:themeColor="text1"/>
          <w:lang w:eastAsia="zh-CN"/>
        </w:rPr>
      </w:pPr>
      <w:r w:rsidRPr="00DA310E">
        <w:rPr>
          <w:rFonts w:ascii="Calibri" w:eastAsia="DengXian" w:hAnsi="Calibri" w:cs="Arial"/>
          <w:color w:val="000000" w:themeColor="text1"/>
          <w:lang w:eastAsia="zh-CN"/>
        </w:rPr>
        <w:t xml:space="preserve">The comparative approach also add potential to progress the existing literature that focus either on individual firms, regions or on the whole industry. The Cheshire and Lancashire cotton industries have received a lot of attention on the own terms and individual firms have also been examined. Such studies include Mary B. Rose’s inquiry into the Greg family mill at Styal and Rhodes Boyson’s history of the Ashworth’s cotton enterprise near Bolton. The Scottish cotton industry has been examined by the work of Anthony Cooke, where the role of industrialists such as Richard Arkwright, David Dale and Robert Owen have been explored.  More pertinent to this research are Clive H. Lee's studies on McConnel &amp; Kennedy and Jean Lindsay’s work on the Evans family. My work aims to build upon the work of these studies but by juxtaposing the two cotton-spinning firms from the Derwent and Manchester, with each other. The comparative approach has the potential to draw out new and insightful knowledge about the cotton trade. </w:t>
      </w:r>
    </w:p>
    <w:p w14:paraId="0BE918E5" w14:textId="77777777" w:rsidR="00DA17DB" w:rsidRPr="00DA310E" w:rsidRDefault="00DA17DB" w:rsidP="00DA17DB">
      <w:pPr>
        <w:rPr>
          <w:rFonts w:ascii="Calibri" w:eastAsia="DengXian" w:hAnsi="Calibri" w:cs="Arial"/>
          <w:color w:val="000000" w:themeColor="text1"/>
          <w:lang w:eastAsia="zh-CN"/>
        </w:rPr>
      </w:pPr>
      <w:r w:rsidRPr="00DA310E">
        <w:rPr>
          <w:rFonts w:ascii="Calibri" w:eastAsia="DengXian" w:hAnsi="Calibri" w:cs="Arial"/>
          <w:color w:val="000000" w:themeColor="text1"/>
          <w:lang w:eastAsia="zh-CN"/>
        </w:rPr>
        <w:t>The comparative approach has its limitations. While it allowed the firms to be viewed as distinct entities, it also highlighted that they were part of a vast web of connected cotton manufacturers and other subsidiary traders and brokers operating on mutual trust, social capital, and reputation. This interconnectedness became apparent as my research progressed. Initially, I intended to consider the firms as entirely separate entities. However, I soon recognized that they were distinct parts of an overall network of cotton mills. Each region and firm initially appeared to connect to different types of networks. However, as I compared them, it became clear that they were connected to various overlapping and interconnected business and social networks. Both firms connected to the same card makers in Halifax, imported raw materials through mutually known brokers and merchants in Liverpool and Hull, had sales agents in some of the same markets and cooperated with each other. While their differences are important, so are their similarities.</w:t>
      </w:r>
    </w:p>
    <w:p w14:paraId="57245D57" w14:textId="77777777" w:rsidR="005A05DF" w:rsidRPr="00B51DB1" w:rsidRDefault="005A05DF" w:rsidP="005A05DF">
      <w:pPr>
        <w:rPr>
          <w:b/>
          <w:bCs/>
        </w:rPr>
      </w:pPr>
      <w:bookmarkStart w:id="34" w:name="_Hlk169016197"/>
      <w:bookmarkEnd w:id="33"/>
      <w:r w:rsidRPr="00B51DB1">
        <w:rPr>
          <w:b/>
          <w:bCs/>
        </w:rPr>
        <w:lastRenderedPageBreak/>
        <w:t xml:space="preserve">Aims and </w:t>
      </w:r>
      <w:r>
        <w:rPr>
          <w:b/>
          <w:bCs/>
        </w:rPr>
        <w:t>S</w:t>
      </w:r>
      <w:r w:rsidRPr="00B51DB1">
        <w:rPr>
          <w:b/>
          <w:bCs/>
        </w:rPr>
        <w:t>cope</w:t>
      </w:r>
    </w:p>
    <w:bookmarkEnd w:id="34"/>
    <w:p w14:paraId="109D23A7" w14:textId="77777777" w:rsidR="001E49A1" w:rsidRPr="001E49A1" w:rsidRDefault="001E49A1" w:rsidP="001E49A1">
      <w:pPr>
        <w:rPr>
          <w:rFonts w:ascii="Calibri" w:eastAsia="DengXian" w:hAnsi="Calibri" w:cs="Arial"/>
          <w:lang w:eastAsia="zh-CN"/>
        </w:rPr>
      </w:pPr>
      <w:r w:rsidRPr="001E49A1">
        <w:rPr>
          <w:rFonts w:ascii="Calibri" w:eastAsia="DengXian" w:hAnsi="Calibri" w:cs="Arial"/>
          <w:lang w:eastAsia="zh-CN"/>
        </w:rPr>
        <w:t xml:space="preserve">This study will focus on the early phase of each cotton-spinning enterprise, from their inception in 1782-3 and 1795, respectively, until 1840. The two case studies in the thesis are the Evans family-run Boar’s Head Cotton Mills in the Derwent Valley and McConnel &amp; Kennedy (later McConnel &amp; Co.) firm in Manchester. Both firms operated from the late eighteenth century until the twentieth century. The last three decades of the eighteenth century saw the birth and rise of the factory system and the mechanisation of cotton manufacturing in Britain. The endpoint in the 1840s marked the beginning of a new phase of the Industrial Revolution with the expansion of the railways, the opening of new markets, and an era of post-slavery in the British colonies. Historiographically and historically, this early industrial revolution period is characterised by innovation and change. While there is still disagreement on the depth, scale and nature of the change, the consensus of literature is that the period of 1780-1840 was transformative, particularly in the textile regions of Manchester and the Derwent Valley. Most noted by scholars of the nineteenth and twentieth centuries, is that there was rapid technological innovation with game-changing innovations like the Spinning Jenny, the Water Frame, and Crompton’s mule. Their inventors James Hargreaves, Sir Richard Arkwright, and Samuel Crompton have been at the forefront of biographical and technological accounts of the cotton trade. It was Arkwright’s Water Frame that inspired the push to building factories along the river Derwent in Derbyshire and Crompton’s mule enabled the spinning of raw cotton by McConnel &amp; Kennedy in Manchester. This study aims to build upon the existing knowledge and literature surrounding these two firms, the cotton trade and the Industrial Revolution. </w:t>
      </w:r>
    </w:p>
    <w:p w14:paraId="776D7D81" w14:textId="77777777" w:rsidR="001E49A1" w:rsidRPr="001E49A1" w:rsidRDefault="001E49A1" w:rsidP="001E49A1">
      <w:pPr>
        <w:rPr>
          <w:rFonts w:ascii="Calibri" w:eastAsia="DengXian" w:hAnsi="Calibri" w:cs="Arial"/>
          <w:lang w:eastAsia="zh-CN"/>
        </w:rPr>
      </w:pPr>
      <w:r w:rsidRPr="001E49A1">
        <w:rPr>
          <w:rFonts w:ascii="Calibri" w:eastAsia="DengXian" w:hAnsi="Calibri" w:cs="Arial"/>
          <w:lang w:eastAsia="zh-CN"/>
        </w:rPr>
        <w:t>While the technological innovations and macro-inventions were crucial to the development and sustainability of the cotton spinning firms, scholars such as Peter Maw have explored how post-invention technical improvements were also important.</w:t>
      </w:r>
      <w:r w:rsidRPr="001E49A1">
        <w:rPr>
          <w:rFonts w:ascii="Calibri" w:eastAsia="DengXian" w:hAnsi="Calibri" w:cs="Arial"/>
          <w:vertAlign w:val="superscript"/>
          <w:lang w:eastAsia="zh-CN"/>
        </w:rPr>
        <w:footnoteReference w:id="89"/>
      </w:r>
      <w:r w:rsidRPr="001E49A1">
        <w:rPr>
          <w:rFonts w:ascii="Calibri" w:eastAsia="DengXian" w:hAnsi="Calibri" w:cs="Arial"/>
          <w:lang w:eastAsia="zh-CN"/>
        </w:rPr>
        <w:t xml:space="preserve"> Therefore, the factory-based manufacture and spinning of cotton required continual development and a supply of labourers with sufficient knowledge to operate the innovative technologies. The supply of labour contributes to another branch of the historiography of the cotton trade which connects to explain how the cotton trade was able to develop in the early factory age. Beyond the innovations, technological advancements and labour supply other local developmental factors stemmed from the management organisation and entrepreneurial skills of the cotton mill owners and their management employees. The spinning mill owners and managers and the networks they connected to form the central aspect of this study. As Beckert has established it was networks that connected the local aspects of the cotton trade to the global ones.</w:t>
      </w:r>
      <w:r w:rsidRPr="001E49A1">
        <w:rPr>
          <w:rFonts w:ascii="Calibri" w:eastAsia="DengXian" w:hAnsi="Calibri" w:cs="Arial"/>
          <w:vertAlign w:val="superscript"/>
          <w:lang w:eastAsia="zh-CN"/>
        </w:rPr>
        <w:footnoteReference w:id="90"/>
      </w:r>
      <w:r w:rsidRPr="001E49A1">
        <w:rPr>
          <w:rFonts w:ascii="Calibri" w:eastAsia="DengXian" w:hAnsi="Calibri" w:cs="Arial"/>
          <w:lang w:eastAsia="zh-CN"/>
        </w:rPr>
        <w:t xml:space="preserve"> However, it was also networks that connected the local to the other local, regional and national resources and capital required to operate the cotton mills. It was the social relationships within the strata that enabled the flow of resources through the networks. Therefore, this thesis will ask questions about how this was possible.     </w:t>
      </w:r>
    </w:p>
    <w:p w14:paraId="3E74B4C6" w14:textId="77777777" w:rsidR="001E49A1" w:rsidRPr="001E49A1" w:rsidRDefault="001E49A1" w:rsidP="001E49A1">
      <w:pPr>
        <w:rPr>
          <w:rFonts w:ascii="Calibri" w:eastAsia="DengXian" w:hAnsi="Calibri" w:cs="Arial"/>
          <w:lang w:eastAsia="zh-CN"/>
        </w:rPr>
      </w:pPr>
      <w:r w:rsidRPr="001E49A1">
        <w:rPr>
          <w:rFonts w:ascii="Calibri" w:eastAsia="DengXian" w:hAnsi="Calibri" w:cs="Arial"/>
          <w:lang w:eastAsia="zh-CN"/>
        </w:rPr>
        <w:t xml:space="preserve">This thesis aims at a historiographical level to re-centre our understanding of the early industrial revolution by foregrounding social relations and the mechanisms of trust and reputation within them at the level of the mill-owning families and their management. My aims are twofold. Firstly, I aim to understand better human connectivity and the migration of people, ideas, and resources during the early industrial revolution in the cotton industry. Relating human agency with trust and reputation within family and kinship, capital and credit, and ideas around abolitionism and pro-slavery sentiment in the foundation and maintenance of local, national, and international networks of connectivity of early cotton spinning firms. Secondly, I aim to reconsider the local aspects of the </w:t>
      </w:r>
      <w:r w:rsidRPr="001E49A1">
        <w:rPr>
          <w:rFonts w:ascii="Calibri" w:eastAsia="DengXian" w:hAnsi="Calibri" w:cs="Arial"/>
          <w:lang w:eastAsia="zh-CN"/>
        </w:rPr>
        <w:lastRenderedPageBreak/>
        <w:t xml:space="preserve">cotton trade, considering recent research on the global forces enacted upon the local ones. This includes the genesis of the firms, how they acquired their capital and resources to enter business networks and maintain their business interests, and how this enabled them to connect to global webs of trade and commerce. These questions are important because they shed light on the historiographical understanding of how the Industrial Revolution operated at a sociocultural and socio-economic level. They also add to our understanding of trust, reputation, family, business, and connectivity in the late eighteenth and early nineteenth century. Many of these questions have stemmed from my engagement with recent research in the field that has uncovered new insights into the global development of the cotton trade in which these local firms operated. Without these insights, the narratives of the local firms would remain situated in nationalistic interpretations, and the mechanisms that enabled their connectivity into a global system would remain unexplored. Therefore, these questions prevent this thesis from being an antiquarian study, as such questions help us address pressing questions about local business development and entrepreneurship, family, and kinship dynamics, and better understand the social and cultural environment in which world-changing industrial change occurred by connecting to global development. </w:t>
      </w:r>
    </w:p>
    <w:p w14:paraId="1D78D692" w14:textId="6A5A9F61" w:rsidR="005A05DF" w:rsidRDefault="005A05DF" w:rsidP="005A05DF">
      <w:pPr>
        <w:rPr>
          <w:b/>
          <w:bCs/>
        </w:rPr>
      </w:pPr>
      <w:r w:rsidRPr="00780F27">
        <w:rPr>
          <w:b/>
          <w:bCs/>
        </w:rPr>
        <w:t xml:space="preserve">Archival Research: </w:t>
      </w:r>
      <w:r>
        <w:rPr>
          <w:b/>
          <w:bCs/>
        </w:rPr>
        <w:t>The</w:t>
      </w:r>
      <w:r w:rsidRPr="00780F27">
        <w:rPr>
          <w:b/>
          <w:bCs/>
        </w:rPr>
        <w:t xml:space="preserve"> </w:t>
      </w:r>
      <w:r>
        <w:rPr>
          <w:b/>
          <w:bCs/>
        </w:rPr>
        <w:t>P</w:t>
      </w:r>
      <w:r w:rsidRPr="00780F27">
        <w:rPr>
          <w:b/>
          <w:bCs/>
        </w:rPr>
        <w:t xml:space="preserve">rimary </w:t>
      </w:r>
      <w:r>
        <w:rPr>
          <w:b/>
          <w:bCs/>
        </w:rPr>
        <w:t>S</w:t>
      </w:r>
      <w:r w:rsidRPr="00780F27">
        <w:rPr>
          <w:b/>
          <w:bCs/>
        </w:rPr>
        <w:t>ources</w:t>
      </w:r>
    </w:p>
    <w:p w14:paraId="3FCC548A" w14:textId="6A053B93" w:rsidR="005A05DF" w:rsidRDefault="005A05DF" w:rsidP="005A05DF">
      <w:r w:rsidRPr="00C7211D">
        <w:t>This thesis utilises primary sources in two different ways</w:t>
      </w:r>
      <w:r w:rsidRPr="001456C0">
        <w:t>: first</w:t>
      </w:r>
      <w:r>
        <w:t>ly</w:t>
      </w:r>
      <w:r w:rsidRPr="001456C0">
        <w:t xml:space="preserve">, to chart the </w:t>
      </w:r>
      <w:r w:rsidR="004E3905">
        <w:t xml:space="preserve">family and business </w:t>
      </w:r>
      <w:r w:rsidRPr="001456C0">
        <w:t>networks surrounding</w:t>
      </w:r>
      <w:r w:rsidRPr="00C7211D">
        <w:t xml:space="preserve"> each case study and </w:t>
      </w:r>
      <w:r>
        <w:t>secondly,</w:t>
      </w:r>
      <w:r w:rsidRPr="00C7211D">
        <w:t xml:space="preserve"> to analyse and contextualise the use of trust and reputation within these networks. Initially, I </w:t>
      </w:r>
      <w:r>
        <w:t>adop</w:t>
      </w:r>
      <w:r w:rsidR="009A7059">
        <w:t>t</w:t>
      </w:r>
      <w:r w:rsidRPr="00C7211D">
        <w:t xml:space="preserve"> a genealogical methodology and </w:t>
      </w:r>
      <w:r>
        <w:t>dr</w:t>
      </w:r>
      <w:r w:rsidR="009A7059">
        <w:t>a</w:t>
      </w:r>
      <w:r>
        <w:t>w</w:t>
      </w:r>
      <w:r w:rsidRPr="00C7211D">
        <w:t xml:space="preserve"> on information from</w:t>
      </w:r>
      <w:r w:rsidR="004E3905">
        <w:t xml:space="preserve"> </w:t>
      </w:r>
      <w:r>
        <w:t>baptisms</w:t>
      </w:r>
      <w:r w:rsidRPr="00C7211D">
        <w:t xml:space="preserve">, </w:t>
      </w:r>
      <w:r>
        <w:t>marriages</w:t>
      </w:r>
      <w:r w:rsidRPr="00C7211D">
        <w:t>, burial</w:t>
      </w:r>
      <w:r>
        <w:t>s,</w:t>
      </w:r>
      <w:r w:rsidRPr="00C7211D">
        <w:t xml:space="preserve"> wills</w:t>
      </w:r>
      <w:r>
        <w:t>,</w:t>
      </w:r>
      <w:r w:rsidRPr="00C7211D">
        <w:t xml:space="preserve"> and probate records to chart the kinship networks of the factory masters and their kin. </w:t>
      </w:r>
      <w:r w:rsidR="00D571F6">
        <w:t xml:space="preserve">The </w:t>
      </w:r>
      <w:r w:rsidR="00A763D1">
        <w:t xml:space="preserve">births, baptisms, marriage, </w:t>
      </w:r>
      <w:r w:rsidR="00B11CB8">
        <w:t>death,</w:t>
      </w:r>
      <w:r w:rsidR="00A763D1">
        <w:t xml:space="preserve"> and burial records enable the piecing together of a family tree for each kinship group</w:t>
      </w:r>
      <w:r w:rsidR="00CF0A1C">
        <w:t xml:space="preserve"> which </w:t>
      </w:r>
      <w:r w:rsidR="009A7059">
        <w:t>can</w:t>
      </w:r>
      <w:r w:rsidR="00CF0A1C">
        <w:t xml:space="preserve"> then </w:t>
      </w:r>
      <w:r w:rsidR="009A7059">
        <w:t xml:space="preserve">be </w:t>
      </w:r>
      <w:r w:rsidR="001A0AE2">
        <w:t xml:space="preserve">analysed with the existing secondary sources to gain further clarity. </w:t>
      </w:r>
      <w:r w:rsidRPr="00C7211D">
        <w:t xml:space="preserve">The wills and marriage agreements </w:t>
      </w:r>
      <w:r w:rsidR="0022788B">
        <w:t>are</w:t>
      </w:r>
      <w:r w:rsidRPr="00C7211D">
        <w:t xml:space="preserve"> useful source</w:t>
      </w:r>
      <w:r>
        <w:t>s</w:t>
      </w:r>
      <w:r w:rsidRPr="00C7211D">
        <w:t xml:space="preserve"> for analysing the flow of family capital through the networks. Wills and agreements also show the level of capital wealth each group could draw upon, who held positions of power and trust</w:t>
      </w:r>
      <w:r>
        <w:t>,</w:t>
      </w:r>
      <w:r w:rsidRPr="00C7211D">
        <w:t xml:space="preserve"> and the social norms and customs adopted by groups of kin. This helps to gain insights into the social and economic contextualising of each kinship group. My research</w:t>
      </w:r>
      <w:r w:rsidR="00E656A5">
        <w:t xml:space="preserve"> will</w:t>
      </w:r>
      <w:r w:rsidRPr="00C7211D">
        <w:t xml:space="preserve"> then </w:t>
      </w:r>
      <w:r w:rsidR="005553DE" w:rsidRPr="00C7211D">
        <w:t>shift</w:t>
      </w:r>
      <w:r w:rsidRPr="00C7211D">
        <w:t xml:space="preserve"> focus to the cotton mills and </w:t>
      </w:r>
      <w:r w:rsidRPr="001456C0">
        <w:t>each cotton enterprise's business correspondence, ledgers, and receipt books</w:t>
      </w:r>
      <w:r w:rsidRPr="00C7211D">
        <w:t xml:space="preserve">. These documents cannot </w:t>
      </w:r>
      <w:r>
        <w:t>fully chart</w:t>
      </w:r>
      <w:r w:rsidRPr="00C7211D">
        <w:t xml:space="preserve"> the business networks of each group</w:t>
      </w:r>
      <w:r>
        <w:t>. However,</w:t>
      </w:r>
      <w:r w:rsidRPr="00C7211D">
        <w:t xml:space="preserve"> they can show a glimpse of </w:t>
      </w:r>
      <w:r>
        <w:t>whom</w:t>
      </w:r>
      <w:r w:rsidRPr="00C7211D">
        <w:t xml:space="preserve"> each firm connected with, for how long, under what circumstances</w:t>
      </w:r>
      <w:r>
        <w:t>,</w:t>
      </w:r>
      <w:r w:rsidRPr="00C7211D">
        <w:t xml:space="preserve"> and how trust and reputation were utilised in these interactions. Finally, the thesis will analyse the correspondence of Elizabeth Evans (n</w:t>
      </w:r>
      <w:r w:rsidRPr="00C7211D">
        <w:rPr>
          <w:rFonts w:cstheme="minorHAnsi"/>
        </w:rPr>
        <w:t>é</w:t>
      </w:r>
      <w:r>
        <w:rPr>
          <w:rFonts w:cstheme="minorHAnsi"/>
        </w:rPr>
        <w:t>e</w:t>
      </w:r>
      <w:r w:rsidRPr="00C7211D">
        <w:t xml:space="preserve"> Strutt)</w:t>
      </w:r>
      <w:r>
        <w:t>, Charles Upton, and William Evans</w:t>
      </w:r>
      <w:r w:rsidRPr="00C7211D">
        <w:t xml:space="preserve"> from the Evans family case study and Hans Casper Escher from the McConnel and Kennedy kinship group to gain insights into the influence of the local factors of the cotton industry on the global development of the trade and vice versa. </w:t>
      </w:r>
    </w:p>
    <w:p w14:paraId="1672987D" w14:textId="3E09BCD9" w:rsidR="00C527C2" w:rsidRDefault="005553DE" w:rsidP="005A05DF">
      <w:r>
        <w:t>The cotton mill documents found in either the Derby Local Studies Library or the John Rylands Library in Manchester</w:t>
      </w:r>
      <w:r w:rsidR="00CD3F6F">
        <w:t xml:space="preserve"> include correspondence and ledgers that will form the main information pool for the business</w:t>
      </w:r>
      <w:r w:rsidR="003850A4">
        <w:t xml:space="preserve"> analysis of this study. Initially</w:t>
      </w:r>
      <w:r w:rsidR="006908C1">
        <w:t xml:space="preserve">, the study created </w:t>
      </w:r>
      <w:r w:rsidR="001F284E">
        <w:t>a series of</w:t>
      </w:r>
      <w:r w:rsidR="006908C1">
        <w:t xml:space="preserve"> </w:t>
      </w:r>
      <w:r w:rsidR="000220AA">
        <w:t>Excel spreadsheet</w:t>
      </w:r>
      <w:r w:rsidR="004E3905">
        <w:t>s</w:t>
      </w:r>
      <w:r w:rsidR="006908C1">
        <w:t xml:space="preserve"> which documented </w:t>
      </w:r>
      <w:r w:rsidR="00D04677">
        <w:t xml:space="preserve">the </w:t>
      </w:r>
      <w:r w:rsidR="006675E2">
        <w:t xml:space="preserve">correspondence and ledgers into </w:t>
      </w:r>
      <w:r w:rsidR="001F284E">
        <w:t>easily accessible</w:t>
      </w:r>
      <w:r w:rsidR="00BE086E">
        <w:t xml:space="preserve"> and usable formats. The Evans case study was split into three databases </w:t>
      </w:r>
      <w:r w:rsidR="007D1044">
        <w:t xml:space="preserve">which </w:t>
      </w:r>
      <w:r w:rsidR="00BE086E">
        <w:t>covered the three reels of information gathered from the</w:t>
      </w:r>
      <w:r w:rsidR="007D1044">
        <w:t xml:space="preserve"> public</w:t>
      </w:r>
      <w:r w:rsidR="00BE086E">
        <w:t xml:space="preserve"> archive. </w:t>
      </w:r>
      <w:r w:rsidR="00802674">
        <w:t>For example, R</w:t>
      </w:r>
      <w:r w:rsidR="00BE086E">
        <w:t>eel</w:t>
      </w:r>
      <w:r w:rsidR="00802674">
        <w:t xml:space="preserve"> O</w:t>
      </w:r>
      <w:r w:rsidR="00ED7359">
        <w:t xml:space="preserve">ne covered the correspondence books between 1787 and </w:t>
      </w:r>
      <w:r w:rsidR="00FD576E">
        <w:t>1814</w:t>
      </w:r>
      <w:r w:rsidR="00E76D9E">
        <w:t>. T</w:t>
      </w:r>
      <w:r w:rsidR="00FD576E">
        <w:t>h</w:t>
      </w:r>
      <w:r w:rsidR="00B94837">
        <w:t>e</w:t>
      </w:r>
      <w:r w:rsidR="00FD576E">
        <w:t xml:space="preserve"> information</w:t>
      </w:r>
      <w:r w:rsidR="00B94837">
        <w:t xml:space="preserve"> held in the letters</w:t>
      </w:r>
      <w:r w:rsidR="00E76D9E">
        <w:t xml:space="preserve"> on Reel One was then </w:t>
      </w:r>
      <w:r w:rsidR="008D6765">
        <w:t>stored in database one which</w:t>
      </w:r>
      <w:r w:rsidR="00FD576E">
        <w:t xml:space="preserve"> was </w:t>
      </w:r>
      <w:r w:rsidR="00BA556A">
        <w:t>categorised into nine different themes</w:t>
      </w:r>
      <w:r w:rsidR="002441E6">
        <w:t>. T</w:t>
      </w:r>
      <w:r w:rsidR="00B273B5">
        <w:t xml:space="preserve">he three logistics </w:t>
      </w:r>
      <w:r w:rsidR="00305C4A">
        <w:t>themes</w:t>
      </w:r>
      <w:r w:rsidR="00B273B5">
        <w:t xml:space="preserve"> were</w:t>
      </w:r>
      <w:r w:rsidR="00BA556A">
        <w:t xml:space="preserve"> </w:t>
      </w:r>
      <w:proofErr w:type="spellStart"/>
      <w:r w:rsidR="00BA556A">
        <w:t>i</w:t>
      </w:r>
      <w:proofErr w:type="spellEnd"/>
      <w:r w:rsidR="00BA556A">
        <w:t xml:space="preserve">) Supply of </w:t>
      </w:r>
      <w:r w:rsidR="003E4620">
        <w:t>raw cotton, ii) Supply of other materials, iii) Delivery of yarn or twist to customer</w:t>
      </w:r>
      <w:r w:rsidR="00B273B5">
        <w:t xml:space="preserve">, </w:t>
      </w:r>
      <w:r w:rsidR="00B94837">
        <w:t>then the other categories were iv) Finances, bills and credit, v) Trust, reputation and business relations, vi) Business and financial disputes</w:t>
      </w:r>
      <w:r w:rsidR="00862CA7">
        <w:t>, vii) Business and marketing information, viii)</w:t>
      </w:r>
      <w:r w:rsidR="00B06324">
        <w:t xml:space="preserve"> T. Evans &amp; Sons</w:t>
      </w:r>
      <w:r w:rsidR="00972437">
        <w:t xml:space="preserve"> business and ix) Paper mill </w:t>
      </w:r>
      <w:r w:rsidR="00972437">
        <w:lastRenderedPageBreak/>
        <w:t xml:space="preserve">business. Each </w:t>
      </w:r>
      <w:r w:rsidR="00305C4A">
        <w:t>theme</w:t>
      </w:r>
      <w:r w:rsidR="00077B99">
        <w:t xml:space="preserve"> was assigned a</w:t>
      </w:r>
      <w:r w:rsidR="001B55A3">
        <w:t xml:space="preserve"> highlighted</w:t>
      </w:r>
      <w:r w:rsidR="00077B99">
        <w:t xml:space="preserve"> colour</w:t>
      </w:r>
      <w:r w:rsidR="000220AA">
        <w:t xml:space="preserve"> in the database.</w:t>
      </w:r>
      <w:r w:rsidR="001B55A3">
        <w:t xml:space="preserve"> The letters were then assigned a</w:t>
      </w:r>
      <w:r w:rsidR="001B0695">
        <w:t>n</w:t>
      </w:r>
      <w:r w:rsidR="00321A97">
        <w:t xml:space="preserve"> individual</w:t>
      </w:r>
      <w:r w:rsidR="001B0695">
        <w:t xml:space="preserve"> identifying code</w:t>
      </w:r>
      <w:r w:rsidR="00321A97">
        <w:t xml:space="preserve">, such as </w:t>
      </w:r>
      <w:r w:rsidR="001B0695">
        <w:t>‘DL119 EVA 1’</w:t>
      </w:r>
      <w:r w:rsidR="00F818AA">
        <w:t xml:space="preserve"> and the information was documented in eleven</w:t>
      </w:r>
      <w:r w:rsidR="000220AA">
        <w:t xml:space="preserve"> </w:t>
      </w:r>
      <w:r w:rsidR="00305C4A">
        <w:t>categories. These were</w:t>
      </w:r>
      <w:r w:rsidR="0085514C">
        <w:t>:</w:t>
      </w:r>
      <w:r w:rsidR="002714CA">
        <w:t xml:space="preserve"> </w:t>
      </w:r>
      <w:r w:rsidR="0085514C">
        <w:t>D</w:t>
      </w:r>
      <w:r w:rsidR="002714CA">
        <w:t xml:space="preserve">ate, </w:t>
      </w:r>
      <w:r w:rsidR="0085514C">
        <w:t>L</w:t>
      </w:r>
      <w:r w:rsidR="002714CA">
        <w:t>etter received</w:t>
      </w:r>
      <w:r w:rsidR="0085514C">
        <w:t xml:space="preserve"> (yes/no)</w:t>
      </w:r>
      <w:r w:rsidR="002714CA">
        <w:t xml:space="preserve">, </w:t>
      </w:r>
      <w:r w:rsidR="0085514C">
        <w:t>L</w:t>
      </w:r>
      <w:r w:rsidR="002714CA">
        <w:t>etter sent</w:t>
      </w:r>
      <w:r w:rsidR="0085514C">
        <w:t xml:space="preserve"> (yes/no)</w:t>
      </w:r>
      <w:r w:rsidR="002714CA">
        <w:t xml:space="preserve">, </w:t>
      </w:r>
      <w:r w:rsidR="0085514C">
        <w:t>O</w:t>
      </w:r>
      <w:r w:rsidR="002714CA">
        <w:t>rigin (</w:t>
      </w:r>
      <w:r w:rsidR="0085514C">
        <w:t>individual or company), Place of origin, Destination, Content, Description, Additional notes, Image identi</w:t>
      </w:r>
      <w:r w:rsidR="00802674">
        <w:t xml:space="preserve">fier, and keywords. Similar databases were created for the ledgers but with </w:t>
      </w:r>
      <w:r w:rsidR="00456936">
        <w:t xml:space="preserve">only four categories, </w:t>
      </w:r>
      <w:r w:rsidR="0099164C">
        <w:t xml:space="preserve">Image identifier, Date, Contents, and Notes. </w:t>
      </w:r>
      <w:r w:rsidR="00C527C2">
        <w:t xml:space="preserve"> </w:t>
      </w:r>
    </w:p>
    <w:p w14:paraId="79B1210A" w14:textId="169EAF9F" w:rsidR="005553DE" w:rsidRDefault="00C527C2" w:rsidP="00FD2C9F">
      <w:r>
        <w:t xml:space="preserve">The McConnel </w:t>
      </w:r>
      <w:r w:rsidR="009C4C21">
        <w:t>&amp;</w:t>
      </w:r>
      <w:r>
        <w:t xml:space="preserve"> Kennedy archive </w:t>
      </w:r>
      <w:r w:rsidR="00FD2C9F">
        <w:t xml:space="preserve">require a different approach </w:t>
      </w:r>
      <w:r w:rsidR="008E22DB">
        <w:t>due to the extensive amount of material available.</w:t>
      </w:r>
      <w:r w:rsidR="003864EB">
        <w:t xml:space="preserve"> As I had already created the databases for the Evans archive</w:t>
      </w:r>
      <w:r w:rsidR="00FD2C9F">
        <w:t xml:space="preserve"> before visiting the John Rylands Library</w:t>
      </w:r>
      <w:r w:rsidR="009C4C21">
        <w:t xml:space="preserve">, I could approach the McConnel &amp; Kennedy papers </w:t>
      </w:r>
      <w:r w:rsidR="00FD2C9F">
        <w:t>with</w:t>
      </w:r>
      <w:r w:rsidR="009C4C21">
        <w:t xml:space="preserve"> clearer questions</w:t>
      </w:r>
      <w:r w:rsidR="00FD2C9F">
        <w:t xml:space="preserve"> in mind. T</w:t>
      </w:r>
      <w:r w:rsidR="00414B5E">
        <w:t>herefore</w:t>
      </w:r>
      <w:r w:rsidR="00FD2C9F">
        <w:t>,</w:t>
      </w:r>
      <w:r w:rsidR="00414B5E">
        <w:t xml:space="preserve"> I focused on the correspondence papers</w:t>
      </w:r>
      <w:r w:rsidR="002A2BC4">
        <w:t>, ledgers and receipt books</w:t>
      </w:r>
      <w:r w:rsidR="008E22DB">
        <w:t xml:space="preserve"> </w:t>
      </w:r>
      <w:r w:rsidR="002A2BC4">
        <w:t>w</w:t>
      </w:r>
      <w:r w:rsidR="009442B4">
        <w:t>anting to</w:t>
      </w:r>
      <w:r w:rsidR="00740733">
        <w:t xml:space="preserve"> find answers to questions regarding examples of trust, </w:t>
      </w:r>
      <w:r w:rsidR="002F7DAE">
        <w:t>social capital, and reputation as well as wanting to be able to learn more about kinship and close business connections</w:t>
      </w:r>
      <w:r w:rsidR="00067294">
        <w:t>, European connectivity, and other overseas connections. The databases I created for this case study were</w:t>
      </w:r>
      <w:r w:rsidR="009A2272">
        <w:t xml:space="preserve"> therefore more specific. The first database included</w:t>
      </w:r>
      <w:r w:rsidR="00551883">
        <w:t xml:space="preserve"> relevant </w:t>
      </w:r>
      <w:r w:rsidR="009A2272">
        <w:t>correspondence</w:t>
      </w:r>
      <w:r w:rsidR="00551883">
        <w:t xml:space="preserve"> that was sent and received by the firm between 1795 and 1810</w:t>
      </w:r>
      <w:r w:rsidR="00544D35">
        <w:t xml:space="preserve">, then the next database covered the years 1811-1820. </w:t>
      </w:r>
      <w:r w:rsidR="00CA6AF3">
        <w:t xml:space="preserve">Each relevant letter was given an </w:t>
      </w:r>
      <w:r w:rsidR="005069FD">
        <w:t>individual</w:t>
      </w:r>
      <w:r w:rsidR="00CA6AF3">
        <w:t xml:space="preserve"> identifier such as </w:t>
      </w:r>
      <w:r w:rsidR="005069FD">
        <w:t>‘</w:t>
      </w:r>
      <w:r w:rsidR="00CA6AF3">
        <w:t>MCK</w:t>
      </w:r>
      <w:r w:rsidR="005069FD">
        <w:t>/1/1/1-1’ and each theme</w:t>
      </w:r>
      <w:r w:rsidR="00FA2AB4">
        <w:t xml:space="preserve"> was again colour coded in the spreadsheet. </w:t>
      </w:r>
      <w:r w:rsidR="005B68A3">
        <w:t xml:space="preserve">The ledgers also followed a similar system of coding into metadata. </w:t>
      </w:r>
      <w:r w:rsidR="00882321">
        <w:t xml:space="preserve">The </w:t>
      </w:r>
      <w:r w:rsidR="00EA5836">
        <w:t>receipt</w:t>
      </w:r>
      <w:r w:rsidR="00882321">
        <w:t xml:space="preserve"> books</w:t>
      </w:r>
      <w:r w:rsidR="00EA5836">
        <w:t xml:space="preserve"> covering the years 1795-1809,</w:t>
      </w:r>
      <w:r w:rsidR="00882321">
        <w:t xml:space="preserve"> contained information regarding the </w:t>
      </w:r>
      <w:r w:rsidR="00362E50">
        <w:t xml:space="preserve">purchase of many items but due to the sheer volume of information I created a database simply including the </w:t>
      </w:r>
      <w:r w:rsidR="0058224E">
        <w:t>purchases of raw cotton from their many sources. This database was spilt into two part</w:t>
      </w:r>
      <w:r w:rsidR="00BE71D3">
        <w:t xml:space="preserve">s, the first part included an overview of all </w:t>
      </w:r>
      <w:r w:rsidR="007A6AC5">
        <w:t xml:space="preserve">raw cotton </w:t>
      </w:r>
      <w:r w:rsidR="00BE71D3">
        <w:t>purchases</w:t>
      </w:r>
      <w:r w:rsidR="00337775">
        <w:t>,</w:t>
      </w:r>
      <w:r w:rsidR="007A6AC5">
        <w:t xml:space="preserve"> and the second part detailed each</w:t>
      </w:r>
      <w:r w:rsidR="00337775">
        <w:t xml:space="preserve"> individual transaction</w:t>
      </w:r>
      <w:r w:rsidR="007A6AC5">
        <w:t xml:space="preserve">. </w:t>
      </w:r>
      <w:r w:rsidR="005E7259">
        <w:t>The first section included six categorisations</w:t>
      </w:r>
      <w:r w:rsidR="00FD2C9F">
        <w:t>:</w:t>
      </w:r>
      <w:r w:rsidR="005E7259">
        <w:t xml:space="preserve"> </w:t>
      </w:r>
      <w:r w:rsidR="00363249">
        <w:t xml:space="preserve">Supplier, Origins of Raw Cotton, Dates, Number of Transactions, Total </w:t>
      </w:r>
      <w:r w:rsidR="002D38A2">
        <w:t>Volume</w:t>
      </w:r>
      <w:r w:rsidR="00067294">
        <w:t xml:space="preserve"> </w:t>
      </w:r>
      <w:r w:rsidR="00363249">
        <w:t>of Purchases</w:t>
      </w:r>
      <w:r w:rsidR="002D38A2">
        <w:t xml:space="preserve"> (Number of </w:t>
      </w:r>
      <w:r w:rsidR="00337775">
        <w:t xml:space="preserve">bags or bales), and Total Value of Purchases. </w:t>
      </w:r>
      <w:r w:rsidR="00664337">
        <w:t xml:space="preserve">The value of the purchases ranged from £3. 15. 0 to £21,608. 16. 2. </w:t>
      </w:r>
      <w:r w:rsidR="00147405">
        <w:t>The creation of the databases ensured the information was in a more manageable and accessible form</w:t>
      </w:r>
      <w:r w:rsidR="0099164C">
        <w:t>, a usable archive,</w:t>
      </w:r>
      <w:r w:rsidR="00147405">
        <w:t xml:space="preserve"> from which to </w:t>
      </w:r>
      <w:r w:rsidR="00C07AE1">
        <w:t xml:space="preserve">start to analyse and draw relevant conclusions from which to write this thesis. </w:t>
      </w:r>
      <w:r w:rsidR="009442B4">
        <w:t xml:space="preserve"> </w:t>
      </w:r>
      <w:r w:rsidR="00802674">
        <w:t xml:space="preserve"> </w:t>
      </w:r>
      <w:r w:rsidR="0085514C">
        <w:t xml:space="preserve"> </w:t>
      </w:r>
      <w:r w:rsidR="00BA556A">
        <w:t xml:space="preserve"> </w:t>
      </w:r>
    </w:p>
    <w:p w14:paraId="1CD40023" w14:textId="77777777" w:rsidR="005A05DF" w:rsidRDefault="005A05DF" w:rsidP="005A05DF">
      <w:pPr>
        <w:rPr>
          <w:b/>
          <w:bCs/>
          <w:sz w:val="24"/>
          <w:szCs w:val="24"/>
        </w:rPr>
      </w:pPr>
      <w:r>
        <w:rPr>
          <w:b/>
          <w:bCs/>
          <w:sz w:val="24"/>
          <w:szCs w:val="24"/>
        </w:rPr>
        <w:t>Archival Research: Practical and Theoretical Considerations</w:t>
      </w:r>
    </w:p>
    <w:p w14:paraId="0C15F591" w14:textId="1F3FEF5B" w:rsidR="005A05DF" w:rsidRPr="00F158C2" w:rsidRDefault="005A05DF" w:rsidP="005A05DF">
      <w:r w:rsidRPr="00F158C2">
        <w:t>The primary documentation can be found either in the Derbyshire, Staffordshire, Lancashire</w:t>
      </w:r>
      <w:r>
        <w:t>,</w:t>
      </w:r>
      <w:r w:rsidRPr="00F158C2">
        <w:t xml:space="preserve"> and </w:t>
      </w:r>
      <w:r>
        <w:t>Kirkcudbrightshire</w:t>
      </w:r>
      <w:r w:rsidRPr="00F158C2">
        <w:t xml:space="preserve"> records offices</w:t>
      </w:r>
      <w:r>
        <w:t>. T</w:t>
      </w:r>
      <w:r w:rsidRPr="00F158C2">
        <w:t xml:space="preserve">he McConnel &amp; Kennedy archives are stored in the John Rylands </w:t>
      </w:r>
      <w:r>
        <w:t>Library</w:t>
      </w:r>
      <w:r w:rsidRPr="00F158C2">
        <w:t xml:space="preserve"> in Manchester. However, whilst at the archives</w:t>
      </w:r>
      <w:r>
        <w:t>,</w:t>
      </w:r>
      <w:r w:rsidRPr="00F158C2">
        <w:t xml:space="preserve"> my methodology first included finding the relevant sources and collecting what I perceived </w:t>
      </w:r>
      <w:r>
        <w:t>as</w:t>
      </w:r>
      <w:r w:rsidRPr="00F158C2">
        <w:t xml:space="preserve"> useful information. I then collected this information and created notes and databases – a meta-archive of this material. Archival scholars such as Michel de </w:t>
      </w:r>
      <w:proofErr w:type="spellStart"/>
      <w:r w:rsidRPr="00F158C2">
        <w:t>Certeau</w:t>
      </w:r>
      <w:proofErr w:type="spellEnd"/>
      <w:r w:rsidRPr="00F158C2">
        <w:t xml:space="preserve">, Michael Hill, and Liz Stanley, and others have explored the ‘historiographical operation’ (de </w:t>
      </w:r>
      <w:proofErr w:type="spellStart"/>
      <w:r w:rsidRPr="00F158C2">
        <w:t>Certeau</w:t>
      </w:r>
      <w:proofErr w:type="spellEnd"/>
      <w:r w:rsidRPr="00F158C2">
        <w:t>) or ‘black box’ (Hill) of what archival research practically entails and how these practicalities can tie in with methodologies and theories surrounding this research approach.</w:t>
      </w:r>
      <w:r w:rsidRPr="00F158C2">
        <w:rPr>
          <w:rStyle w:val="FootnoteReference"/>
        </w:rPr>
        <w:footnoteReference w:id="91"/>
      </w:r>
      <w:r w:rsidRPr="00F158C2">
        <w:t xml:space="preserve"> Stanley has applied the term ‘</w:t>
      </w:r>
      <w:proofErr w:type="spellStart"/>
      <w:r w:rsidRPr="00F158C2">
        <w:t>archigraphics</w:t>
      </w:r>
      <w:proofErr w:type="spellEnd"/>
      <w:r w:rsidRPr="00F158C2">
        <w:t xml:space="preserve">’ to describe the grounded practices of archival research, which de </w:t>
      </w:r>
      <w:proofErr w:type="spellStart"/>
      <w:r w:rsidRPr="00F158C2">
        <w:t>Certeau</w:t>
      </w:r>
      <w:proofErr w:type="spellEnd"/>
      <w:r w:rsidRPr="00F158C2">
        <w:t xml:space="preserve"> has understood to involve three key elements – understanding, disciplining, and the constitutive of knowledge.  argues that:</w:t>
      </w:r>
    </w:p>
    <w:p w14:paraId="417A6DA7" w14:textId="7EDD255E" w:rsidR="005A05DF" w:rsidRPr="004843DB" w:rsidRDefault="005A05DF" w:rsidP="004843DB">
      <w:pPr>
        <w:ind w:left="720"/>
        <w:rPr>
          <w:sz w:val="20"/>
          <w:szCs w:val="20"/>
        </w:rPr>
      </w:pPr>
      <w:r w:rsidRPr="004843DB">
        <w:rPr>
          <w:sz w:val="20"/>
          <w:szCs w:val="20"/>
        </w:rPr>
        <w:t>… good research should be responsive to the particularities of the research context and what the data is, as well as what it says.</w:t>
      </w:r>
      <w:r w:rsidRPr="004843DB">
        <w:rPr>
          <w:rStyle w:val="FootnoteReference"/>
          <w:sz w:val="20"/>
          <w:szCs w:val="20"/>
        </w:rPr>
        <w:footnoteReference w:id="92"/>
      </w:r>
      <w:r w:rsidRPr="004843DB">
        <w:rPr>
          <w:sz w:val="20"/>
          <w:szCs w:val="20"/>
        </w:rPr>
        <w:t xml:space="preserve">  </w:t>
      </w:r>
    </w:p>
    <w:p w14:paraId="10CD7F6E" w14:textId="77777777" w:rsidR="005A05DF" w:rsidRPr="00F158C2" w:rsidRDefault="005A05DF" w:rsidP="005A05DF">
      <w:r w:rsidRPr="00F158C2">
        <w:lastRenderedPageBreak/>
        <w:t xml:space="preserve">Constitutive knowledge includes writing, rewriting, and rereading, and Stanley has elaborated on de </w:t>
      </w:r>
      <w:proofErr w:type="spellStart"/>
      <w:r w:rsidRPr="00F158C2">
        <w:t>Certeau’s</w:t>
      </w:r>
      <w:proofErr w:type="spellEnd"/>
      <w:r w:rsidRPr="00F158C2">
        <w:t xml:space="preserve"> grounding by showing four distinct activities of practical archival research. These are 1) reading what others have written on a topic, 2) rewriting – writing notes, quotes, references, and compiling bibliographies, 3) creating a meta-archive, 4) further rewriting both formal and informal to create a thesis, book, or other written form of the research findings. These writings consider present-day intellectual and disciplinary concerns, ensuring the hybrid character of their temporal structure. They include the then and the now.</w:t>
      </w:r>
      <w:r w:rsidRPr="00F158C2">
        <w:rPr>
          <w:rStyle w:val="FootnoteReference"/>
        </w:rPr>
        <w:footnoteReference w:id="93"/>
      </w:r>
      <w:r w:rsidRPr="00F158C2">
        <w:t xml:space="preserve"> These practical descriptions match well with the basic structure of my research process to compile this thesis and are a clear and concise summary of my grounded practice methodology. These practical activities, however, invoke discussions on a theoretical level ascribing agency to the archivist, the researcher, the subject, or the object of research, and in some cases, those excluded by the silences of the archive.</w:t>
      </w:r>
    </w:p>
    <w:p w14:paraId="369E57AF" w14:textId="77777777" w:rsidR="005A05DF" w:rsidRPr="00822B07" w:rsidRDefault="005A05DF" w:rsidP="005A05DF">
      <w:pPr>
        <w:rPr>
          <w:i/>
          <w:iCs/>
        </w:rPr>
      </w:pPr>
      <w:r w:rsidRPr="00822B07">
        <w:rPr>
          <w:i/>
          <w:iCs/>
        </w:rPr>
        <w:t>The Nature of the Archive and its Inherent Silences, Omissions, and Incompleteness</w:t>
      </w:r>
    </w:p>
    <w:p w14:paraId="73969B4E" w14:textId="5429540C" w:rsidR="005A05DF" w:rsidRDefault="005A05DF" w:rsidP="005A05DF">
      <w:r>
        <w:t xml:space="preserve">Archival theorists such as Michel Rolph </w:t>
      </w:r>
      <w:proofErr w:type="spellStart"/>
      <w:r>
        <w:t>Trouillot</w:t>
      </w:r>
      <w:proofErr w:type="spellEnd"/>
      <w:r>
        <w:t>, Rodney Carter, and Verne Harris have all explored the theoretical considerations of the incomplete nature of historical data and archives. Verne Harris describes all archives as preserving a ‘sliver of a sliver of a sliver’ of possible documents made.</w:t>
      </w:r>
      <w:r>
        <w:rPr>
          <w:rStyle w:val="FootnoteReference"/>
        </w:rPr>
        <w:footnoteReference w:id="94"/>
      </w:r>
      <w:r>
        <w:t xml:space="preserve"> So, whilst the nature of the archive as a complete entity is worth acknowledging, the nature of the documents themselves is also valuable to consider. </w:t>
      </w:r>
      <w:proofErr w:type="spellStart"/>
      <w:r>
        <w:t>Trouillot</w:t>
      </w:r>
      <w:proofErr w:type="spellEnd"/>
      <w:r>
        <w:t xml:space="preserve"> has argued that archival silences are structured at four critical junctures: the moment of fact creation (the making of the sources), then the moment of fact assembly (the making of the archive) followed by the moment of fact retrieval (the making of the narrative) and finally in the moment of retrospective significance (the making of history).</w:t>
      </w:r>
      <w:r>
        <w:rPr>
          <w:rStyle w:val="FootnoteReference"/>
        </w:rPr>
        <w:footnoteReference w:id="95"/>
      </w:r>
      <w:r>
        <w:t xml:space="preserve"> Whilst I agree with </w:t>
      </w:r>
      <w:proofErr w:type="spellStart"/>
      <w:r>
        <w:t>Trouillot’s</w:t>
      </w:r>
      <w:proofErr w:type="spellEnd"/>
      <w:r>
        <w:t xml:space="preserve"> assessment of the silence of an archive, perhaps the accidental silences should also be included in this. I have found in executing this research project s</w:t>
      </w:r>
      <w:r w:rsidRPr="00B51DB1">
        <w:t xml:space="preserve">ome of the </w:t>
      </w:r>
      <w:r>
        <w:t>existing material</w:t>
      </w:r>
      <w:r w:rsidRPr="00B51DB1">
        <w:t xml:space="preserve"> is difficult to read, and some is degrading to the point that it is inaccessible to researchers. </w:t>
      </w:r>
      <w:r>
        <w:t xml:space="preserve">Therefore, silences can </w:t>
      </w:r>
      <w:r w:rsidRPr="00D27AB3">
        <w:t xml:space="preserve">occur due to the accidental loss or damage of sources </w:t>
      </w:r>
      <w:r>
        <w:t xml:space="preserve">before or after entering the archive. This could be due to natural decay, natural disaster (flooding, fire, etc.), or simply the ephemeral nature of the source material. </w:t>
      </w:r>
    </w:p>
    <w:p w14:paraId="73D0EB28" w14:textId="1CFDF603" w:rsidR="005A05DF" w:rsidRDefault="005A05DF" w:rsidP="00B048F2">
      <w:r>
        <w:t>Rodney Carter argues that silences are more deliberate and unavoidable as archival texts are not fully representative of society as it is impossible for archives to reflect all elements and aspects of society.</w:t>
      </w:r>
      <w:r>
        <w:rPr>
          <w:rStyle w:val="FootnoteReference"/>
        </w:rPr>
        <w:footnoteReference w:id="96"/>
      </w:r>
      <w:r w:rsidRPr="00A862BE">
        <w:t xml:space="preserve"> </w:t>
      </w:r>
      <w:r>
        <w:t>This brings to the fore the consideration that there is an i</w:t>
      </w:r>
      <w:r w:rsidRPr="00B51DB1">
        <w:t xml:space="preserve">nnate bias </w:t>
      </w:r>
      <w:r>
        <w:t>within the</w:t>
      </w:r>
      <w:r w:rsidRPr="00B51DB1">
        <w:t xml:space="preserve"> records </w:t>
      </w:r>
      <w:r>
        <w:t xml:space="preserve">which can stem from </w:t>
      </w:r>
      <w:r w:rsidRPr="00B51DB1">
        <w:t>the original purpose of the primary source material</w:t>
      </w:r>
      <w:r>
        <w:t xml:space="preserve"> or the archival selection process. Foucault and Derrida’s work has highlighted the archive concept as a space of power, with inclusions and exclusions being a deliberate selection of the archivist.</w:t>
      </w:r>
      <w:r>
        <w:rPr>
          <w:rStyle w:val="FootnoteReference"/>
        </w:rPr>
        <w:footnoteReference w:id="97"/>
      </w:r>
      <w:r>
        <w:t xml:space="preserve"> </w:t>
      </w:r>
      <w:r w:rsidRPr="00DA310E">
        <w:rPr>
          <w:color w:val="000000" w:themeColor="text1"/>
        </w:rPr>
        <w:t>Therefore</w:t>
      </w:r>
      <w:r w:rsidR="004E3905" w:rsidRPr="00DA310E">
        <w:rPr>
          <w:color w:val="000000" w:themeColor="text1"/>
        </w:rPr>
        <w:t>, it can be</w:t>
      </w:r>
      <w:r w:rsidRPr="00DA310E">
        <w:rPr>
          <w:color w:val="000000" w:themeColor="text1"/>
        </w:rPr>
        <w:t xml:space="preserve"> conclud</w:t>
      </w:r>
      <w:r w:rsidR="004E3905" w:rsidRPr="00DA310E">
        <w:rPr>
          <w:color w:val="000000" w:themeColor="text1"/>
        </w:rPr>
        <w:t>ed</w:t>
      </w:r>
      <w:r w:rsidRPr="00DA310E">
        <w:rPr>
          <w:color w:val="000000" w:themeColor="text1"/>
        </w:rPr>
        <w:t xml:space="preserve"> that powerful groups create records that eventually end up in the archives.</w:t>
      </w:r>
      <w:r w:rsidRPr="00DA310E">
        <w:rPr>
          <w:rStyle w:val="FootnoteReference"/>
          <w:color w:val="000000" w:themeColor="text1"/>
        </w:rPr>
        <w:t xml:space="preserve"> </w:t>
      </w:r>
      <w:r>
        <w:t xml:space="preserve">The Evans family and the McConnel and Kennedy families, through their status and the work of their mills, held powerful positions within society, and therefore, their documents have made it through the selection criteria to be in the archives in the first place. This alone can give a researcher insight into </w:t>
      </w:r>
      <w:r w:rsidRPr="006978C1">
        <w:t xml:space="preserve">these families' perceived value and </w:t>
      </w:r>
      <w:r>
        <w:t xml:space="preserve">societal position. </w:t>
      </w:r>
      <w:r w:rsidR="0081433D">
        <w:t>The archival silences and biases that researchers must be aware of when researching network studies of cotton spinning firms specifically include incomplete archives, which was more apparent in the Evans family case study. A way of mitigating this was to use multiple sources from which to gain data for analysis</w:t>
      </w:r>
      <w:r w:rsidR="00B048F2">
        <w:t xml:space="preserve">. </w:t>
      </w:r>
      <w:r w:rsidR="00B048F2" w:rsidRPr="00DA310E">
        <w:rPr>
          <w:color w:val="000000" w:themeColor="text1"/>
        </w:rPr>
        <w:t xml:space="preserve">By using more than one firm’s </w:t>
      </w:r>
      <w:r w:rsidR="00B048F2" w:rsidRPr="00DA310E">
        <w:rPr>
          <w:color w:val="000000" w:themeColor="text1"/>
        </w:rPr>
        <w:lastRenderedPageBreak/>
        <w:t>archives to build a wider picture of the networks, the ability to chart the networks was enhanced</w:t>
      </w:r>
      <w:r w:rsidR="0081433D" w:rsidRPr="00DA310E">
        <w:rPr>
          <w:color w:val="000000" w:themeColor="text1"/>
        </w:rPr>
        <w:t>.</w:t>
      </w:r>
      <w:r w:rsidR="00B048F2" w:rsidRPr="00DA310E">
        <w:rPr>
          <w:color w:val="000000" w:themeColor="text1"/>
        </w:rPr>
        <w:t xml:space="preserve"> </w:t>
      </w:r>
      <w:r w:rsidR="00B048F2">
        <w:t>Additionally, by a</w:t>
      </w:r>
      <w:r w:rsidR="0081433D">
        <w:t>dopting a qualitative approach</w:t>
      </w:r>
      <w:r w:rsidR="00B048F2">
        <w:t>, reasoned on occasions by quantitative results</w:t>
      </w:r>
      <w:r w:rsidR="0081433D">
        <w:t xml:space="preserve"> rather than </w:t>
      </w:r>
      <w:r w:rsidR="00B048F2">
        <w:t>conducting a</w:t>
      </w:r>
      <w:r w:rsidR="0081433D">
        <w:t xml:space="preserve"> quantitative study that relied on limited available documentation </w:t>
      </w:r>
      <w:r w:rsidR="00B048F2">
        <w:t xml:space="preserve">enabled this thesis to mitigate the archival challenges. </w:t>
      </w:r>
      <w:r w:rsidR="0081433D">
        <w:t xml:space="preserve"> </w:t>
      </w:r>
    </w:p>
    <w:p w14:paraId="17829031" w14:textId="11653315" w:rsidR="00627E42" w:rsidRDefault="00CF1ED7" w:rsidP="005A05DF">
      <w:pPr>
        <w:rPr>
          <w:b/>
          <w:bCs/>
          <w:sz w:val="28"/>
          <w:szCs w:val="28"/>
        </w:rPr>
      </w:pPr>
      <w:r w:rsidRPr="00CF1ED7">
        <w:rPr>
          <w:b/>
          <w:bCs/>
          <w:sz w:val="28"/>
          <w:szCs w:val="28"/>
        </w:rPr>
        <w:t>Importance, Significance and Contribution of the Thesis</w:t>
      </w:r>
    </w:p>
    <w:p w14:paraId="75EF7565" w14:textId="0807E319" w:rsidR="003E427D" w:rsidRDefault="003E427D" w:rsidP="005A05DF">
      <w:r w:rsidRPr="003E427D">
        <w:t>By employing a rigorous methodology rooted in extensive archival research,</w:t>
      </w:r>
      <w:r w:rsidR="003528CC">
        <w:t xml:space="preserve"> as</w:t>
      </w:r>
      <w:r w:rsidR="00144A95">
        <w:t xml:space="preserve"> I have shown,</w:t>
      </w:r>
      <w:r w:rsidRPr="003E427D">
        <w:t xml:space="preserve"> this thesis draws upon a diverse array of primary sources. It </w:t>
      </w:r>
      <w:r w:rsidR="00144A95">
        <w:t xml:space="preserve">also </w:t>
      </w:r>
      <w:r w:rsidRPr="003E427D">
        <w:t xml:space="preserve">intricately pieces together the kinship and business networks surrounding each cotton spinning firm. </w:t>
      </w:r>
      <w:r w:rsidR="00144A95">
        <w:t>An</w:t>
      </w:r>
      <w:r w:rsidRPr="003E427D">
        <w:t xml:space="preserve"> overarching goal is to modernise existing historical narratives concerning these firms, particularly those articulated by Lindsay in 1960 and Lee in 1972. Th</w:t>
      </w:r>
      <w:r w:rsidR="00C009FE">
        <w:t>is</w:t>
      </w:r>
      <w:r w:rsidRPr="003E427D">
        <w:t xml:space="preserve"> </w:t>
      </w:r>
      <w:r w:rsidR="00C009FE">
        <w:t xml:space="preserve">thesis </w:t>
      </w:r>
      <w:r w:rsidRPr="003E427D">
        <w:t>seeks to make a significant contribution to the field by re-examining the themes of business organization within these firms during the early stages of the Industrial Revolution. It particularly focuses on the role of trust and social relationships in establishing networks that facilitated connectivity to global systems of trade and resources. Notably, this revision considers recent global research, which illuminates the firms' participation in a broader global system of trade and commerce. Scholars such as Beckert, Riello, and Lemire, through their global studies, have underscored the pivotal role of international networks in the British cotton trade.</w:t>
      </w:r>
      <w:r w:rsidR="00FD2C9F">
        <w:t xml:space="preserve"> </w:t>
      </w:r>
      <w:r w:rsidRPr="003E427D">
        <w:t>The existing literature on local British cotton mills has yet to assimilate the insights from this contemporary research – particularly the role of networks in facilitating the connectivity between the local cotton mills and the global systems of trade. This thesis aspires to start to bridge this gap by exploring the role played by networks—be they local, regional, national, or global—in the success and expansion of these specific firms. Moreover, it endeavours to underscore the foundational significance of trust, social capital, and reputation in establishing and sustaining these networks</w:t>
      </w:r>
      <w:r w:rsidR="00774483">
        <w:t>, that connected the local to the global.</w:t>
      </w:r>
      <w:r w:rsidRPr="003E427D">
        <w:t xml:space="preserve"> Through this approach, the study not only addresses a significant void in the existing research but also establishes its originality.</w:t>
      </w:r>
    </w:p>
    <w:p w14:paraId="12C939E5" w14:textId="7C7354DA" w:rsidR="003D25C0" w:rsidRDefault="003D25C0" w:rsidP="003D25C0">
      <w:r>
        <w:t>The thesis makes a distinctive</w:t>
      </w:r>
      <w:r w:rsidR="006D36CA">
        <w:t xml:space="preserve"> and significant</w:t>
      </w:r>
      <w:r>
        <w:t xml:space="preserve"> contribution to the field by delving into the relatively unexplored Evans archive, a </w:t>
      </w:r>
      <w:r w:rsidR="00E513CB">
        <w:t>wealth</w:t>
      </w:r>
      <w:r>
        <w:t xml:space="preserve"> of information that has received </w:t>
      </w:r>
      <w:r w:rsidR="00D11101">
        <w:t>limited</w:t>
      </w:r>
      <w:r>
        <w:t xml:space="preserve"> scholarly attention. </w:t>
      </w:r>
      <w:r w:rsidR="00D11101">
        <w:t xml:space="preserve">The study is also unique as it </w:t>
      </w:r>
      <w:r w:rsidR="00112941">
        <w:t>studies a cotton mill in both the Derwent Valley and Manchester – two distinct but important cotton spinning hubs in Britain</w:t>
      </w:r>
      <w:r w:rsidR="00E03C01">
        <w:t xml:space="preserve"> and compares their narratives. </w:t>
      </w:r>
      <w:r w:rsidR="006C13CB">
        <w:t>The thesis</w:t>
      </w:r>
      <w:r w:rsidR="00E03C01">
        <w:t xml:space="preserve"> retai</w:t>
      </w:r>
      <w:r w:rsidR="004F20F3">
        <w:t>n</w:t>
      </w:r>
      <w:r w:rsidR="00E03C01">
        <w:t xml:space="preserve">s its originality by </w:t>
      </w:r>
      <w:r w:rsidR="006C13CB">
        <w:t>w</w:t>
      </w:r>
      <w:r>
        <w:t>ea</w:t>
      </w:r>
      <w:r w:rsidR="00E03C01">
        <w:t>ving</w:t>
      </w:r>
      <w:r>
        <w:t xml:space="preserve"> together the notions of family, kinship, capital, and credit, </w:t>
      </w:r>
      <w:r w:rsidR="00A879F8">
        <w:t xml:space="preserve">while simultaneously utilising </w:t>
      </w:r>
      <w:r>
        <w:t xml:space="preserve">the critical lenses of trust, social capital, and reputation to yield novel perspectives and insights. The exploration of themes such as middlemen, brokers, agents, strangers, and resources ensure the study's relevance as a historical examination of the pragmatic </w:t>
      </w:r>
      <w:r w:rsidR="00257A14">
        <w:t>aspects</w:t>
      </w:r>
      <w:r>
        <w:t xml:space="preserve"> of the cotton trade. </w:t>
      </w:r>
      <w:r w:rsidR="008270D8">
        <w:t xml:space="preserve">It illuminates how the cotton trade was financed and underscores the fundamental role of trust in the economic structure of family, kinship, and the social structure of capital and credit networks, thereby making a pivotal contribution to the field. </w:t>
      </w:r>
      <w:r>
        <w:t xml:space="preserve">Beyond its historical context, the thesis </w:t>
      </w:r>
      <w:r w:rsidR="008270D8">
        <w:t>allows room for</w:t>
      </w:r>
      <w:r>
        <w:t xml:space="preserve"> </w:t>
      </w:r>
      <w:r w:rsidR="00257A14">
        <w:t>contemporary</w:t>
      </w:r>
      <w:r>
        <w:t xml:space="preserve"> understanding</w:t>
      </w:r>
      <w:r w:rsidR="008270D8">
        <w:t>s</w:t>
      </w:r>
      <w:r>
        <w:t xml:space="preserve"> of human relationships and societal structures. Moreover, this study transcends its historical roots to offer timely lessons. In today's world, marked by transformative technological changes reminiscent of the early Industrial Revolution, including the advent of the internet, robotics, and AI, soci</w:t>
      </w:r>
      <w:r w:rsidR="00E54332">
        <w:t>etal</w:t>
      </w:r>
      <w:r>
        <w:t xml:space="preserve"> and economic upheavals are inevitable. By scrutini</w:t>
      </w:r>
      <w:r w:rsidR="008D1840">
        <w:t>s</w:t>
      </w:r>
      <w:r>
        <w:t>ing this historical period, valuable insights and lessons emerge on navigating changes and sustaining social</w:t>
      </w:r>
      <w:r w:rsidR="00DE21C2">
        <w:t xml:space="preserve"> cohesion and</w:t>
      </w:r>
      <w:r>
        <w:t xml:space="preserve"> robustness and economic viability during periods of instability.</w:t>
      </w:r>
      <w:r w:rsidR="008D1840">
        <w:t xml:space="preserve"> This makes the thesis important both as an historical study and </w:t>
      </w:r>
      <w:r w:rsidR="00AC5B45">
        <w:t>a</w:t>
      </w:r>
      <w:r w:rsidR="002E0DFE">
        <w:t>s an aide to</w:t>
      </w:r>
      <w:r w:rsidR="00AC5B45">
        <w:t xml:space="preserve"> contemporary</w:t>
      </w:r>
      <w:r w:rsidR="002E0DFE">
        <w:t xml:space="preserve"> understandings. </w:t>
      </w:r>
    </w:p>
    <w:p w14:paraId="711A7C9E" w14:textId="77777777" w:rsidR="00DA310E" w:rsidRDefault="00DA310E" w:rsidP="005A05DF">
      <w:pPr>
        <w:rPr>
          <w:b/>
          <w:bCs/>
          <w:sz w:val="28"/>
          <w:szCs w:val="28"/>
        </w:rPr>
      </w:pPr>
    </w:p>
    <w:p w14:paraId="30DA460F" w14:textId="04EF72F9" w:rsidR="005A05DF" w:rsidRDefault="005A05DF" w:rsidP="005A05DF">
      <w:pPr>
        <w:rPr>
          <w:b/>
          <w:bCs/>
          <w:sz w:val="28"/>
          <w:szCs w:val="28"/>
        </w:rPr>
      </w:pPr>
      <w:r w:rsidRPr="00A32296">
        <w:rPr>
          <w:b/>
          <w:bCs/>
          <w:sz w:val="28"/>
          <w:szCs w:val="28"/>
        </w:rPr>
        <w:lastRenderedPageBreak/>
        <w:t xml:space="preserve">Thesis </w:t>
      </w:r>
      <w:r w:rsidR="00822B07">
        <w:rPr>
          <w:b/>
          <w:bCs/>
          <w:sz w:val="28"/>
          <w:szCs w:val="28"/>
        </w:rPr>
        <w:t>O</w:t>
      </w:r>
      <w:r w:rsidRPr="00A32296">
        <w:rPr>
          <w:b/>
          <w:bCs/>
          <w:sz w:val="28"/>
          <w:szCs w:val="28"/>
        </w:rPr>
        <w:t xml:space="preserve">rganisation and </w:t>
      </w:r>
      <w:r w:rsidR="00822B07">
        <w:rPr>
          <w:b/>
          <w:bCs/>
          <w:sz w:val="28"/>
          <w:szCs w:val="28"/>
        </w:rPr>
        <w:t>C</w:t>
      </w:r>
      <w:r w:rsidRPr="00A32296">
        <w:rPr>
          <w:b/>
          <w:bCs/>
          <w:sz w:val="28"/>
          <w:szCs w:val="28"/>
        </w:rPr>
        <w:t xml:space="preserve">hapter </w:t>
      </w:r>
      <w:r w:rsidR="00822B07">
        <w:rPr>
          <w:b/>
          <w:bCs/>
          <w:sz w:val="28"/>
          <w:szCs w:val="28"/>
        </w:rPr>
        <w:t>O</w:t>
      </w:r>
      <w:r w:rsidRPr="00A32296">
        <w:rPr>
          <w:b/>
          <w:bCs/>
          <w:sz w:val="28"/>
          <w:szCs w:val="28"/>
        </w:rPr>
        <w:t>utline</w:t>
      </w:r>
    </w:p>
    <w:p w14:paraId="40BE6FE9" w14:textId="77777777" w:rsidR="005A05DF" w:rsidRPr="00DA394C" w:rsidRDefault="005A05DF" w:rsidP="005A05DF">
      <w:r>
        <w:t>Chapter One</w:t>
      </w:r>
      <w:r w:rsidRPr="00DA394C">
        <w:t xml:space="preserve"> will introduce and contextuali</w:t>
      </w:r>
      <w:r>
        <w:t>s</w:t>
      </w:r>
      <w:r w:rsidRPr="00DA394C">
        <w:t xml:space="preserve">e the two case studies by unveiling the intricate </w:t>
      </w:r>
      <w:r>
        <w:t>community, kinship networks,</w:t>
      </w:r>
      <w:r w:rsidRPr="00DA394C">
        <w:t xml:space="preserve"> and </w:t>
      </w:r>
      <w:r>
        <w:t>associated background narratives</w:t>
      </w:r>
      <w:r w:rsidRPr="00DA394C">
        <w:t>. This contextuali</w:t>
      </w:r>
      <w:r>
        <w:t>s</w:t>
      </w:r>
      <w:r w:rsidRPr="00DA394C">
        <w:t xml:space="preserve">ation </w:t>
      </w:r>
      <w:r>
        <w:t>underscores</w:t>
      </w:r>
      <w:r w:rsidRPr="00DA394C">
        <w:t xml:space="preserve"> their significance within the broader cotton industry and local communities. </w:t>
      </w:r>
      <w:r>
        <w:t xml:space="preserve">The second part of this chapter </w:t>
      </w:r>
      <w:r w:rsidRPr="00DA394C">
        <w:t>will delineate the contemporary ideal characteristics of network members who eventually assumed the responsibility of managing and operating day-to-day cotton trade activities.</w:t>
      </w:r>
      <w:r>
        <w:t xml:space="preserve"> </w:t>
      </w:r>
      <w:r w:rsidRPr="00DA394C">
        <w:t xml:space="preserve">Within this </w:t>
      </w:r>
      <w:r>
        <w:t>section</w:t>
      </w:r>
      <w:r w:rsidRPr="00DA394C">
        <w:t xml:space="preserve">, </w:t>
      </w:r>
      <w:r>
        <w:t>I</w:t>
      </w:r>
      <w:r w:rsidRPr="00DA394C">
        <w:t xml:space="preserve"> will outline the overarching expectations and obligations</w:t>
      </w:r>
      <w:r>
        <w:t xml:space="preserve"> and</w:t>
      </w:r>
      <w:r w:rsidRPr="00DA394C">
        <w:t xml:space="preserve"> the requisite reputational standards that network actors were expected to uphold. These standards will be presented as </w:t>
      </w:r>
      <w:r>
        <w:t xml:space="preserve">ideals, acknowledging that they were not always fully realised but were </w:t>
      </w:r>
      <w:r w:rsidRPr="00DA394C">
        <w:t>aspirational goals for all members to strive toward. This groundwork laid in Chapter One will provide the necessary historical context for a more comprehensive understanding of the subsequent analyses.</w:t>
      </w:r>
      <w:r>
        <w:t xml:space="preserve"> </w:t>
      </w:r>
      <w:r w:rsidRPr="00DA394C">
        <w:t xml:space="preserve">Subsequently, this thesis will be organized into three distinct sections. Part One, which encompasses Chapters Two and Three, will delve into the inner circle of the networks. It will explore the roles of kinship, family, household, community, religious, political, social, and charitable associations, all of which were integral </w:t>
      </w:r>
      <w:r>
        <w:t>to</w:t>
      </w:r>
      <w:r w:rsidRPr="00DA394C">
        <w:t xml:space="preserve"> the network members who eventually assumed managerial positions within the cotton mills.</w:t>
      </w:r>
      <w:r>
        <w:t xml:space="preserve"> </w:t>
      </w:r>
      <w:r w:rsidRPr="00DA394C">
        <w:t>Chapter Two will focus on trust and reputation within familial and kinship networks, showcasing the pivotal role of social capital—trust and networks—in establishing each business enterprise. This chapter will draw upon various primary sources, including wills, birth records, marriage records, baptism records, and ledgers. A detailed chart of the kinship networks will be provided in the appendix, allowing for more extensive analysis and discussion within the chapter.</w:t>
      </w:r>
      <w:r>
        <w:t xml:space="preserve"> </w:t>
      </w:r>
      <w:r w:rsidRPr="00DA394C">
        <w:t>Chapter Three will extend this exploration to trust, and reputation derived from community and religious networks, demonstrating how these dimensions transferred into the business networks. It</w:t>
      </w:r>
      <w:r>
        <w:t xml:space="preserve"> is</w:t>
      </w:r>
      <w:r w:rsidRPr="00DA394C">
        <w:t xml:space="preserve"> important to note that network members often held different reputations depending on the specific context in which they operated, a topic that this chapter will delve into in depth.</w:t>
      </w:r>
    </w:p>
    <w:p w14:paraId="24A5E40C" w14:textId="78A72775" w:rsidR="00FA0B2E" w:rsidRDefault="005A05DF" w:rsidP="00B56800">
      <w:pPr>
        <w:pStyle w:val="NoSpacing"/>
      </w:pPr>
      <w:r>
        <w:t xml:space="preserve">Part Two will show that networks were not always stable. While trusted connections were the core ideal of the business communities, they were populated by untrustworthy actors whose behaviour needed management and correction. Those who could not conform could be ejected from the networks. </w:t>
      </w:r>
      <w:r w:rsidRPr="0022326B">
        <w:t>Chapter Four</w:t>
      </w:r>
      <w:r>
        <w:t xml:space="preserve"> </w:t>
      </w:r>
      <w:r w:rsidR="00FD2C9F">
        <w:t xml:space="preserve">will </w:t>
      </w:r>
      <w:r>
        <w:t xml:space="preserve">focus on the trusted connection within the networks. It draws on the mill correspondence and ledgers to gain insights into the business trust and reputation of the case studies within networks within Britain. </w:t>
      </w:r>
      <w:r w:rsidRPr="0022326B">
        <w:t>Chapter Five</w:t>
      </w:r>
      <w:r>
        <w:t xml:space="preserve"> will then reflect upon the risks involved in the industrialising cotton trade, particularly emphasizing the moral hazards of untrustworthy network members and how these actors were managed.</w:t>
      </w:r>
    </w:p>
    <w:p w14:paraId="73437A60" w14:textId="77777777" w:rsidR="00FA0B2E" w:rsidRDefault="00FA0B2E" w:rsidP="00B56800">
      <w:pPr>
        <w:pStyle w:val="NoSpacing"/>
      </w:pPr>
    </w:p>
    <w:p w14:paraId="5AD31F0B" w14:textId="1A626C49" w:rsidR="00EF380F" w:rsidRPr="00B56800" w:rsidRDefault="0062296A" w:rsidP="00B56800">
      <w:pPr>
        <w:pStyle w:val="NoSpacing"/>
        <w:sectPr w:rsidR="00EF380F" w:rsidRPr="00B56800" w:rsidSect="00197C8B">
          <w:footnotePr>
            <w:numRestart w:val="eachSect"/>
          </w:footnotePr>
          <w:pgSz w:w="11906" w:h="16838"/>
          <w:pgMar w:top="1440" w:right="1440" w:bottom="1440" w:left="1440" w:header="708" w:footer="708" w:gutter="0"/>
          <w:cols w:space="708"/>
          <w:docGrid w:linePitch="360"/>
        </w:sectPr>
      </w:pPr>
      <w:r>
        <w:t xml:space="preserve">Part Three explores beyond the inner circle and </w:t>
      </w:r>
      <w:r w:rsidR="004C5271">
        <w:t>questions how social capital was used to gain access to raw materials and sales markets</w:t>
      </w:r>
      <w:r w:rsidR="002949CB">
        <w:t>. Beyond the local community networks</w:t>
      </w:r>
      <w:r w:rsidR="0022326B">
        <w:t>,</w:t>
      </w:r>
      <w:r w:rsidR="002949CB">
        <w:t xml:space="preserve"> the </w:t>
      </w:r>
      <w:r w:rsidR="0022326B">
        <w:t xml:space="preserve">resource acquisition </w:t>
      </w:r>
      <w:r w:rsidR="002949CB">
        <w:t>involved the use of middlemen as brokers and agents</w:t>
      </w:r>
      <w:r w:rsidR="00921E6B">
        <w:t>,</w:t>
      </w:r>
      <w:r w:rsidR="005A05DF">
        <w:t xml:space="preserve"> </w:t>
      </w:r>
      <w:r w:rsidR="00313A8A">
        <w:t xml:space="preserve">and the middleman was a </w:t>
      </w:r>
      <w:r w:rsidR="00921E6B">
        <w:t>helpful</w:t>
      </w:r>
      <w:r w:rsidR="00313A8A">
        <w:t xml:space="preserve"> connection </w:t>
      </w:r>
      <w:r w:rsidR="006F0B5C">
        <w:t>to</w:t>
      </w:r>
      <w:r w:rsidR="00313A8A">
        <w:t xml:space="preserve"> </w:t>
      </w:r>
      <w:r w:rsidR="00C45E4C">
        <w:t xml:space="preserve">the sales markets of the firms. </w:t>
      </w:r>
      <w:r w:rsidR="005A05DF" w:rsidRPr="006F0B5C">
        <w:t>Chapter Six</w:t>
      </w:r>
      <w:r w:rsidR="005A05DF">
        <w:t xml:space="preserve"> explores how the local cotton spinning firms in the Derwent Valley and Manchester connected to global trade systems. It will show that the middleman was the method most utilised, and it was this type of trusted connection </w:t>
      </w:r>
      <w:r w:rsidR="00921E6B">
        <w:t xml:space="preserve">that </w:t>
      </w:r>
      <w:r w:rsidR="005A05DF">
        <w:t xml:space="preserve">enabled the firms to connect to other networks and ultimately access their raw materials and sales markets. </w:t>
      </w:r>
      <w:r w:rsidR="00C45E4C">
        <w:t xml:space="preserve">This section then progresses to think about </w:t>
      </w:r>
      <w:r w:rsidR="0076205C">
        <w:t xml:space="preserve">the limitations of the networks and shows that both firms operated in </w:t>
      </w:r>
      <w:r w:rsidR="00B56800">
        <w:t xml:space="preserve">a series of </w:t>
      </w:r>
      <w:r w:rsidR="0076205C">
        <w:t>closed networks</w:t>
      </w:r>
      <w:r w:rsidR="00921E6B">
        <w:t xml:space="preserve">. There was </w:t>
      </w:r>
      <w:r w:rsidR="00BE567B">
        <w:t xml:space="preserve">a </w:t>
      </w:r>
      <w:r w:rsidR="00B56800">
        <w:t xml:space="preserve">social norm of the networks underpinned by cultural ideals that included strict codes of conduct and those who did not conform to these were kept outside the </w:t>
      </w:r>
      <w:r w:rsidR="00BE567B">
        <w:t>network system</w:t>
      </w:r>
      <w:r w:rsidR="00B56800">
        <w:t xml:space="preserve">. Strangers and unknown people </w:t>
      </w:r>
      <w:r w:rsidR="006F0B5C">
        <w:t>were feared as</w:t>
      </w:r>
      <w:r w:rsidR="00B56800">
        <w:t xml:space="preserve"> potentially</w:t>
      </w:r>
      <w:r w:rsidR="006F0B5C">
        <w:t xml:space="preserve"> unsafe. </w:t>
      </w:r>
      <w:r w:rsidR="005A05DF" w:rsidRPr="006F0B5C">
        <w:t>Chapter Seven</w:t>
      </w:r>
      <w:r w:rsidR="006F1FFB">
        <w:t xml:space="preserve"> </w:t>
      </w:r>
      <w:r w:rsidR="005A05DF">
        <w:t>reflects on conceptualising</w:t>
      </w:r>
      <w:r w:rsidR="005A05DF" w:rsidRPr="005D1618">
        <w:t xml:space="preserve"> the</w:t>
      </w:r>
      <w:r w:rsidR="00B56800">
        <w:t xml:space="preserve"> stranger, the</w:t>
      </w:r>
      <w:r w:rsidR="005A05DF" w:rsidRPr="005D1618">
        <w:t xml:space="preserve"> known and the unknown. It will show that the trust and recommendation system within the cotton trade networks of the period did not adapt well to encountering </w:t>
      </w:r>
      <w:r w:rsidR="005A05DF" w:rsidRPr="00B56800">
        <w:t>strangers.</w:t>
      </w:r>
      <w:r w:rsidR="00B56800" w:rsidRPr="00B56800">
        <w:t xml:space="preserve"> </w:t>
      </w:r>
      <w:r w:rsidR="000648E0" w:rsidRPr="00B56800">
        <w:t>The</w:t>
      </w:r>
      <w:r w:rsidR="000648E0">
        <w:t xml:space="preserve"> thesis</w:t>
      </w:r>
      <w:r w:rsidR="00B56800">
        <w:t xml:space="preserve"> will then draw together the findings and conclusions of the study </w:t>
      </w:r>
      <w:r w:rsidR="00CB514C">
        <w:t>and reflect</w:t>
      </w:r>
      <w:r w:rsidR="00B56800">
        <w:t xml:space="preserve"> on the wider </w:t>
      </w:r>
      <w:r w:rsidR="001B0B00">
        <w:t>implications these</w:t>
      </w:r>
      <w:r w:rsidR="00B56800">
        <w:t xml:space="preserve"> findings may have. </w:t>
      </w:r>
    </w:p>
    <w:p w14:paraId="178F1EB8" w14:textId="51A6784D" w:rsidR="005A05DF" w:rsidRDefault="005A05DF" w:rsidP="00F52666">
      <w:pPr>
        <w:pStyle w:val="Heading1"/>
        <w:rPr>
          <w:rFonts w:asciiTheme="minorHAnsi" w:hAnsiTheme="minorHAnsi" w:cstheme="minorHAnsi"/>
          <w:b/>
          <w:bCs/>
          <w:color w:val="auto"/>
          <w:sz w:val="28"/>
          <w:szCs w:val="28"/>
        </w:rPr>
      </w:pPr>
      <w:bookmarkStart w:id="35" w:name="_Toc170825655"/>
      <w:r w:rsidRPr="00F52666">
        <w:rPr>
          <w:rFonts w:asciiTheme="minorHAnsi" w:hAnsiTheme="minorHAnsi" w:cstheme="minorHAnsi"/>
          <w:b/>
          <w:bCs/>
          <w:color w:val="auto"/>
          <w:sz w:val="28"/>
          <w:szCs w:val="28"/>
        </w:rPr>
        <w:lastRenderedPageBreak/>
        <w:t>Chapter One: Setting the Scene</w:t>
      </w:r>
      <w:bookmarkEnd w:id="35"/>
      <w:r w:rsidRPr="00F52666">
        <w:rPr>
          <w:rFonts w:asciiTheme="minorHAnsi" w:hAnsiTheme="minorHAnsi" w:cstheme="minorHAnsi"/>
          <w:b/>
          <w:bCs/>
          <w:color w:val="auto"/>
          <w:sz w:val="28"/>
          <w:szCs w:val="28"/>
        </w:rPr>
        <w:t xml:space="preserve"> </w:t>
      </w:r>
    </w:p>
    <w:p w14:paraId="689A415F" w14:textId="77777777" w:rsidR="005A05DF" w:rsidRPr="00F52666" w:rsidRDefault="005A05DF" w:rsidP="00F52666">
      <w:pPr>
        <w:pStyle w:val="Heading2"/>
        <w:rPr>
          <w:rFonts w:asciiTheme="minorHAnsi" w:hAnsiTheme="minorHAnsi" w:cstheme="minorHAnsi"/>
          <w:b/>
          <w:bCs/>
          <w:color w:val="auto"/>
          <w:sz w:val="24"/>
          <w:szCs w:val="24"/>
        </w:rPr>
      </w:pPr>
      <w:bookmarkStart w:id="36" w:name="_Toc170825656"/>
      <w:r w:rsidRPr="00F52666">
        <w:rPr>
          <w:rFonts w:asciiTheme="minorHAnsi" w:hAnsiTheme="minorHAnsi" w:cstheme="minorHAnsi"/>
          <w:b/>
          <w:bCs/>
          <w:color w:val="auto"/>
          <w:sz w:val="24"/>
          <w:szCs w:val="24"/>
        </w:rPr>
        <w:t>Introduction</w:t>
      </w:r>
      <w:bookmarkEnd w:id="36"/>
    </w:p>
    <w:p w14:paraId="3B1895E9" w14:textId="148F46E0" w:rsidR="009928CA" w:rsidRDefault="005A05DF" w:rsidP="005A05DF">
      <w:r>
        <w:t xml:space="preserve">This thesis explores networks, mechanisms of trust, trustworthiness – as components of social capital – and reputations utilised by the families of late eighteenth and early nineteenth-century cotton manufactories. </w:t>
      </w:r>
      <w:r w:rsidR="006E393A">
        <w:t xml:space="preserve">Part </w:t>
      </w:r>
      <w:r w:rsidR="00D17FF9">
        <w:t>One</w:t>
      </w:r>
      <w:r>
        <w:t xml:space="preserve"> of the thesis </w:t>
      </w:r>
      <w:r w:rsidR="00D17FF9">
        <w:t xml:space="preserve">explores the role of social and cultural capital in the </w:t>
      </w:r>
      <w:r w:rsidR="00C653EA">
        <w:t>foundation and operation of the</w:t>
      </w:r>
      <w:r>
        <w:t xml:space="preserve"> two successful cotton </w:t>
      </w:r>
      <w:r w:rsidR="00C653EA">
        <w:t>mills</w:t>
      </w:r>
      <w:r w:rsidR="00C26ABD">
        <w:t>,</w:t>
      </w:r>
      <w:r w:rsidR="00C653EA">
        <w:t xml:space="preserve"> </w:t>
      </w:r>
      <w:r w:rsidR="00316E24">
        <w:t xml:space="preserve">the </w:t>
      </w:r>
      <w:r w:rsidR="00C653EA">
        <w:t>case studies</w:t>
      </w:r>
      <w:r w:rsidR="00316E24">
        <w:t xml:space="preserve"> chosen for this study. </w:t>
      </w:r>
      <w:r w:rsidR="00FB5A27">
        <w:t>A key research question</w:t>
      </w:r>
      <w:r w:rsidR="00B56800">
        <w:t xml:space="preserve"> for reflection in </w:t>
      </w:r>
      <w:r w:rsidR="00FB5A27">
        <w:t xml:space="preserve">this </w:t>
      </w:r>
      <w:r w:rsidR="00C26ABD">
        <w:t>thesis section</w:t>
      </w:r>
      <w:r w:rsidR="00FB5A27">
        <w:t xml:space="preserve"> is</w:t>
      </w:r>
      <w:r w:rsidR="009D6997">
        <w:t>,</w:t>
      </w:r>
      <w:r w:rsidR="00FB5A27">
        <w:t xml:space="preserve"> </w:t>
      </w:r>
      <w:r w:rsidR="00880436">
        <w:t>‘</w:t>
      </w:r>
      <w:r w:rsidR="005D6276">
        <w:t>w</w:t>
      </w:r>
      <w:r w:rsidR="00C26ABD">
        <w:t>as</w:t>
      </w:r>
      <w:r w:rsidR="00912D59">
        <w:t xml:space="preserve"> the social and cultural capital that was transformed into </w:t>
      </w:r>
      <w:r w:rsidR="00D06329">
        <w:t xml:space="preserve">economic and business capital </w:t>
      </w:r>
      <w:r w:rsidR="00373965">
        <w:t>based upon trust and reputation built within the kinship</w:t>
      </w:r>
      <w:r w:rsidR="00413D63">
        <w:t xml:space="preserve">, </w:t>
      </w:r>
      <w:r w:rsidR="00EB482B">
        <w:t>domestic, community, and religious networks?’</w:t>
      </w:r>
      <w:r w:rsidR="00B65837">
        <w:t xml:space="preserve"> </w:t>
      </w:r>
      <w:r w:rsidR="00785126">
        <w:t>This section</w:t>
      </w:r>
      <w:r w:rsidR="003E69B1">
        <w:t xml:space="preserve"> will investigate</w:t>
      </w:r>
      <w:r w:rsidR="00785126">
        <w:t xml:space="preserve"> the central roles of family, kinship, the household, religion, and community as spaces where trust and reputations are built and continually negotiated. </w:t>
      </w:r>
      <w:r w:rsidR="008E10D3">
        <w:t>The</w:t>
      </w:r>
      <w:r w:rsidR="003E69B1">
        <w:t xml:space="preserve"> </w:t>
      </w:r>
      <w:r w:rsidR="00B65837">
        <w:t>key question is</w:t>
      </w:r>
      <w:r w:rsidR="009D6997">
        <w:t>,</w:t>
      </w:r>
      <w:r w:rsidR="00B65837">
        <w:t xml:space="preserve"> ‘</w:t>
      </w:r>
      <w:r w:rsidR="005D6276">
        <w:t>w</w:t>
      </w:r>
      <w:r w:rsidR="00B03E64">
        <w:t xml:space="preserve">ere the </w:t>
      </w:r>
      <w:r w:rsidR="00924211">
        <w:t>firms</w:t>
      </w:r>
      <w:r w:rsidR="004965F2">
        <w:t xml:space="preserve"> </w:t>
      </w:r>
      <w:r w:rsidR="00B03E64">
        <w:t xml:space="preserve">able to </w:t>
      </w:r>
      <w:r w:rsidR="004965F2">
        <w:t>access the</w:t>
      </w:r>
      <w:r w:rsidR="00C26ABD">
        <w:t>ir</w:t>
      </w:r>
      <w:r w:rsidR="004965F2">
        <w:t xml:space="preserve"> </w:t>
      </w:r>
      <w:r w:rsidR="00924211">
        <w:t xml:space="preserve">financial and </w:t>
      </w:r>
      <w:r>
        <w:t xml:space="preserve">business networks during </w:t>
      </w:r>
      <w:r w:rsidR="009D6997">
        <w:t>profound</w:t>
      </w:r>
      <w:r w:rsidR="00924211">
        <w:t xml:space="preserve"> socioeconomic</w:t>
      </w:r>
      <w:r>
        <w:t xml:space="preserve"> change, instability, and high bankruptcy levels</w:t>
      </w:r>
      <w:r w:rsidR="00B03E64">
        <w:t xml:space="preserve"> due to their </w:t>
      </w:r>
      <w:r w:rsidR="004B397D">
        <w:t>perceived trustworthy reputations forged in the community</w:t>
      </w:r>
      <w:r w:rsidR="00C26ABD">
        <w:t>?’</w:t>
      </w:r>
      <w:r w:rsidR="004965F2">
        <w:t xml:space="preserve"> </w:t>
      </w:r>
      <w:r w:rsidR="00AA3778">
        <w:t>Part Two of this thesis looks at the practical applications of trust</w:t>
      </w:r>
      <w:r w:rsidR="009D6997">
        <w:t xml:space="preserve"> and reputations within business and financial networks</w:t>
      </w:r>
      <w:r w:rsidR="004B397D">
        <w:t xml:space="preserve"> to help answer this question</w:t>
      </w:r>
      <w:r w:rsidR="009D6997">
        <w:t xml:space="preserve">. </w:t>
      </w:r>
      <w:r w:rsidR="00CA37C5">
        <w:t>Part of the</w:t>
      </w:r>
      <w:r>
        <w:t xml:space="preserve"> overarching argument </w:t>
      </w:r>
      <w:r w:rsidR="009D6997">
        <w:t xml:space="preserve">here is </w:t>
      </w:r>
      <w:r>
        <w:t xml:space="preserve">that the concepts of trust, trustworthiness, and reputation were </w:t>
      </w:r>
      <w:r w:rsidR="00C26ABD">
        <w:t xml:space="preserve">an important </w:t>
      </w:r>
      <w:r w:rsidR="00BA7F45">
        <w:t xml:space="preserve">aspect of </w:t>
      </w:r>
      <w:r>
        <w:t>the foundations upon which the expansion and changes in modes of production lay</w:t>
      </w:r>
      <w:r w:rsidR="00347646">
        <w:t>,</w:t>
      </w:r>
      <w:r w:rsidR="00BA7F45">
        <w:t xml:space="preserve"> </w:t>
      </w:r>
      <w:r w:rsidR="00CA37C5">
        <w:t>and this</w:t>
      </w:r>
      <w:r>
        <w:t xml:space="preserve"> relies on the assumption that the network actors viewed their </w:t>
      </w:r>
      <w:r w:rsidR="00347646">
        <w:t xml:space="preserve">wider societal </w:t>
      </w:r>
      <w:r>
        <w:t>environments as unsafe, risky places populated by potentially untrustworthy and unknown people that needed careful management. David Sunderland has seen this as a natural reaction to urbanisation and industrialisation, two key socio-economic upheavals of the time.</w:t>
      </w:r>
      <w:r>
        <w:rPr>
          <w:rStyle w:val="FootnoteReference"/>
        </w:rPr>
        <w:footnoteReference w:id="98"/>
      </w:r>
      <w:r>
        <w:t xml:space="preserve"> </w:t>
      </w:r>
      <w:r w:rsidR="00347646">
        <w:t xml:space="preserve">Part Three of </w:t>
      </w:r>
      <w:r w:rsidR="009928CA">
        <w:t xml:space="preserve">this thesis </w:t>
      </w:r>
      <w:r w:rsidR="00B02BA6">
        <w:t>explores</w:t>
      </w:r>
      <w:r w:rsidR="009D6FF1">
        <w:t xml:space="preserve"> further important factors of the network system </w:t>
      </w:r>
      <w:r w:rsidR="00D03F02">
        <w:t>–</w:t>
      </w:r>
      <w:r w:rsidR="009D6FF1">
        <w:t xml:space="preserve"> </w:t>
      </w:r>
      <w:r w:rsidR="00D03F02">
        <w:t xml:space="preserve">firstly, what resources could be accessed via the network system, </w:t>
      </w:r>
      <w:r w:rsidR="00E502DA">
        <w:t xml:space="preserve">and </w:t>
      </w:r>
      <w:r w:rsidR="00D03F02">
        <w:t>secondly,</w:t>
      </w:r>
      <w:r w:rsidR="00B02BA6">
        <w:t xml:space="preserve"> </w:t>
      </w:r>
      <w:r w:rsidR="00D03F02">
        <w:t xml:space="preserve">what was </w:t>
      </w:r>
      <w:r w:rsidR="00F4681A">
        <w:t>the extent of the networks</w:t>
      </w:r>
      <w:r w:rsidR="00F0275D">
        <w:t>?</w:t>
      </w:r>
      <w:r w:rsidR="00F4681A">
        <w:t xml:space="preserve"> </w:t>
      </w:r>
      <w:r w:rsidR="00F0275D">
        <w:t>Thirdly, h</w:t>
      </w:r>
      <w:r w:rsidR="007D7160">
        <w:t xml:space="preserve">ow far did the </w:t>
      </w:r>
      <w:r w:rsidR="00F4681A">
        <w:t xml:space="preserve">reach of the </w:t>
      </w:r>
      <w:r w:rsidR="00DA06E6">
        <w:t>networks</w:t>
      </w:r>
      <w:r w:rsidR="007D7160">
        <w:t xml:space="preserve"> </w:t>
      </w:r>
      <w:r w:rsidR="00F0275D">
        <w:t xml:space="preserve">extend? </w:t>
      </w:r>
      <w:r w:rsidR="00DA06E6">
        <w:t xml:space="preserve"> </w:t>
      </w:r>
      <w:r w:rsidR="00E502DA">
        <w:t xml:space="preserve">Finally, </w:t>
      </w:r>
      <w:r w:rsidR="00DA06E6">
        <w:t>what happens at the</w:t>
      </w:r>
      <w:r w:rsidR="0082546E">
        <w:t>ir</w:t>
      </w:r>
      <w:r w:rsidR="00DA06E6">
        <w:t xml:space="preserve"> peripheries and beyond</w:t>
      </w:r>
      <w:r w:rsidR="00E502DA">
        <w:t xml:space="preserve">? </w:t>
      </w:r>
      <w:r w:rsidR="00874E1C">
        <w:t xml:space="preserve">This section </w:t>
      </w:r>
      <w:r w:rsidR="00E502DA">
        <w:t xml:space="preserve">then </w:t>
      </w:r>
      <w:r w:rsidR="00874E1C">
        <w:t>raises the questions, ‘</w:t>
      </w:r>
      <w:r w:rsidR="0082546E">
        <w:t xml:space="preserve">How far </w:t>
      </w:r>
      <w:r w:rsidR="00874E1C">
        <w:t>from the inner core of a network</w:t>
      </w:r>
      <w:r w:rsidR="0082546E">
        <w:t xml:space="preserve"> </w:t>
      </w:r>
      <w:r w:rsidR="00874E1C">
        <w:t xml:space="preserve">do </w:t>
      </w:r>
      <w:r w:rsidR="0082546E">
        <w:t>the concepts of trust and reputation remain relevant</w:t>
      </w:r>
      <w:r w:rsidR="00874E1C">
        <w:t xml:space="preserve">?’ and </w:t>
      </w:r>
      <w:r w:rsidR="00D951DA">
        <w:t>‘Was everyone who had been involved in the cotton trade from cultivation to consumption</w:t>
      </w:r>
      <w:r w:rsidR="00CE7DE2">
        <w:t xml:space="preserve"> part of the networks, or </w:t>
      </w:r>
      <w:r w:rsidR="0013794E">
        <w:t>was</w:t>
      </w:r>
      <w:r w:rsidR="00CE7DE2">
        <w:t xml:space="preserve"> there some people who never made it into the network system?’</w:t>
      </w:r>
      <w:r w:rsidR="00DA06E6">
        <w:t xml:space="preserve"> </w:t>
      </w:r>
      <w:r w:rsidR="00E70D63">
        <w:t xml:space="preserve">It shows a </w:t>
      </w:r>
      <w:r w:rsidR="00B56800">
        <w:t xml:space="preserve">limitation </w:t>
      </w:r>
      <w:r w:rsidR="00E70D63">
        <w:t>of the networks</w:t>
      </w:r>
      <w:r w:rsidR="00B56800">
        <w:t>,</w:t>
      </w:r>
      <w:r w:rsidR="00E70D63">
        <w:t xml:space="preserve"> where trust and reputation took on a different form</w:t>
      </w:r>
      <w:r w:rsidR="00B56800">
        <w:t>. S</w:t>
      </w:r>
      <w:r w:rsidR="00E70D63">
        <w:t xml:space="preserve">trangers and the unknown were viewed with caution and avoidance, leading us to think about the true nature of the cotton trade and the extent and influence of the networks.    </w:t>
      </w:r>
    </w:p>
    <w:p w14:paraId="00121E8A" w14:textId="7C65DEB2" w:rsidR="005A05DF" w:rsidRPr="00CF72ED" w:rsidRDefault="005A05DF" w:rsidP="005A05DF">
      <w:r>
        <w:t xml:space="preserve">This thesis shows that Britain's early industrialising world of cotton manufacturing was grounded on ideals that members of multiple overlapping networks should strive to emulate. This emulation was rewarded with greater access to raw materials, capital, credit, and sales markets. This enabled </w:t>
      </w:r>
      <w:r w:rsidR="009D6997">
        <w:t>cotton to flow</w:t>
      </w:r>
      <w:r>
        <w:t xml:space="preserve"> from cultivation to consumption</w:t>
      </w:r>
      <w:r w:rsidR="00ED0D69">
        <w:t xml:space="preserve">. It enabled </w:t>
      </w:r>
      <w:r>
        <w:t xml:space="preserve">all its constituent trades to function, allowing a great shift to industrial-scale cotton manufacturing. </w:t>
      </w:r>
      <w:r w:rsidRPr="00CF72ED">
        <w:t>At the core of this thesis are the people who managed and operated two important cotton spinning mills in two key hubs of the British cotton trade</w:t>
      </w:r>
      <w:r>
        <w:t xml:space="preserve"> — the</w:t>
      </w:r>
      <w:r w:rsidRPr="00CF72ED">
        <w:t xml:space="preserve"> Boar’s Head Cotton Mills</w:t>
      </w:r>
      <w:r>
        <w:t xml:space="preserve"> at Darley Abbey</w:t>
      </w:r>
      <w:r w:rsidRPr="00CF72ED">
        <w:t xml:space="preserve"> near Derby and the mills of McConnel &amp; Kennedy</w:t>
      </w:r>
      <w:r>
        <w:t xml:space="preserve"> in Ancoats,</w:t>
      </w:r>
      <w:r w:rsidRPr="00CF72ED">
        <w:t xml:space="preserve"> Manchester. The kinship networks behind the two business enterprises included the Evangelical Anglican Upper- Middle-class Evans family</w:t>
      </w:r>
      <w:r>
        <w:t>,</w:t>
      </w:r>
      <w:r w:rsidRPr="00CF72ED">
        <w:t xml:space="preserve"> the middle-class Unitarian Strutt, McConnel</w:t>
      </w:r>
      <w:r w:rsidR="00D56F57">
        <w:t>,</w:t>
      </w:r>
      <w:r w:rsidRPr="00CF72ED">
        <w:t xml:space="preserve"> and Kennedy families</w:t>
      </w:r>
      <w:r w:rsidR="00D56F57">
        <w:t>,</w:t>
      </w:r>
      <w:r w:rsidRPr="00CF72ED">
        <w:t xml:space="preserve"> and, to a lesser extent, the Greg and Heywood families.</w:t>
      </w:r>
      <w:r>
        <w:t xml:space="preserve"> The men who established the Boar’s Head </w:t>
      </w:r>
      <w:r w:rsidR="000648E0">
        <w:t>C</w:t>
      </w:r>
      <w:r>
        <w:t xml:space="preserve">otton </w:t>
      </w:r>
      <w:r w:rsidR="000648E0">
        <w:t>M</w:t>
      </w:r>
      <w:r>
        <w:t>ills, Thomas Evans, Jedediah Strutt</w:t>
      </w:r>
      <w:r w:rsidR="00D56F57">
        <w:t>,</w:t>
      </w:r>
      <w:r>
        <w:t xml:space="preserve"> and Richard Arkwright, were from a generation of self-made men who had worked for years in trade and commerce before moving into the world of cotton spinning. They had experienced many changes in the trade and industry of Lancashire and the Midlands manufacturing industries. All three had ambitions to fulfil; </w:t>
      </w:r>
      <w:r>
        <w:lastRenderedPageBreak/>
        <w:t>Arkwright had moved from Preston to Nottingham and then Derbyshire to pursue a fortune.</w:t>
      </w:r>
      <w:r>
        <w:rPr>
          <w:rStyle w:val="FootnoteReference"/>
        </w:rPr>
        <w:footnoteReference w:id="99"/>
      </w:r>
      <w:r>
        <w:t xml:space="preserve"> On this journey, he encountered Strutt, who was also pursuing his fortune in the framework knitting industry, aided by inventing the Derby Rib machine.</w:t>
      </w:r>
      <w:r>
        <w:rPr>
          <w:rStyle w:val="FootnoteReference"/>
        </w:rPr>
        <w:footnoteReference w:id="100"/>
      </w:r>
      <w:r>
        <w:t xml:space="preserve"> Their mutual connection, Evans, was an iron master and banker of the town of Derby.</w:t>
      </w:r>
      <w:r>
        <w:rPr>
          <w:rStyle w:val="FootnoteReference"/>
        </w:rPr>
        <w:footnoteReference w:id="101"/>
      </w:r>
      <w:r>
        <w:t xml:space="preserve"> In contrast, the men who established the McConnel &amp; Kennedy </w:t>
      </w:r>
      <w:r w:rsidR="00BA1E1F">
        <w:t>M</w:t>
      </w:r>
      <w:r>
        <w:t xml:space="preserve">ills were early career machine makers James McConnel and John Kennedy. Their business experience stemmed from their apprenticeship with William Cannan in </w:t>
      </w:r>
      <w:proofErr w:type="spellStart"/>
      <w:r>
        <w:t>Chowbent</w:t>
      </w:r>
      <w:proofErr w:type="spellEnd"/>
      <w:r>
        <w:t>.</w:t>
      </w:r>
      <w:r>
        <w:rPr>
          <w:rStyle w:val="FootnoteReference"/>
        </w:rPr>
        <w:footnoteReference w:id="102"/>
      </w:r>
      <w:r>
        <w:t xml:space="preserve"> Both sets of men, supported by their communities, kinship networks, supply chains and sales markets, successfully established themselves and navigated their way through the early industrialising cotton industry in the late eighteenth and early nineteenth centuries. </w:t>
      </w:r>
    </w:p>
    <w:p w14:paraId="03B60782" w14:textId="77777777" w:rsidR="00C84D65" w:rsidRPr="00F52666" w:rsidRDefault="00C84D65" w:rsidP="00C84D65">
      <w:pPr>
        <w:pStyle w:val="Heading2"/>
        <w:rPr>
          <w:rFonts w:asciiTheme="minorHAnsi" w:hAnsiTheme="minorHAnsi" w:cstheme="minorHAnsi"/>
          <w:b/>
          <w:bCs/>
          <w:color w:val="auto"/>
          <w:sz w:val="24"/>
          <w:szCs w:val="24"/>
        </w:rPr>
      </w:pPr>
      <w:bookmarkStart w:id="37" w:name="_Toc170825657"/>
      <w:r w:rsidRPr="00F52666">
        <w:rPr>
          <w:rFonts w:asciiTheme="minorHAnsi" w:hAnsiTheme="minorHAnsi" w:cstheme="minorHAnsi"/>
          <w:b/>
          <w:bCs/>
          <w:color w:val="auto"/>
          <w:sz w:val="24"/>
          <w:szCs w:val="24"/>
        </w:rPr>
        <w:t>The Cotton Mills</w:t>
      </w:r>
      <w:bookmarkEnd w:id="37"/>
    </w:p>
    <w:p w14:paraId="794AC53D" w14:textId="77777777" w:rsidR="00C84D65" w:rsidRPr="00A5427B" w:rsidRDefault="00C84D65" w:rsidP="00C84D65">
      <w:pPr>
        <w:rPr>
          <w:b/>
          <w:bCs/>
          <w:i/>
          <w:iCs/>
        </w:rPr>
      </w:pPr>
      <w:r w:rsidRPr="00A5427B">
        <w:rPr>
          <w:b/>
          <w:bCs/>
          <w:i/>
          <w:iCs/>
        </w:rPr>
        <w:t>The Boar’s Head Cotton Mills</w:t>
      </w:r>
    </w:p>
    <w:p w14:paraId="447DAC25" w14:textId="4EE9E3D5" w:rsidR="00C84D65" w:rsidRPr="00DA310E" w:rsidRDefault="00C84D65" w:rsidP="00C84D65">
      <w:pPr>
        <w:rPr>
          <w:color w:val="000000" w:themeColor="text1"/>
        </w:rPr>
      </w:pPr>
      <w:r w:rsidRPr="001A7F0F">
        <w:t>Located a mile north of Derby, in the village of Darley Abbey, lies a mill complex that once thrived as a cotton manufacturing centre. Th</w:t>
      </w:r>
      <w:r>
        <w:t>e</w:t>
      </w:r>
      <w:r w:rsidRPr="001A7F0F">
        <w:t xml:space="preserve"> </w:t>
      </w:r>
      <w:r>
        <w:t>cotton narrative of Darley Abbey</w:t>
      </w:r>
      <w:r w:rsidRPr="001A7F0F">
        <w:t xml:space="preserve"> begins with Thomas Evans</w:t>
      </w:r>
      <w:r>
        <w:t xml:space="preserve"> (1723-1814). Thomas was one of the mills founders, acquiring</w:t>
      </w:r>
      <w:r w:rsidRPr="001A7F0F">
        <w:t xml:space="preserve"> land </w:t>
      </w:r>
      <w:r>
        <w:t>next to the river Derwent at Darley Abbey</w:t>
      </w:r>
      <w:r w:rsidRPr="001A7F0F">
        <w:t xml:space="preserve">, a key moment in the </w:t>
      </w:r>
      <w:r>
        <w:t>area's</w:t>
      </w:r>
      <w:r w:rsidRPr="001A7F0F">
        <w:t xml:space="preserve"> industrial history. The land came into his possession in 1779 following the</w:t>
      </w:r>
      <w:r>
        <w:t xml:space="preserve"> failure of a provincial bank in Derby and the </w:t>
      </w:r>
      <w:r w:rsidRPr="001A7F0F">
        <w:t xml:space="preserve">bankruptcy of </w:t>
      </w:r>
      <w:r>
        <w:t>the bankers and</w:t>
      </w:r>
      <w:r w:rsidRPr="001A7F0F">
        <w:t xml:space="preserve"> previous </w:t>
      </w:r>
      <w:r>
        <w:t>owners of the land</w:t>
      </w:r>
      <w:r w:rsidRPr="001A7F0F">
        <w:t>, John and Christopher Heath.</w:t>
      </w:r>
      <w:r w:rsidRPr="001A7F0F">
        <w:rPr>
          <w:rStyle w:val="FootnoteReference"/>
        </w:rPr>
        <w:footnoteReference w:id="103"/>
      </w:r>
      <w:r w:rsidRPr="001A7F0F">
        <w:t xml:space="preserve"> This land would soon become home to the renowned Boar's Head</w:t>
      </w:r>
      <w:r>
        <w:t xml:space="preserve"> Cotton</w:t>
      </w:r>
      <w:r w:rsidRPr="001A7F0F">
        <w:t xml:space="preserve"> Mills, named after the Evans family crest, where the innovative Arkwright system was implemented. The inception of this ambitious venture can be traced back to 1782-83 when a partnership consisting of Thomas Evans, </w:t>
      </w:r>
      <w:r w:rsidRPr="00DA310E">
        <w:rPr>
          <w:color w:val="000000" w:themeColor="text1"/>
        </w:rPr>
        <w:t>Richard</w:t>
      </w:r>
      <w:r w:rsidR="00315687" w:rsidRPr="00DA310E">
        <w:rPr>
          <w:color w:val="000000" w:themeColor="text1"/>
        </w:rPr>
        <w:t xml:space="preserve"> </w:t>
      </w:r>
      <w:r w:rsidR="00315687">
        <w:t>Arkwright</w:t>
      </w:r>
      <w:r w:rsidRPr="001A7F0F">
        <w:t xml:space="preserve"> </w:t>
      </w:r>
      <w:r>
        <w:t xml:space="preserve">(1732-1792), </w:t>
      </w:r>
      <w:r w:rsidRPr="001A7F0F">
        <w:t>and Jedediah Strutt</w:t>
      </w:r>
      <w:r>
        <w:t xml:space="preserve"> (1726-1797)</w:t>
      </w:r>
      <w:r w:rsidRPr="001A7F0F">
        <w:t xml:space="preserve"> was formed. </w:t>
      </w:r>
      <w:r>
        <w:t xml:space="preserve">Local historian </w:t>
      </w:r>
      <w:r w:rsidRPr="001A7F0F">
        <w:t>Brian Cooper's insight sheds light on the dynamics of this partnership. Cooper suggests that Arkwright, a notable bank customer of Thomas Evans, played a pivotal role in persuading the sixty-year-old Evans to venture into the cotton industry under Arkwright's licensing.</w:t>
      </w:r>
      <w:r w:rsidRPr="001A7F0F">
        <w:rPr>
          <w:rStyle w:val="FootnoteReference"/>
        </w:rPr>
        <w:footnoteReference w:id="104"/>
      </w:r>
      <w:r w:rsidRPr="001A7F0F">
        <w:t xml:space="preserve"> </w:t>
      </w:r>
      <w:r>
        <w:t xml:space="preserve">The British historian Stanley Chapman argued that </w:t>
      </w:r>
      <w:r w:rsidRPr="001A7F0F">
        <w:t>Arkwright was renowned for his knack for bringing potential business partners into business partnerships with him to harness his patented technology and transform the textile landscape.</w:t>
      </w:r>
      <w:r>
        <w:rPr>
          <w:rStyle w:val="FootnoteReference"/>
        </w:rPr>
        <w:footnoteReference w:id="105"/>
      </w:r>
      <w:r w:rsidRPr="001A7F0F">
        <w:t xml:space="preserve"> Considering Strutt's deep-rooted textile industry knowledge, Arkwright's technological expertise, and Evans's access to substantial capital and resources, Cooper's assessment resonates convincingly with Chapman's views on Arkwright’s character and desire to make the Midlands a regional centre for cotton production.</w:t>
      </w:r>
      <w:r w:rsidRPr="001A7F0F">
        <w:rPr>
          <w:rStyle w:val="FootnoteReference"/>
        </w:rPr>
        <w:footnoteReference w:id="106"/>
      </w:r>
      <w:r w:rsidRPr="001A7F0F">
        <w:t xml:space="preserve"> Although the exact details of their discussions remain obscured by time, the conclusions of Cooper and Chapman offer a plausible narrative regarding the establishment of the Boar’s Head Cotton Mill</w:t>
      </w:r>
      <w:r>
        <w:t>s</w:t>
      </w:r>
      <w:r w:rsidRPr="001A7F0F">
        <w:t xml:space="preserve">. Yet, what stands out is the profound trust that must have underpinned this collaborative project. Establishing the expensive and high-risk endeavour of early industrialised cotton mills clearly indicates the faith that Evans, Arkwright, and Strutt had in each other and their collective potential for success. This trust would be the base upon which Darley Abbey and </w:t>
      </w:r>
      <w:r>
        <w:t xml:space="preserve">part of </w:t>
      </w:r>
      <w:r w:rsidRPr="001A7F0F">
        <w:t xml:space="preserve">the Derwent Valley’s </w:t>
      </w:r>
      <w:r w:rsidRPr="001A7F0F">
        <w:lastRenderedPageBreak/>
        <w:t>industrial legacy was built.</w:t>
      </w:r>
      <w:r w:rsidR="00315687">
        <w:t xml:space="preserve"> </w:t>
      </w:r>
      <w:r w:rsidR="00046697" w:rsidRPr="00DA310E">
        <w:rPr>
          <w:color w:val="000000" w:themeColor="text1"/>
        </w:rPr>
        <w:t>However,</w:t>
      </w:r>
      <w:r w:rsidR="00315687" w:rsidRPr="00DA310E">
        <w:rPr>
          <w:color w:val="000000" w:themeColor="text1"/>
        </w:rPr>
        <w:t xml:space="preserve"> it must be noted that the Evans family used a diverse business portfolio and land ownership to buffer themselves from hardship should the cotton mill venture fail. </w:t>
      </w:r>
    </w:p>
    <w:p w14:paraId="2441F25E" w14:textId="30A16618" w:rsidR="00C84D65" w:rsidRDefault="00C84D65" w:rsidP="00C84D65">
      <w:r>
        <w:t>After a few years of operation of the Boar's Head Cotton Mills, the initial collaborative partnership underwent a transformative phase. Richard Arkwright, who had played a central role in the establishment of the mills, departed from the partnership, marking a shift in the management structure.</w:t>
      </w:r>
      <w:r>
        <w:rPr>
          <w:rStyle w:val="FootnoteReference"/>
        </w:rPr>
        <w:footnoteReference w:id="107"/>
      </w:r>
      <w:r>
        <w:t xml:space="preserve"> The Evans family assumed sole control of the Darley Abbey mill, a role they would maintain for nearly a century until 1903.</w:t>
      </w:r>
      <w:r>
        <w:rPr>
          <w:rStyle w:val="FootnoteReference"/>
        </w:rPr>
        <w:footnoteReference w:id="108"/>
      </w:r>
      <w:r>
        <w:t xml:space="preserve"> This transition from the original partnership to a family-led enterprise is noteworthy. It reflects the evolution of the business from its early collaborative origins to a more family-centred model. This shift may have been driven by changing economic conditions, technological advancements, or the desire for greater autonomy in decision-making. However, it most likely conforms to the pattern that Arkwright developed during his extensive involvement in many cotton manufactories across Northern England and Scotland, where he left the partnerships after an initial set-up period.</w:t>
      </w:r>
      <w:r>
        <w:rPr>
          <w:rStyle w:val="FootnoteReference"/>
        </w:rPr>
        <w:footnoteReference w:id="109"/>
      </w:r>
      <w:r>
        <w:t xml:space="preserve"> Throughout the firm's history, </w:t>
      </w:r>
      <w:r w:rsidR="00046697">
        <w:t>several close associates and family members, such as William Strutt, Elizabeth Strutt, and Moses Harvey, have been included</w:t>
      </w:r>
      <w:r>
        <w:t>.</w:t>
      </w:r>
      <w:r>
        <w:rPr>
          <w:rStyle w:val="FootnoteReference"/>
        </w:rPr>
        <w:footnoteReference w:id="110"/>
      </w:r>
      <w:r>
        <w:t xml:space="preserve"> While not direct kin, Moses Harvey emerged as a trusted inner management team member. This raises questions about the criteria for inclusion in the leadership circle and the role of trusted associates in the enterprise's long-term success. Another intriguing aspect is the involvement of Charles Upton, Thomas's son-in-law, who served as an attorney in Derby. His legal expertise was considered valuable for addressing legal matters related to the firm.</w:t>
      </w:r>
      <w:r>
        <w:rPr>
          <w:rStyle w:val="FootnoteReference"/>
        </w:rPr>
        <w:footnoteReference w:id="111"/>
      </w:r>
      <w:r>
        <w:t xml:space="preserve"> This highlights the multifaceted skill sets required to manage a complex enterprise successfully. Walter Evans (I), a key figure in the family's leadership, oversaw a substantial expansion of the mills between 1818 and 1821, </w:t>
      </w:r>
      <w:r w:rsidR="00046697">
        <w:t>which resulted in</w:t>
      </w:r>
      <w:r>
        <w:t xml:space="preserve"> over 500 employees.</w:t>
      </w:r>
      <w:r>
        <w:rPr>
          <w:rStyle w:val="FootnoteReference"/>
        </w:rPr>
        <w:footnoteReference w:id="112"/>
      </w:r>
      <w:r>
        <w:t xml:space="preserve"> This growth phase signifies the business's expansion capacity and impact on the local economy and labour market. In summary, the transformation of the Boar's Head Cotton Mills from a collaborative partnership to a family-led enterprise, the inclusion of trusted associates like Moses Harvey, and the pivotal role played by individuals with diverse expertise like Charles Upton and Walter Evans (I) all contribute to the complex and evolving narrative of the firm's history. </w:t>
      </w:r>
    </w:p>
    <w:p w14:paraId="10FBBB58" w14:textId="3AF4F2EB" w:rsidR="00C84D65" w:rsidRPr="001A7F0F" w:rsidRDefault="00C84D65" w:rsidP="00C84D65">
      <w:r>
        <w:t xml:space="preserve">These dynamics invite further exploration into the decision-making processes, leadership strategies, and the broader socio-economic context that shaped the trajectory of the mills over the years. Trust and trustworthiness played a crucial role in these developments. The dissolution of the initial collaborative partnership marked a structural shift and a change in the dynamics of trust within the business network. Arkwright, Strutt, and Evans had operated based on mutual trust, and their collaboration was instrumental in the mills' establishment. As this partnership evolved, how did trust and the perception of trustworthiness change within this transition? </w:t>
      </w:r>
      <w:r w:rsidR="00372DAE">
        <w:t>This is a</w:t>
      </w:r>
      <w:r>
        <w:t xml:space="preserve"> question revisited in Chapter Four. Including individuals like Moses Harvey, who may not have been strictly family or kin but earned trust within the inner circle of the management team, raises intriguing questions about the criteria for trust and the role of trusted associates in sustaining the enterprise's reputation. Furthermore, as the Evans family took sole control of the mill, their reputation and trustworthiness as a family group became central to the firm's success. As Chapters Two and Three demonstrate, their interactions with associates, family members, and the broader community would have been essential in maintaining and enhancing the reputation of the mills. Walter Evans's leadership in </w:t>
      </w:r>
      <w:r>
        <w:lastRenderedPageBreak/>
        <w:t>overseeing the expansion of the mills also reflects the network's trust in his capabilities and reputation as a leader. This growth phase not only impacted the business but also had implications for the reputation of the mills within the local community and the labour market. In essence, the transformation of the Boar's Head Cotton Mills was not just a structural shift but also a nuanced evolution of trust networks, trustworthiness assessments, and the business's reputation within its various contexts. These concepts underpinned the decision-making processes and leadership strategies that guided the mills' trajectory over the years.</w:t>
      </w:r>
    </w:p>
    <w:p w14:paraId="244EE57A" w14:textId="77777777" w:rsidR="00C84D65" w:rsidRDefault="00C84D65" w:rsidP="00C84D65">
      <w:pPr>
        <w:rPr>
          <w:b/>
          <w:bCs/>
          <w:i/>
          <w:iCs/>
        </w:rPr>
      </w:pPr>
      <w:r w:rsidRPr="007F34D5">
        <w:rPr>
          <w:b/>
          <w:bCs/>
          <w:i/>
          <w:iCs/>
        </w:rPr>
        <w:t>The Mills of McConnel &amp; Kennedy</w:t>
      </w:r>
    </w:p>
    <w:p w14:paraId="01C6503E" w14:textId="77777777" w:rsidR="00C84D65" w:rsidRDefault="00C84D65" w:rsidP="00C84D65">
      <w:r>
        <w:t>The McConnel &amp; Kennedy Mills emerged from the dissolution of a prior machine-making company, a partnership between James McConnel (1762-1831), John Kennedy (1769-1855), and the Sandford brothers, Benjamin and William, all Manchester residents.</w:t>
      </w:r>
      <w:r>
        <w:rPr>
          <w:rStyle w:val="FootnoteReference"/>
        </w:rPr>
        <w:footnoteReference w:id="113"/>
      </w:r>
      <w:r>
        <w:t xml:space="preserve"> The dissolution of this partnership in March 1795 marked a pivotal moment in the path of these entrepreneurs.</w:t>
      </w:r>
      <w:r>
        <w:rPr>
          <w:rStyle w:val="FootnoteReference"/>
        </w:rPr>
        <w:footnoteReference w:id="114"/>
      </w:r>
      <w:r>
        <w:t xml:space="preserve"> It freed McConnel and Kennedy to form a new, independent partnership, setting the stage for their venture into textile machinery and cotton spinning. This transition also entailed the reconfiguration of their networks and relationships. Trust and reputation played a crucial role during this period of change. As they embarked on their independent venture, McConnel and Kennedy had to leverage their reputations and trustworthiness within the business community to secure partnerships, investments, and skilled labour. These trust networks within and beyond Manchester were instrumental in their ability to adapt and thrive in the textile industry. Initially, the firm primarily focused on textile machinery, with cotton spinning as a supplementary income source. However, as time progressed, a notable shift occurred as cotton spinning began to take precedence over machine-making. This strategic evolution reflects the changing economic landscape and the growing opportunities within the textile industry, particularly in Manchester. It is important to note that this shift also impacted their reputation within the industry, as they diversified their operations and demonstrated their ability to adapt to market demands. The firm's choice of location was also strategic. Their move to Ancoats in 1797 and the adoption of Crompton's mule,</w:t>
      </w:r>
      <w:r w:rsidRPr="005E4EC8">
        <w:rPr>
          <w:rStyle w:val="FootnoteReference"/>
        </w:rPr>
        <w:t xml:space="preserve"> </w:t>
      </w:r>
      <w:r>
        <w:t>coupled with integrating steam-powered engines designed and installed by Boulton &amp; Watt,</w:t>
      </w:r>
      <w:r w:rsidRPr="00DE0413">
        <w:rPr>
          <w:rStyle w:val="FootnoteReference"/>
        </w:rPr>
        <w:t xml:space="preserve"> </w:t>
      </w:r>
      <w:r>
        <w:t>demonstrated an astute understanding of technological advancements and their impact on production efficiency.</w:t>
      </w:r>
      <w:r>
        <w:rPr>
          <w:rStyle w:val="FootnoteReference"/>
        </w:rPr>
        <w:footnoteReference w:id="115"/>
      </w:r>
      <w:r>
        <w:t xml:space="preserve">   </w:t>
      </w:r>
    </w:p>
    <w:p w14:paraId="3001029D" w14:textId="77777777" w:rsidR="00C84D65" w:rsidRPr="0009335E" w:rsidRDefault="00C84D65" w:rsidP="00C84D65">
      <w:r>
        <w:t>These choices improved their competitiveness and enhanced their reputation as innovators within the textile manufacturing network. By 1810, with the introduction of the 'Long Mill,' McConnel &amp; Kennedy experienced exponential growth, operating a staggering 78,000 spindles.</w:t>
      </w:r>
      <w:r>
        <w:rPr>
          <w:rStyle w:val="FootnoteReference"/>
        </w:rPr>
        <w:footnoteReference w:id="116"/>
      </w:r>
      <w:r>
        <w:t xml:space="preserve"> During this period, they also witnessed a remarkable increase in their capital stock, growing from £9,300 to £88,000.</w:t>
      </w:r>
      <w:r>
        <w:rPr>
          <w:rStyle w:val="FootnoteReference"/>
        </w:rPr>
        <w:footnoteReference w:id="117"/>
      </w:r>
      <w:r>
        <w:t xml:space="preserve"> Their ability to attract capital and investments has been attributed to their business acumen, their cautious approach and I would argue the trust they had established within their financial networks. The employment of over 1,000 people by 1815 highlighted the firm's substantial contribution to the local labour market and the trust it had garnered within the community.</w:t>
      </w:r>
      <w:r>
        <w:rPr>
          <w:rStyle w:val="FootnoteReference"/>
        </w:rPr>
        <w:footnoteReference w:id="118"/>
      </w:r>
      <w:r>
        <w:t xml:space="preserve"> The decision to expand further in 1818 with the construction of the Sedgewick Mill underscores their sustained ambition and adaptability in a rapidly changing industry.</w:t>
      </w:r>
      <w:r>
        <w:rPr>
          <w:rStyle w:val="FootnoteReference"/>
        </w:rPr>
        <w:footnoteReference w:id="119"/>
      </w:r>
      <w:r>
        <w:t xml:space="preserve"> Their capacity to attract skilled </w:t>
      </w:r>
      <w:r>
        <w:lastRenderedPageBreak/>
        <w:t>labour and partnerships for expansion speaks to the trustworthiness of their management. The retirement of John Kennedy in 1826 marked a significant transition, leading to the firm's rebranding as McConnel &amp; Company.</w:t>
      </w:r>
      <w:r>
        <w:rPr>
          <w:rStyle w:val="FootnoteReference"/>
        </w:rPr>
        <w:footnoteReference w:id="120"/>
      </w:r>
      <w:r>
        <w:t xml:space="preserve"> This transformation allowed for the continued family involvement, with James McConnel senior's sons—Henry, James, and William—joining the partnership.</w:t>
      </w:r>
      <w:r>
        <w:rPr>
          <w:rStyle w:val="FootnoteReference"/>
        </w:rPr>
        <w:footnoteReference w:id="121"/>
      </w:r>
      <w:r>
        <w:t xml:space="preserve"> This transition and the subsequent expansion of the business to encompass six cotton spinning mills reveal the enduring legacy of the McConnel family's enterprise and the strength of their family network. In retrospect, the journey of McConnel &amp; Kennedy, later McConnel &amp; Company, reflects not only their shrewd business acumen but also their ability to navigate and capitalise on the evolving dynamics of the textile industry during this period. Their strategic decisions, technological adaptability, and family continuity are emblematic of the complex interplay of entrepreneurship, technology, and family legacy within the industrial landscape, all underpinned by networks of trust, reputation, and trustworthiness. However, this thesis will argue that their social capital – even if it started at a lower base level than the Evans family – was crucial to their success, but both case studies’ social capital required constant management. </w:t>
      </w:r>
    </w:p>
    <w:p w14:paraId="12DFF6F8" w14:textId="77777777" w:rsidR="005A05DF" w:rsidRDefault="005A05DF" w:rsidP="00F52666">
      <w:pPr>
        <w:pStyle w:val="Heading2"/>
        <w:rPr>
          <w:rFonts w:asciiTheme="minorHAnsi" w:hAnsiTheme="minorHAnsi" w:cstheme="minorHAnsi"/>
          <w:b/>
          <w:bCs/>
          <w:color w:val="auto"/>
          <w:sz w:val="24"/>
          <w:szCs w:val="24"/>
        </w:rPr>
      </w:pPr>
      <w:bookmarkStart w:id="41" w:name="_Toc170825658"/>
      <w:r w:rsidRPr="00F52666">
        <w:rPr>
          <w:rFonts w:asciiTheme="minorHAnsi" w:hAnsiTheme="minorHAnsi" w:cstheme="minorHAnsi"/>
          <w:b/>
          <w:bCs/>
          <w:color w:val="auto"/>
          <w:sz w:val="24"/>
          <w:szCs w:val="24"/>
        </w:rPr>
        <w:t>The Kinship Networks, Families and Their People</w:t>
      </w:r>
      <w:bookmarkEnd w:id="41"/>
    </w:p>
    <w:p w14:paraId="351241B7" w14:textId="7B102A72" w:rsidR="005A05DF" w:rsidRDefault="005A05DF" w:rsidP="005A05DF">
      <w:pPr>
        <w:rPr>
          <w:i/>
          <w:iCs/>
          <w:sz w:val="24"/>
          <w:szCs w:val="24"/>
        </w:rPr>
      </w:pPr>
      <w:r w:rsidRPr="00A5427B">
        <w:rPr>
          <w:i/>
          <w:iCs/>
          <w:sz w:val="24"/>
          <w:szCs w:val="24"/>
        </w:rPr>
        <w:t>The Evans Family</w:t>
      </w:r>
      <w:r>
        <w:rPr>
          <w:i/>
          <w:iCs/>
          <w:sz w:val="24"/>
          <w:szCs w:val="24"/>
        </w:rPr>
        <w:t xml:space="preserve"> </w:t>
      </w:r>
    </w:p>
    <w:p w14:paraId="186FD71C" w14:textId="44F8633F" w:rsidR="005A05DF" w:rsidRDefault="005A05DF" w:rsidP="005A05DF">
      <w:r w:rsidRPr="006B5AD4">
        <w:t>The Evans family story can be traced back to Winster in Derbyshire, where Thomas’ grandfather, Anthony</w:t>
      </w:r>
      <w:r>
        <w:t xml:space="preserve"> (1650-1719)</w:t>
      </w:r>
      <w:r w:rsidRPr="006B5AD4">
        <w:t>, was known as a yeoman farmer in the late seventeenth century.</w:t>
      </w:r>
      <w:r>
        <w:rPr>
          <w:rStyle w:val="FootnoteReference"/>
        </w:rPr>
        <w:footnoteReference w:id="122"/>
      </w:r>
      <w:r w:rsidRPr="006B5AD4">
        <w:t xml:space="preserve"> </w:t>
      </w:r>
      <w:r>
        <w:t>Very little is known about Anthony Evans and his life. What is known is that he was a yeoman farmer from Winster, a quaint village in North Derbyshire.</w:t>
      </w:r>
      <w:r>
        <w:rPr>
          <w:rStyle w:val="FootnoteReference"/>
        </w:rPr>
        <w:footnoteReference w:id="123"/>
      </w:r>
      <w:r>
        <w:t xml:space="preserve"> In 1688, he married Hannah Fearne</w:t>
      </w:r>
      <w:r w:rsidR="002916BB">
        <w:t xml:space="preserve"> (1664-1698)</w:t>
      </w:r>
      <w:r>
        <w:t>, a member of the Fearne family of Bonsall. Hannah's roots could be traced to Bonsall House, eighteen miles north of Derby and five miles from Matlock. The Fearne family's acquisition of lands in Bonsall followed the restoration of King Charles II in 1660.</w:t>
      </w:r>
      <w:r>
        <w:rPr>
          <w:rStyle w:val="FootnoteReference"/>
        </w:rPr>
        <w:footnoteReference w:id="124"/>
      </w:r>
      <w:r w:rsidR="00DA310E">
        <w:t xml:space="preserve"> </w:t>
      </w:r>
      <w:r>
        <w:t>The Hearth Tax Assessments of 1664 and 1670 documented the Fearne family's presence in Bonsall, with widow Fearne having four hearths and Robert Fearne boasting five.</w:t>
      </w:r>
      <w:r>
        <w:rPr>
          <w:rStyle w:val="FootnoteReference"/>
        </w:rPr>
        <w:footnoteReference w:id="125"/>
      </w:r>
      <w:r>
        <w:t xml:space="preserve"> Through the union of Anthony and Hannah, a portion of the lead interests owned by the Fearne family </w:t>
      </w:r>
      <w:r w:rsidR="002D5DCB">
        <w:t>were transferred</w:t>
      </w:r>
      <w:r w:rsidR="00355ED2">
        <w:t xml:space="preserve"> by the marriage alliance</w:t>
      </w:r>
      <w:r>
        <w:t xml:space="preserve"> to the Evans family. This marital alliance was just one of several that significantly contributed to the Evans family's journey toward accumulating </w:t>
      </w:r>
      <w:r w:rsidR="00811099">
        <w:t xml:space="preserve">great </w:t>
      </w:r>
      <w:r>
        <w:t>wealth and establishing robust business connections</w:t>
      </w:r>
      <w:r w:rsidR="00091363">
        <w:t xml:space="preserve"> that aided their journey to becoming cotton factory masters</w:t>
      </w:r>
      <w:r>
        <w:t>. As Catherine Hall and Leonore Davidoff have argued, family enterprises needed the labour of both genders as the production of children was crucial to the continuation of the industrial expansion and the increasing connectivity of the wider kinship network and social circles.</w:t>
      </w:r>
      <w:r>
        <w:rPr>
          <w:rStyle w:val="FootnoteReference"/>
        </w:rPr>
        <w:footnoteReference w:id="126"/>
      </w:r>
      <w:r>
        <w:t xml:space="preserve"> This marriage alliance also marked the inception of the next generation, as the couple bore five children. Of these offspring, the most noteworthy for the capital accumulation channelled into the later cotton mill was their son and heir, Edmund Evans (1688-1746).</w:t>
      </w:r>
    </w:p>
    <w:p w14:paraId="159C078B" w14:textId="7EBC4A23" w:rsidR="005A05DF" w:rsidRDefault="005A05DF" w:rsidP="005A05DF">
      <w:r>
        <w:t>To solidify the burgeoning wealth and status of the family, Edmund realised the need for a strategic marriage alliance. This role was fulfilled when he married Rebecca Gell (1686-1767) from Middleton-by-Wirksworth.</w:t>
      </w:r>
      <w:r>
        <w:rPr>
          <w:rStyle w:val="FootnoteReference"/>
        </w:rPr>
        <w:footnoteReference w:id="127"/>
      </w:r>
      <w:r>
        <w:t xml:space="preserve"> Edmund's union with Rebecca Gell marked a pivotal moment that significantly </w:t>
      </w:r>
      <w:r>
        <w:lastRenderedPageBreak/>
        <w:t xml:space="preserve">amplified the Evans family's industrial legacy and opened a wide and influential set of kinship connections for the Evans family. The </w:t>
      </w:r>
      <w:r w:rsidR="00355ED2">
        <w:t xml:space="preserve">gentry </w:t>
      </w:r>
      <w:r>
        <w:t>Gell family owned Hopton Hall in Derbyshire through a more senior lineage branch than Rebecca’s.</w:t>
      </w:r>
      <w:r w:rsidR="00F46CAB">
        <w:rPr>
          <w:rStyle w:val="FootnoteReference"/>
        </w:rPr>
        <w:footnoteReference w:id="128"/>
      </w:r>
      <w:r>
        <w:t xml:space="preserve"> Rebecca was a descendant of Sir Ralph Gell of Hopton (1491-1564) through her paternal line and was the daughter of Thomas Gell and Mary Spencer.</w:t>
      </w:r>
      <w:r w:rsidR="00DA20CF">
        <w:rPr>
          <w:rStyle w:val="FootnoteReference"/>
        </w:rPr>
        <w:footnoteReference w:id="129"/>
      </w:r>
      <w:r>
        <w:t xml:space="preserve"> Sir Ralph Gell was a significant landowner and member of the minor gentry whose landholdings included Hopton Estate and the manor of Darley Abbey.</w:t>
      </w:r>
      <w:r w:rsidR="00F46CAB">
        <w:rPr>
          <w:rStyle w:val="FootnoteReference"/>
        </w:rPr>
        <w:footnoteReference w:id="130"/>
      </w:r>
      <w:r>
        <w:t xml:space="preserve"> Among the minor gentry, the </w:t>
      </w:r>
      <w:proofErr w:type="spellStart"/>
      <w:r>
        <w:t>Gells</w:t>
      </w:r>
      <w:proofErr w:type="spellEnd"/>
      <w:r>
        <w:t xml:space="preserve"> of Hopton Hall, the Twiggs of Holme Hall, the Thornhill family of Stanton Hall, and Lord Scarsdale of Kedleston Hall held substantial interests in various lead ventures across Derbyshire and the Peak District.</w:t>
      </w:r>
      <w:r w:rsidR="00DA20CF">
        <w:rPr>
          <w:rStyle w:val="FootnoteReference"/>
        </w:rPr>
        <w:footnoteReference w:id="131"/>
      </w:r>
      <w:r>
        <w:t xml:space="preserve"> Edmund's marriage to Rebecca Gell and his inheritance of the Bonsall lead and calamine deposits gave him the connections and resources to diversify the family's business endeavours in other metal trades.</w:t>
      </w:r>
      <w:r w:rsidR="008C6001">
        <w:t xml:space="preserve"> </w:t>
      </w:r>
      <w:r w:rsidR="0011359D">
        <w:t xml:space="preserve">One interpretation of the trace evidence </w:t>
      </w:r>
      <w:r w:rsidR="00AB31C5">
        <w:t>of the family is that Edmund Evans was able to build upon this</w:t>
      </w:r>
      <w:r>
        <w:t xml:space="preserve"> expansion </w:t>
      </w:r>
      <w:r w:rsidR="009650A3">
        <w:t>and move to Derby</w:t>
      </w:r>
      <w:r>
        <w:t xml:space="preserve"> where, in 1734, he established iron and copper rolling and slitting mills on an island in the river Derwent known as the Holmes.</w:t>
      </w:r>
      <w:r w:rsidR="00306629">
        <w:rPr>
          <w:rStyle w:val="FootnoteReference"/>
        </w:rPr>
        <w:footnoteReference w:id="132"/>
      </w:r>
      <w:r w:rsidR="009650A3">
        <w:t xml:space="preserve"> However, another interpretation is that these mills were </w:t>
      </w:r>
      <w:r w:rsidR="009D4CCE">
        <w:t>owned by a distant kinship member William Evans and that the mills were transferred into Edmund’s branch of the family</w:t>
      </w:r>
      <w:r w:rsidR="0006044D">
        <w:t xml:space="preserve"> </w:t>
      </w:r>
      <w:r w:rsidR="00F80049">
        <w:t xml:space="preserve">after </w:t>
      </w:r>
      <w:r w:rsidR="0006044D">
        <w:t xml:space="preserve">1750 when his son Thomas married </w:t>
      </w:r>
      <w:r w:rsidR="000C11FF">
        <w:t xml:space="preserve">William’s daughter </w:t>
      </w:r>
      <w:r w:rsidR="00430135">
        <w:t>Sarah Evans.</w:t>
      </w:r>
      <w:r w:rsidR="000C11FF">
        <w:rPr>
          <w:rStyle w:val="FootnoteReference"/>
        </w:rPr>
        <w:footnoteReference w:id="133"/>
      </w:r>
      <w:r w:rsidR="00430135">
        <w:t xml:space="preserve"> Either way the mills were still owned by the wider Evans kinship group</w:t>
      </w:r>
      <w:r w:rsidR="0095413B">
        <w:t xml:space="preserve"> and were fundamental in providing </w:t>
      </w:r>
      <w:r w:rsidR="003105CF">
        <w:t>capital assets and business relationships</w:t>
      </w:r>
      <w:r w:rsidR="00306629">
        <w:t xml:space="preserve"> to the family before they entered the cotton trade. </w:t>
      </w:r>
      <w:r>
        <w:t xml:space="preserve"> </w:t>
      </w:r>
    </w:p>
    <w:p w14:paraId="1DDA2615" w14:textId="0B87DEA5" w:rsidR="005A05DF" w:rsidRDefault="005A05DF" w:rsidP="005A05DF">
      <w:r w:rsidRPr="00F57314">
        <w:t>Once again, the union of Edmund and Rebecca ushered in another generation comprising eight children. Though Anthony's life was tragically short</w:t>
      </w:r>
      <w:r w:rsidR="0049496C">
        <w:t>, being</w:t>
      </w:r>
      <w:r w:rsidRPr="00F57314">
        <w:t xml:space="preserve"> </w:t>
      </w:r>
      <w:r w:rsidR="0049496C">
        <w:t xml:space="preserve">less than </w:t>
      </w:r>
      <w:r w:rsidRPr="00F57314">
        <w:t xml:space="preserve">a year, seven of their children reached maturity, each playing a pivotal role in fostering the family's prosperity and renown. The eldest son, Edmund Evans (1712-1791), </w:t>
      </w:r>
      <w:r>
        <w:t>was educated</w:t>
      </w:r>
      <w:r w:rsidRPr="00F57314">
        <w:t xml:space="preserve"> at Chesterfield School</w:t>
      </w:r>
      <w:r w:rsidR="00F46CAB">
        <w:t xml:space="preserve"> </w:t>
      </w:r>
      <w:r w:rsidRPr="00F57314">
        <w:t>and St. John's College, Cambridge.</w:t>
      </w:r>
      <w:r w:rsidR="004446D4">
        <w:rPr>
          <w:rStyle w:val="FootnoteReference"/>
        </w:rPr>
        <w:footnoteReference w:id="134"/>
      </w:r>
      <w:r w:rsidR="00F46CAB">
        <w:t xml:space="preserve"> </w:t>
      </w:r>
      <w:r w:rsidRPr="00F57314">
        <w:t xml:space="preserve">He </w:t>
      </w:r>
      <w:r>
        <w:t xml:space="preserve">became the Reverend of Mayfield in Staffordshire and </w:t>
      </w:r>
      <w:r w:rsidRPr="00F57314">
        <w:t>entered matrimony with Sarah Greaves, the daughter of William Greaves</w:t>
      </w:r>
      <w:r w:rsidR="00527656">
        <w:t xml:space="preserve"> (1687-1753)</w:t>
      </w:r>
      <w:r w:rsidRPr="00F57314">
        <w:t>, Esquire of Mayfield Hall.</w:t>
      </w:r>
      <w:r w:rsidR="00527656">
        <w:rPr>
          <w:rStyle w:val="FootnoteReference"/>
        </w:rPr>
        <w:footnoteReference w:id="135"/>
      </w:r>
      <w:r w:rsidRPr="00F57314">
        <w:t xml:space="preserve"> This union between </w:t>
      </w:r>
      <w:r>
        <w:t xml:space="preserve">Reverend </w:t>
      </w:r>
      <w:r w:rsidRPr="00F57314">
        <w:t>Edmund and Sarah bore six children.</w:t>
      </w:r>
      <w:r w:rsidR="000D2E03">
        <w:rPr>
          <w:rStyle w:val="FootnoteReference"/>
        </w:rPr>
        <w:footnoteReference w:id="136"/>
      </w:r>
      <w:r>
        <w:t xml:space="preserve"> </w:t>
      </w:r>
      <w:r w:rsidRPr="00F57314">
        <w:t>Anthony, the second son of Edmund and Rebecca, passed away at a tender age. Thomas Evans held the position of their third son</w:t>
      </w:r>
      <w:r>
        <w:t xml:space="preserve">, and he was the industrialist </w:t>
      </w:r>
      <w:r w:rsidR="00796990">
        <w:t>who</w:t>
      </w:r>
      <w:r>
        <w:t xml:space="preserve"> connected the family to the cotton trade</w:t>
      </w:r>
      <w:r w:rsidRPr="00F57314">
        <w:t xml:space="preserve">. </w:t>
      </w:r>
      <w:r>
        <w:t>Their fourth son, George Evans</w:t>
      </w:r>
      <w:r w:rsidR="00F46CAB">
        <w:t xml:space="preserve"> (1726-1808)</w:t>
      </w:r>
      <w:r>
        <w:t xml:space="preserve">, </w:t>
      </w:r>
      <w:r w:rsidRPr="00F57314">
        <w:t>joined in matrimony with Ann Nightingale</w:t>
      </w:r>
      <w:r w:rsidR="00F46CAB">
        <w:t xml:space="preserve"> (1733-1815)</w:t>
      </w:r>
      <w:r w:rsidRPr="00F57314">
        <w:t xml:space="preserve">, the daughter of Peter Nightingale </w:t>
      </w:r>
      <w:r w:rsidR="00F46CAB">
        <w:t xml:space="preserve">(1704-1763) </w:t>
      </w:r>
      <w:r w:rsidRPr="00F57314">
        <w:t>of Lea.</w:t>
      </w:r>
      <w:r w:rsidR="00F46CAB">
        <w:t xml:space="preserve"> Peter Nightingale and his son Peter (1836-1803) were also cotton mill owners at Lea.</w:t>
      </w:r>
      <w:r w:rsidRPr="00F57314">
        <w:t xml:space="preserve"> Notably, this connection </w:t>
      </w:r>
      <w:r>
        <w:t>made</w:t>
      </w:r>
      <w:r w:rsidRPr="00F57314">
        <w:t xml:space="preserve"> Thomas Evans the </w:t>
      </w:r>
      <w:r>
        <w:t>great-great-granduncle</w:t>
      </w:r>
      <w:r w:rsidRPr="00F57314">
        <w:t xml:space="preserve"> of Florence Nightingale</w:t>
      </w:r>
      <w:r w:rsidR="00F46CAB">
        <w:t xml:space="preserve"> (1820-1910)</w:t>
      </w:r>
      <w:r w:rsidRPr="00F57314">
        <w:t>.</w:t>
      </w:r>
      <w:r w:rsidR="00337857">
        <w:rPr>
          <w:rStyle w:val="FootnoteReference"/>
        </w:rPr>
        <w:footnoteReference w:id="137"/>
      </w:r>
      <w:r w:rsidRPr="00F57314">
        <w:t xml:space="preserve"> </w:t>
      </w:r>
      <w:r>
        <w:t>Henry Evans</w:t>
      </w:r>
      <w:r w:rsidR="00F46CAB">
        <w:t xml:space="preserve"> (1731-1805)</w:t>
      </w:r>
      <w:r>
        <w:t xml:space="preserve"> was the youngest of </w:t>
      </w:r>
      <w:r w:rsidR="00145404">
        <w:t>Edmund and Rebeccas’</w:t>
      </w:r>
      <w:r>
        <w:t xml:space="preserve"> sons</w:t>
      </w:r>
      <w:r w:rsidRPr="00F57314">
        <w:t xml:space="preserve">, who, on the 24th of August 1757, </w:t>
      </w:r>
      <w:r w:rsidR="00F46CAB">
        <w:t>married</w:t>
      </w:r>
      <w:r w:rsidRPr="00F57314">
        <w:t xml:space="preserve"> Martha Wood</w:t>
      </w:r>
      <w:r w:rsidR="00F46CAB">
        <w:t xml:space="preserve"> (1732-)</w:t>
      </w:r>
      <w:r w:rsidRPr="00F57314">
        <w:t>, the daughter of John Wood</w:t>
      </w:r>
      <w:r w:rsidR="00F46CAB">
        <w:t xml:space="preserve"> (1699-1754)</w:t>
      </w:r>
      <w:r w:rsidRPr="00F57314">
        <w:t xml:space="preserve"> of Swanick</w:t>
      </w:r>
      <w:r>
        <w:t xml:space="preserve"> Hall</w:t>
      </w:r>
      <w:r w:rsidRPr="00F57314">
        <w:t xml:space="preserve"> and Martha Wilson</w:t>
      </w:r>
      <w:r w:rsidR="00F46CAB">
        <w:t xml:space="preserve"> (1702-1773)</w:t>
      </w:r>
      <w:r w:rsidRPr="00F57314">
        <w:t xml:space="preserve"> of Heanor.</w:t>
      </w:r>
      <w:r w:rsidR="009D68AA">
        <w:rPr>
          <w:rStyle w:val="FootnoteReference"/>
        </w:rPr>
        <w:footnoteReference w:id="138"/>
      </w:r>
      <w:r w:rsidRPr="00F57314">
        <w:t xml:space="preserve"> Henry relocated to Burton, where he </w:t>
      </w:r>
      <w:r w:rsidRPr="00F57314">
        <w:lastRenderedPageBreak/>
        <w:t>pursued a career as a brewer and merchant along the river Trent navigation.</w:t>
      </w:r>
      <w:r w:rsidR="00F46CAB">
        <w:rPr>
          <w:rStyle w:val="FootnoteReference"/>
        </w:rPr>
        <w:footnoteReference w:id="139"/>
      </w:r>
      <w:r>
        <w:t xml:space="preserve"> </w:t>
      </w:r>
      <w:r w:rsidRPr="00F57314">
        <w:t>Edmund and Rebecca's daughters were Mary Evans</w:t>
      </w:r>
      <w:r w:rsidR="00527656">
        <w:t xml:space="preserve"> (1715-1794)</w:t>
      </w:r>
      <w:r>
        <w:t>,</w:t>
      </w:r>
      <w:r w:rsidRPr="00F57314">
        <w:t xml:space="preserve"> Elizabeth Evans</w:t>
      </w:r>
      <w:r w:rsidR="00527656">
        <w:t xml:space="preserve"> (1719-1798)</w:t>
      </w:r>
      <w:r>
        <w:t>,</w:t>
      </w:r>
      <w:r w:rsidRPr="00F57314">
        <w:t xml:space="preserve"> and Hannah Evans</w:t>
      </w:r>
      <w:r w:rsidR="00527656">
        <w:t xml:space="preserve"> (1717-1768)</w:t>
      </w:r>
      <w:r w:rsidRPr="00F57314">
        <w:t xml:space="preserve">, who became the wife of Reverend Anthony Carr of Darley and Alfreton. This generation of the family achieved the dual feat of consolidating and subsequently expanding the wealth and </w:t>
      </w:r>
      <w:r>
        <w:t xml:space="preserve">kinship </w:t>
      </w:r>
      <w:r w:rsidRPr="00F57314">
        <w:t>network of the Evans family.</w:t>
      </w:r>
    </w:p>
    <w:p w14:paraId="0C3D652B" w14:textId="5FBCBE7A" w:rsidR="00DC1D8B" w:rsidRDefault="005A05DF" w:rsidP="00632C36">
      <w:r w:rsidRPr="006B5AD4">
        <w:t>While not initially aristocratic, the Evans family</w:t>
      </w:r>
      <w:r w:rsidR="00527656">
        <w:t xml:space="preserve"> had</w:t>
      </w:r>
      <w:r w:rsidRPr="006B5AD4">
        <w:t xml:space="preserve"> established close</w:t>
      </w:r>
      <w:r w:rsidR="00527656">
        <w:t xml:space="preserve"> kinship and community</w:t>
      </w:r>
      <w:r w:rsidRPr="006B5AD4">
        <w:t xml:space="preserve"> connections with the landed gentry</w:t>
      </w:r>
      <w:r w:rsidR="00527656">
        <w:t>.</w:t>
      </w:r>
      <w:r w:rsidRPr="006B5AD4">
        <w:t xml:space="preserve"> </w:t>
      </w:r>
      <w:r>
        <w:t>The</w:t>
      </w:r>
      <w:r w:rsidR="00527656">
        <w:t>se</w:t>
      </w:r>
      <w:r>
        <w:t xml:space="preserve"> early</w:t>
      </w:r>
      <w:r w:rsidRPr="006B5AD4">
        <w:t xml:space="preserve"> ties to the gentry and their interests in lead and calamine mines in Derbyshire were forged through advantageous marriage connections. Their journey into the commercial elite of Derbyshire and Staffordshire commenced with their involvement in the lead industry</w:t>
      </w:r>
      <w:r>
        <w:t>. It expanded</w:t>
      </w:r>
      <w:r w:rsidRPr="006B5AD4">
        <w:t xml:space="preserve"> to encompass the iron, copper, brewing</w:t>
      </w:r>
      <w:r>
        <w:t>, timber, paper-making</w:t>
      </w:r>
      <w:r w:rsidRPr="006B5AD4">
        <w:t xml:space="preserve"> trades</w:t>
      </w:r>
      <w:r>
        <w:t>, and later the banking and cotton trades</w:t>
      </w:r>
      <w:r w:rsidRPr="006B5AD4">
        <w:t>. This expansion of their industrial portfolio continued, prope</w:t>
      </w:r>
      <w:r w:rsidR="00527656">
        <w:t>lled</w:t>
      </w:r>
      <w:r w:rsidRPr="006B5AD4">
        <w:t xml:space="preserve"> them to the peak of the commercial elite in Derbyshire and Staffordshire. The evolving industrial landscape of the Midlands played a pivotal role in increasing the family's wealth and social standing. Over six generations of ascension from yeoman farmers, the family achieved aristocratic status when Sir (Thomas) William Evans</w:t>
      </w:r>
      <w:r>
        <w:t xml:space="preserve"> (1821-1892) </w:t>
      </w:r>
      <w:r w:rsidRPr="006B5AD4">
        <w:t>of Allestree Hall was granted a Baronetcy in 1887.</w:t>
      </w:r>
      <w:r>
        <w:rPr>
          <w:rStyle w:val="FootnoteReference"/>
        </w:rPr>
        <w:footnoteReference w:id="140"/>
      </w:r>
      <w:r>
        <w:t xml:space="preserve"> The family’s fortunes were made from many commercial enterprises and involvement in various trades and industries, of which cotton was one. </w:t>
      </w:r>
    </w:p>
    <w:p w14:paraId="701F692C" w14:textId="77777777" w:rsidR="00372DAE" w:rsidRDefault="00372DAE" w:rsidP="00632C36"/>
    <w:p w14:paraId="66C050E9" w14:textId="77777777" w:rsidR="00372DAE" w:rsidRDefault="00372DAE" w:rsidP="00632C36"/>
    <w:p w14:paraId="6E85EB7A" w14:textId="77777777" w:rsidR="00372DAE" w:rsidRDefault="00372DAE" w:rsidP="00632C36"/>
    <w:p w14:paraId="1385206E" w14:textId="77777777" w:rsidR="00372DAE" w:rsidRDefault="00372DAE" w:rsidP="00632C36"/>
    <w:p w14:paraId="49784396" w14:textId="77777777" w:rsidR="00372DAE" w:rsidRDefault="00372DAE" w:rsidP="00632C36"/>
    <w:p w14:paraId="2CF9DA27" w14:textId="77777777" w:rsidR="00372DAE" w:rsidRDefault="00372DAE" w:rsidP="00632C36"/>
    <w:p w14:paraId="22A9FAAD" w14:textId="77777777" w:rsidR="00372DAE" w:rsidRDefault="00372DAE" w:rsidP="00632C36"/>
    <w:p w14:paraId="73DF32A9" w14:textId="77777777" w:rsidR="00372DAE" w:rsidRDefault="00372DAE" w:rsidP="00632C36"/>
    <w:p w14:paraId="35B5C8EB" w14:textId="77777777" w:rsidR="00372DAE" w:rsidRDefault="00372DAE" w:rsidP="00632C36"/>
    <w:p w14:paraId="37D4AE62" w14:textId="77777777" w:rsidR="00372DAE" w:rsidRDefault="00372DAE" w:rsidP="00632C36"/>
    <w:p w14:paraId="359C9299" w14:textId="77777777" w:rsidR="00372DAE" w:rsidRDefault="00372DAE" w:rsidP="00632C36">
      <w:pPr>
        <w:rPr>
          <w:i/>
          <w:iCs/>
          <w:sz w:val="24"/>
          <w:szCs w:val="24"/>
        </w:rPr>
      </w:pPr>
    </w:p>
    <w:p w14:paraId="62FD740B" w14:textId="77777777" w:rsidR="00372DAE" w:rsidRDefault="00372DAE" w:rsidP="00372DAE">
      <w:pPr>
        <w:rPr>
          <w:sz w:val="24"/>
          <w:szCs w:val="24"/>
        </w:rPr>
      </w:pPr>
    </w:p>
    <w:p w14:paraId="4D8407A4" w14:textId="3BEE3CF6" w:rsidR="00632C36" w:rsidRDefault="00632C36" w:rsidP="00DC1D8B">
      <w:pPr>
        <w:rPr>
          <w:i/>
          <w:iCs/>
          <w:sz w:val="24"/>
          <w:szCs w:val="24"/>
        </w:rPr>
      </w:pPr>
    </w:p>
    <w:p w14:paraId="17FF4CC8" w14:textId="3DA56C94" w:rsidR="00632C36" w:rsidRDefault="00372DAE" w:rsidP="00DC1D8B">
      <w:pPr>
        <w:rPr>
          <w:i/>
          <w:iCs/>
          <w:sz w:val="24"/>
          <w:szCs w:val="24"/>
        </w:rPr>
      </w:pPr>
      <w:r w:rsidRPr="00372DAE">
        <w:rPr>
          <w:rFonts w:cstheme="minorHAnsi"/>
          <w:i/>
          <w:iCs/>
          <w:noProof/>
          <w:sz w:val="24"/>
          <w:szCs w:val="24"/>
        </w:rPr>
        <w:lastRenderedPageBreak/>
        <mc:AlternateContent>
          <mc:Choice Requires="wps">
            <w:drawing>
              <wp:anchor distT="45720" distB="45720" distL="114300" distR="114300" simplePos="0" relativeHeight="251661312" behindDoc="0" locked="0" layoutInCell="1" allowOverlap="1" wp14:anchorId="7D7CF3C0" wp14:editId="60882630">
                <wp:simplePos x="0" y="0"/>
                <wp:positionH relativeFrom="margin">
                  <wp:posOffset>3114674</wp:posOffset>
                </wp:positionH>
                <wp:positionV relativeFrom="paragraph">
                  <wp:posOffset>5555615</wp:posOffset>
                </wp:positionV>
                <wp:extent cx="5305425" cy="447675"/>
                <wp:effectExtent l="0" t="9525"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05425" cy="447675"/>
                        </a:xfrm>
                        <a:prstGeom prst="rect">
                          <a:avLst/>
                        </a:prstGeom>
                        <a:solidFill>
                          <a:srgbClr val="FFFFFF"/>
                        </a:solidFill>
                        <a:ln w="9525">
                          <a:solidFill>
                            <a:schemeClr val="bg1"/>
                          </a:solidFill>
                          <a:miter lim="800000"/>
                          <a:headEnd/>
                          <a:tailEnd/>
                        </a:ln>
                      </wps:spPr>
                      <wps:txbx>
                        <w:txbxContent>
                          <w:p w14:paraId="3C7B560E" w14:textId="77777777" w:rsidR="00372DAE" w:rsidRPr="00F85C08" w:rsidRDefault="00372DAE" w:rsidP="00372DAE">
                            <w:pPr>
                              <w:rPr>
                                <w:sz w:val="18"/>
                                <w:szCs w:val="18"/>
                              </w:rPr>
                            </w:pPr>
                            <w:r w:rsidRPr="00F85C08">
                              <w:rPr>
                                <w:sz w:val="18"/>
                                <w:szCs w:val="18"/>
                              </w:rPr>
                              <w:t xml:space="preserve">[Figure </w:t>
                            </w:r>
                            <w:r>
                              <w:rPr>
                                <w:sz w:val="18"/>
                                <w:szCs w:val="18"/>
                              </w:rPr>
                              <w:t>1</w:t>
                            </w:r>
                            <w:r w:rsidRPr="00F85C08">
                              <w:rPr>
                                <w:sz w:val="18"/>
                                <w:szCs w:val="18"/>
                              </w:rPr>
                              <w:t xml:space="preserve">: Family Tree Chart for the </w:t>
                            </w:r>
                            <w:r>
                              <w:rPr>
                                <w:sz w:val="18"/>
                                <w:szCs w:val="18"/>
                              </w:rPr>
                              <w:t>Evans</w:t>
                            </w:r>
                            <w:r w:rsidRPr="00F85C08">
                              <w:rPr>
                                <w:sz w:val="18"/>
                                <w:szCs w:val="18"/>
                              </w:rPr>
                              <w:t xml:space="preserve"> Family (see Appendix</w:t>
                            </w:r>
                            <w:r>
                              <w:rPr>
                                <w:sz w:val="18"/>
                                <w:szCs w:val="18"/>
                              </w:rPr>
                              <w:t xml:space="preserve"> One</w:t>
                            </w:r>
                            <w:r w:rsidRPr="00F85C08">
                              <w:rPr>
                                <w:sz w:val="18"/>
                                <w:szCs w:val="18"/>
                              </w:rPr>
                              <w:t xml:space="preserve"> for more details) Sourced from genealogical research by Katherine Everitt</w:t>
                            </w:r>
                            <w:r>
                              <w:rPr>
                                <w:sz w:val="18"/>
                                <w:szCs w:val="18"/>
                              </w:rPr>
                              <w:t>]</w:t>
                            </w:r>
                          </w:p>
                          <w:p w14:paraId="021131FB" w14:textId="68930FBF" w:rsidR="00372DAE" w:rsidRDefault="00372DAE"/>
                          <w:p w14:paraId="4F940CC1" w14:textId="77777777" w:rsidR="00372DAE" w:rsidRDefault="00372D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CF3C0" id="_x0000_t202" coordsize="21600,21600" o:spt="202" path="m,l,21600r21600,l21600,xe">
                <v:stroke joinstyle="miter"/>
                <v:path gradientshapeok="t" o:connecttype="rect"/>
              </v:shapetype>
              <v:shape id="Text Box 2" o:spid="_x0000_s1026" type="#_x0000_t202" style="position:absolute;margin-left:245.25pt;margin-top:437.45pt;width:417.75pt;height:35.25pt;rotation:-90;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" strokecolor="white [3212]">
                <v:textbox>
                  <w:txbxContent>
                    <w:p w14:paraId="3C7B560E" w14:textId="77777777" w:rsidR="00372DAE" w:rsidRPr="00F85C08" w:rsidRDefault="00372DAE" w:rsidP="00372DAE">
                      <w:pPr>
                        <w:rPr>
                          <w:sz w:val="18"/>
                          <w:szCs w:val="18"/>
                        </w:rPr>
                      </w:pPr>
                      <w:r w:rsidRPr="00F85C08">
                        <w:rPr>
                          <w:sz w:val="18"/>
                          <w:szCs w:val="18"/>
                        </w:rPr>
                        <w:t xml:space="preserve">[Figure </w:t>
                      </w:r>
                      <w:r>
                        <w:rPr>
                          <w:sz w:val="18"/>
                          <w:szCs w:val="18"/>
                        </w:rPr>
                        <w:t>1</w:t>
                      </w:r>
                      <w:r w:rsidRPr="00F85C08">
                        <w:rPr>
                          <w:sz w:val="18"/>
                          <w:szCs w:val="18"/>
                        </w:rPr>
                        <w:t xml:space="preserve">: Family Tree Chart for the </w:t>
                      </w:r>
                      <w:r>
                        <w:rPr>
                          <w:sz w:val="18"/>
                          <w:szCs w:val="18"/>
                        </w:rPr>
                        <w:t>Evans</w:t>
                      </w:r>
                      <w:r w:rsidRPr="00F85C08">
                        <w:rPr>
                          <w:sz w:val="18"/>
                          <w:szCs w:val="18"/>
                        </w:rPr>
                        <w:t xml:space="preserve"> Family (see Appendix</w:t>
                      </w:r>
                      <w:r>
                        <w:rPr>
                          <w:sz w:val="18"/>
                          <w:szCs w:val="18"/>
                        </w:rPr>
                        <w:t xml:space="preserve"> One</w:t>
                      </w:r>
                      <w:r w:rsidRPr="00F85C08">
                        <w:rPr>
                          <w:sz w:val="18"/>
                          <w:szCs w:val="18"/>
                        </w:rPr>
                        <w:t xml:space="preserve"> for more details) Sourced from genealogical research by Katherine Everitt</w:t>
                      </w:r>
                      <w:r>
                        <w:rPr>
                          <w:sz w:val="18"/>
                          <w:szCs w:val="18"/>
                        </w:rPr>
                        <w:t>]</w:t>
                      </w:r>
                    </w:p>
                    <w:p w14:paraId="021131FB" w14:textId="68930FBF" w:rsidR="00372DAE" w:rsidRDefault="00372DAE"/>
                    <w:p w14:paraId="4F940CC1" w14:textId="77777777" w:rsidR="00372DAE" w:rsidRDefault="00372DAE"/>
                  </w:txbxContent>
                </v:textbox>
                <w10:wrap anchorx="margin"/>
              </v:shape>
            </w:pict>
          </mc:Fallback>
        </mc:AlternateContent>
      </w:r>
      <w:r>
        <w:rPr>
          <w:i/>
          <w:iCs/>
          <w:noProof/>
          <w:sz w:val="24"/>
          <w:szCs w:val="24"/>
        </w:rPr>
        <w:drawing>
          <wp:inline distT="0" distB="0" distL="0" distR="0" wp14:anchorId="71D9D6D7" wp14:editId="1A30131A">
            <wp:extent cx="5543550" cy="84819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5937" cy="8500941"/>
                    </a:xfrm>
                    <a:prstGeom prst="rect">
                      <a:avLst/>
                    </a:prstGeom>
                    <a:noFill/>
                  </pic:spPr>
                </pic:pic>
              </a:graphicData>
            </a:graphic>
          </wp:inline>
        </w:drawing>
      </w:r>
    </w:p>
    <w:p w14:paraId="2634EFED" w14:textId="77777777" w:rsidR="00DA310E" w:rsidRDefault="00DA310E" w:rsidP="00DC1D8B">
      <w:pPr>
        <w:rPr>
          <w:rFonts w:cstheme="minorHAnsi"/>
          <w:i/>
          <w:iCs/>
          <w:sz w:val="24"/>
          <w:szCs w:val="24"/>
        </w:rPr>
      </w:pPr>
    </w:p>
    <w:p w14:paraId="73033092" w14:textId="080440C1" w:rsidR="00DC1D8B" w:rsidRPr="00632C36" w:rsidRDefault="00372DAE" w:rsidP="00DC1D8B">
      <w:pPr>
        <w:rPr>
          <w:rFonts w:cstheme="minorHAnsi"/>
          <w:i/>
          <w:iCs/>
          <w:sz w:val="24"/>
          <w:szCs w:val="24"/>
        </w:rPr>
      </w:pPr>
      <w:r>
        <w:rPr>
          <w:rFonts w:cstheme="minorHAnsi"/>
          <w:i/>
          <w:iCs/>
          <w:sz w:val="24"/>
          <w:szCs w:val="24"/>
        </w:rPr>
        <w:lastRenderedPageBreak/>
        <w:t>T</w:t>
      </w:r>
      <w:r w:rsidR="005A05DF" w:rsidRPr="00632C36">
        <w:rPr>
          <w:rFonts w:cstheme="minorHAnsi"/>
          <w:i/>
          <w:iCs/>
          <w:sz w:val="24"/>
          <w:szCs w:val="24"/>
        </w:rPr>
        <w:t>he McConnel and Kennedy Famil</w:t>
      </w:r>
      <w:r>
        <w:rPr>
          <w:rFonts w:cstheme="minorHAnsi"/>
          <w:i/>
          <w:iCs/>
          <w:sz w:val="24"/>
          <w:szCs w:val="24"/>
        </w:rPr>
        <w:t>ies</w:t>
      </w:r>
      <w:r w:rsidR="005A05DF" w:rsidRPr="00632C36">
        <w:rPr>
          <w:rFonts w:cstheme="minorHAnsi"/>
          <w:i/>
          <w:iCs/>
          <w:sz w:val="24"/>
          <w:szCs w:val="24"/>
        </w:rPr>
        <w:t xml:space="preserve"> </w:t>
      </w:r>
    </w:p>
    <w:p w14:paraId="399490B2" w14:textId="3900C900" w:rsidR="00895D81" w:rsidRDefault="005A05DF" w:rsidP="00DC1D8B">
      <w:r>
        <w:t>Unlike the wealth already entrenched within the Evans family kinship group, the founders of McConnel &amp; Kennedy emerged from humbler beginnings as the sons of less affluent hill farmers in Kirkcudbrightshire.</w:t>
      </w:r>
      <w:r w:rsidR="00527656">
        <w:rPr>
          <w:rStyle w:val="FootnoteReference"/>
        </w:rPr>
        <w:footnoteReference w:id="141"/>
      </w:r>
      <w:r>
        <w:t xml:space="preserve"> John Kennedy's father, Robert Kennedy</w:t>
      </w:r>
      <w:r w:rsidR="00527656">
        <w:t xml:space="preserve"> (1730-1779)</w:t>
      </w:r>
      <w:r>
        <w:t xml:space="preserve">, owned and worked his farm at </w:t>
      </w:r>
      <w:proofErr w:type="spellStart"/>
      <w:r>
        <w:t>Knocknalling</w:t>
      </w:r>
      <w:proofErr w:type="spellEnd"/>
      <w:r>
        <w:t xml:space="preserve"> but passed away in 1779 when John was just ten years old.</w:t>
      </w:r>
      <w:r>
        <w:rPr>
          <w:rStyle w:val="FootnoteReference"/>
        </w:rPr>
        <w:footnoteReference w:id="142"/>
      </w:r>
      <w:r>
        <w:t xml:space="preserve"> This untimely loss left John's mother, Margaret</w:t>
      </w:r>
      <w:r w:rsidR="00527656">
        <w:t xml:space="preserve"> (1728-1801)</w:t>
      </w:r>
      <w:r>
        <w:t>, a young widow tasked with raising John and his siblings while managing the family farm. Following the death of Robert, the family adhered to the primogeniture system for the inheritance of the family farm. John's elder brother, David Kennedy</w:t>
      </w:r>
      <w:r w:rsidR="00527656">
        <w:t xml:space="preserve"> (1764-1836)</w:t>
      </w:r>
      <w:r>
        <w:t>, inherited the farm, eventually passing it to John in 1801.</w:t>
      </w:r>
      <w:r>
        <w:rPr>
          <w:rStyle w:val="FootnoteReference"/>
        </w:rPr>
        <w:footnoteReference w:id="143"/>
      </w:r>
      <w:r>
        <w:t xml:space="preserve"> This family dynamic and external pressures on the agricultural trade during the 1780s created a compelling push factor that prompted several young men to seek opportunities beyond Scotland. John Kennedy was one such individual. At the age of fourteen, John's mother sent him to become an apprentice to a neighbour’s son, William Cannan, in </w:t>
      </w:r>
      <w:proofErr w:type="spellStart"/>
      <w:r>
        <w:t>Chowbent</w:t>
      </w:r>
      <w:proofErr w:type="spellEnd"/>
      <w:r>
        <w:t>, Lancashire.</w:t>
      </w:r>
      <w:r>
        <w:rPr>
          <w:rStyle w:val="FootnoteReference"/>
        </w:rPr>
        <w:footnoteReference w:id="144"/>
      </w:r>
      <w:r>
        <w:t xml:space="preserve"> During this formative apprenticeship, John crossed paths with his future business partner, James McConnel. Others </w:t>
      </w:r>
      <w:r w:rsidR="00527656">
        <w:t>prominent cotton manufacturers of early industrialising Manchester</w:t>
      </w:r>
      <w:r>
        <w:t xml:space="preserve"> emigrated south from Scotland to </w:t>
      </w:r>
      <w:r w:rsidR="00527656">
        <w:t xml:space="preserve">be apprentices of William </w:t>
      </w:r>
      <w:r w:rsidR="003C1458">
        <w:t>Cannan were</w:t>
      </w:r>
      <w:r>
        <w:t xml:space="preserve"> George and Adam Murray, John McConnel, and James Kennedy. As the historian G. W. Daniels has stated, the immigration of these men from Scotland to Lancashire during the eighteenth century must be recognised as of considerable importance to the Lancashire cotton industry in its early stages.</w:t>
      </w:r>
      <w:r>
        <w:rPr>
          <w:rStyle w:val="FootnoteReference"/>
        </w:rPr>
        <w:footnoteReference w:id="145"/>
      </w:r>
      <w:r>
        <w:t xml:space="preserve">  </w:t>
      </w:r>
    </w:p>
    <w:p w14:paraId="6CF60138" w14:textId="7C6A482C" w:rsidR="00AB67A9" w:rsidRDefault="00AB67A9" w:rsidP="00AB67A9">
      <w:r>
        <w:t xml:space="preserve">James McConnel's background closely mirrored that of John Kennedy, with a notable difference—his parents were tenant farmers in </w:t>
      </w:r>
      <w:proofErr w:type="spellStart"/>
      <w:r>
        <w:t>Hannaston</w:t>
      </w:r>
      <w:proofErr w:type="spellEnd"/>
      <w:r>
        <w:t>, Kirkcudbrightshire, rather than owner-occupiers.</w:t>
      </w:r>
      <w:r>
        <w:rPr>
          <w:rStyle w:val="FootnoteReference"/>
        </w:rPr>
        <w:footnoteReference w:id="146"/>
      </w:r>
      <w:r>
        <w:t xml:space="preserve"> This distinction meant that the McConnel family faced an additional layer of uncertainty. They had to contend with the need to pay rent or risk giving up the farm during challenging times, with limited recourse for selling the land if necessary. Despite their family's three-generation farming history at </w:t>
      </w:r>
      <w:proofErr w:type="spellStart"/>
      <w:r>
        <w:t>Hannaston</w:t>
      </w:r>
      <w:proofErr w:type="spellEnd"/>
      <w:r>
        <w:t>, this tradition ended with James's father.</w:t>
      </w:r>
      <w:r>
        <w:rPr>
          <w:rStyle w:val="FootnoteReference"/>
        </w:rPr>
        <w:footnoteReference w:id="147"/>
      </w:r>
      <w:r>
        <w:t xml:space="preserve"> The escalating annual rents placed significant financial strain on him, prompting him to terminate the tenancy in 1782.</w:t>
      </w:r>
      <w:r>
        <w:rPr>
          <w:rStyle w:val="FootnoteReference"/>
        </w:rPr>
        <w:footnoteReference w:id="148"/>
      </w:r>
      <w:r>
        <w:t xml:space="preserve"> As the sole surviving son from his father James's first marriage to Mary Cannan, James might have been expected to follow in his father's agricultural footsteps as the eldest son.</w:t>
      </w:r>
      <w:r>
        <w:rPr>
          <w:rStyle w:val="FootnoteReference"/>
        </w:rPr>
        <w:footnoteReference w:id="149"/>
      </w:r>
      <w:r>
        <w:t xml:space="preserve"> However, this path was increasingly challenging, leading James to embark on a different journey. Like John Kennedy, James ventured to </w:t>
      </w:r>
      <w:proofErr w:type="spellStart"/>
      <w:r>
        <w:t>Chowbent</w:t>
      </w:r>
      <w:proofErr w:type="spellEnd"/>
      <w:r>
        <w:t xml:space="preserve"> in Lancashire to apprentice under his maternal uncle, William Cannan.</w:t>
      </w:r>
      <w:r>
        <w:rPr>
          <w:rStyle w:val="FootnoteReference"/>
        </w:rPr>
        <w:footnoteReference w:id="150"/>
      </w:r>
      <w:r>
        <w:t xml:space="preserve"> These circumstances underscore that pursuing an agricultural career in Kirkcudbrightshire would have been a formidable endeavour for young men like James and John in the 1780s. The assistance that John's older brother David could have provide for him would have dwindled over time, rendering this path increasingly risky. Without farm tenancy security, James would have faced even greater obstacles. Establishing themselves in substantial careers or trades within their local areas would have been equally daunting </w:t>
      </w:r>
      <w:r>
        <w:lastRenderedPageBreak/>
        <w:t>without broader opportunities. Consequently, both John and James sought opportunities beyond Scotland. These circumstances placed a significant degree of trustworthiness in their apprentice master, William, and their own hands as they forged new paths.</w:t>
      </w:r>
    </w:p>
    <w:p w14:paraId="43BA3014" w14:textId="21ADF525" w:rsidR="00AB67A9" w:rsidRDefault="00AB67A9" w:rsidP="00DC1D8B"/>
    <w:p w14:paraId="189A1990" w14:textId="77777777" w:rsidR="00C43955" w:rsidRDefault="00C43955" w:rsidP="00DC1D8B"/>
    <w:p w14:paraId="3BC06794" w14:textId="41B724EB" w:rsidR="00AB67A9" w:rsidRDefault="00AB67A9" w:rsidP="00AB67A9"/>
    <w:p w14:paraId="3ACB37F3" w14:textId="2A103240" w:rsidR="00AB67A9" w:rsidRDefault="00AB67A9" w:rsidP="00DC1D8B">
      <w:r>
        <w:rPr>
          <w:noProof/>
        </w:rPr>
        <w:lastRenderedPageBreak/>
        <mc:AlternateContent>
          <mc:Choice Requires="wps">
            <w:drawing>
              <wp:anchor distT="45720" distB="45720" distL="114300" distR="114300" simplePos="0" relativeHeight="251663360" behindDoc="0" locked="0" layoutInCell="1" allowOverlap="1" wp14:anchorId="0308943C" wp14:editId="3C82918C">
                <wp:simplePos x="0" y="0"/>
                <wp:positionH relativeFrom="margin">
                  <wp:posOffset>4098290</wp:posOffset>
                </wp:positionH>
                <wp:positionV relativeFrom="paragraph">
                  <wp:posOffset>5793105</wp:posOffset>
                </wp:positionV>
                <wp:extent cx="3981450" cy="447675"/>
                <wp:effectExtent l="0" t="4763" r="14288" b="14287"/>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1450" cy="447675"/>
                        </a:xfrm>
                        <a:prstGeom prst="rect">
                          <a:avLst/>
                        </a:prstGeom>
                        <a:solidFill>
                          <a:srgbClr val="FFFFFF"/>
                        </a:solidFill>
                        <a:ln w="9525">
                          <a:solidFill>
                            <a:schemeClr val="bg1"/>
                          </a:solidFill>
                          <a:miter lim="800000"/>
                          <a:headEnd/>
                          <a:tailEnd/>
                        </a:ln>
                      </wps:spPr>
                      <wps:txbx>
                        <w:txbxContent>
                          <w:p w14:paraId="643CE528" w14:textId="77777777" w:rsidR="00AB67A9" w:rsidRPr="00895D81" w:rsidRDefault="00AB67A9" w:rsidP="00AB67A9">
                            <w:pPr>
                              <w:rPr>
                                <w:sz w:val="18"/>
                                <w:szCs w:val="18"/>
                              </w:rPr>
                            </w:pPr>
                            <w:r w:rsidRPr="00895D81">
                              <w:rPr>
                                <w:sz w:val="18"/>
                                <w:szCs w:val="18"/>
                              </w:rPr>
                              <w:t xml:space="preserve">[Figure 2: Family Tree Chart for the Kennedy Family (see Appendix Two for more details) Sourced from genealogical research by Katherine Everitt] </w:t>
                            </w:r>
                          </w:p>
                          <w:p w14:paraId="30DC7AE8" w14:textId="0FF9943E" w:rsidR="00AB67A9" w:rsidRDefault="00AB67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8943C" id="_x0000_s1027" type="#_x0000_t202" style="position:absolute;margin-left:322.7pt;margin-top:456.15pt;width:313.5pt;height:35.25pt;rotation:-90;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" strokecolor="white [3212]">
                <v:textbox>
                  <w:txbxContent>
                    <w:p w14:paraId="643CE528" w14:textId="77777777" w:rsidR="00AB67A9" w:rsidRPr="00895D81" w:rsidRDefault="00AB67A9" w:rsidP="00AB67A9">
                      <w:pPr>
                        <w:rPr>
                          <w:sz w:val="18"/>
                          <w:szCs w:val="18"/>
                        </w:rPr>
                      </w:pPr>
                      <w:r w:rsidRPr="00895D81">
                        <w:rPr>
                          <w:sz w:val="18"/>
                          <w:szCs w:val="18"/>
                        </w:rPr>
                        <w:t xml:space="preserve">[Figure 2: Family Tree Chart for the Kennedy Family (see Appendix Two for more details) Sourced from genealogical research by Katherine Everitt] </w:t>
                      </w:r>
                    </w:p>
                    <w:p w14:paraId="30DC7AE8" w14:textId="0FF9943E" w:rsidR="00AB67A9" w:rsidRDefault="00AB67A9"/>
                  </w:txbxContent>
                </v:textbox>
                <w10:wrap type="square" anchorx="margin"/>
              </v:shape>
            </w:pict>
          </mc:Fallback>
        </mc:AlternateContent>
      </w:r>
      <w:r>
        <w:rPr>
          <w:noProof/>
        </w:rPr>
        <w:drawing>
          <wp:inline distT="0" distB="0" distL="0" distR="0" wp14:anchorId="0BC57813" wp14:editId="56D45A8A">
            <wp:extent cx="5715000" cy="80444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458" cy="8059212"/>
                    </a:xfrm>
                    <a:prstGeom prst="rect">
                      <a:avLst/>
                    </a:prstGeom>
                    <a:noFill/>
                  </pic:spPr>
                </pic:pic>
              </a:graphicData>
            </a:graphic>
          </wp:inline>
        </w:drawing>
      </w:r>
    </w:p>
    <w:p w14:paraId="052FBF79" w14:textId="457BB28F" w:rsidR="00AB67A9" w:rsidRDefault="00AB67A9" w:rsidP="00DC1D8B"/>
    <w:p w14:paraId="3F644833" w14:textId="77777777" w:rsidR="00AB67A9" w:rsidRDefault="00AB67A9" w:rsidP="005A05DF"/>
    <w:p w14:paraId="01F76367" w14:textId="64F9835A" w:rsidR="00AB67A9" w:rsidRDefault="00C43955" w:rsidP="005A05DF">
      <w:r w:rsidRPr="00C43955">
        <w:rPr>
          <w:rFonts w:cstheme="minorHAnsi"/>
          <w:b/>
          <w:bCs/>
          <w:noProof/>
          <w:sz w:val="24"/>
          <w:szCs w:val="24"/>
        </w:rPr>
        <w:lastRenderedPageBreak/>
        <mc:AlternateContent>
          <mc:Choice Requires="wps">
            <w:drawing>
              <wp:anchor distT="45720" distB="45720" distL="114300" distR="114300" simplePos="0" relativeHeight="251665408" behindDoc="1" locked="0" layoutInCell="1" allowOverlap="1" wp14:anchorId="7AAE2508" wp14:editId="2F8898FC">
                <wp:simplePos x="0" y="0"/>
                <wp:positionH relativeFrom="column">
                  <wp:posOffset>3773489</wp:posOffset>
                </wp:positionH>
                <wp:positionV relativeFrom="paragraph">
                  <wp:posOffset>6393497</wp:posOffset>
                </wp:positionV>
                <wp:extent cx="3981450" cy="809625"/>
                <wp:effectExtent l="4762" t="0" r="23813" b="23812"/>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1450" cy="809625"/>
                        </a:xfrm>
                        <a:prstGeom prst="rect">
                          <a:avLst/>
                        </a:prstGeom>
                        <a:solidFill>
                          <a:srgbClr val="FFFFFF"/>
                        </a:solidFill>
                        <a:ln w="9525">
                          <a:solidFill>
                            <a:schemeClr val="bg1"/>
                          </a:solidFill>
                          <a:miter lim="800000"/>
                          <a:headEnd/>
                          <a:tailEnd/>
                        </a:ln>
                      </wps:spPr>
                      <wps:txbx>
                        <w:txbxContent>
                          <w:p w14:paraId="70C831D8" w14:textId="77777777" w:rsidR="00C43955" w:rsidRDefault="00C43955" w:rsidP="00C43955"/>
                          <w:p w14:paraId="4B2D2BE5" w14:textId="77777777" w:rsidR="00C43955" w:rsidRDefault="00C43955" w:rsidP="00C43955">
                            <w:pPr>
                              <w:rPr>
                                <w:sz w:val="18"/>
                                <w:szCs w:val="18"/>
                              </w:rPr>
                            </w:pPr>
                            <w:r w:rsidRPr="00F85C08">
                              <w:rPr>
                                <w:sz w:val="18"/>
                                <w:szCs w:val="18"/>
                              </w:rPr>
                              <w:t>[Figure 3: Family Tree Chart for the McConnel Family (see Appendix Two for more details) Sourced from genealogical research by Katherine Everitt]</w:t>
                            </w:r>
                          </w:p>
                          <w:p w14:paraId="512A1087" w14:textId="3DB9AD24" w:rsidR="00C43955" w:rsidRDefault="00C439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E2508" id="_x0000_s1028" type="#_x0000_t202" style="position:absolute;margin-left:297.15pt;margin-top:503.4pt;width:313.5pt;height:63.75pt;rotation:-90;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" strokecolor="white [3212]">
                <v:textbox>
                  <w:txbxContent>
                    <w:p w14:paraId="70C831D8" w14:textId="77777777" w:rsidR="00C43955" w:rsidRDefault="00C43955" w:rsidP="00C43955"/>
                    <w:p w14:paraId="4B2D2BE5" w14:textId="77777777" w:rsidR="00C43955" w:rsidRDefault="00C43955" w:rsidP="00C43955">
                      <w:pPr>
                        <w:rPr>
                          <w:sz w:val="18"/>
                          <w:szCs w:val="18"/>
                        </w:rPr>
                      </w:pPr>
                      <w:r w:rsidRPr="00F85C08">
                        <w:rPr>
                          <w:sz w:val="18"/>
                          <w:szCs w:val="18"/>
                        </w:rPr>
                        <w:t>[Figure 3: Family Tree Chart for the McConnel Family (see Appendix Two for more details) Sourced from genealogical research by Katherine Everitt]</w:t>
                      </w:r>
                    </w:p>
                    <w:p w14:paraId="512A1087" w14:textId="3DB9AD24" w:rsidR="00C43955" w:rsidRDefault="00C43955"/>
                  </w:txbxContent>
                </v:textbox>
              </v:shape>
            </w:pict>
          </mc:Fallback>
        </mc:AlternateContent>
      </w:r>
      <w:r>
        <w:rPr>
          <w:noProof/>
        </w:rPr>
        <w:drawing>
          <wp:inline distT="0" distB="0" distL="0" distR="0" wp14:anchorId="6E09CABD" wp14:editId="00660438">
            <wp:extent cx="5552449" cy="8753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7472" cy="8761394"/>
                    </a:xfrm>
                    <a:prstGeom prst="rect">
                      <a:avLst/>
                    </a:prstGeom>
                    <a:noFill/>
                  </pic:spPr>
                </pic:pic>
              </a:graphicData>
            </a:graphic>
          </wp:inline>
        </w:drawing>
      </w:r>
    </w:p>
    <w:p w14:paraId="624906AA" w14:textId="44F42342" w:rsidR="005A05DF" w:rsidRPr="00F52666" w:rsidRDefault="005A05DF" w:rsidP="00F52666">
      <w:pPr>
        <w:pStyle w:val="Heading2"/>
        <w:rPr>
          <w:rFonts w:asciiTheme="minorHAnsi" w:hAnsiTheme="minorHAnsi" w:cstheme="minorHAnsi"/>
          <w:b/>
          <w:bCs/>
          <w:color w:val="auto"/>
          <w:sz w:val="24"/>
          <w:szCs w:val="24"/>
        </w:rPr>
      </w:pPr>
      <w:bookmarkStart w:id="47" w:name="_Toc170825659"/>
      <w:r w:rsidRPr="00F52666">
        <w:rPr>
          <w:rFonts w:asciiTheme="minorHAnsi" w:hAnsiTheme="minorHAnsi" w:cstheme="minorHAnsi"/>
          <w:b/>
          <w:bCs/>
          <w:color w:val="auto"/>
          <w:sz w:val="24"/>
          <w:szCs w:val="24"/>
        </w:rPr>
        <w:lastRenderedPageBreak/>
        <w:t>Networks Surrounding the Cotton Mills</w:t>
      </w:r>
      <w:bookmarkEnd w:id="47"/>
    </w:p>
    <w:p w14:paraId="269199F3" w14:textId="7FA775A3" w:rsidR="005A05DF" w:rsidRDefault="005A05DF" w:rsidP="005A05DF">
      <w:r>
        <w:t xml:space="preserve">Though founded by business partnerships and kinship style management structures, the Boar’s Head Cotton Mills and the McConnel &amp; Kennedy </w:t>
      </w:r>
      <w:r w:rsidR="00BA1E1F">
        <w:t>M</w:t>
      </w:r>
      <w:r>
        <w:t xml:space="preserve">ills became embedded in a vast web of networks spanned local, regional, national, and international geographical spaces. Many of these networks intersected and interacted with the operation of the cotton mills. The networks consisted of human connectivity that relied on a collective sense of mutual endeavour, which required what Sunderland describes as </w:t>
      </w:r>
      <w:r w:rsidRPr="00567D41">
        <w:rPr>
          <w:i/>
          <w:iCs/>
        </w:rPr>
        <w:t>ascribed trust</w:t>
      </w:r>
      <w:r>
        <w:t>.</w:t>
      </w:r>
      <w:r>
        <w:rPr>
          <w:rStyle w:val="FootnoteReference"/>
        </w:rPr>
        <w:footnoteReference w:id="151"/>
      </w:r>
      <w:r>
        <w:t xml:space="preserve"> The human interactions based upon </w:t>
      </w:r>
      <w:r w:rsidRPr="00567D41">
        <w:rPr>
          <w:i/>
          <w:iCs/>
        </w:rPr>
        <w:t>ascribed trust</w:t>
      </w:r>
      <w:r>
        <w:t xml:space="preserve"> were a set of relations acting per a broad set of norms agreed upon implicitly by the actors of the networks. The findings in this research show a blend of a collective sense of mutual endeavour mixed with a few network actors working purely for self-interest. The networks sought to curb opportunism and implement a system of trust and reputation to manage the behaviour of network actors. The networks consisted of people whose trustworthiness and reputation were continually created and negotiated within all the social spheres they operated in – at home or in the community.</w:t>
      </w:r>
      <w:r w:rsidR="00567D41">
        <w:t xml:space="preserve"> This relates well to and builds upon Haggerty’s interpretation of trust as emergent process.</w:t>
      </w:r>
      <w:r w:rsidR="00567D41">
        <w:rPr>
          <w:rStyle w:val="FootnoteReference"/>
        </w:rPr>
        <w:footnoteReference w:id="152"/>
      </w:r>
      <w:r>
        <w:t xml:space="preserve"> These multifunctional networks converged and diverged within an inseparable web of embedded connectivity that traversed the domestic, community and commercial aspects of people’s lives. As Mark Granovetter has argued, embeddedness (the impact of social relations on the economic behaviour of individuals and institutions) </w:t>
      </w:r>
      <w:r w:rsidR="002D6074">
        <w:t>had</w:t>
      </w:r>
      <w:r>
        <w:t xml:space="preserve"> continued to be more substantial than is allowed for by formalists and economists when the non-market societies became modernised.</w:t>
      </w:r>
      <w:r>
        <w:rPr>
          <w:rStyle w:val="FootnoteReference"/>
        </w:rPr>
        <w:footnoteReference w:id="153"/>
      </w:r>
      <w:r>
        <w:t xml:space="preserve"> The </w:t>
      </w:r>
      <w:proofErr w:type="spellStart"/>
      <w:r>
        <w:t>substantivist</w:t>
      </w:r>
      <w:proofErr w:type="spellEnd"/>
      <w:r>
        <w:t xml:space="preserve"> school of thought, which included anthropologist Karl Polanyi, has argued for a moral economy.</w:t>
      </w:r>
      <w:r>
        <w:rPr>
          <w:rStyle w:val="FootnoteReference"/>
        </w:rPr>
        <w:footnoteReference w:id="154"/>
      </w:r>
      <w:r>
        <w:t xml:space="preserve"> Morality, trustworthiness</w:t>
      </w:r>
      <w:r w:rsidR="002D6074">
        <w:t>,</w:t>
      </w:r>
      <w:r>
        <w:t xml:space="preserve"> and mutual endeavour were clear within the industrialising cotton trade. </w:t>
      </w:r>
      <w:r w:rsidR="000648E0">
        <w:t xml:space="preserve">However, these were ideals to strive for as </w:t>
      </w:r>
      <w:r>
        <w:t>rational self-interest did exist</w:t>
      </w:r>
      <w:r w:rsidR="00567D41">
        <w:t xml:space="preserve"> with some network actors acting in an untrustworthy manner, </w:t>
      </w:r>
      <w:r>
        <w:t>as explored by Chapter Five</w:t>
      </w:r>
      <w:r w:rsidR="000648E0">
        <w:t>.</w:t>
      </w:r>
      <w:r w:rsidR="006A038D">
        <w:rPr>
          <w:color w:val="00B050"/>
        </w:rPr>
        <w:t xml:space="preserve"> </w:t>
      </w:r>
      <w:bookmarkStart w:id="50" w:name="_Hlk170475221"/>
      <w:proofErr w:type="spellStart"/>
      <w:r w:rsidR="006A038D" w:rsidRPr="00DA310E">
        <w:rPr>
          <w:color w:val="000000" w:themeColor="text1"/>
        </w:rPr>
        <w:t>Granovetter’s</w:t>
      </w:r>
      <w:proofErr w:type="spellEnd"/>
      <w:r w:rsidR="006A038D" w:rsidRPr="00DA310E">
        <w:rPr>
          <w:color w:val="000000" w:themeColor="text1"/>
        </w:rPr>
        <w:t xml:space="preserve"> concept of embeddedness falls between the </w:t>
      </w:r>
      <w:proofErr w:type="spellStart"/>
      <w:r w:rsidR="006A038D" w:rsidRPr="00DA310E">
        <w:rPr>
          <w:color w:val="000000" w:themeColor="text1"/>
        </w:rPr>
        <w:t>substantivist’s</w:t>
      </w:r>
      <w:proofErr w:type="spellEnd"/>
      <w:r w:rsidR="006A038D" w:rsidRPr="00DA310E">
        <w:rPr>
          <w:color w:val="000000" w:themeColor="text1"/>
        </w:rPr>
        <w:t xml:space="preserve"> comprehensive understanding, and the rationalised atomised theory proposed by scholars like North and Thomas.</w:t>
      </w:r>
      <w:r w:rsidR="00287DD9" w:rsidRPr="00DA310E">
        <w:rPr>
          <w:rStyle w:val="FootnoteReference"/>
          <w:color w:val="000000" w:themeColor="text1"/>
        </w:rPr>
        <w:footnoteReference w:id="155"/>
      </w:r>
      <w:r w:rsidR="00567D41" w:rsidRPr="00DA310E">
        <w:rPr>
          <w:color w:val="000000" w:themeColor="text1"/>
        </w:rPr>
        <w:t xml:space="preserve"> </w:t>
      </w:r>
      <w:bookmarkEnd w:id="50"/>
      <w:proofErr w:type="spellStart"/>
      <w:r w:rsidR="00567D41">
        <w:t>Granovetter’s</w:t>
      </w:r>
      <w:proofErr w:type="spellEnd"/>
      <w:r w:rsidR="00567D41">
        <w:t xml:space="preserve"> interpretation best</w:t>
      </w:r>
      <w:r>
        <w:t xml:space="preserve"> reflects the</w:t>
      </w:r>
      <w:r w:rsidR="00567D41">
        <w:t xml:space="preserve"> collective ideals implemented by individuals as</w:t>
      </w:r>
      <w:r>
        <w:t xml:space="preserve"> evidence</w:t>
      </w:r>
      <w:r w:rsidR="00567D41">
        <w:t>d</w:t>
      </w:r>
      <w:r>
        <w:t xml:space="preserve"> </w:t>
      </w:r>
      <w:r w:rsidR="00567D41">
        <w:t>by</w:t>
      </w:r>
      <w:r>
        <w:t xml:space="preserve"> the human interactions within these case studies</w:t>
      </w:r>
      <w:r w:rsidR="000648E0">
        <w:t>, with ideas of a collective and the individual coexisting and with ideals of morality and thoughts of self-interest</w:t>
      </w:r>
      <w:r>
        <w:t xml:space="preserve"> </w:t>
      </w:r>
      <w:r w:rsidR="000648E0">
        <w:t xml:space="preserve">colliding in the networks too. </w:t>
      </w:r>
    </w:p>
    <w:p w14:paraId="643F2D2A" w14:textId="7B0FB72C" w:rsidR="00D16F56" w:rsidRDefault="005A05DF" w:rsidP="00D16F56">
      <w:r>
        <w:t>The business networks, though numerous and spread across many sectors, took many forms. As Carolyn Downs has noted in her work on networks, there are different configurations of networks, including the vertical, horizontal, hub-and-spoke model, and open and closed networks.</w:t>
      </w:r>
      <w:r w:rsidR="000648E0">
        <w:rPr>
          <w:rStyle w:val="FootnoteReference"/>
        </w:rPr>
        <w:footnoteReference w:id="156"/>
      </w:r>
      <w:r>
        <w:t xml:space="preserve"> The structure of the networks differed from network to network and constantly changed as they evolved and different people entered and left them. The two firms in this study were involved in various networks that operated many of these types of networks. The connections within these networks were not all equally important; the networks had a definite hierarchy.</w:t>
      </w:r>
      <w:r w:rsidR="000648E0">
        <w:t xml:space="preserve"> The Evans family were at the pinnacle of hierarchy when they established their mill, while McConnel &amp; Kennedy climbed to the top via their cotton mill. </w:t>
      </w:r>
      <w:r>
        <w:t xml:space="preserve">The hierarchical nature of society and business ensure they encounter many different types of relationship and various negotiated power structures that require different forms and levels of trust, trustworthiness, and reputation. It is clear from the correspondence of both case study firms that they believed their position within their local community and business networks </w:t>
      </w:r>
      <w:r>
        <w:lastRenderedPageBreak/>
        <w:t>involved one of leadership.</w:t>
      </w:r>
      <w:r w:rsidR="00AD4214">
        <w:t xml:space="preserve"> </w:t>
      </w:r>
      <w:r>
        <w:t xml:space="preserve">The apprentice connection created was a more vertical type of network that saw the power in the hands of the apprentice master, and the business exchange relationships between firms of a similar standing saw a more horizontal network with a different power structure and different types of trust. Also, the composition of the networks was unequal, as some connections were made of stronger ties than others. The networks seem to conform to </w:t>
      </w:r>
      <w:proofErr w:type="spellStart"/>
      <w:r>
        <w:t>Granovetter’s</w:t>
      </w:r>
      <w:proofErr w:type="spellEnd"/>
      <w:r>
        <w:t xml:space="preserve"> understanding of strong and weak ties – the strong ties formed in more than one network, while the weaker ties were</w:t>
      </w:r>
      <w:r w:rsidR="00D16F56">
        <w:t xml:space="preserve"> most commonly</w:t>
      </w:r>
      <w:r>
        <w:t xml:space="preserve"> connec</w:t>
      </w:r>
      <w:r w:rsidR="00D16F56">
        <w:t>tions formed</w:t>
      </w:r>
      <w:r>
        <w:t xml:space="preserve"> by business transaction</w:t>
      </w:r>
      <w:r w:rsidR="00D16F56">
        <w:t>s</w:t>
      </w:r>
      <w:r>
        <w:t>.</w:t>
      </w:r>
      <w:r w:rsidR="000648E0">
        <w:rPr>
          <w:rStyle w:val="FootnoteReference"/>
        </w:rPr>
        <w:footnoteReference w:id="157"/>
      </w:r>
      <w:r>
        <w:t xml:space="preserve"> However, all combined created the human relationships necessary to run the cotton mills and the cotton trade.</w:t>
      </w:r>
    </w:p>
    <w:p w14:paraId="39EF3950" w14:textId="14F1B708" w:rsidR="00BE61FB" w:rsidRDefault="00D16F56" w:rsidP="002925D1">
      <w:r>
        <w:t xml:space="preserve"> </w:t>
      </w:r>
      <w:r w:rsidR="005A05DF">
        <w:t xml:space="preserve">Many actors in the networks held multiple roles, often simultaneously, and they could hold multiple reputations depending on which role they were fulfilling at any given point. </w:t>
      </w:r>
      <w:r>
        <w:t>However, the multiple reputations depended on each other, as evidenced by the positive fiscal reputation in the commercial networks, opening opportunities in civil and community life. As a successful businessman, Thomas Evans secured the position of County Treasurer</w:t>
      </w:r>
      <w:r w:rsidR="000648E0">
        <w:t xml:space="preserve"> </w:t>
      </w:r>
      <w:r>
        <w:t>due to his positive reputation as a banker and business leader.</w:t>
      </w:r>
      <w:r w:rsidR="000648E0">
        <w:rPr>
          <w:rStyle w:val="FootnoteReference"/>
        </w:rPr>
        <w:footnoteReference w:id="158"/>
      </w:r>
      <w:r w:rsidR="000648E0">
        <w:t xml:space="preserve"> </w:t>
      </w:r>
      <w:r>
        <w:t xml:space="preserve">Thomas Evans’ roles within the various networks he connected to show the complexity of the nature of the network system and that a multitude of networks were operating simultaneously. </w:t>
      </w:r>
      <w:r w:rsidR="00A103FE">
        <w:t xml:space="preserve">The roles were </w:t>
      </w:r>
      <w:r w:rsidR="00A91452">
        <w:t>often gender specific as the</w:t>
      </w:r>
      <w:r w:rsidR="00BE61FB">
        <w:t xml:space="preserve"> networks w</w:t>
      </w:r>
      <w:r w:rsidR="00A91452">
        <w:t>ere governed by</w:t>
      </w:r>
      <w:r w:rsidR="00EA5E3C">
        <w:t xml:space="preserve"> fundamental</w:t>
      </w:r>
      <w:r w:rsidR="00BE61FB">
        <w:t xml:space="preserve"> gender</w:t>
      </w:r>
      <w:r w:rsidR="00EA5E3C">
        <w:t xml:space="preserve"> ideologies, which impacted network member</w:t>
      </w:r>
      <w:r w:rsidR="00BE61FB">
        <w:t xml:space="preserve"> relations and identities. </w:t>
      </w:r>
      <w:r w:rsidR="00EF1477">
        <w:t xml:space="preserve">In </w:t>
      </w:r>
      <w:r w:rsidR="00DC6B9F">
        <w:t>particular, the</w:t>
      </w:r>
      <w:r w:rsidR="00BE61FB">
        <w:t xml:space="preserve"> trust and reputation nexus of each group was underpinned by ideologies of gender – the masculine and the feminine – and these differed depending on the status and role of the individual within the network.</w:t>
      </w:r>
      <w:r w:rsidR="00F93023">
        <w:t xml:space="preserve"> Those in the middle</w:t>
      </w:r>
      <w:r w:rsidR="00DC6B9F">
        <w:t xml:space="preserve"> and business </w:t>
      </w:r>
      <w:r w:rsidR="00F93023">
        <w:t>classes were influenced in their gender roles by ideas of masculinity</w:t>
      </w:r>
      <w:r w:rsidR="00093585">
        <w:t xml:space="preserve"> </w:t>
      </w:r>
      <w:r w:rsidR="0029539B">
        <w:t xml:space="preserve">and femininity </w:t>
      </w:r>
      <w:r w:rsidR="00093585">
        <w:t xml:space="preserve">that were evolving throughout the period. </w:t>
      </w:r>
      <w:r w:rsidR="00BA2E7D">
        <w:t>John Tosh has argued that by t</w:t>
      </w:r>
      <w:r w:rsidR="00093585">
        <w:t>he e</w:t>
      </w:r>
      <w:r w:rsidR="00224932">
        <w:t>nd of the eighteenth century</w:t>
      </w:r>
      <w:r w:rsidR="00BA2E7D">
        <w:t xml:space="preserve">, </w:t>
      </w:r>
      <w:r w:rsidR="0029539B">
        <w:t xml:space="preserve">masculinity in </w:t>
      </w:r>
      <w:r w:rsidR="00A512D4">
        <w:t>middle-class society</w:t>
      </w:r>
      <w:r w:rsidR="00224932">
        <w:t xml:space="preserve"> saw a decrease in the </w:t>
      </w:r>
      <w:r w:rsidR="00BA2E7D">
        <w:t>investment of physical violence</w:t>
      </w:r>
      <w:r w:rsidR="00A512D4">
        <w:t xml:space="preserve"> and an exchange </w:t>
      </w:r>
      <w:r w:rsidR="006E322A">
        <w:t>of the external</w:t>
      </w:r>
      <w:r w:rsidR="00A512D4">
        <w:t xml:space="preserve"> idea of valour</w:t>
      </w:r>
      <w:r w:rsidR="006E322A">
        <w:t xml:space="preserve"> being replaced by </w:t>
      </w:r>
      <w:r w:rsidR="008A2E22">
        <w:t>character, respectability</w:t>
      </w:r>
      <w:r w:rsidR="006E322A">
        <w:t>,</w:t>
      </w:r>
      <w:r w:rsidR="008A2E22">
        <w:t xml:space="preserve"> and</w:t>
      </w:r>
      <w:r w:rsidR="006E322A">
        <w:t xml:space="preserve"> thrift</w:t>
      </w:r>
      <w:r w:rsidR="00860B14">
        <w:t xml:space="preserve">, </w:t>
      </w:r>
      <w:r w:rsidR="00182998">
        <w:t xml:space="preserve">in part </w:t>
      </w:r>
      <w:r w:rsidR="00DC6B9F">
        <w:t>because of</w:t>
      </w:r>
      <w:r w:rsidR="00860B14">
        <w:t xml:space="preserve"> </w:t>
      </w:r>
      <w:r w:rsidR="004C7DC6">
        <w:t>Christian evangelical ideals</w:t>
      </w:r>
      <w:r w:rsidR="008A2E22">
        <w:t>.</w:t>
      </w:r>
      <w:r w:rsidR="004C7DC6">
        <w:rPr>
          <w:rStyle w:val="FootnoteReference"/>
        </w:rPr>
        <w:footnoteReference w:id="159"/>
      </w:r>
      <w:r w:rsidR="008A2E22">
        <w:t xml:space="preserve"> </w:t>
      </w:r>
      <w:r w:rsidR="007F5BC1">
        <w:t>Men were expected to be a moral force in the home and the ‘bread</w:t>
      </w:r>
      <w:r w:rsidR="00860B14">
        <w:t xml:space="preserve"> winner’ in the commercial world. </w:t>
      </w:r>
      <w:r w:rsidR="003A54EE">
        <w:t>Work was a central</w:t>
      </w:r>
      <w:r w:rsidR="005C739D">
        <w:t xml:space="preserve"> aspect of building a respectable reputation</w:t>
      </w:r>
      <w:r w:rsidR="00A42FDD">
        <w:t xml:space="preserve"> as a man.</w:t>
      </w:r>
      <w:r w:rsidR="001431EC">
        <w:rPr>
          <w:rStyle w:val="FootnoteReference"/>
        </w:rPr>
        <w:footnoteReference w:id="160"/>
      </w:r>
      <w:r w:rsidR="00A42FDD">
        <w:t xml:space="preserve"> </w:t>
      </w:r>
      <w:r w:rsidR="00D92BFE">
        <w:t>This gender role became more defined during the nineteenth century</w:t>
      </w:r>
      <w:r w:rsidR="000648E0">
        <w:t>. The work of historians like</w:t>
      </w:r>
      <w:r w:rsidR="00D92BFE">
        <w:t xml:space="preserve"> </w:t>
      </w:r>
      <w:r w:rsidR="000648E0">
        <w:t xml:space="preserve">John </w:t>
      </w:r>
      <w:r w:rsidR="00E92C8D">
        <w:t>Tosh</w:t>
      </w:r>
      <w:r w:rsidR="000648E0">
        <w:t xml:space="preserve"> and Karen Harvey</w:t>
      </w:r>
      <w:r w:rsidR="00E92C8D">
        <w:t xml:space="preserve">, along with the earlier work of Davidoff and Hall </w:t>
      </w:r>
      <w:r w:rsidR="00FC58B8">
        <w:t>suggest the ideals of domesticity were influential on the middle-class sense of self.</w:t>
      </w:r>
      <w:r w:rsidR="000648E0">
        <w:rPr>
          <w:rStyle w:val="FootnoteReference"/>
        </w:rPr>
        <w:footnoteReference w:id="161"/>
      </w:r>
      <w:r w:rsidR="00FC58B8">
        <w:t xml:space="preserve"> </w:t>
      </w:r>
    </w:p>
    <w:p w14:paraId="71411D7C" w14:textId="77777777" w:rsidR="005A05DF" w:rsidRDefault="005A05DF" w:rsidP="00F52666">
      <w:pPr>
        <w:pStyle w:val="Heading2"/>
        <w:rPr>
          <w:rFonts w:asciiTheme="minorHAnsi" w:hAnsiTheme="minorHAnsi" w:cstheme="minorHAnsi"/>
          <w:b/>
          <w:bCs/>
          <w:color w:val="auto"/>
          <w:sz w:val="24"/>
          <w:szCs w:val="24"/>
        </w:rPr>
      </w:pPr>
      <w:bookmarkStart w:id="51" w:name="_Toc170825660"/>
      <w:r w:rsidRPr="00F52666">
        <w:rPr>
          <w:rFonts w:asciiTheme="minorHAnsi" w:hAnsiTheme="minorHAnsi" w:cstheme="minorHAnsi"/>
          <w:b/>
          <w:bCs/>
          <w:color w:val="auto"/>
          <w:sz w:val="24"/>
          <w:szCs w:val="24"/>
        </w:rPr>
        <w:t>The Ideals to Emulate when Building Business Networks of Trust</w:t>
      </w:r>
      <w:bookmarkEnd w:id="51"/>
      <w:r w:rsidRPr="00F52666">
        <w:rPr>
          <w:rFonts w:asciiTheme="minorHAnsi" w:hAnsiTheme="minorHAnsi" w:cstheme="minorHAnsi"/>
          <w:b/>
          <w:bCs/>
          <w:color w:val="auto"/>
          <w:sz w:val="24"/>
          <w:szCs w:val="24"/>
        </w:rPr>
        <w:t xml:space="preserve"> </w:t>
      </w:r>
    </w:p>
    <w:p w14:paraId="0B7EB82C" w14:textId="77777777" w:rsidR="00F52666" w:rsidRDefault="005A05DF" w:rsidP="00F52666">
      <w:pPr>
        <w:rPr>
          <w:i/>
          <w:iCs/>
        </w:rPr>
      </w:pPr>
      <w:r w:rsidRPr="00F52666">
        <w:rPr>
          <w:i/>
          <w:iCs/>
        </w:rPr>
        <w:t xml:space="preserve">Conforming to idealised norms, codes of conduct, expectations, and obligations  </w:t>
      </w:r>
    </w:p>
    <w:p w14:paraId="460E3C3E" w14:textId="0ED72C92" w:rsidR="005A05DF" w:rsidRPr="00DA310E" w:rsidRDefault="005A05DF" w:rsidP="005D6276">
      <w:pPr>
        <w:rPr>
          <w:color w:val="000000" w:themeColor="text1"/>
        </w:rPr>
      </w:pPr>
      <w:r>
        <w:t>Part One of this thesis will explore the kinship, religious and community networks underpinning the business networks and show that the ideals of trustworthiness and an individual’s reputation were forged in the community and transferred into the business sphere. As Haggerty has argued, this process is emergent and undergoes negotiation.</w:t>
      </w:r>
      <w:r w:rsidR="006D090D">
        <w:rPr>
          <w:rStyle w:val="FootnoteReference"/>
        </w:rPr>
        <w:footnoteReference w:id="162"/>
      </w:r>
      <w:r>
        <w:t xml:space="preserve"> As Granovetter has argued, the behaviour of economic institutions, such as cotton spinning firms, is affected by the embeddedness of their network actors.</w:t>
      </w:r>
      <w:r w:rsidR="00CB7157">
        <w:rPr>
          <w:rStyle w:val="FootnoteReference"/>
        </w:rPr>
        <w:footnoteReference w:id="163"/>
      </w:r>
      <w:r>
        <w:t xml:space="preserve"> The first section, therefore, aims to show that this negotiation </w:t>
      </w:r>
      <w:r w:rsidR="005C1BAB">
        <w:t>was</w:t>
      </w:r>
      <w:r>
        <w:t xml:space="preserve"> transferrable between an actor's different networks and that the social, cultural, and business networks comprise</w:t>
      </w:r>
      <w:r w:rsidR="005C1BAB">
        <w:t>d</w:t>
      </w:r>
      <w:r>
        <w:t xml:space="preserve"> many of the same actors as the business networks. However, it is vital to lay the grounding to </w:t>
      </w:r>
      <w:r>
        <w:lastRenderedPageBreak/>
        <w:t xml:space="preserve">understand this. It is important to understand the contemporary expectations placed upon the network actors and what behaviours, norms, obligations, and codes of conduct were expected from them. This section raises the following questions: what </w:t>
      </w:r>
      <w:r w:rsidR="005C1BAB">
        <w:t>kinds of</w:t>
      </w:r>
      <w:r>
        <w:t xml:space="preserve"> awareness </w:t>
      </w:r>
      <w:r w:rsidR="005C1BAB">
        <w:t>did</w:t>
      </w:r>
      <w:r>
        <w:t xml:space="preserve"> the cotton mill network actors </w:t>
      </w:r>
      <w:r w:rsidR="005C1BAB">
        <w:t xml:space="preserve">have </w:t>
      </w:r>
      <w:r>
        <w:t xml:space="preserve">of their roles and positions? How did they view trust, trustworthiness, and reputation? </w:t>
      </w:r>
      <w:bookmarkStart w:id="52" w:name="_Hlk170475281"/>
      <w:r w:rsidR="005D6276" w:rsidRPr="00DA310E">
        <w:rPr>
          <w:color w:val="000000" w:themeColor="text1"/>
        </w:rPr>
        <w:t xml:space="preserve">How did they use social capital to access their necessary resources? </w:t>
      </w:r>
    </w:p>
    <w:bookmarkEnd w:id="52"/>
    <w:p w14:paraId="2B29F263" w14:textId="77777777" w:rsidR="005A05DF" w:rsidRDefault="005A05DF" w:rsidP="005A05DF">
      <w:pPr>
        <w:rPr>
          <w:i/>
          <w:iCs/>
        </w:rPr>
      </w:pPr>
      <w:r w:rsidRPr="00B10133">
        <w:rPr>
          <w:i/>
          <w:iCs/>
        </w:rPr>
        <w:t xml:space="preserve">Norms </w:t>
      </w:r>
      <w:r>
        <w:rPr>
          <w:i/>
          <w:iCs/>
        </w:rPr>
        <w:t>and code of conduct</w:t>
      </w:r>
    </w:p>
    <w:p w14:paraId="03448DF8" w14:textId="77777777" w:rsidR="005A05DF" w:rsidRDefault="005A05DF" w:rsidP="005A05DF">
      <w:r>
        <w:t>During the late eighteenth and early nineteenth centuries, business networks within the cotton trade operated under specific and idealised norms that governed participant behaviour. These anticipated behaviours were shaped by collective pressures encouraging specific actions while discouraging others, impacting the norms defining these networks.</w:t>
      </w:r>
      <w:r w:rsidRPr="00DE4A3B">
        <w:rPr>
          <w:rStyle w:val="FootnoteReference"/>
        </w:rPr>
        <w:t xml:space="preserve"> </w:t>
      </w:r>
      <w:r>
        <w:rPr>
          <w:rStyle w:val="FootnoteReference"/>
        </w:rPr>
        <w:footnoteReference w:id="164"/>
      </w:r>
      <w:r>
        <w:t xml:space="preserve"> Paul Faulkner has defined norms as instructions on how to act.</w:t>
      </w:r>
      <w:r>
        <w:rPr>
          <w:rStyle w:val="FootnoteReference"/>
        </w:rPr>
        <w:footnoteReference w:id="165"/>
      </w:r>
      <w:r>
        <w:t xml:space="preserve"> However, I would argue that norms exceed mere etiquette in business networks. Non-compliance risked income loss or bankruptcy; therefore, norms were a safeguard for the whole commercial community. Despite significant structural changes in the cotton trade during the late eighteenth century, personnel conduct was expected to remain consistent. The documents of the two mills revealed a convergence of business networks aspiring to adhere to universally accepted norms. These norms encapsulated beliefs and values of place, identity, and expectations and provided a framework for acceptable behaviour. This core code, evident from correspondence, was considered non-negotiable. For instance, aspiring 'men of business' were expected to maintain elevated standards, and honouring agreements was imperative. Any deviation from these norms could lead to lost trade, exclusion, and a damaged reputation. The exchanged letters between firms and their trade partners highlighted joint efforts to align behaviour with established norms, suggesting a reciprocal process. Additionally, while the core norms formed the foundation, network-specific norms emerged based on members, objectives, and required behaviours. These elements introduced layers of expectations contingent on an actor’s position within the network. These positions often changed, allowing individuals to assume various roles across networks.</w:t>
      </w:r>
    </w:p>
    <w:p w14:paraId="780719F0" w14:textId="78876E0C" w:rsidR="005A05DF" w:rsidRDefault="005A05DF" w:rsidP="005A05DF">
      <w:r>
        <w:t>Therefore, this section argues that the concept of ‘norms' in the context of the early industrialising cotton trade represents a complex structure that evolved with the purpose of each interaction but rested upon a foundational core. This adaptability underscores the intricacies of human engagement, allowing for integrating factors such as place, class, and social hierarchy within the business network. Evidence from the case studies shows that experienced members within these networks assumed the responsibility of instructing other participants about the expected norms. This was seen by the management of the Boar’s Head</w:t>
      </w:r>
      <w:r w:rsidR="000648E0">
        <w:t xml:space="preserve"> Cotton</w:t>
      </w:r>
      <w:r>
        <w:t xml:space="preserve"> Mills and McConnel &amp; Kennedy instructing their business exchange partners on their conduct on various occasions. One such occasion resulted in an accusation of theft and saw the Evans family instruct a bleaching firm on their proper code of conduct. They concluded that this could not have been explained to them, or they would have taken a different course of action.</w:t>
      </w:r>
      <w:r>
        <w:rPr>
          <w:rStyle w:val="FootnoteReference"/>
        </w:rPr>
        <w:footnoteReference w:id="166"/>
      </w:r>
      <w:r>
        <w:t xml:space="preserve"> This mentorship extended to various aspects, including individual behaviour, the quality of traded goods, and the timely fulfilment of orders. These directions were based on the awareness of collective pressures, which aimed to benefit the individuals and the networks. These directions from established members were transmitted throughout the network's hierarchy, reaching their exchange partners when deemed necessary. This dissemination of guidance ensured that members knew and comprehended the required norms and expectations. Consequently, when successful, this process generated trust within these business exchange </w:t>
      </w:r>
      <w:r>
        <w:lastRenderedPageBreak/>
        <w:t>relationships, as network participants consistently endeavoured to uphold the expected behavioural standards and fulfil their obligations. These standards were collectively established by the network members and further reinforced by individual exchange agreements.</w:t>
      </w:r>
    </w:p>
    <w:p w14:paraId="437B0AE5" w14:textId="2279325C" w:rsidR="005A05DF" w:rsidRDefault="005A05DF" w:rsidP="005A05DF">
      <w:r>
        <w:t>The political scientist Robert Putnam correlates this behaviour management system with the concept of social capital.</w:t>
      </w:r>
      <w:r>
        <w:rPr>
          <w:rStyle w:val="FootnoteReference"/>
        </w:rPr>
        <w:footnoteReference w:id="167"/>
      </w:r>
      <w:r>
        <w:t xml:space="preserve"> He defines social capital as an inclusive term encompassing various aspects of human interaction, including networks, norms, and trust. The business networks of the cotton mills functioned upon prescribed core norms with flexible additions and required trust to facilitate the economic transactions of the firms. Sociologists Demant and Järvinen understand social capital as a productive phenomenon that facilitates certain actions and inhibits others – reflecting a person’s specific position in a network and contributing to creating these positions.</w:t>
      </w:r>
      <w:r>
        <w:rPr>
          <w:rStyle w:val="FootnoteReference"/>
        </w:rPr>
        <w:footnoteReference w:id="168"/>
      </w:r>
      <w:r>
        <w:t xml:space="preserve"> </w:t>
      </w:r>
      <w:r w:rsidRPr="006F1005">
        <w:t>Th</w:t>
      </w:r>
      <w:r>
        <w:t>ese</w:t>
      </w:r>
      <w:r w:rsidRPr="006F1005">
        <w:t xml:space="preserve"> perspective</w:t>
      </w:r>
      <w:r>
        <w:t xml:space="preserve">s </w:t>
      </w:r>
      <w:r w:rsidRPr="006F1005">
        <w:t>resonate with my findings within the cotton mills.</w:t>
      </w:r>
      <w:r>
        <w:t xml:space="preserve"> A divergence between these two positions offers the closest understanding of social capital that explains the situations in the industrialising cotton mills.</w:t>
      </w:r>
      <w:r w:rsidRPr="006F1005">
        <w:t xml:space="preserve"> These commercial enterprises were managed by a distinct class of factory masters who perceived themselves </w:t>
      </w:r>
      <w:r>
        <w:t>as separate from employees and servants. The factory masters</w:t>
      </w:r>
      <w:r w:rsidRPr="006F1005">
        <w:t xml:space="preserve"> </w:t>
      </w:r>
      <w:r>
        <w:t xml:space="preserve">saw themselves as </w:t>
      </w:r>
      <w:r w:rsidRPr="006F1005">
        <w:t>leaders within a community marked by intertwined social and business interactions.</w:t>
      </w:r>
      <w:r>
        <w:t xml:space="preserve"> McConnel &amp; Kennedy and the Boar’s Head Cotton </w:t>
      </w:r>
      <w:r w:rsidR="000648E0">
        <w:t>M</w:t>
      </w:r>
      <w:r>
        <w:t xml:space="preserve">ills as business entities saw their position as leaders to instruct their networks on the core norms and expectations that were required of them – they saw their role as instructors to promote certain behaviours and halt </w:t>
      </w:r>
      <w:r w:rsidR="00417C7F">
        <w:t>opportunistic</w:t>
      </w:r>
      <w:r>
        <w:t xml:space="preserve"> behaviours that damaged the collective good. They saw this as behaviour that was self-beneficial because it was beneficial to the collective. </w:t>
      </w:r>
    </w:p>
    <w:p w14:paraId="625DC396" w14:textId="313F252E" w:rsidR="005A05DF" w:rsidRDefault="005A05DF" w:rsidP="005A05DF">
      <w:r>
        <w:t>Therefore, while Putnam, Demant and J</w:t>
      </w:r>
      <w:r>
        <w:rPr>
          <w:rFonts w:cstheme="minorHAnsi"/>
        </w:rPr>
        <w:t>ä</w:t>
      </w:r>
      <w:r>
        <w:t>rvinen’s conceptualisations aptly apply to social interactions, I would suggest that they apply similarly to the historic business interactions seen in the interactions of the two firms, which aimed to foster economic connections through human social interaction. Distinguishing business and social interactions from each other can be a difficult and intricate task, as business transactions fundamentally involve forms of human communication. Consequently, the demarcation between these two spheres is less distinct than it first appears, particularly since business correspondences involve interpersonal connections.</w:t>
      </w:r>
      <w:r w:rsidRPr="000A1286">
        <w:t xml:space="preserve"> </w:t>
      </w:r>
      <w:r w:rsidR="00D626AE">
        <w:t>Putnam’s</w:t>
      </w:r>
      <w:r>
        <w:t xml:space="preserve"> definition, therefore, effectively encapsulates the essence of business interactions. Economic historian David Sunderland's research into trust and social capital during the Industrial Revolution suggests that he understood this at some level.</w:t>
      </w:r>
      <w:r w:rsidR="00D626AE">
        <w:rPr>
          <w:rStyle w:val="FootnoteReference"/>
        </w:rPr>
        <w:footnoteReference w:id="169"/>
      </w:r>
      <w:r>
        <w:t xml:space="preserve"> In his work, Sunderland emphasised the significance of social, financial, physical, and human capital as integral elements in facilitating cooperation and coordination within human interactions, ultimately leading to mutual benefit.</w:t>
      </w:r>
      <w:r w:rsidR="00D626AE">
        <w:rPr>
          <w:rStyle w:val="FootnoteReference"/>
        </w:rPr>
        <w:footnoteReference w:id="170"/>
      </w:r>
      <w:r>
        <w:t xml:space="preserve"> Sunderland's argument suggests that at the core of social capital lies trust—a quality that hinges on individuals demonstrating their trustworthiness and cultivating respectable reputations.</w:t>
      </w:r>
      <w:r>
        <w:rPr>
          <w:rStyle w:val="FootnoteReference"/>
        </w:rPr>
        <w:footnoteReference w:id="171"/>
      </w:r>
      <w:r>
        <w:t xml:space="preserve"> This approach is a foundation for fostering cooperation and coordination within trade and commerce, thus laying the very foundation of enduring business relationships.</w:t>
      </w:r>
    </w:p>
    <w:p w14:paraId="42254DE0" w14:textId="476B0780" w:rsidR="005A05DF" w:rsidRPr="005557E1" w:rsidRDefault="005A05DF" w:rsidP="005A05DF">
      <w:pPr>
        <w:rPr>
          <w:i/>
          <w:iCs/>
        </w:rPr>
      </w:pPr>
      <w:r w:rsidRPr="005557E1">
        <w:rPr>
          <w:i/>
          <w:iCs/>
        </w:rPr>
        <w:t xml:space="preserve">Expectations and obligations </w:t>
      </w:r>
    </w:p>
    <w:p w14:paraId="2C2951EF" w14:textId="70DAD8CE" w:rsidR="005A05DF" w:rsidRDefault="005A05DF" w:rsidP="005A05DF">
      <w:r>
        <w:t>Both firms showed evidence of holding their business relationships to expectations and obligations, which both exchange partners implicitly and explicitly agreed upon. A norm of the business networks was to fulfil expectations and agreed-upon obligations as a matter of course.</w:t>
      </w:r>
      <w:r w:rsidR="00D626AE">
        <w:rPr>
          <w:rStyle w:val="FootnoteReference"/>
        </w:rPr>
        <w:footnoteReference w:id="172"/>
      </w:r>
      <w:r>
        <w:t xml:space="preserve"> So, how did the firms </w:t>
      </w:r>
      <w:r>
        <w:lastRenderedPageBreak/>
        <w:t>view their own obligations, and what expectations did they hold of themselves and others? The firms expected others to stick to their agreements and remain honest to their word. The expectation of prompt payment as an 1801 letter to Mr John How of Green Castle near Belfast clarifies, ‘It is our mode of business to charge as low as possible and expect to be punctually paid when due.’</w:t>
      </w:r>
      <w:r>
        <w:rPr>
          <w:rStyle w:val="FootnoteReference"/>
        </w:rPr>
        <w:footnoteReference w:id="173"/>
      </w:r>
      <w:r>
        <w:t xml:space="preserve"> They expected network members to look out for each other in difficult times and understand when actors found misfortune not of their own making. For example, William Johnson of Bow Street Cheapside, London, wrote to McConnel &amp; Kennedy </w:t>
      </w:r>
      <w:r w:rsidR="006D51CA">
        <w:t xml:space="preserve">in 1796 </w:t>
      </w:r>
      <w:r>
        <w:t>explaining his father Joseph's difficulties, which meant he could not meet the expectations and obligations placed upon him by an earlier agreement made before he took ill.</w:t>
      </w:r>
      <w:r w:rsidR="00D626AE">
        <w:rPr>
          <w:rStyle w:val="FootnoteReference"/>
        </w:rPr>
        <w:footnoteReference w:id="174"/>
      </w:r>
      <w:r>
        <w:t xml:space="preserve"> The letter explained that normally, he was diligent in his work but that his health was so dire that the doctors had all but given up on him. An earlier letter sent by McConnel &amp; Kennedy enquiring about the state of their order had been sharp.</w:t>
      </w:r>
      <w:r w:rsidR="00D626AE">
        <w:rPr>
          <w:rStyle w:val="FootnoteReference"/>
        </w:rPr>
        <w:footnoteReference w:id="175"/>
      </w:r>
      <w:r>
        <w:t xml:space="preserve"> Still, on hearing of the situation with Joseph, they became more understanding of his plight. Eventually, William stepped in to fulfil the order agreed between his father and McConnel &amp; Kennedy.</w:t>
      </w:r>
      <w:r w:rsidR="00D626AE">
        <w:rPr>
          <w:rStyle w:val="FootnoteReference"/>
        </w:rPr>
        <w:footnoteReference w:id="176"/>
      </w:r>
      <w:r>
        <w:t xml:space="preserve"> There is a clear contemporary conceptualisation of expectations and obligations understood by the networks' actors. Their understanding was sophisticated and reflexive. </w:t>
      </w:r>
    </w:p>
    <w:p w14:paraId="48390335" w14:textId="624B1B5F" w:rsidR="005A05DF" w:rsidRDefault="005A05DF" w:rsidP="005A05DF">
      <w:pPr>
        <w:rPr>
          <w:b/>
          <w:bCs/>
          <w:sz w:val="24"/>
          <w:szCs w:val="24"/>
        </w:rPr>
      </w:pPr>
      <w:r w:rsidRPr="00B10133">
        <w:rPr>
          <w:b/>
          <w:bCs/>
          <w:sz w:val="24"/>
          <w:szCs w:val="24"/>
        </w:rPr>
        <w:t>The</w:t>
      </w:r>
      <w:r w:rsidR="00A36C48">
        <w:rPr>
          <w:b/>
          <w:bCs/>
          <w:sz w:val="24"/>
          <w:szCs w:val="24"/>
        </w:rPr>
        <w:t xml:space="preserve"> I</w:t>
      </w:r>
      <w:r w:rsidRPr="00B10133">
        <w:rPr>
          <w:b/>
          <w:bCs/>
          <w:sz w:val="24"/>
          <w:szCs w:val="24"/>
        </w:rPr>
        <w:t xml:space="preserve">deal </w:t>
      </w:r>
      <w:r w:rsidR="00A36C48">
        <w:rPr>
          <w:b/>
          <w:bCs/>
          <w:sz w:val="24"/>
          <w:szCs w:val="24"/>
        </w:rPr>
        <w:t>C</w:t>
      </w:r>
      <w:r w:rsidRPr="00B10133">
        <w:rPr>
          <w:b/>
          <w:bCs/>
          <w:sz w:val="24"/>
          <w:szCs w:val="24"/>
        </w:rPr>
        <w:t xml:space="preserve">haracter </w:t>
      </w:r>
      <w:r w:rsidR="00A36C48">
        <w:rPr>
          <w:b/>
          <w:bCs/>
          <w:sz w:val="24"/>
          <w:szCs w:val="24"/>
        </w:rPr>
        <w:t>T</w:t>
      </w:r>
      <w:r w:rsidRPr="00B10133">
        <w:rPr>
          <w:b/>
          <w:bCs/>
          <w:sz w:val="24"/>
          <w:szCs w:val="24"/>
        </w:rPr>
        <w:t xml:space="preserve">raits of a </w:t>
      </w:r>
      <w:r w:rsidR="00A36C48">
        <w:rPr>
          <w:b/>
          <w:bCs/>
          <w:sz w:val="24"/>
          <w:szCs w:val="24"/>
        </w:rPr>
        <w:t>B</w:t>
      </w:r>
      <w:r>
        <w:rPr>
          <w:b/>
          <w:bCs/>
          <w:sz w:val="24"/>
          <w:szCs w:val="24"/>
        </w:rPr>
        <w:t xml:space="preserve">usiness </w:t>
      </w:r>
      <w:r w:rsidR="00A36C48">
        <w:rPr>
          <w:b/>
          <w:bCs/>
          <w:sz w:val="24"/>
          <w:szCs w:val="24"/>
        </w:rPr>
        <w:t>N</w:t>
      </w:r>
      <w:r>
        <w:rPr>
          <w:b/>
          <w:bCs/>
          <w:sz w:val="24"/>
          <w:szCs w:val="24"/>
        </w:rPr>
        <w:t>etwork</w:t>
      </w:r>
      <w:r w:rsidRPr="00B10133">
        <w:rPr>
          <w:b/>
          <w:bCs/>
          <w:sz w:val="24"/>
          <w:szCs w:val="24"/>
        </w:rPr>
        <w:t xml:space="preserve"> </w:t>
      </w:r>
      <w:r w:rsidR="00A36C48">
        <w:rPr>
          <w:b/>
          <w:bCs/>
          <w:sz w:val="24"/>
          <w:szCs w:val="24"/>
        </w:rPr>
        <w:t>A</w:t>
      </w:r>
      <w:r w:rsidRPr="00B10133">
        <w:rPr>
          <w:b/>
          <w:bCs/>
          <w:sz w:val="24"/>
          <w:szCs w:val="24"/>
        </w:rPr>
        <w:t xml:space="preserve">ctor </w:t>
      </w:r>
    </w:p>
    <w:p w14:paraId="4E3CE9BC" w14:textId="77777777" w:rsidR="005A05DF" w:rsidRDefault="005A05DF" w:rsidP="005A05DF">
      <w:pPr>
        <w:pStyle w:val="NoSpacing"/>
      </w:pPr>
      <w:r w:rsidRPr="007C080E">
        <w:rPr>
          <w:i/>
          <w:iCs/>
        </w:rPr>
        <w:t>Vault</w:t>
      </w:r>
      <w:r>
        <w:rPr>
          <w:i/>
          <w:iCs/>
        </w:rPr>
        <w:t>, Discretion, and Confidentiality</w:t>
      </w:r>
      <w:r>
        <w:t xml:space="preserve"> </w:t>
      </w:r>
    </w:p>
    <w:p w14:paraId="11DFB734" w14:textId="77777777" w:rsidR="005A05DF" w:rsidRDefault="005A05DF" w:rsidP="005A05DF">
      <w:pPr>
        <w:pStyle w:val="NoSpacing"/>
      </w:pPr>
    </w:p>
    <w:p w14:paraId="4E83FA91" w14:textId="448145FA" w:rsidR="005A05DF" w:rsidRDefault="005A05DF" w:rsidP="005A05DF">
      <w:pPr>
        <w:pStyle w:val="NoSpacing"/>
      </w:pPr>
      <w:r>
        <w:t xml:space="preserve">Adherence to rules and norms within business networks demands individuals and firms to exercise discretion and maintain confidentiality. Complying with these expectations strengthens relationships within the business network, while failure to do so could weaken ties among its members. The Evans family understood the importance of these principles in trade and commerce. </w:t>
      </w:r>
      <w:r w:rsidR="008E404A">
        <w:t>In</w:t>
      </w:r>
      <w:r>
        <w:t xml:space="preserve"> July 1788, a situation arose within the Evans family's timber dealing division, which operated alongside their cotton business and contributed to their mill's development. </w:t>
      </w:r>
      <w:r w:rsidR="008E404A">
        <w:t>W. Evans &amp; So</w:t>
      </w:r>
      <w:r w:rsidR="003A3250">
        <w:t>n</w:t>
      </w:r>
      <w:r w:rsidR="008E404A">
        <w:t>s wrote to Mr. Robert Cooper on the 21</w:t>
      </w:r>
      <w:r w:rsidR="008E404A" w:rsidRPr="008E404A">
        <w:rPr>
          <w:vertAlign w:val="superscript"/>
        </w:rPr>
        <w:t xml:space="preserve">st </w:t>
      </w:r>
      <w:r w:rsidR="008E404A">
        <w:t>of July and this</w:t>
      </w:r>
      <w:r>
        <w:t xml:space="preserve"> correspondence showed the Evans family</w:t>
      </w:r>
      <w:r w:rsidR="008E404A">
        <w:t xml:space="preserve"> had</w:t>
      </w:r>
      <w:r>
        <w:t xml:space="preserve"> purchased timber from Mr Robert Cooper of </w:t>
      </w:r>
      <w:proofErr w:type="spellStart"/>
      <w:r>
        <w:t>Alkmonton</w:t>
      </w:r>
      <w:proofErr w:type="spellEnd"/>
      <w:r>
        <w:t>, in addition to their usual supplier, Mr</w:t>
      </w:r>
      <w:r w:rsidR="008E404A">
        <w:t>.</w:t>
      </w:r>
      <w:r>
        <w:t xml:space="preserve"> Fearn.</w:t>
      </w:r>
      <w:r w:rsidR="008E404A">
        <w:rPr>
          <w:rStyle w:val="FootnoteReference"/>
        </w:rPr>
        <w:footnoteReference w:id="177"/>
      </w:r>
      <w:r>
        <w:t xml:space="preserve"> Mr</w:t>
      </w:r>
      <w:r w:rsidR="008E404A">
        <w:t>.</w:t>
      </w:r>
      <w:r>
        <w:t xml:space="preserve"> Cooper (or his employee Mr Oakden) was accused of ‘blabbing’ to Fearn about the business transaction details.</w:t>
      </w:r>
      <w:r w:rsidR="00D626AE">
        <w:rPr>
          <w:rStyle w:val="FootnoteReference"/>
        </w:rPr>
        <w:footnoteReference w:id="178"/>
      </w:r>
      <w:r w:rsidR="00D626AE">
        <w:t xml:space="preserve"> </w:t>
      </w:r>
      <w:r>
        <w:t>The Evans family expressed dissatisfaction with Cooper (or Oakden) for deviating from the established expectations of customer discretion and confidentiality.</w:t>
      </w:r>
      <w:r>
        <w:rPr>
          <w:rStyle w:val="FootnoteReference"/>
        </w:rPr>
        <w:footnoteReference w:id="179"/>
      </w:r>
      <w:r>
        <w:t xml:space="preserve"> They highlighted how Cooper's actions had offended Fearn and damaged the relationship between Evans and Fearn. While the decision to seek an alternative timber supplier was a minor deviation, the Evans family saw Cooper or Oakden's indiscretion as the primary cause of reputational and business harm. This breach of trust between Fearn and the Evans family, and between Cooper, Oakden, and the Evans family, illustrates that not everyone within business networks consistently meets the expected standards, and one member's indiscretion can impact the reputation of others. In response, the Evans family communicated with Cooper, emphasising the implications of his actions and highlighting the need for him to maintain the confidence of his business partners. Through this letter, the Evans family worked not only for their benefit but also for the benefit of the wider business network. </w:t>
      </w:r>
    </w:p>
    <w:p w14:paraId="38305AC0" w14:textId="77777777" w:rsidR="005A05DF" w:rsidRDefault="005A05DF" w:rsidP="005A05DF">
      <w:pPr>
        <w:pStyle w:val="NoSpacing"/>
      </w:pPr>
    </w:p>
    <w:p w14:paraId="32165BEE" w14:textId="6EDF2757" w:rsidR="005A05DF" w:rsidRDefault="005A05DF" w:rsidP="005A05DF">
      <w:pPr>
        <w:pStyle w:val="NoSpacing"/>
      </w:pPr>
      <w:r w:rsidRPr="00DA310E">
        <w:rPr>
          <w:color w:val="000000" w:themeColor="text1"/>
        </w:rPr>
        <w:t>McConnel &amp; Kennedy</w:t>
      </w:r>
      <w:r w:rsidR="005C1BAB" w:rsidRPr="00DA310E">
        <w:rPr>
          <w:color w:val="000000" w:themeColor="text1"/>
        </w:rPr>
        <w:t>’s</w:t>
      </w:r>
      <w:r w:rsidRPr="00DA310E">
        <w:rPr>
          <w:color w:val="000000" w:themeColor="text1"/>
        </w:rPr>
        <w:t xml:space="preserve"> business network </w:t>
      </w:r>
      <w:r>
        <w:t>also understood their discretion and confidentiality obligations. In an 1802 letter received by the company from a potential business connection, J.</w:t>
      </w:r>
      <w:r w:rsidR="00D72A9A">
        <w:t xml:space="preserve"> L.</w:t>
      </w:r>
      <w:r>
        <w:t xml:space="preserve"> Eckhardt from Leipzig's contemporary understanding of a ‘man of business’ shows that this primarily </w:t>
      </w:r>
      <w:r>
        <w:lastRenderedPageBreak/>
        <w:t>encompassed the duty of discretion.</w:t>
      </w:r>
      <w:r>
        <w:rPr>
          <w:rStyle w:val="FootnoteReference"/>
        </w:rPr>
        <w:footnoteReference w:id="180"/>
      </w:r>
      <w:r>
        <w:t xml:space="preserve"> </w:t>
      </w:r>
      <w:r w:rsidR="00D626AE">
        <w:t>Eckhardt’s</w:t>
      </w:r>
      <w:r>
        <w:t xml:space="preserve"> letter implies that McConnel &amp; Kennedy were also initiated with this understanding. Eckhardt hoped McConnel &amp; Kennedy would open a business connection with him based on his character and existing connections within their wider business network</w:t>
      </w:r>
      <w:r w:rsidRPr="00DA310E">
        <w:rPr>
          <w:color w:val="000000" w:themeColor="text1"/>
        </w:rPr>
        <w:t>.</w:t>
      </w:r>
      <w:r w:rsidR="00D626AE" w:rsidRPr="00DA310E">
        <w:rPr>
          <w:rStyle w:val="FootnoteReference"/>
          <w:color w:val="000000" w:themeColor="text1"/>
        </w:rPr>
        <w:footnoteReference w:id="181"/>
      </w:r>
      <w:r w:rsidRPr="00DA310E">
        <w:rPr>
          <w:color w:val="000000" w:themeColor="text1"/>
        </w:rPr>
        <w:t xml:space="preserve"> Eckhardt wr</w:t>
      </w:r>
      <w:r w:rsidR="005C1BAB" w:rsidRPr="00DA310E">
        <w:rPr>
          <w:color w:val="000000" w:themeColor="text1"/>
        </w:rPr>
        <w:t>ote</w:t>
      </w:r>
      <w:r w:rsidRPr="00DA310E">
        <w:rPr>
          <w:color w:val="000000" w:themeColor="text1"/>
        </w:rPr>
        <w:t xml:space="preserve"> </w:t>
      </w:r>
      <w:r>
        <w:t>that the ‘first duty of a man of business demands complete silence, which I observe with all my friends.’</w:t>
      </w:r>
      <w:r>
        <w:rPr>
          <w:rStyle w:val="FootnoteReference"/>
        </w:rPr>
        <w:footnoteReference w:id="182"/>
      </w:r>
      <w:r>
        <w:t xml:space="preserve"> This letter confirms that the concepts of vault, discretion, and confidentiality were well-known within local and international business networks of the period and that their conceptualisation showed a sophistication that aided the development of the cotton trade between British and European trading partners. The duty of an eighteenth and </w:t>
      </w:r>
      <w:r w:rsidR="001D5B15">
        <w:t>nineteenth century</w:t>
      </w:r>
      <w:r>
        <w:t xml:space="preserve"> ‘man of business’ </w:t>
      </w:r>
      <w:r w:rsidR="003A3250">
        <w:t xml:space="preserve">appears to have </w:t>
      </w:r>
      <w:r>
        <w:t xml:space="preserve">involved working for the collective good of the business networks and commercial society. This understanding did not stop at the borders of Britain but was also mutually understood by </w:t>
      </w:r>
      <w:r w:rsidR="003A3250">
        <w:t>European</w:t>
      </w:r>
      <w:r>
        <w:t xml:space="preserve"> actors. Each firm’s contemporary understanding of working for the mutual benefit of the network reflects a level of social embeddedness as posited by Granovetter and, to a certain extent, Polanyi’s ‘moral economy’ in practice.</w:t>
      </w:r>
    </w:p>
    <w:p w14:paraId="1ED18DAF" w14:textId="77777777" w:rsidR="005A05DF" w:rsidRDefault="005A05DF" w:rsidP="005A05DF">
      <w:pPr>
        <w:pStyle w:val="NoSpacing"/>
      </w:pPr>
    </w:p>
    <w:p w14:paraId="68352C58" w14:textId="77777777" w:rsidR="005A05DF" w:rsidRDefault="005A05DF" w:rsidP="005A05DF">
      <w:pPr>
        <w:pStyle w:val="NoSpacing"/>
        <w:rPr>
          <w:i/>
          <w:iCs/>
        </w:rPr>
      </w:pPr>
      <w:r w:rsidRPr="007C0AF3">
        <w:rPr>
          <w:i/>
          <w:iCs/>
        </w:rPr>
        <w:t>Honesty, Integrity, and Propriety</w:t>
      </w:r>
    </w:p>
    <w:p w14:paraId="5AF30788" w14:textId="77777777" w:rsidR="005A05DF" w:rsidRPr="00443389" w:rsidRDefault="005A05DF" w:rsidP="005A05DF">
      <w:pPr>
        <w:pStyle w:val="NoSpacing"/>
        <w:rPr>
          <w:b/>
          <w:bCs/>
          <w:sz w:val="24"/>
          <w:szCs w:val="24"/>
        </w:rPr>
      </w:pPr>
    </w:p>
    <w:p w14:paraId="3874C4E6" w14:textId="4CBBCBF9" w:rsidR="005A05DF" w:rsidRDefault="00D54CEC" w:rsidP="005A05DF">
      <w:r>
        <w:t xml:space="preserve">Business exchange partners within the web of business networks were </w:t>
      </w:r>
      <w:r w:rsidR="007839CE">
        <w:t xml:space="preserve">expected to aspire to achieve the highest standards of individual and </w:t>
      </w:r>
      <w:r w:rsidR="00C12A2B">
        <w:t xml:space="preserve">company conduct – this reinforced the reciprocal </w:t>
      </w:r>
      <w:r w:rsidR="003816D0">
        <w:t xml:space="preserve">system based on the ideals of mutual benefit. </w:t>
      </w:r>
      <w:r w:rsidR="006D04C4">
        <w:t>Honesty, integrity</w:t>
      </w:r>
      <w:r w:rsidR="00C36992">
        <w:t>,</w:t>
      </w:r>
      <w:r w:rsidR="006D04C4">
        <w:t xml:space="preserve"> and propriety were all expectations that </w:t>
      </w:r>
      <w:r w:rsidR="00C36992">
        <w:t>the cotton</w:t>
      </w:r>
      <w:r w:rsidR="005C1BAB">
        <w:t>-</w:t>
      </w:r>
      <w:r w:rsidR="00C36992">
        <w:t>spinning firms expected from their resource exchange partners.</w:t>
      </w:r>
      <w:r w:rsidR="005C1BAB">
        <w:t xml:space="preserve"> </w:t>
      </w:r>
      <w:bookmarkStart w:id="57" w:name="_Hlk168313417"/>
      <w:r w:rsidR="005C1BAB" w:rsidRPr="00DA310E">
        <w:rPr>
          <w:color w:val="000000" w:themeColor="text1"/>
        </w:rPr>
        <w:t>This was not only a standard required at the time but also a general best practice all businesses seek to adhere to.</w:t>
      </w:r>
      <w:r w:rsidR="00C36992" w:rsidRPr="00DA310E">
        <w:rPr>
          <w:color w:val="000000" w:themeColor="text1"/>
        </w:rPr>
        <w:t xml:space="preserve"> </w:t>
      </w:r>
      <w:bookmarkEnd w:id="57"/>
      <w:r w:rsidR="005A05DF" w:rsidRPr="001D2284">
        <w:t>A letter dated November 3, 1788, exchanged between W. Evans &amp; Co. and Messrs. Whitfield &amp; Co. of Manchester</w:t>
      </w:r>
      <w:r w:rsidR="005A05DF">
        <w:t>,</w:t>
      </w:r>
      <w:r w:rsidR="005A05DF" w:rsidRPr="001D2284">
        <w:t xml:space="preserve"> provides insight</w:t>
      </w:r>
      <w:r w:rsidR="005A05DF">
        <w:t>s</w:t>
      </w:r>
      <w:r w:rsidR="005A05DF" w:rsidRPr="001D2284">
        <w:t xml:space="preserve"> into the expected standards of business conduct within business networks</w:t>
      </w:r>
      <w:r w:rsidR="005A05DF">
        <w:t>, particularly about honesty</w:t>
      </w:r>
      <w:r w:rsidR="005A05DF" w:rsidRPr="001D2284">
        <w:t>.</w:t>
      </w:r>
      <w:r w:rsidR="005A05DF">
        <w:rPr>
          <w:rStyle w:val="FootnoteReference"/>
        </w:rPr>
        <w:footnoteReference w:id="183"/>
      </w:r>
      <w:r w:rsidR="005A05DF" w:rsidRPr="001D2284">
        <w:t xml:space="preserve"> The letter discusses the loss of some cotton during its delivery by Whitfield's on behalf of the Evans family to </w:t>
      </w:r>
      <w:r w:rsidR="005A05DF">
        <w:t>Mr</w:t>
      </w:r>
      <w:r w:rsidR="005A05DF" w:rsidRPr="001D2284">
        <w:t xml:space="preserve"> Pemberton in Manchester.</w:t>
      </w:r>
      <w:r w:rsidR="006D51CA">
        <w:rPr>
          <w:rStyle w:val="FootnoteReference"/>
        </w:rPr>
        <w:footnoteReference w:id="184"/>
      </w:r>
      <w:r w:rsidR="005A05DF" w:rsidRPr="001D2284">
        <w:t xml:space="preserve"> The Evans family expressed that if Whitfield believed the delivery was executed correctly and any loss occurred after the delivery, the responsibility lay with </w:t>
      </w:r>
      <w:r w:rsidR="005A05DF">
        <w:t>Mr</w:t>
      </w:r>
      <w:r w:rsidR="005A05DF" w:rsidRPr="001D2284">
        <w:t xml:space="preserve"> Pemberton. However, if Whitfield acknowledged that Mr Pemberton had valid complaints about the delivery, the Evans family would bear half the losses as a goodwill gesture.</w:t>
      </w:r>
      <w:r w:rsidR="00872963">
        <w:rPr>
          <w:rStyle w:val="FootnoteReference"/>
        </w:rPr>
        <w:footnoteReference w:id="185"/>
      </w:r>
      <w:r w:rsidR="005A05DF" w:rsidRPr="001D2284">
        <w:t xml:space="preserve"> This correspondence demonstrates clearly the strong and trusting relationship between the Evans family and Messrs. Whitfield, as the firm was willing to accommodate losses if justified.</w:t>
      </w:r>
      <w:r w:rsidR="005A05DF">
        <w:t xml:space="preserve"> The firm was willing to accept Messrs. Whitfield’s explanation of events and trust in their honesty, integrity, and Whitfield’s interpretation of the propriety of the delivery. The example also highlights how misplaced trust in another’s honesty could have financial implications for a business. </w:t>
      </w:r>
    </w:p>
    <w:p w14:paraId="42EE454F" w14:textId="647F0368" w:rsidR="005A05DF" w:rsidRDefault="005A05DF" w:rsidP="005A05DF">
      <w:pPr>
        <w:pStyle w:val="NoSpacing"/>
      </w:pPr>
      <w:r w:rsidRPr="007C080E">
        <w:rPr>
          <w:i/>
          <w:iCs/>
        </w:rPr>
        <w:t xml:space="preserve">Accountability, </w:t>
      </w:r>
      <w:r w:rsidR="005A3A65">
        <w:rPr>
          <w:i/>
          <w:iCs/>
        </w:rPr>
        <w:t>R</w:t>
      </w:r>
      <w:r w:rsidRPr="007C080E">
        <w:rPr>
          <w:i/>
          <w:iCs/>
        </w:rPr>
        <w:t xml:space="preserve">eliability, </w:t>
      </w:r>
      <w:r>
        <w:rPr>
          <w:i/>
          <w:iCs/>
        </w:rPr>
        <w:t xml:space="preserve">and </w:t>
      </w:r>
      <w:r w:rsidR="005A3A65">
        <w:rPr>
          <w:i/>
          <w:iCs/>
        </w:rPr>
        <w:t>C</w:t>
      </w:r>
      <w:r w:rsidRPr="007C080E">
        <w:rPr>
          <w:i/>
          <w:iCs/>
        </w:rPr>
        <w:t>onsistency</w:t>
      </w:r>
      <w:r>
        <w:t xml:space="preserve"> </w:t>
      </w:r>
    </w:p>
    <w:p w14:paraId="49E5AF41" w14:textId="77777777" w:rsidR="005A05DF" w:rsidRDefault="005A05DF" w:rsidP="005A05DF">
      <w:pPr>
        <w:pStyle w:val="NoSpacing"/>
      </w:pPr>
    </w:p>
    <w:p w14:paraId="0B813C5D" w14:textId="29B2C1EC" w:rsidR="005A05DF" w:rsidRDefault="005A05DF" w:rsidP="005A05DF">
      <w:pPr>
        <w:pStyle w:val="NoSpacing"/>
      </w:pPr>
      <w:r>
        <w:t xml:space="preserve">Accountability, reliability, consistency and the possession of rational and sound </w:t>
      </w:r>
      <w:r w:rsidR="0089541C">
        <w:t>judg</w:t>
      </w:r>
      <w:r w:rsidR="002E63FF">
        <w:t>e</w:t>
      </w:r>
      <w:r w:rsidR="0089541C">
        <w:t>ment</w:t>
      </w:r>
      <w:r>
        <w:t xml:space="preserve"> were all necessary components of the eighteenth and nineteenth-century conceptualisation of the quintessential ‘man of business</w:t>
      </w:r>
      <w:r w:rsidR="00DA310E">
        <w:t>.</w:t>
      </w:r>
      <w:r>
        <w:t>’</w:t>
      </w:r>
      <w:r w:rsidR="00872963">
        <w:rPr>
          <w:rStyle w:val="FootnoteReference"/>
        </w:rPr>
        <w:footnoteReference w:id="186"/>
      </w:r>
      <w:r>
        <w:t xml:space="preserve"> These were essential components of business partners, management employees, agents, and potential business exchange partners. Any network actor taking up these roles must demonstrate these characteristics to impress a prospective business partner. These characteristics usually generate trust and a positive reputation, but this must be </w:t>
      </w:r>
      <w:r>
        <w:lastRenderedPageBreak/>
        <w:t>proven over time. A member's proven accountability could foster a reputation of reliability and consistency and demonstrate the skill of sound judgment. Usually,</w:t>
      </w:r>
      <w:r w:rsidRPr="00406F89">
        <w:t xml:space="preserve"> </w:t>
      </w:r>
      <w:r>
        <w:t>a verbal contract of the business transaction implied a network member's accountability,</w:t>
      </w:r>
      <w:r w:rsidRPr="00406F89">
        <w:t xml:space="preserve"> but </w:t>
      </w:r>
      <w:r>
        <w:t>occasionally, the firms sought greater assurances. Greater assurances implied a lower level of trust within the specific relationship. In June 1788, the Evans family instructed their employee John Keeling to witness the declaration of Mr Joshua Hodkinson’s accountability to safely deliver iron to Mr Kinder, valued at six pounds.</w:t>
      </w:r>
      <w:r>
        <w:rPr>
          <w:rStyle w:val="FootnoteReference"/>
        </w:rPr>
        <w:footnoteReference w:id="187"/>
      </w:r>
      <w:r>
        <w:t xml:space="preserve"> This declaration was inputted into the correspondence book, signed, and dated by John Keeling. Whether Hodkinson had been previously unreliable is unknown. Still, whatever the reasons for explicitly stating his accountability for the goods, the interaction shows that accountability was an ideal character trait and a requirement in network actors to ensure the smooth transaction of the business exchange. The contemporary business networks, therefore, had a grasp of these modes of operation and a clear understanding of accountability as a preferred norm of their networks.</w:t>
      </w:r>
    </w:p>
    <w:p w14:paraId="77F576E7" w14:textId="77777777" w:rsidR="005A05DF" w:rsidRDefault="005A05DF" w:rsidP="005A05DF">
      <w:pPr>
        <w:pStyle w:val="NoSpacing"/>
      </w:pPr>
    </w:p>
    <w:p w14:paraId="1EDF61D3" w14:textId="78881E77" w:rsidR="005A05DF" w:rsidRDefault="005A05DF" w:rsidP="005A05DF">
      <w:pPr>
        <w:pStyle w:val="NoSpacing"/>
      </w:pPr>
      <w:r>
        <w:t>A further example of network members showing accountability in their actions was in correspondence between McConnel &amp; Kennedy and Blair &amp; Andrew Sloan on the 4</w:t>
      </w:r>
      <w:r w:rsidRPr="006B392F">
        <w:rPr>
          <w:vertAlign w:val="superscript"/>
        </w:rPr>
        <w:t>th</w:t>
      </w:r>
      <w:r>
        <w:t xml:space="preserve"> of December 1798.</w:t>
      </w:r>
      <w:r w:rsidR="00872963">
        <w:rPr>
          <w:rStyle w:val="FootnoteReference"/>
        </w:rPr>
        <w:footnoteReference w:id="188"/>
      </w:r>
      <w:r>
        <w:t xml:space="preserve"> McConnel &amp; Kennedy affirm to Blair &amp; Andrew Sloan their responsibilities and accountability to ensure they can make payment or secure their order. Their </w:t>
      </w:r>
      <w:r w:rsidR="005E3A47">
        <w:t>letter</w:t>
      </w:r>
      <w:r>
        <w:t xml:space="preserve"> reads… ‘you must abide by the consequences as it appears by your manner that you wish to treat us badly in an </w:t>
      </w:r>
      <w:proofErr w:type="gramStart"/>
      <w:r>
        <w:t>affair</w:t>
      </w:r>
      <w:proofErr w:type="gramEnd"/>
      <w:r>
        <w:t xml:space="preserve"> we had no interest nor view but to serve you.’</w:t>
      </w:r>
      <w:r w:rsidR="0034722B">
        <w:rPr>
          <w:rStyle w:val="FootnoteReference"/>
        </w:rPr>
        <w:footnoteReference w:id="189"/>
      </w:r>
      <w:r>
        <w:t xml:space="preserve"> These examples show that </w:t>
      </w:r>
      <w:r w:rsidR="005E3A47">
        <w:t>many individuals in the</w:t>
      </w:r>
      <w:r>
        <w:t xml:space="preserve"> networks understood these concepts well. However, it was not just the business exchange partners who needed to conform to the network's norms; the firms themselves needed to be held accountable for their conduct and consistent with their obligations. Robert Gemmill held McConnel &amp; Kennedy accountable for their inconsistency when they wrote to the firm from Belfast on the 18</w:t>
      </w:r>
      <w:r w:rsidRPr="001652B6">
        <w:rPr>
          <w:vertAlign w:val="superscript"/>
        </w:rPr>
        <w:t>th</w:t>
      </w:r>
      <w:r>
        <w:t xml:space="preserve"> of October 1800.</w:t>
      </w:r>
      <w:r w:rsidR="00020324">
        <w:rPr>
          <w:rStyle w:val="FootnoteReference"/>
        </w:rPr>
        <w:footnoteReference w:id="190"/>
      </w:r>
      <w:r>
        <w:t xml:space="preserve"> In this letter, they suggested they were being charged more than anyone else in their market for the same products and that they did not send their orders as promptly as they had for others.</w:t>
      </w:r>
      <w:r w:rsidR="005837DF">
        <w:t xml:space="preserve"> </w:t>
      </w:r>
      <w:r>
        <w:t>The letter explains to McConnel &amp; Kennedy that they should be aware that their customers in Paisley, Glasgow</w:t>
      </w:r>
      <w:r w:rsidR="00B264E6">
        <w:t>,</w:t>
      </w:r>
      <w:r>
        <w:t xml:space="preserve"> and Ireland </w:t>
      </w:r>
      <w:r w:rsidR="005E3A47">
        <w:t>were</w:t>
      </w:r>
      <w:r>
        <w:t xml:space="preserve"> not so unfriendly as not to know the prices each other are paying for their goods.</w:t>
      </w:r>
      <w:r>
        <w:rPr>
          <w:rStyle w:val="FootnoteReference"/>
        </w:rPr>
        <w:footnoteReference w:id="191"/>
      </w:r>
      <w:r>
        <w:t xml:space="preserve"> </w:t>
      </w:r>
    </w:p>
    <w:p w14:paraId="7AB89053" w14:textId="77777777" w:rsidR="005A05DF" w:rsidRDefault="005A05DF" w:rsidP="005A05DF">
      <w:pPr>
        <w:pStyle w:val="NoSpacing"/>
      </w:pPr>
    </w:p>
    <w:p w14:paraId="1585B498" w14:textId="77777777" w:rsidR="005A05DF" w:rsidRDefault="005A05DF" w:rsidP="005A05DF">
      <w:pPr>
        <w:rPr>
          <w:b/>
          <w:bCs/>
          <w:sz w:val="24"/>
          <w:szCs w:val="24"/>
        </w:rPr>
      </w:pPr>
      <w:r w:rsidRPr="001823D0">
        <w:rPr>
          <w:b/>
          <w:bCs/>
          <w:sz w:val="24"/>
          <w:szCs w:val="24"/>
        </w:rPr>
        <w:t>Reputations with</w:t>
      </w:r>
      <w:r>
        <w:rPr>
          <w:b/>
          <w:bCs/>
          <w:sz w:val="24"/>
          <w:szCs w:val="24"/>
        </w:rPr>
        <w:t>in</w:t>
      </w:r>
      <w:r w:rsidRPr="001823D0">
        <w:rPr>
          <w:b/>
          <w:bCs/>
          <w:sz w:val="24"/>
          <w:szCs w:val="24"/>
        </w:rPr>
        <w:t xml:space="preserve"> the Networks </w:t>
      </w:r>
    </w:p>
    <w:p w14:paraId="456DE92F" w14:textId="77777777" w:rsidR="005A05DF" w:rsidRDefault="005A05DF" w:rsidP="005A05DF">
      <w:pPr>
        <w:rPr>
          <w:b/>
          <w:bCs/>
        </w:rPr>
      </w:pPr>
      <w:r w:rsidRPr="001823D0">
        <w:rPr>
          <w:b/>
          <w:bCs/>
        </w:rPr>
        <w:t xml:space="preserve">Reputation of the Individual </w:t>
      </w:r>
    </w:p>
    <w:p w14:paraId="2497923B" w14:textId="5FA4C8E2" w:rsidR="005A05DF" w:rsidRDefault="005A05DF" w:rsidP="005A05DF">
      <w:r>
        <w:t>The perceived trustworthiness of network actors was largely built upon their adherence to idealised character traits. Establishing a reputation within a network was a gradual process, requiring consistent conformity to established norms and codes of conduct and the demonstration of these ideal character traits over time. Within these networks, trust and reputation have evolved through the continuous fulfilment of expectations and obligations. David Sunderland argued that the network was the primary arena for generating and transferring trust.</w:t>
      </w:r>
      <w:r w:rsidR="00711CDC">
        <w:rPr>
          <w:rStyle w:val="FootnoteReference"/>
        </w:rPr>
        <w:footnoteReference w:id="192"/>
      </w:r>
      <w:r>
        <w:t xml:space="preserve"> Expanding on this argument, I would emphasise that the central networks for trust generation and transference were rooted in the inner circles, beginning with kinship and the local community. These networks of trust generation extended outward in various directions from the central core of the cotton mills' kinship networks, forming a complex and interconnected web. The inner circles at the core of these networks were characterised by familial and kinship ties that stretched into the broader community and established business connections. The inner circles within the cotton mills and their management structures were founded on bonds of blood, marriage, household life, and the concept of home. Within these </w:t>
      </w:r>
      <w:r>
        <w:lastRenderedPageBreak/>
        <w:t>intimate circles, shared community, religious beliefs, and common values were t</w:t>
      </w:r>
      <w:r w:rsidRPr="005A7120">
        <w:t>he cohesive force</w:t>
      </w:r>
      <w:r>
        <w:t>s</w:t>
      </w:r>
      <w:r w:rsidRPr="005A7120">
        <w:t xml:space="preserve"> that united individuals.</w:t>
      </w:r>
      <w:r>
        <w:t xml:space="preserve"> This inner circle was, therefore, the primary space for generating trust and building reputations. Interestingly, these abstract concepts of trust and reputation were transferable to other networks and often formed the foundation for developing business connections within local communities. An individual's reputation, initially cultivated within the inner circle and its associated community, could seamlessly transition into business. However, it is crucial to note that the business sphere and its constituent networks also had distinct norms and codes of conduct.</w:t>
      </w:r>
    </w:p>
    <w:p w14:paraId="65D1B953" w14:textId="77777777" w:rsidR="005A05DF" w:rsidRDefault="005A05DF" w:rsidP="005A05DF">
      <w:pPr>
        <w:rPr>
          <w:i/>
          <w:iCs/>
        </w:rPr>
      </w:pPr>
      <w:r w:rsidRPr="001823D0">
        <w:rPr>
          <w:i/>
          <w:iCs/>
        </w:rPr>
        <w:t>Reputations, Respectability, and Character</w:t>
      </w:r>
    </w:p>
    <w:p w14:paraId="39BF8177" w14:textId="0C571875" w:rsidR="005A05DF" w:rsidRPr="00003DE2" w:rsidRDefault="005A05DF" w:rsidP="005A05DF">
      <w:r>
        <w:t>A network actor’s reputation relies on their perceived respectability and ability to conform to the idealised character traits of their respective role. Different roles required different traits</w:t>
      </w:r>
      <w:r w:rsidR="000706B3">
        <w:t>,</w:t>
      </w:r>
      <w:r>
        <w:t xml:space="preserve"> but a commonality was the ability to be trustworthy. Katie Donington has noted the twin virtues of respectability and trust within the eighteenth and nineteenth-century commercial networks of Manchester and the Atlantic world.</w:t>
      </w:r>
      <w:r w:rsidR="00510CA4">
        <w:rPr>
          <w:rStyle w:val="FootnoteReference"/>
        </w:rPr>
        <w:footnoteReference w:id="193"/>
      </w:r>
      <w:r>
        <w:t xml:space="preserve"> These are the same networks</w:t>
      </w:r>
      <w:r w:rsidR="005E3A47">
        <w:t xml:space="preserve"> in which</w:t>
      </w:r>
      <w:r>
        <w:t xml:space="preserve"> McConnel &amp; </w:t>
      </w:r>
      <w:r w:rsidR="00A07651">
        <w:t>Kennedy,</w:t>
      </w:r>
      <w:r>
        <w:t xml:space="preserve"> and the Evans family were operating. Although McConnel &amp; Kennedy network actors were more closely entwined with the inner networks of the Hibbert family of Donington’s study, the Evans family connected into the Manchester business community as Manchester was one of their larger sales markets</w:t>
      </w:r>
      <w:r w:rsidR="00F43C8E">
        <w:t>,</w:t>
      </w:r>
      <w:r>
        <w:t xml:space="preserve"> and Samuel Evans was based in Manchester for a time. It is logical to conclude</w:t>
      </w:r>
      <w:r w:rsidR="00F43C8E">
        <w:t>,</w:t>
      </w:r>
      <w:r>
        <w:t xml:space="preserve"> that the mercantile and manufacturing identities of both the firms were bound by the same concepts that acted upon the Hibbert family. </w:t>
      </w:r>
      <w:r w:rsidR="005F7CA2">
        <w:t>The contemporary conceptualisation informed the reputations of each firm</w:t>
      </w:r>
      <w:r>
        <w:t xml:space="preserve"> of what constituted respectability. The character traits culminated </w:t>
      </w:r>
      <w:r w:rsidR="005F7CA2">
        <w:t>in</w:t>
      </w:r>
      <w:r>
        <w:t xml:space="preserve"> idealised culturally constructed conceptions of reputable actors, which were expected to be honest and trustworthy. </w:t>
      </w:r>
    </w:p>
    <w:p w14:paraId="02D683AE" w14:textId="77777777" w:rsidR="005A05DF" w:rsidRDefault="005A05DF" w:rsidP="005A05DF">
      <w:pPr>
        <w:rPr>
          <w:i/>
          <w:iCs/>
        </w:rPr>
      </w:pPr>
      <w:r>
        <w:rPr>
          <w:i/>
          <w:iCs/>
        </w:rPr>
        <w:t xml:space="preserve">The Concept of a ‘Man of Business’ </w:t>
      </w:r>
    </w:p>
    <w:p w14:paraId="7A866EB1" w14:textId="00E57694" w:rsidR="005A05DF" w:rsidRDefault="005A05DF" w:rsidP="005A05DF">
      <w:r>
        <w:t xml:space="preserve">The mill correspondence books indicated a conformity to the gender demarcations that Davidoff and Hall noted in their work </w:t>
      </w:r>
      <w:r w:rsidRPr="001823D0">
        <w:rPr>
          <w:i/>
          <w:iCs/>
        </w:rPr>
        <w:t>Family Fortunes</w:t>
      </w:r>
      <w:r>
        <w:t xml:space="preserve"> that the male was expected to act in the commercial world and the female in the domestic.</w:t>
      </w:r>
      <w:r w:rsidR="006424AF">
        <w:rPr>
          <w:rStyle w:val="FootnoteReference"/>
        </w:rPr>
        <w:footnoteReference w:id="194"/>
      </w:r>
      <w:r>
        <w:t xml:space="preserve"> </w:t>
      </w:r>
      <w:r w:rsidRPr="001823D0">
        <w:t>The documentation of the mills indicate that each firm and its business networks comprehended the concept of a</w:t>
      </w:r>
      <w:r>
        <w:t>n</w:t>
      </w:r>
      <w:r w:rsidRPr="001823D0">
        <w:t xml:space="preserve"> individual’s reputation through the idealised notion of a 'man of business.' </w:t>
      </w:r>
      <w:r>
        <w:t xml:space="preserve">Showing that this domain was for the men of the networks. </w:t>
      </w:r>
      <w:r w:rsidRPr="001823D0">
        <w:t xml:space="preserve">This exemplary individual demonstrated the ability to adhere to the desired norms of the network by exhibiting behaviours of discretion, maintaining confidentiality when appropriate, and displaying traits such as honesty, integrity, propriety, reliability, consistency, and accountability. Possessing sound judgment, these attributes collectively reflected a character of high repute and respectability. Men who could substantiate their capabilities and exhibit these traits were warmly welcomed into the business network and were referred to as 'safe' partners. Therefore, a business partner's safety was evaluated based on </w:t>
      </w:r>
      <w:r w:rsidR="00685860">
        <w:t>conceptualising</w:t>
      </w:r>
      <w:r w:rsidRPr="001823D0">
        <w:t xml:space="preserve"> the 'man of business</w:t>
      </w:r>
      <w:r w:rsidR="00685860">
        <w:t>’</w:t>
      </w:r>
      <w:r w:rsidRPr="001823D0">
        <w:t xml:space="preserve">. Those who fell short of this ideal would encounter difficulties accessing the same opportunities and resources compared to those who closely matched the idealised version. An example of the Evans family’s understanding of a safe man of business can be seen in a letter </w:t>
      </w:r>
      <w:r w:rsidR="005E3A47">
        <w:t>written by</w:t>
      </w:r>
      <w:r w:rsidRPr="001823D0">
        <w:t xml:space="preserve"> W. Evans &amp; Co. dated January 1788.</w:t>
      </w:r>
      <w:r>
        <w:rPr>
          <w:rStyle w:val="FootnoteReference"/>
        </w:rPr>
        <w:footnoteReference w:id="195"/>
      </w:r>
      <w:r w:rsidRPr="001823D0">
        <w:t xml:space="preserve"> The letter was to an unspecified recipient, seeking information about the recipient's neighbour, Mr. John Lucas of Brundle.</w:t>
      </w:r>
      <w:r w:rsidR="00FD2A3C">
        <w:t xml:space="preserve"> </w:t>
      </w:r>
      <w:r w:rsidRPr="001823D0">
        <w:t>They expressed doubts about Mr. Lucas's ability to demonstrate the qualities of a competent 'man of business' when he wrote to the Evanses, and thus requested a second opinion regarding whether Mr. Lucas was considered a 'safe man.</w:t>
      </w:r>
      <w:r w:rsidR="00020324">
        <w:rPr>
          <w:rStyle w:val="FootnoteReference"/>
        </w:rPr>
        <w:footnoteReference w:id="196"/>
      </w:r>
      <w:r w:rsidR="00B55383" w:rsidRPr="00B55383">
        <w:rPr>
          <w:rStyle w:val="FootnoteReference"/>
        </w:rPr>
        <w:t xml:space="preserve"> </w:t>
      </w:r>
    </w:p>
    <w:p w14:paraId="12517D42" w14:textId="77777777" w:rsidR="005A05DF" w:rsidRDefault="005A05DF" w:rsidP="005A05DF">
      <w:pPr>
        <w:rPr>
          <w:b/>
          <w:bCs/>
        </w:rPr>
      </w:pPr>
      <w:r>
        <w:rPr>
          <w:b/>
          <w:bCs/>
        </w:rPr>
        <w:lastRenderedPageBreak/>
        <w:t xml:space="preserve">Collective Reputations </w:t>
      </w:r>
    </w:p>
    <w:p w14:paraId="5B3F083E" w14:textId="77777777" w:rsidR="005A05DF" w:rsidRDefault="005A05DF" w:rsidP="005A05DF">
      <w:pPr>
        <w:rPr>
          <w:i/>
          <w:iCs/>
        </w:rPr>
      </w:pPr>
      <w:r>
        <w:rPr>
          <w:i/>
          <w:iCs/>
        </w:rPr>
        <w:t>The Reputation of a Family or Kinship Group in the Local Community</w:t>
      </w:r>
    </w:p>
    <w:p w14:paraId="1C2C265D" w14:textId="3D1A5593" w:rsidR="005A05DF" w:rsidRDefault="005A05DF" w:rsidP="005A05DF">
      <w:r>
        <w:t xml:space="preserve">Reputations were formed in different ways across the networks surrounding the cotton mills. These differences were local, regional, and national. The Evans family as a collective were well established within the local networks as business and community leaders by the 1780s when they entered the cotton trade. In Katrina Honeyman’s study on the </w:t>
      </w:r>
      <w:r w:rsidR="00020324">
        <w:t>o</w:t>
      </w:r>
      <w:r>
        <w:t xml:space="preserve">rigins of </w:t>
      </w:r>
      <w:r w:rsidR="00020324">
        <w:t>e</w:t>
      </w:r>
      <w:r>
        <w:t>nterprise, the Evans family were categorised as Class I bankers, owners of lead and calamine mines</w:t>
      </w:r>
      <w:r w:rsidR="00845BF8">
        <w:t>,</w:t>
      </w:r>
      <w:r>
        <w:t xml:space="preserve"> and existing leaders of industrial enterprises before they became cotton manufacturers.</w:t>
      </w:r>
      <w:r>
        <w:rPr>
          <w:rStyle w:val="FootnoteReference"/>
        </w:rPr>
        <w:footnoteReference w:id="197"/>
      </w:r>
      <w:r>
        <w:t xml:space="preserve"> Their reputation within the business communities of Derbyshire and Staffordshire was firmly established by the kinship network members' previous conduct during the previous thirty years and more. This gave the Evans family greater freedom to operate in the cotton trade as they had already established their community standing. In contrast</w:t>
      </w:r>
      <w:r w:rsidR="00845BF8">
        <w:t>,</w:t>
      </w:r>
      <w:r>
        <w:t xml:space="preserve"> the McConnel and Kennedy families were establishing their positions within the Lancashire society. As recent migrants to the Lancashire business community, their social capital hinged on their connectivity to the apprentice masters and </w:t>
      </w:r>
      <w:r w:rsidR="000527E1">
        <w:t xml:space="preserve">the </w:t>
      </w:r>
      <w:r>
        <w:t>goodwill trust</w:t>
      </w:r>
      <w:r w:rsidR="00845BF8">
        <w:t xml:space="preserve"> built in this business environment. It </w:t>
      </w:r>
      <w:r w:rsidR="00845BF8" w:rsidRPr="003C1458">
        <w:rPr>
          <w:i/>
          <w:iCs/>
        </w:rPr>
        <w:t>ascribed</w:t>
      </w:r>
      <w:r w:rsidRPr="003C1458">
        <w:rPr>
          <w:i/>
          <w:iCs/>
        </w:rPr>
        <w:t xml:space="preserve"> trust</w:t>
      </w:r>
      <w:r>
        <w:t xml:space="preserve"> they could generate on their own behalf. The subsequent generations were then able to build upon the trust and reputation that James McConnel and John Kennedy had built.    </w:t>
      </w:r>
    </w:p>
    <w:p w14:paraId="7C24199B" w14:textId="6CB429C9" w:rsidR="007C1265" w:rsidRDefault="00951E4A" w:rsidP="00951E4A">
      <w:r>
        <w:t xml:space="preserve">The collective reputations of society were significantly shaped by the emergence and maturation of the bourgeois middle class during the early Industrial Revolution. The individual man of business and his role as a middle-class figure played pivotal roles in the development of identities in early industrializing British society. This creation of a middle-class culture was facilitated by an accumulation of capital through trade—a phenomenon labelled by Marx as </w:t>
      </w:r>
      <w:r w:rsidRPr="00020324">
        <w:rPr>
          <w:i/>
          <w:iCs/>
        </w:rPr>
        <w:t>bourgeois</w:t>
      </w:r>
      <w:r>
        <w:t>.</w:t>
      </w:r>
      <w:r w:rsidR="00020324">
        <w:rPr>
          <w:rStyle w:val="FootnoteReference"/>
        </w:rPr>
        <w:footnoteReference w:id="198"/>
      </w:r>
      <w:r>
        <w:t xml:space="preserve"> Interestingly, the Evans family had experienced this accumulation of capital much earlier than the McConnel and Kennedy families. The wealth of the Evanses resulted from commercial capitalism during pre-Industrial Revolution </w:t>
      </w:r>
      <w:r w:rsidR="0039207D">
        <w:t>period</w:t>
      </w:r>
      <w:r>
        <w:t>, landed incomes and later growing considerably with the advent of industrial capitalism. According to historian John Smail, the origins of middle-class culture can be traced between the late seventeenth and mid-eighteenth centuries.</w:t>
      </w:r>
      <w:r>
        <w:rPr>
          <w:rStyle w:val="FootnoteReference"/>
        </w:rPr>
        <w:footnoteReference w:id="199"/>
      </w:r>
      <w:r>
        <w:t xml:space="preserve"> This period aligns with the rise of the Evans family, indicating that they were simultaneously rural and urban members of the middle class. This complexity in defining class underscores the intricate nature of </w:t>
      </w:r>
      <w:r w:rsidR="007C1265">
        <w:t xml:space="preserve">class and belonging. </w:t>
      </w:r>
    </w:p>
    <w:p w14:paraId="4E5FE352" w14:textId="754FBCE2" w:rsidR="00951E4A" w:rsidRDefault="00951E4A" w:rsidP="00951E4A">
      <w:r>
        <w:t xml:space="preserve">The timeframe </w:t>
      </w:r>
      <w:r w:rsidR="007C1265">
        <w:t xml:space="preserve">of the McConnel and Kennedy families’ ascension to the middle-class </w:t>
      </w:r>
      <w:r>
        <w:t>emphasises distinctions between the</w:t>
      </w:r>
      <w:r w:rsidR="007C1265">
        <w:t>ir</w:t>
      </w:r>
      <w:r>
        <w:t xml:space="preserve"> narratives</w:t>
      </w:r>
      <w:r w:rsidR="007C1265">
        <w:t xml:space="preserve"> and that</w:t>
      </w:r>
      <w:r>
        <w:t xml:space="preserve"> of the Evans family. While John Kennedy and James McConnel were industrial capitalists with an agricultural background, neither </w:t>
      </w:r>
      <w:r w:rsidRPr="00FE3A35">
        <w:t xml:space="preserve">became </w:t>
      </w:r>
      <w:r w:rsidR="007C1265" w:rsidRPr="00FE3A35">
        <w:t xml:space="preserve">convincing </w:t>
      </w:r>
      <w:r w:rsidRPr="00FE3A35">
        <w:t xml:space="preserve">capitalists </w:t>
      </w:r>
      <w:r w:rsidRPr="0039207D">
        <w:t>until</w:t>
      </w:r>
      <w:r w:rsidR="0039207D">
        <w:t xml:space="preserve"> after</w:t>
      </w:r>
      <w:r w:rsidRPr="0039207D">
        <w:t xml:space="preserve"> 1795.</w:t>
      </w:r>
      <w:r w:rsidR="0039207D" w:rsidRPr="0039207D">
        <w:t xml:space="preserve"> </w:t>
      </w:r>
      <w:bookmarkStart w:id="60" w:name="_Hlk170475690"/>
      <w:r w:rsidR="00FE3A35" w:rsidRPr="00DA310E">
        <w:rPr>
          <w:color w:val="000000" w:themeColor="text1"/>
        </w:rPr>
        <w:t>T</w:t>
      </w:r>
      <w:r w:rsidR="0039207D" w:rsidRPr="00DA310E">
        <w:rPr>
          <w:color w:val="000000" w:themeColor="text1"/>
        </w:rPr>
        <w:t>his is the case because they were apprentices and early career industrialists operating out of rented premises and working for other people.</w:t>
      </w:r>
      <w:bookmarkEnd w:id="60"/>
      <w:r w:rsidR="00DA310E">
        <w:rPr>
          <w:color w:val="000000" w:themeColor="text1"/>
        </w:rPr>
        <w:t xml:space="preserve"> </w:t>
      </w:r>
      <w:r>
        <w:t>Their social ascension stemmed from different means than that of the Evans family. McConnel and Kennedy are the quintessential local industrial capitalist, like Samuel Greg, as mentioned by Sven Beckert in his citation of the local elements of the global system of the cotton trade.</w:t>
      </w:r>
      <w:r w:rsidR="007C1265">
        <w:rPr>
          <w:rStyle w:val="FootnoteReference"/>
        </w:rPr>
        <w:footnoteReference w:id="200"/>
      </w:r>
      <w:r>
        <w:t xml:space="preserve"> The transformation of individuals like James McConnel and John Kennedy into men with middle-class aspirations and leaders of large-scale factories and mechanized industry allowed for the creation of individual</w:t>
      </w:r>
      <w:r w:rsidR="007C1265">
        <w:t xml:space="preserve"> and collective</w:t>
      </w:r>
      <w:r>
        <w:t xml:space="preserve"> reputations distinct from those expected of upper-class or working-class men. The </w:t>
      </w:r>
      <w:r>
        <w:lastRenderedPageBreak/>
        <w:t xml:space="preserve">Industrial Revolution served as a catalyst for </w:t>
      </w:r>
      <w:r w:rsidR="007C1265">
        <w:t>many</w:t>
      </w:r>
      <w:r>
        <w:t xml:space="preserve"> societal changes, impacting the roles of both men and women</w:t>
      </w:r>
      <w:r w:rsidR="007C1265">
        <w:t>, changing the parameters of what constituted suitable behaviours and positive reputations</w:t>
      </w:r>
      <w:r>
        <w:t>.</w:t>
      </w:r>
      <w:r w:rsidR="0039207D">
        <w:t xml:space="preserve"> </w:t>
      </w:r>
      <w:r w:rsidR="00B007EE" w:rsidRPr="00B007EE">
        <w:t>However, the Evans family do not fit well into idea that the industrialising cotton trade</w:t>
      </w:r>
      <w:r w:rsidR="00B007EE">
        <w:t xml:space="preserve"> was</w:t>
      </w:r>
      <w:r w:rsidR="00B007EE" w:rsidRPr="00B007EE">
        <w:t xml:space="preserve"> </w:t>
      </w:r>
      <w:r w:rsidR="00B007EE">
        <w:t xml:space="preserve">created by </w:t>
      </w:r>
      <w:r w:rsidR="00B007EE" w:rsidRPr="00B007EE">
        <w:t xml:space="preserve">the industrial capitalist from </w:t>
      </w:r>
      <w:r w:rsidR="00381C21">
        <w:t xml:space="preserve">capital accumulated through </w:t>
      </w:r>
      <w:r w:rsidR="00B007EE" w:rsidRPr="00B007EE">
        <w:t>war capitalism and indicate a more complex situation in Britain</w:t>
      </w:r>
      <w:r w:rsidR="00381C21" w:rsidRPr="00DA310E">
        <w:rPr>
          <w:color w:val="000000" w:themeColor="text1"/>
        </w:rPr>
        <w:t>.</w:t>
      </w:r>
      <w:r w:rsidR="00B007EE" w:rsidRPr="00DA310E">
        <w:rPr>
          <w:color w:val="000000" w:themeColor="text1"/>
        </w:rPr>
        <w:t xml:space="preserve"> </w:t>
      </w:r>
      <w:bookmarkStart w:id="61" w:name="_Hlk170475919"/>
      <w:r w:rsidR="00FE3A35" w:rsidRPr="00DA310E">
        <w:rPr>
          <w:color w:val="000000" w:themeColor="text1"/>
        </w:rPr>
        <w:t>McConnel &amp; Kennedy fit more closely into the pattern, but they too sourced their financial resources from a multitude of sources.</w:t>
      </w:r>
      <w:bookmarkEnd w:id="61"/>
      <w:r w:rsidR="0039207D" w:rsidRPr="00DA310E">
        <w:rPr>
          <w:color w:val="000000" w:themeColor="text1"/>
        </w:rPr>
        <w:t xml:space="preserve"> </w:t>
      </w:r>
      <w:r w:rsidR="007C1265">
        <w:t>Additionally, i</w:t>
      </w:r>
      <w:r>
        <w:t>t is crucial to acknowledge that religion and broader societal factors also played fundamental roles in steering these</w:t>
      </w:r>
      <w:r w:rsidR="007C1265">
        <w:t xml:space="preserve"> class</w:t>
      </w:r>
      <w:r>
        <w:t xml:space="preserve"> transformations</w:t>
      </w:r>
      <w:r w:rsidR="007C1265">
        <w:t xml:space="preserve"> rather than just class, economics, and capital accumulation</w:t>
      </w:r>
      <w:r w:rsidR="003A09DE">
        <w:t xml:space="preserve"> from industrial and war capitalism</w:t>
      </w:r>
      <w:r>
        <w:t xml:space="preserve">. </w:t>
      </w:r>
    </w:p>
    <w:p w14:paraId="64C89094" w14:textId="5EC1EC41" w:rsidR="005A05DF" w:rsidRDefault="005A05DF" w:rsidP="005A05DF">
      <w:pPr>
        <w:rPr>
          <w:i/>
          <w:iCs/>
        </w:rPr>
      </w:pPr>
      <w:r>
        <w:rPr>
          <w:i/>
          <w:iCs/>
        </w:rPr>
        <w:t>The Reputation of a House of Business</w:t>
      </w:r>
    </w:p>
    <w:p w14:paraId="7D5F72F3" w14:textId="0493B521" w:rsidR="005A05DF" w:rsidRPr="00867D47" w:rsidRDefault="0039207D" w:rsidP="005A05DF">
      <w:r>
        <w:t>A</w:t>
      </w:r>
      <w:r w:rsidR="005A05DF">
        <w:t xml:space="preserve"> firm's reputation as a trustworthy and low-risk business exchange partner was vital for the commercial survival of any cotton manufactory. Three main constituents to building and maintaining a strong and positive commercial reputation for a house of business were notable in the archives of the two firms: trustworthy personnel, high-quality products, and dependable and timely customer service. However, </w:t>
      </w:r>
      <w:r w:rsidR="00471128">
        <w:t>i</w:t>
      </w:r>
      <w:r w:rsidR="005A05DF" w:rsidRPr="00867D47">
        <w:t xml:space="preserve">t was not simply the quality of the conduct and trustworthiness of personnel that fostered trust between firms but also the timely fulfilment of orders that met the expected standards demanded by the customer. Once a business had decided to open a connection with another firm, the transaction relationship was always predicated on the </w:t>
      </w:r>
      <w:r w:rsidR="005A05DF" w:rsidRPr="00DA310E">
        <w:rPr>
          <w:color w:val="000000" w:themeColor="text1"/>
        </w:rPr>
        <w:t xml:space="preserve">consistency of produce </w:t>
      </w:r>
      <w:r w:rsidR="005A05DF" w:rsidRPr="00867D47">
        <w:t>and service. One way of initially building a reputation based on the quality of a firm’s products was to offer a trial period to each transaction partner</w:t>
      </w:r>
      <w:r w:rsidR="005A05DF">
        <w:t>,</w:t>
      </w:r>
      <w:r w:rsidR="005A05DF" w:rsidRPr="00867D47">
        <w:t xml:space="preserve"> a mechanism to decide if their connection was mutually beneficial. Acting upon the endorsement of McConnel &amp; Kennedy by their shared contact, Mr. Hannay from Bangor, a promising avenue for expansion into Irish markets emerged when William Byers &amp; Co. of Belfast initiated correspondence with the firm with a letter dated the 2nd of July 1802.</w:t>
      </w:r>
      <w:r w:rsidR="009B04AC">
        <w:rPr>
          <w:rStyle w:val="FootnoteReference"/>
        </w:rPr>
        <w:footnoteReference w:id="201"/>
      </w:r>
      <w:r w:rsidR="005A05DF" w:rsidRPr="00867D47">
        <w:t xml:space="preserve"> The prospect of forging a new alliance between McConnel &amp; Kennedy and William Byers &amp; Co. hinged on the prerequisite that McConnel &amp; Kennedy's yarn met the quality benchmarks set by William Byers. The new connection sent further correspondence on the 10th of August 1802, affirming the arrival of the trial order and that if the quality met their expectations, this would induce them to continue ordering from the firm.</w:t>
      </w:r>
      <w:r w:rsidR="009B04AC">
        <w:rPr>
          <w:rStyle w:val="FootnoteReference"/>
        </w:rPr>
        <w:footnoteReference w:id="202"/>
      </w:r>
      <w:r w:rsidR="005A05DF" w:rsidRPr="00867D47">
        <w:t xml:space="preserve"> This period in the cotton trade </w:t>
      </w:r>
      <w:r w:rsidR="005A05DF" w:rsidRPr="00DA310E">
        <w:rPr>
          <w:color w:val="000000" w:themeColor="text1"/>
        </w:rPr>
        <w:t>saw the</w:t>
      </w:r>
      <w:r w:rsidRPr="00DA310E">
        <w:rPr>
          <w:color w:val="000000" w:themeColor="text1"/>
        </w:rPr>
        <w:t xml:space="preserve"> use </w:t>
      </w:r>
      <w:r w:rsidR="005A05DF" w:rsidRPr="00DA310E">
        <w:rPr>
          <w:color w:val="000000" w:themeColor="text1"/>
        </w:rPr>
        <w:t xml:space="preserve">of product </w:t>
      </w:r>
      <w:r w:rsidR="005A05DF" w:rsidRPr="00867D47">
        <w:t>trials, a readily observable mechanism illustrating the industry dynamics and a way in which firms pursuing new business relationships could build and generate trust and develop reputations for quality produce.</w:t>
      </w:r>
    </w:p>
    <w:p w14:paraId="51C9D7C7" w14:textId="2E2602D6" w:rsidR="005A05DF" w:rsidRPr="00867D47" w:rsidRDefault="005A05DF" w:rsidP="005A05DF">
      <w:r w:rsidRPr="00867D47">
        <w:t xml:space="preserve">In </w:t>
      </w:r>
      <w:r w:rsidR="003A5883" w:rsidRPr="00867D47">
        <w:t>correspondence</w:t>
      </w:r>
      <w:r w:rsidR="003A5883">
        <w:t xml:space="preserve"> of</w:t>
      </w:r>
      <w:r w:rsidR="003A5883" w:rsidRPr="00867D47">
        <w:t xml:space="preserve"> </w:t>
      </w:r>
      <w:r w:rsidRPr="00867D47">
        <w:t>1804, W. G. &amp; J. Strutt of Derby expressed their disappointment regarding the quality of cotton twist supplied by McConnel &amp; Kennedy.</w:t>
      </w:r>
      <w:r w:rsidR="00711EF2">
        <w:rPr>
          <w:rStyle w:val="FootnoteReference"/>
        </w:rPr>
        <w:footnoteReference w:id="203"/>
      </w:r>
      <w:r w:rsidRPr="00867D47">
        <w:t xml:space="preserve"> Nevertheless, they acknowledged that McConnel &amp; Kennedy had previously provided them with a significantly higher standard of cotton twist. Leveraging their pre-existing goodwill and established rapport, the Strutt's extended the benefit of the doubt to McConnel &amp; Kennedy. They attributed the decline in standards to an isolated incident, considering that their reputable stature demanded a superior quality. This correspondence underscores the notion that robust positive reputations could afford certain leniencies in the face of isolated lapses while highlighting that reputations are constructed through cumulative experiences and are subject to evolution. Cultivating a positive reputation demands substantial time and effort. In contrast, a negative reputation can swiftly emerge based on even a limited number of transactions, contingent upon the perceived extent and gravity of the deviation. Had McConnel &amp; Kennedy been newcomers in supplying to W. G. &amp; J. Strutt, the likelihood of securing repeat business would have </w:t>
      </w:r>
      <w:r w:rsidRPr="00867D47">
        <w:lastRenderedPageBreak/>
        <w:t>been slim. Moreover, the Strutt firm and its network would probably not have endorsed McConnel &amp; Kennedy to their associates, emphasising the significance of maintaining a positive corporate reputation.</w:t>
      </w:r>
    </w:p>
    <w:p w14:paraId="4767BEBD" w14:textId="05E452DA" w:rsidR="005A05DF" w:rsidRPr="00BC41BC" w:rsidRDefault="005A05DF" w:rsidP="005A05DF">
      <w:r w:rsidRPr="00BC41BC">
        <w:t>The cotton-spinning firm's reputation was crucial for its success and access to business networks. However, its reputation was reinforced by its perceived reputation outside trade and commerce. William Evans &amp; Co. relied on their reputation as reputable employers when writing to the recruiting officer and the Colonel in charge of the Marines to seek the return of their apprentice, Stephen Mondale, who had been recruited into the military.</w:t>
      </w:r>
      <w:r w:rsidR="00EF4B71">
        <w:rPr>
          <w:rStyle w:val="FootnoteReference"/>
        </w:rPr>
        <w:footnoteReference w:id="204"/>
      </w:r>
      <w:r w:rsidRPr="00BC41BC">
        <w:t xml:space="preserve"> As respectable cotton factory masters, they believed their complaint would be upheld</w:t>
      </w:r>
      <w:r>
        <w:t>,</w:t>
      </w:r>
      <w:r w:rsidRPr="00BC41BC">
        <w:t xml:space="preserve"> and Mondale would be returned to their employ. </w:t>
      </w:r>
      <w:r w:rsidR="00EE7B40">
        <w:t>The two letters sent to the military on the 2</w:t>
      </w:r>
      <w:r w:rsidR="00EE7B40" w:rsidRPr="00EE7B40">
        <w:rPr>
          <w:vertAlign w:val="superscript"/>
        </w:rPr>
        <w:t>nd</w:t>
      </w:r>
      <w:r w:rsidR="00EE7B40">
        <w:t xml:space="preserve"> of May 1797</w:t>
      </w:r>
      <w:r w:rsidRPr="00BC41BC">
        <w:t xml:space="preserve"> </w:t>
      </w:r>
      <w:r w:rsidR="00EE7B40">
        <w:t>included the lines…</w:t>
      </w:r>
      <w:r w:rsidRPr="00BC41BC">
        <w:t xml:space="preserve"> ‘we flatter ourselves that we shall meet with your assistance.’</w:t>
      </w:r>
      <w:r w:rsidRPr="00BC41BC">
        <w:rPr>
          <w:vertAlign w:val="superscript"/>
        </w:rPr>
        <w:footnoteReference w:id="205"/>
      </w:r>
      <w:r w:rsidRPr="00BC41BC">
        <w:t xml:space="preserve"> The letter emphasised that it was their duty, as employers, to ensure none of their apprentices joined the military, as it would set a prejudicial precedent and diminish their reputation as employers, potentially affecting their ability to retain existing apprentices and attract future skilled labourers. This letter shows the importance of the reputation of cotton manufactories to the wider society. It highlights the perceived social standing of the Evans family as employers and factory masters and the value placed on trained employees.</w:t>
      </w:r>
    </w:p>
    <w:p w14:paraId="720D4381" w14:textId="77777777" w:rsidR="005A05DF" w:rsidRPr="001823D0" w:rsidRDefault="005A05DF" w:rsidP="005A05DF">
      <w:pPr>
        <w:rPr>
          <w:i/>
          <w:iCs/>
        </w:rPr>
      </w:pPr>
      <w:r>
        <w:rPr>
          <w:i/>
          <w:iCs/>
        </w:rPr>
        <w:t xml:space="preserve">Perceived Reputations of Collectives </w:t>
      </w:r>
    </w:p>
    <w:p w14:paraId="01E3ACD2" w14:textId="6DEA5F55" w:rsidR="005A05DF" w:rsidRDefault="005A05DF" w:rsidP="005A05DF">
      <w:r w:rsidRPr="008A1EC3">
        <w:t>Sunderland has argued that perceptions of certain traders’ reputations within a business network were unequal. He claims that manufacturers were trusted more within business networks than bankers and stockbrokers but were considered less trustworthy than merchants.</w:t>
      </w:r>
      <w:r w:rsidR="00247820">
        <w:rPr>
          <w:rStyle w:val="FootnoteReference"/>
        </w:rPr>
        <w:footnoteReference w:id="206"/>
      </w:r>
      <w:r w:rsidRPr="008A1EC3">
        <w:t xml:space="preserve"> However, this generalised scale interpretation does not hold firm for the actors within these case studies in the same period’s cotton trade. The oversimplification of the actors within the networks ignores that some members held multiple roles within the business community. Thomas Evans was not simply a cotton manufacturer; he was also the banker of the town of Derby and a merchant in other commodities simultaneously with being a manufacturer. The documents left by this firm show that business roles could be fluid within family firms, particularly those engaged in more than one commercial industry. Sunderland’s interpretation could imply that Thomas held multiple reputations simultaneously, depending on the role being considered.</w:t>
      </w:r>
      <w:r w:rsidR="003A5883">
        <w:t xml:space="preserve"> </w:t>
      </w:r>
      <w:r w:rsidRPr="008A1EC3">
        <w:t xml:space="preserve">This example alone suggests that a reputation and the trust level placed upon a collective group were much more nuanced when the lens of analysis focused on an individual. The individual cotton manufacturers formed a </w:t>
      </w:r>
      <w:r>
        <w:t>heterogeneous</w:t>
      </w:r>
      <w:r w:rsidRPr="008A1EC3">
        <w:t xml:space="preserve"> group whose ranks included men </w:t>
      </w:r>
      <w:r>
        <w:t>who</w:t>
      </w:r>
      <w:r w:rsidRPr="008A1EC3">
        <w:t xml:space="preserve"> performed various roles in more than one industry, making the generalised interpretation difficult to apply in this case. Additionally, the manufacturing enterprises of the Evans family and McConnel &amp; Kennedy were not only manufacturers of cotton but also merchants of their wares. This means that the business enterprise, as a unit of analysis rather than an individual, also asks questions of Sunderland’s interpretation.</w:t>
      </w:r>
    </w:p>
    <w:p w14:paraId="166998A2" w14:textId="77777777" w:rsidR="005A05DF" w:rsidRPr="00F52666" w:rsidRDefault="005A05DF" w:rsidP="00F52666">
      <w:pPr>
        <w:pStyle w:val="Heading2"/>
        <w:rPr>
          <w:rFonts w:asciiTheme="minorHAnsi" w:hAnsiTheme="minorHAnsi" w:cstheme="minorHAnsi"/>
          <w:b/>
          <w:bCs/>
          <w:color w:val="auto"/>
          <w:sz w:val="24"/>
          <w:szCs w:val="24"/>
        </w:rPr>
      </w:pPr>
      <w:bookmarkStart w:id="64" w:name="_Toc170825661"/>
      <w:r w:rsidRPr="00F52666">
        <w:rPr>
          <w:rFonts w:asciiTheme="minorHAnsi" w:hAnsiTheme="minorHAnsi" w:cstheme="minorHAnsi"/>
          <w:b/>
          <w:bCs/>
          <w:color w:val="auto"/>
          <w:sz w:val="24"/>
          <w:szCs w:val="24"/>
        </w:rPr>
        <w:t>Conclusions</w:t>
      </w:r>
      <w:bookmarkEnd w:id="64"/>
    </w:p>
    <w:p w14:paraId="6C113600" w14:textId="0AD81466" w:rsidR="005A05DF" w:rsidRDefault="005A05DF" w:rsidP="005A05DF">
      <w:r w:rsidRPr="00946ABE">
        <w:t xml:space="preserve">This chapter has introduced the cotton mills of this study and the background of the people who established and managed them. </w:t>
      </w:r>
      <w:r w:rsidR="004A0001">
        <w:t>I</w:t>
      </w:r>
      <w:r w:rsidR="0009126D">
        <w:t>t has aimed to a</w:t>
      </w:r>
      <w:r w:rsidR="00461976">
        <w:t>dd relevant knowledge and useful</w:t>
      </w:r>
      <w:r w:rsidR="0009126D">
        <w:t xml:space="preserve"> contextual background </w:t>
      </w:r>
      <w:r w:rsidR="00461976">
        <w:t>that</w:t>
      </w:r>
      <w:r w:rsidR="0009126D">
        <w:t xml:space="preserve"> form</w:t>
      </w:r>
      <w:r w:rsidR="00461976">
        <w:t>s</w:t>
      </w:r>
      <w:r w:rsidR="0009126D">
        <w:t xml:space="preserve"> the foundation for the upcoming analysis chapters of the thesis</w:t>
      </w:r>
      <w:r w:rsidR="008A32E2">
        <w:t>. This c</w:t>
      </w:r>
      <w:r w:rsidR="00D33D38">
        <w:t>ontextualisation</w:t>
      </w:r>
      <w:r w:rsidRPr="00946ABE">
        <w:t xml:space="preserve"> has </w:t>
      </w:r>
      <w:r w:rsidR="008A32E2">
        <w:t xml:space="preserve">included the </w:t>
      </w:r>
      <w:r w:rsidRPr="00946ABE">
        <w:t>introduc</w:t>
      </w:r>
      <w:r w:rsidR="008A32E2">
        <w:t xml:space="preserve">tion of </w:t>
      </w:r>
      <w:r w:rsidRPr="00946ABE">
        <w:t>the concepts of expectation, obligation</w:t>
      </w:r>
      <w:r w:rsidR="00461976">
        <w:t>,</w:t>
      </w:r>
      <w:r w:rsidRPr="00946ABE">
        <w:t xml:space="preserve"> and the ideal character traits of the network actors involved in the day-to-day operations of the factory-</w:t>
      </w:r>
      <w:r w:rsidRPr="00946ABE">
        <w:lastRenderedPageBreak/>
        <w:t>based cotton spinning mills and their subsidiary trades. It has shown that the contemporary actors in the industrialising British cotton trade networks were expected to be honest, have integrity, and strive to become an ideal man of business</w:t>
      </w:r>
      <w:r w:rsidR="00157BE6">
        <w:t xml:space="preserve"> or a domestic woman</w:t>
      </w:r>
      <w:r w:rsidR="00245C0F">
        <w:t xml:space="preserve"> whose character balanced out the negative aspects of the commercial world</w:t>
      </w:r>
      <w:r w:rsidRPr="00946ABE">
        <w:t>. Honesty, integrity, reliability, and consistency were all elements that combined to make a person’s character trustworthy, which in turn</w:t>
      </w:r>
      <w:r w:rsidR="00111968">
        <w:t xml:space="preserve"> combined to</w:t>
      </w:r>
      <w:r w:rsidRPr="00946ABE">
        <w:t xml:space="preserve"> buil</w:t>
      </w:r>
      <w:r w:rsidR="00111968">
        <w:t>d</w:t>
      </w:r>
      <w:r w:rsidRPr="00946ABE">
        <w:t xml:space="preserve"> a person’s reputation. It introduced the concept of reputation in terms of an individual’s reputation and the reputation of a house of business. The chapter has also introduced the idea of gender demarcation within the society of the time and that the business networks were predominantly a masculine domain. These concepts and their influence on the cotton mills will be developed further in the following chapters. </w:t>
      </w:r>
    </w:p>
    <w:p w14:paraId="5E317686" w14:textId="77777777" w:rsidR="00EF380F" w:rsidRDefault="00A06FEE" w:rsidP="005A05DF">
      <w:pPr>
        <w:sectPr w:rsidR="00EF380F">
          <w:footnotePr>
            <w:numRestart w:val="eachSect"/>
          </w:footnotePr>
          <w:pgSz w:w="11906" w:h="16838"/>
          <w:pgMar w:top="1440" w:right="1440" w:bottom="1440" w:left="1440" w:header="708" w:footer="708" w:gutter="0"/>
          <w:cols w:space="708"/>
          <w:docGrid w:linePitch="360"/>
        </w:sectPr>
      </w:pPr>
      <w:r>
        <w:t>This chapter</w:t>
      </w:r>
      <w:r w:rsidR="005A05DF">
        <w:t xml:space="preserve"> has also shown that some of the contemporaries operating within the networks surrounding the cotton mills had a sophisticated understanding of their roles.</w:t>
      </w:r>
      <w:r w:rsidR="00E9429F" w:rsidRPr="00E9429F">
        <w:t xml:space="preserve"> </w:t>
      </w:r>
      <w:r w:rsidR="00E9429F">
        <w:t xml:space="preserve">By demonstrating the required character traits that formed positive reputations and the desired norms of the networks, it becomes </w:t>
      </w:r>
      <w:r w:rsidR="006658FA">
        <w:t xml:space="preserve">easier </w:t>
      </w:r>
      <w:r w:rsidR="00E9429F">
        <w:t>to assess whether the network actors conformed to these benchmarks or fell short.</w:t>
      </w:r>
      <w:r w:rsidR="005E3373">
        <w:t xml:space="preserve"> It also leads to questions </w:t>
      </w:r>
      <w:r w:rsidR="001B00BA">
        <w:t xml:space="preserve">about what the network norms were </w:t>
      </w:r>
      <w:r w:rsidR="004A5621">
        <w:t>compared</w:t>
      </w:r>
      <w:r w:rsidR="001B00BA">
        <w:t xml:space="preserve"> to what the network members wanted them to be.</w:t>
      </w:r>
      <w:r w:rsidR="00E9429F">
        <w:t xml:space="preserve"> </w:t>
      </w:r>
      <w:r w:rsidR="005A05DF">
        <w:t xml:space="preserve"> </w:t>
      </w:r>
      <w:r w:rsidR="004E4CA8">
        <w:t>The inner circle of the trusted networks saw the strongest ties, but the weaker ties of business could also foster trustworthy connections</w:t>
      </w:r>
      <w:r w:rsidR="00F84249">
        <w:t xml:space="preserve"> – some of which became stronger over time. </w:t>
      </w:r>
      <w:r w:rsidR="005A05DF">
        <w:t>As the following chapters will show, not everybody held the same level of understanding. This was partially due to the influences of family, kinship, the community</w:t>
      </w:r>
      <w:r w:rsidR="00E9429F">
        <w:t>,</w:t>
      </w:r>
      <w:r w:rsidR="005A05DF">
        <w:t xml:space="preserve"> and religious networks in which the business network actors also operated.  </w:t>
      </w:r>
    </w:p>
    <w:p w14:paraId="6A438FA5" w14:textId="63887B7D" w:rsidR="005A05DF" w:rsidRDefault="005A05DF" w:rsidP="00F52666">
      <w:pPr>
        <w:pStyle w:val="Heading1"/>
        <w:rPr>
          <w:rFonts w:asciiTheme="minorHAnsi" w:hAnsiTheme="minorHAnsi" w:cstheme="minorHAnsi"/>
          <w:b/>
          <w:bCs/>
          <w:color w:val="auto"/>
          <w:sz w:val="28"/>
          <w:szCs w:val="28"/>
        </w:rPr>
      </w:pPr>
      <w:bookmarkStart w:id="65" w:name="_Toc170825662"/>
      <w:r w:rsidRPr="00F52666">
        <w:rPr>
          <w:rFonts w:asciiTheme="minorHAnsi" w:hAnsiTheme="minorHAnsi" w:cstheme="minorHAnsi"/>
          <w:b/>
          <w:bCs/>
          <w:color w:val="auto"/>
          <w:sz w:val="28"/>
          <w:szCs w:val="28"/>
        </w:rPr>
        <w:lastRenderedPageBreak/>
        <w:t>Part One: The Inner Circle</w:t>
      </w:r>
      <w:bookmarkEnd w:id="65"/>
      <w:r w:rsidRPr="00F52666">
        <w:rPr>
          <w:rFonts w:asciiTheme="minorHAnsi" w:hAnsiTheme="minorHAnsi" w:cstheme="minorHAnsi"/>
          <w:b/>
          <w:bCs/>
          <w:color w:val="auto"/>
          <w:sz w:val="28"/>
          <w:szCs w:val="28"/>
        </w:rPr>
        <w:t xml:space="preserve"> </w:t>
      </w:r>
    </w:p>
    <w:p w14:paraId="4454378A" w14:textId="77777777" w:rsidR="00F52666" w:rsidRPr="00F52666" w:rsidRDefault="00F52666" w:rsidP="00F52666"/>
    <w:p w14:paraId="3CEA90E5" w14:textId="050743FD" w:rsidR="005A05DF" w:rsidRDefault="005A05DF" w:rsidP="005A05DF">
      <w:r w:rsidRPr="00C1415A">
        <w:t xml:space="preserve">The early years of the Industrial Revolution </w:t>
      </w:r>
      <w:r>
        <w:t xml:space="preserve">were crucial in developing and expanding the cotton trade in </w:t>
      </w:r>
      <w:r w:rsidR="0039207D">
        <w:t xml:space="preserve">parts of </w:t>
      </w:r>
      <w:r>
        <w:t xml:space="preserve">Britain, </w:t>
      </w:r>
      <w:r w:rsidR="0039207D">
        <w:t xml:space="preserve">including </w:t>
      </w:r>
      <w:r>
        <w:t xml:space="preserve">Manchester, </w:t>
      </w:r>
      <w:r w:rsidR="0039207D">
        <w:t>t</w:t>
      </w:r>
      <w:r>
        <w:t>he Derwent Valley</w:t>
      </w:r>
      <w:r w:rsidR="0039207D">
        <w:t xml:space="preserve"> and Scotland</w:t>
      </w:r>
      <w:r>
        <w:t>. Stanley Chapman documented the shift from the domestic cotton trade to the more industrialised factory system.</w:t>
      </w:r>
      <w:r w:rsidR="0039207D">
        <w:rPr>
          <w:rStyle w:val="FootnoteReference"/>
        </w:rPr>
        <w:footnoteReference w:id="207"/>
      </w:r>
      <w:r>
        <w:t xml:space="preserve"> This factory system became embedded in a web of networks that supplied resources and became the pathways </w:t>
      </w:r>
      <w:r w:rsidR="00F12A9F">
        <w:t>through</w:t>
      </w:r>
      <w:r>
        <w:t xml:space="preserve"> which the flow of resources was enabled.</w:t>
      </w:r>
      <w:r w:rsidRPr="00C1415A">
        <w:t xml:space="preserve"> </w:t>
      </w:r>
      <w:bookmarkStart w:id="66" w:name="_Hlk170476238"/>
      <w:r w:rsidRPr="00DA310E">
        <w:rPr>
          <w:color w:val="000000" w:themeColor="text1"/>
        </w:rPr>
        <w:t>These networks</w:t>
      </w:r>
      <w:r w:rsidR="00261049" w:rsidRPr="00DA310E">
        <w:rPr>
          <w:color w:val="000000" w:themeColor="text1"/>
        </w:rPr>
        <w:t>, though concrete</w:t>
      </w:r>
      <w:r w:rsidR="000D1F7F" w:rsidRPr="00DA310E">
        <w:rPr>
          <w:color w:val="000000" w:themeColor="text1"/>
        </w:rPr>
        <w:t xml:space="preserve"> structures that formed the pra</w:t>
      </w:r>
      <w:r w:rsidR="00650DA4" w:rsidRPr="00DA310E">
        <w:rPr>
          <w:color w:val="000000" w:themeColor="text1"/>
        </w:rPr>
        <w:t>ctical application</w:t>
      </w:r>
      <w:r w:rsidR="000D1F7F" w:rsidRPr="00DA310E">
        <w:rPr>
          <w:color w:val="000000" w:themeColor="text1"/>
        </w:rPr>
        <w:t xml:space="preserve"> of business</w:t>
      </w:r>
      <w:r w:rsidR="00650DA4" w:rsidRPr="00DA310E">
        <w:rPr>
          <w:color w:val="000000" w:themeColor="text1"/>
        </w:rPr>
        <w:t xml:space="preserve"> knowledge</w:t>
      </w:r>
      <w:r w:rsidR="008D57C4" w:rsidRPr="00DA310E">
        <w:rPr>
          <w:color w:val="000000" w:themeColor="text1"/>
        </w:rPr>
        <w:t xml:space="preserve">, </w:t>
      </w:r>
      <w:r w:rsidR="00650DA4" w:rsidRPr="00DA310E">
        <w:rPr>
          <w:color w:val="000000" w:themeColor="text1"/>
        </w:rPr>
        <w:t>skills</w:t>
      </w:r>
      <w:r w:rsidR="008D57C4" w:rsidRPr="00DA310E">
        <w:rPr>
          <w:color w:val="000000" w:themeColor="text1"/>
        </w:rPr>
        <w:t xml:space="preserve"> and resource exchange</w:t>
      </w:r>
      <w:r w:rsidRPr="00DA310E">
        <w:rPr>
          <w:color w:val="000000" w:themeColor="text1"/>
        </w:rPr>
        <w:t xml:space="preserve"> </w:t>
      </w:r>
      <w:r w:rsidR="006C1214" w:rsidRPr="00DA310E">
        <w:rPr>
          <w:color w:val="000000" w:themeColor="text1"/>
        </w:rPr>
        <w:t xml:space="preserve">could </w:t>
      </w:r>
      <w:r w:rsidRPr="00DA310E">
        <w:rPr>
          <w:color w:val="000000" w:themeColor="text1"/>
        </w:rPr>
        <w:t>also</w:t>
      </w:r>
      <w:r w:rsidR="006C1214" w:rsidRPr="00DA310E">
        <w:rPr>
          <w:color w:val="000000" w:themeColor="text1"/>
        </w:rPr>
        <w:t xml:space="preserve"> be </w:t>
      </w:r>
      <w:r w:rsidRPr="00DA310E">
        <w:rPr>
          <w:color w:val="000000" w:themeColor="text1"/>
        </w:rPr>
        <w:t xml:space="preserve">critical abstract structures, laying the foundational framework for generating and disseminating trust and reputation throughout the broader business networks. At the </w:t>
      </w:r>
      <w:r w:rsidR="00F12A9F" w:rsidRPr="00DA310E">
        <w:rPr>
          <w:color w:val="000000" w:themeColor="text1"/>
        </w:rPr>
        <w:t>core</w:t>
      </w:r>
      <w:r w:rsidRPr="00DA310E">
        <w:rPr>
          <w:color w:val="000000" w:themeColor="text1"/>
        </w:rPr>
        <w:t xml:space="preserve"> of the </w:t>
      </w:r>
      <w:r w:rsidR="00F12A9F" w:rsidRPr="00DA310E">
        <w:rPr>
          <w:color w:val="000000" w:themeColor="text1"/>
        </w:rPr>
        <w:t>cotton trade, its social and business networks</w:t>
      </w:r>
      <w:r w:rsidRPr="00DA310E">
        <w:rPr>
          <w:color w:val="000000" w:themeColor="text1"/>
        </w:rPr>
        <w:t xml:space="preserve"> </w:t>
      </w:r>
      <w:r w:rsidRPr="00C1415A">
        <w:t>were the conceptuali</w:t>
      </w:r>
      <w:r>
        <w:t>s</w:t>
      </w:r>
      <w:r w:rsidRPr="00C1415A">
        <w:t xml:space="preserve">ations of ideals that network members were encouraged to strive for. </w:t>
      </w:r>
      <w:bookmarkEnd w:id="66"/>
      <w:r w:rsidRPr="00C1415A">
        <w:t>For male network members, the ideali</w:t>
      </w:r>
      <w:r>
        <w:t>s</w:t>
      </w:r>
      <w:r w:rsidRPr="00C1415A">
        <w:t>ed image was that of the quintessential 'man of business.' Female members were encouraged to embody the qualities of a domestic, genteel, and capable woman.</w:t>
      </w:r>
      <w:r w:rsidR="007A5FAB">
        <w:rPr>
          <w:rStyle w:val="FootnoteReference"/>
        </w:rPr>
        <w:footnoteReference w:id="208"/>
      </w:r>
      <w:r w:rsidRPr="00C1415A">
        <w:t xml:space="preserve"> Together, they worked towards achieving an ideal level of trust, intending to elevate the overall trustworthiness within the business networks and society. This was particularly crucial when society was perceived as uncertain, unfamiliar, and fraught with risks.</w:t>
      </w:r>
      <w:r>
        <w:t xml:space="preserve"> </w:t>
      </w:r>
    </w:p>
    <w:p w14:paraId="61561F48" w14:textId="28F93023" w:rsidR="00EF380F" w:rsidRDefault="005A05DF" w:rsidP="005A05DF">
      <w:pPr>
        <w:sectPr w:rsidR="00EF380F">
          <w:footnotePr>
            <w:numRestart w:val="eachSect"/>
          </w:footnotePr>
          <w:pgSz w:w="11906" w:h="16838"/>
          <w:pgMar w:top="1440" w:right="1440" w:bottom="1440" w:left="1440" w:header="708" w:footer="708" w:gutter="0"/>
          <w:cols w:space="708"/>
          <w:docGrid w:linePitch="360"/>
        </w:sectPr>
      </w:pPr>
      <w:r>
        <w:t xml:space="preserve">Trust, trustworthiness, and social capital </w:t>
      </w:r>
      <w:r w:rsidR="00F12A9F" w:rsidRPr="00DA310E">
        <w:rPr>
          <w:color w:val="000000" w:themeColor="text1"/>
        </w:rPr>
        <w:t>were</w:t>
      </w:r>
      <w:r w:rsidRPr="00DA310E">
        <w:rPr>
          <w:color w:val="000000" w:themeColor="text1"/>
        </w:rPr>
        <w:t xml:space="preserve"> i</w:t>
      </w:r>
      <w:r>
        <w:t xml:space="preserve">ntrinsically linked with family and kinship – the groups of people who </w:t>
      </w:r>
      <w:r w:rsidRPr="00DA310E">
        <w:rPr>
          <w:color w:val="000000" w:themeColor="text1"/>
        </w:rPr>
        <w:t>ma</w:t>
      </w:r>
      <w:r w:rsidR="00F12A9F" w:rsidRPr="00DA310E">
        <w:rPr>
          <w:color w:val="000000" w:themeColor="text1"/>
        </w:rPr>
        <w:t>d</w:t>
      </w:r>
      <w:r w:rsidRPr="00DA310E">
        <w:rPr>
          <w:color w:val="000000" w:themeColor="text1"/>
        </w:rPr>
        <w:t xml:space="preserve">e </w:t>
      </w:r>
      <w:r>
        <w:t>up the family and kinship networks that underpinned business culture in the late eighteenth and early nineteenth centuries. T</w:t>
      </w:r>
      <w:r w:rsidRPr="00B41E9F">
        <w:t>he household, home, blood</w:t>
      </w:r>
      <w:r>
        <w:t xml:space="preserve"> ties</w:t>
      </w:r>
      <w:r w:rsidRPr="00B41E9F">
        <w:t xml:space="preserve">, and marital relations formed </w:t>
      </w:r>
      <w:r>
        <w:t>these businesses' social and cultural foundations. The basis of trust and morality was forged in the</w:t>
      </w:r>
      <w:r w:rsidRPr="00D90732">
        <w:t xml:space="preserve"> </w:t>
      </w:r>
      <w:r>
        <w:t xml:space="preserve">household, home, and kinship networks, and this was transferred into the community and business spheres and vice versa. </w:t>
      </w:r>
      <w:r w:rsidRPr="00B41E9F">
        <w:t>In th</w:t>
      </w:r>
      <w:r>
        <w:t>e next</w:t>
      </w:r>
      <w:r w:rsidRPr="00B41E9F">
        <w:t xml:space="preserve"> </w:t>
      </w:r>
      <w:r>
        <w:t xml:space="preserve">two </w:t>
      </w:r>
      <w:r w:rsidRPr="00B41E9F">
        <w:t>chapter</w:t>
      </w:r>
      <w:r>
        <w:t>s</w:t>
      </w:r>
      <w:r w:rsidRPr="00B41E9F">
        <w:t>, I</w:t>
      </w:r>
      <w:r>
        <w:t xml:space="preserve"> will</w:t>
      </w:r>
      <w:r w:rsidRPr="00B41E9F">
        <w:t xml:space="preserve"> delve into the role of trust and reputation within </w:t>
      </w:r>
      <w:r>
        <w:t xml:space="preserve">various networks surrounding each cotton mill during the </w:t>
      </w:r>
      <w:r w:rsidRPr="00B41E9F">
        <w:t xml:space="preserve">eighteenth and early </w:t>
      </w:r>
      <w:r>
        <w:t>nineteenth centuries. The following chapter will argue that t</w:t>
      </w:r>
      <w:r w:rsidRPr="00B41E9F">
        <w:t>he</w:t>
      </w:r>
      <w:r>
        <w:t xml:space="preserve"> business</w:t>
      </w:r>
      <w:r w:rsidRPr="00B41E9F">
        <w:t xml:space="preserve"> networks</w:t>
      </w:r>
      <w:r>
        <w:t xml:space="preserve"> of each firm</w:t>
      </w:r>
      <w:r w:rsidRPr="00B41E9F">
        <w:t xml:space="preserve"> were </w:t>
      </w:r>
      <w:r>
        <w:t>initially</w:t>
      </w:r>
      <w:r w:rsidRPr="00B41E9F">
        <w:t xml:space="preserve"> built on trust and reputation </w:t>
      </w:r>
      <w:r>
        <w:t xml:space="preserve">forged </w:t>
      </w:r>
      <w:r w:rsidRPr="00B41E9F">
        <w:t>with</w:t>
      </w:r>
      <w:r>
        <w:t>in</w:t>
      </w:r>
      <w:r w:rsidRPr="00B41E9F">
        <w:t xml:space="preserve"> </w:t>
      </w:r>
      <w:r>
        <w:t xml:space="preserve">the family's wider </w:t>
      </w:r>
      <w:r w:rsidRPr="00B41E9F">
        <w:t>kinship</w:t>
      </w:r>
      <w:r>
        <w:t xml:space="preserve"> networks. At the same time, the household, home, and kinship networks were influenced by the c</w:t>
      </w:r>
      <w:r w:rsidRPr="00B41E9F">
        <w:t xml:space="preserve">lose community ties </w:t>
      </w:r>
      <w:r>
        <w:t xml:space="preserve">that surrounded them. These ties, dependent on status, </w:t>
      </w:r>
      <w:r w:rsidRPr="00B41E9F">
        <w:t>often evolved into kinship groups through marriage, expanding the notion of 'family' into a community rather than just a household.</w:t>
      </w:r>
      <w:r>
        <w:t xml:space="preserve"> These </w:t>
      </w:r>
      <w:r w:rsidRPr="00B41E9F">
        <w:t>close associat</w:t>
      </w:r>
      <w:r>
        <w:t>ion ties were</w:t>
      </w:r>
      <w:r w:rsidRPr="00B41E9F">
        <w:t xml:space="preserve"> seen as the most </w:t>
      </w:r>
      <w:r>
        <w:t xml:space="preserve">knowable and </w:t>
      </w:r>
      <w:r w:rsidRPr="00B41E9F">
        <w:t>reliable connections.</w:t>
      </w:r>
      <w:r>
        <w:t xml:space="preserve"> </w:t>
      </w:r>
      <w:r w:rsidRPr="00B41E9F">
        <w:t>Mary B. Rose's perspective on the importance of networks of trust based on extended kinship and co-religionists</w:t>
      </w:r>
      <w:r>
        <w:t xml:space="preserve"> within the eighteenth-century business culture</w:t>
      </w:r>
      <w:r>
        <w:rPr>
          <w:rStyle w:val="FootnoteReference"/>
        </w:rPr>
        <w:footnoteReference w:id="209"/>
      </w:r>
      <w:r>
        <w:t xml:space="preserve"> </w:t>
      </w:r>
      <w:r w:rsidRPr="00B41E9F">
        <w:t>aligns with th</w:t>
      </w:r>
      <w:r>
        <w:t>e findings of this</w:t>
      </w:r>
      <w:r w:rsidRPr="00B41E9F">
        <w:t xml:space="preserve"> research, as </w:t>
      </w:r>
      <w:r>
        <w:t xml:space="preserve">will be </w:t>
      </w:r>
      <w:r w:rsidRPr="00B41E9F">
        <w:t>demonstrated in the first two chapters.</w:t>
      </w:r>
    </w:p>
    <w:p w14:paraId="6DD3DF24" w14:textId="4C83259B" w:rsidR="005A05DF" w:rsidRPr="00F52666" w:rsidRDefault="005A05DF" w:rsidP="00F52666">
      <w:pPr>
        <w:pStyle w:val="Heading1"/>
        <w:rPr>
          <w:rFonts w:asciiTheme="minorHAnsi" w:hAnsiTheme="minorHAnsi" w:cstheme="minorHAnsi"/>
          <w:b/>
          <w:bCs/>
          <w:color w:val="auto"/>
          <w:sz w:val="28"/>
          <w:szCs w:val="28"/>
        </w:rPr>
      </w:pPr>
      <w:bookmarkStart w:id="67" w:name="_Toc170825663"/>
      <w:r w:rsidRPr="00F52666">
        <w:rPr>
          <w:rFonts w:asciiTheme="minorHAnsi" w:hAnsiTheme="minorHAnsi" w:cstheme="minorHAnsi"/>
          <w:b/>
          <w:bCs/>
          <w:color w:val="auto"/>
          <w:sz w:val="28"/>
          <w:szCs w:val="28"/>
        </w:rPr>
        <w:lastRenderedPageBreak/>
        <w:t>Chapter Two: Trust and Kinship Networks Supporting the Cotton Trade</w:t>
      </w:r>
      <w:bookmarkEnd w:id="67"/>
      <w:r w:rsidRPr="00F52666">
        <w:rPr>
          <w:rFonts w:asciiTheme="minorHAnsi" w:hAnsiTheme="minorHAnsi" w:cstheme="minorHAnsi"/>
          <w:b/>
          <w:bCs/>
          <w:color w:val="auto"/>
          <w:sz w:val="28"/>
          <w:szCs w:val="28"/>
        </w:rPr>
        <w:t xml:space="preserve"> </w:t>
      </w:r>
    </w:p>
    <w:p w14:paraId="742468E1" w14:textId="77777777" w:rsidR="005A05DF" w:rsidRPr="00F52666" w:rsidRDefault="005A05DF" w:rsidP="00F52666">
      <w:pPr>
        <w:pStyle w:val="Heading2"/>
        <w:rPr>
          <w:rFonts w:asciiTheme="minorHAnsi" w:hAnsiTheme="minorHAnsi" w:cstheme="minorHAnsi"/>
          <w:b/>
          <w:bCs/>
          <w:color w:val="auto"/>
          <w:sz w:val="24"/>
          <w:szCs w:val="24"/>
        </w:rPr>
      </w:pPr>
      <w:bookmarkStart w:id="68" w:name="_Toc170825664"/>
      <w:r w:rsidRPr="00F52666">
        <w:rPr>
          <w:rFonts w:asciiTheme="minorHAnsi" w:hAnsiTheme="minorHAnsi" w:cstheme="minorHAnsi"/>
          <w:b/>
          <w:bCs/>
          <w:color w:val="auto"/>
          <w:sz w:val="24"/>
          <w:szCs w:val="24"/>
        </w:rPr>
        <w:t>Introduction</w:t>
      </w:r>
      <w:bookmarkEnd w:id="68"/>
      <w:r w:rsidRPr="00F52666">
        <w:rPr>
          <w:rFonts w:asciiTheme="minorHAnsi" w:hAnsiTheme="minorHAnsi" w:cstheme="minorHAnsi"/>
          <w:b/>
          <w:bCs/>
          <w:color w:val="auto"/>
          <w:sz w:val="24"/>
          <w:szCs w:val="24"/>
        </w:rPr>
        <w:t xml:space="preserve"> </w:t>
      </w:r>
    </w:p>
    <w:p w14:paraId="33D862DF" w14:textId="2BCC6788" w:rsidR="005A05DF" w:rsidRPr="00AD747C" w:rsidRDefault="005A05DF" w:rsidP="005A05DF">
      <w:r w:rsidRPr="00B41E9F">
        <w:t xml:space="preserve">In the previous chapter, I explored how social and business networks enforced specific norms related to status and gender. </w:t>
      </w:r>
      <w:r>
        <w:t xml:space="preserve">This chapter delves into the intricate interplay of trust and reputation with the family and wider kinship networks surrounding the two cotton-spinning firms. It aims to shed light on how trust and reputation influenced the formation of family and kinship groups and, consequently, the flow of resources within the networks. It suggests that trust, reputation, and morality were initially forged and influenced by the local community within the family, household, and kinship group. It closely examines the pivotal roles played by marriage alliances and blood ties in shaping the ethical grounding of the management structures of commercial cotton-spinning firms. </w:t>
      </w:r>
      <w:r w:rsidRPr="00203093">
        <w:t>Hannah Barker has noted the complexities of the family as a social entity</w:t>
      </w:r>
      <w:r>
        <w:t>. Barker argues that the institution</w:t>
      </w:r>
      <w:r w:rsidRPr="00203093">
        <w:t xml:space="preserve"> </w:t>
      </w:r>
      <w:r>
        <w:t>moulds</w:t>
      </w:r>
      <w:r w:rsidRPr="00203093">
        <w:t xml:space="preserve"> people’s beliefs and identities</w:t>
      </w:r>
      <w:r>
        <w:t xml:space="preserve"> and is</w:t>
      </w:r>
      <w:r w:rsidRPr="00203093">
        <w:t xml:space="preserve"> an economic unit of produc</w:t>
      </w:r>
      <w:r w:rsidR="002E40BD">
        <w:t>tion</w:t>
      </w:r>
      <w:r w:rsidRPr="00203093">
        <w:t xml:space="preserve"> and consum</w:t>
      </w:r>
      <w:r w:rsidR="002E40BD">
        <w:t>ption</w:t>
      </w:r>
      <w:r w:rsidRPr="00203093">
        <w:t>.</w:t>
      </w:r>
      <w:r>
        <w:rPr>
          <w:rStyle w:val="FootnoteReference"/>
        </w:rPr>
        <w:footnoteReference w:id="210"/>
      </w:r>
      <w:r>
        <w:t xml:space="preserve"> This </w:t>
      </w:r>
      <w:r w:rsidRPr="007A1F4B">
        <w:t>chapter</w:t>
      </w:r>
      <w:r>
        <w:t xml:space="preserve"> </w:t>
      </w:r>
      <w:r w:rsidRPr="007A1F4B">
        <w:t>will develop this concept further</w:t>
      </w:r>
      <w:r>
        <w:t xml:space="preserve"> by</w:t>
      </w:r>
      <w:r w:rsidRPr="007A1F4B">
        <w:t xml:space="preserve"> demonstrating how </w:t>
      </w:r>
      <w:r>
        <w:t>family, kin, and education</w:t>
      </w:r>
      <w:r w:rsidRPr="007A1F4B">
        <w:t xml:space="preserve"> shaped the construction of gender roles and identities</w:t>
      </w:r>
      <w:r>
        <w:t>, which were crucial to the development of the industrialising cotton spinning firms</w:t>
      </w:r>
      <w:r w:rsidRPr="007A1F4B">
        <w:t>. Specifically, it fostered the cultivation of men who embodied the idealized image of a reliable and secure figure in the business world, as well as women who were educated and proficient, capable of nurturing the future generation of men or stepping in during exceptional situations for the benefit of the family network.</w:t>
      </w:r>
      <w:r>
        <w:t xml:space="preserve"> Moreover, it reveals the advantages</w:t>
      </w:r>
      <w:r w:rsidR="002E40BD">
        <w:t xml:space="preserve"> and disadvantages</w:t>
      </w:r>
      <w:r>
        <w:t xml:space="preserve"> of forging commercial relationships with trusted kinship ties. The chapter then explores the profound bonds that developed within various kin, community, and educational sites and how the morality and bonds forged here were extended into commercial partnerships, alliances, and allegiances. It suggests that these bonds were aided by a collective sense of community, belonging, and identity, enhanced by shared beliefs and values formed in various contexts. Furthermore, it delves into the dynamics of trusted relationships within the business environment, offering insights into how such trust was cultivated and sustained.</w:t>
      </w:r>
    </w:p>
    <w:p w14:paraId="0F55C47B" w14:textId="77777777" w:rsidR="005A05DF" w:rsidRPr="00F52666" w:rsidRDefault="005A05DF" w:rsidP="00F52666">
      <w:pPr>
        <w:pStyle w:val="Heading2"/>
        <w:rPr>
          <w:rFonts w:asciiTheme="minorHAnsi" w:hAnsiTheme="minorHAnsi" w:cstheme="minorHAnsi"/>
          <w:b/>
          <w:bCs/>
          <w:color w:val="auto"/>
          <w:sz w:val="24"/>
          <w:szCs w:val="24"/>
        </w:rPr>
      </w:pPr>
      <w:bookmarkStart w:id="69" w:name="_Toc170825665"/>
      <w:r w:rsidRPr="00F52666">
        <w:rPr>
          <w:rFonts w:asciiTheme="minorHAnsi" w:hAnsiTheme="minorHAnsi" w:cstheme="minorHAnsi"/>
          <w:b/>
          <w:bCs/>
          <w:color w:val="auto"/>
          <w:sz w:val="24"/>
          <w:szCs w:val="24"/>
        </w:rPr>
        <w:t>Family and Kinship Networks</w:t>
      </w:r>
      <w:bookmarkEnd w:id="69"/>
    </w:p>
    <w:p w14:paraId="685F5063" w14:textId="77777777" w:rsidR="005A05DF" w:rsidRPr="001A2C91" w:rsidRDefault="005A05DF" w:rsidP="005A05DF">
      <w:pPr>
        <w:rPr>
          <w:i/>
          <w:iCs/>
          <w:sz w:val="24"/>
          <w:szCs w:val="24"/>
        </w:rPr>
      </w:pPr>
      <w:r w:rsidRPr="001A2C91">
        <w:rPr>
          <w:i/>
          <w:iCs/>
          <w:sz w:val="24"/>
          <w:szCs w:val="24"/>
        </w:rPr>
        <w:t>The Strong Ties that Bind</w:t>
      </w:r>
    </w:p>
    <w:p w14:paraId="2B9BDE87" w14:textId="7EECD86A" w:rsidR="005A05DF" w:rsidRPr="007372E5" w:rsidRDefault="005A05DF" w:rsidP="005A05DF">
      <w:r w:rsidRPr="007372E5">
        <w:t xml:space="preserve">This chapter reflects on the family and kinship networks behind the establishment and management structures of the two case study firms. </w:t>
      </w:r>
      <w:r w:rsidRPr="005C15F7">
        <w:t>As such, these networks constitute social networks, and their analysis requires defining what networks are. For this thesis – a network is a set of ties linking several individuals.</w:t>
      </w:r>
      <w:r w:rsidR="00F73FBC" w:rsidRPr="005C15F7">
        <w:t xml:space="preserve"> </w:t>
      </w:r>
      <w:r w:rsidRPr="005C15F7">
        <w:t>The work of Mark Granovetter proposed an understanding in which the strength of these ties c</w:t>
      </w:r>
      <w:r w:rsidR="0039047E" w:rsidRPr="005C15F7">
        <w:t>an be understood</w:t>
      </w:r>
      <w:r w:rsidRPr="005C15F7">
        <w:t xml:space="preserve"> as either strong, weak, or absent.</w:t>
      </w:r>
      <w:r w:rsidR="00F73FBC" w:rsidRPr="005C15F7">
        <w:rPr>
          <w:rStyle w:val="FootnoteReference"/>
        </w:rPr>
        <w:footnoteReference w:id="211"/>
      </w:r>
      <w:r w:rsidR="00C0682E" w:rsidRPr="00C0682E">
        <w:rPr>
          <w:b/>
          <w:bCs/>
        </w:rPr>
        <w:t xml:space="preserve"> </w:t>
      </w:r>
      <w:r w:rsidR="00427173" w:rsidRPr="007372E5">
        <w:t xml:space="preserve">For the </w:t>
      </w:r>
      <w:r w:rsidR="008255DA" w:rsidRPr="007372E5">
        <w:t>k</w:t>
      </w:r>
      <w:r w:rsidR="00427173" w:rsidRPr="007372E5">
        <w:t>inship</w:t>
      </w:r>
      <w:r w:rsidR="008255DA" w:rsidRPr="007372E5">
        <w:t>, family, and household</w:t>
      </w:r>
      <w:r w:rsidR="00427173" w:rsidRPr="007372E5">
        <w:t xml:space="preserve"> ties, it is reasonable to assume that many of these ties will be strong</w:t>
      </w:r>
      <w:r w:rsidR="00857939" w:rsidRPr="007372E5">
        <w:t xml:space="preserve">. </w:t>
      </w:r>
      <w:r w:rsidR="004B6DA5" w:rsidRPr="007372E5">
        <w:t xml:space="preserve">While there are instances when kinship ties did not bind – there are few examples to draw upon within these specific case studies. </w:t>
      </w:r>
      <w:r w:rsidR="000B23AE" w:rsidRPr="007372E5">
        <w:t xml:space="preserve">Employees who became household members as servants </w:t>
      </w:r>
      <w:r w:rsidR="00147F4D" w:rsidRPr="007372E5">
        <w:t>might</w:t>
      </w:r>
      <w:r w:rsidR="00744F03" w:rsidRPr="007372E5">
        <w:t xml:space="preserve"> be less tied by the sense of kin, as their kin would potentially fall outside the household family</w:t>
      </w:r>
      <w:r w:rsidR="00147F4D" w:rsidRPr="007372E5">
        <w:t xml:space="preserve"> but their day-to-day </w:t>
      </w:r>
      <w:r w:rsidR="00790B4D" w:rsidRPr="007372E5">
        <w:t>encounters</w:t>
      </w:r>
      <w:r w:rsidR="00D773AA" w:rsidRPr="007372E5">
        <w:t xml:space="preserve">, </w:t>
      </w:r>
      <w:r w:rsidR="00790B4D" w:rsidRPr="007372E5">
        <w:t xml:space="preserve">the </w:t>
      </w:r>
      <w:r w:rsidR="00D773AA" w:rsidRPr="007372E5">
        <w:t>spaces and environments shared with their employers</w:t>
      </w:r>
      <w:r w:rsidR="007372E5" w:rsidRPr="007372E5">
        <w:t>,</w:t>
      </w:r>
      <w:r w:rsidR="00D773AA" w:rsidRPr="007372E5">
        <w:t xml:space="preserve"> and the sense of mutual</w:t>
      </w:r>
      <w:r w:rsidR="002525AB" w:rsidRPr="007372E5">
        <w:t xml:space="preserve"> endeavour (even if the was not equal) ensured there were common ties between the</w:t>
      </w:r>
      <w:r w:rsidR="007372E5" w:rsidRPr="007372E5">
        <w:t xml:space="preserve"> two. </w:t>
      </w:r>
    </w:p>
    <w:p w14:paraId="4D30D2CA" w14:textId="1F964EBB" w:rsidR="005A05DF" w:rsidRPr="00DA310E" w:rsidRDefault="005A05DF" w:rsidP="00D1348F">
      <w:pPr>
        <w:rPr>
          <w:b/>
          <w:bCs/>
          <w:color w:val="000000" w:themeColor="text1"/>
        </w:rPr>
      </w:pPr>
      <w:r>
        <w:t>Kinship ties played a significant role in both firms.</w:t>
      </w:r>
      <w:r w:rsidR="00C0682E">
        <w:t xml:space="preserve"> </w:t>
      </w:r>
      <w:bookmarkStart w:id="71" w:name="_Hlk170476474"/>
      <w:r w:rsidR="00C0682E" w:rsidRPr="00DA310E">
        <w:rPr>
          <w:color w:val="000000" w:themeColor="text1"/>
        </w:rPr>
        <w:t xml:space="preserve">When called upon, kinship connections could be seen to aid and assist the operation of each firm. For example, James Kennedy in Glasgow assisted in resolving a commercial dispute on behalf of his brother’s firm in Manchester. </w:t>
      </w:r>
      <w:bookmarkEnd w:id="71"/>
      <w:r>
        <w:t xml:space="preserve">In the case of McConnel &amp; Kennedy, they utilised strong ties to their advantage by employing John McConnel, </w:t>
      </w:r>
      <w:r>
        <w:lastRenderedPageBreak/>
        <w:t>James’s half-brother, as their mill manager until 1828.</w:t>
      </w:r>
      <w:r>
        <w:rPr>
          <w:rStyle w:val="FootnoteReference"/>
        </w:rPr>
        <w:footnoteReference w:id="212"/>
      </w:r>
      <w:r>
        <w:t xml:space="preserve"> Robert Kennedy, John’s brother, became their sales agent in Glasgow.</w:t>
      </w:r>
      <w:r>
        <w:rPr>
          <w:rStyle w:val="FootnoteReference"/>
        </w:rPr>
        <w:footnoteReference w:id="213"/>
      </w:r>
      <w:r w:rsidRPr="007766B7">
        <w:t xml:space="preserve"> </w:t>
      </w:r>
      <w:r>
        <w:t>The business became further entwined with kinship after John Kennedy retired from the firm in 1826. The firm was then rebranded as McConnel &amp; Co., with James McConnel's sons, Henry, James, and William becoming partners.</w:t>
      </w:r>
      <w:r w:rsidR="00B625C7">
        <w:rPr>
          <w:rStyle w:val="FootnoteReference"/>
        </w:rPr>
        <w:footnoteReference w:id="214"/>
      </w:r>
      <w:r>
        <w:t xml:space="preserve"> The kinship alliance with the Kennedy family was established in 1829 when Henry McConnel, now a business partner, formed a marriage alliance with Margaret Kennedy, John’s eldest daughter.</w:t>
      </w:r>
      <w:r>
        <w:rPr>
          <w:rStyle w:val="FootnoteReference"/>
        </w:rPr>
        <w:footnoteReference w:id="215"/>
      </w:r>
      <w:r>
        <w:t xml:space="preserve"> The Evans family also implemented strong tie connectivity to their business enterprises. This can be seen in practice within two years of establishing the Boar’s Head Cotton Mills. Thomas Evans' son, William Evans, married Elizabeth Strutt, the daughter of Jedediah Strutt. </w:t>
      </w:r>
      <w:bookmarkStart w:id="72" w:name="_Hlk170476706"/>
      <w:r w:rsidRPr="00DA310E">
        <w:rPr>
          <w:color w:val="000000" w:themeColor="text1"/>
        </w:rPr>
        <w:t xml:space="preserve">From this marriage, William Evans became a business partner in the cotton spinning mill, thereby solidifying the business partnership into a family firm, </w:t>
      </w:r>
      <w:r w:rsidR="00D1348F" w:rsidRPr="00DA310E">
        <w:rPr>
          <w:color w:val="000000" w:themeColor="text1"/>
        </w:rPr>
        <w:t xml:space="preserve">especially after Arkwright’s exit. </w:t>
      </w:r>
      <w:r w:rsidR="00C0682E" w:rsidRPr="00DA310E">
        <w:rPr>
          <w:color w:val="000000" w:themeColor="text1"/>
        </w:rPr>
        <w:t>This</w:t>
      </w:r>
      <w:r w:rsidR="00D1348F" w:rsidRPr="00DA310E">
        <w:rPr>
          <w:color w:val="000000" w:themeColor="text1"/>
        </w:rPr>
        <w:t xml:space="preserve"> </w:t>
      </w:r>
      <w:r w:rsidR="00C0682E" w:rsidRPr="00DA310E">
        <w:rPr>
          <w:color w:val="000000" w:themeColor="text1"/>
        </w:rPr>
        <w:t>created</w:t>
      </w:r>
      <w:r w:rsidRPr="00DA310E">
        <w:rPr>
          <w:color w:val="000000" w:themeColor="text1"/>
        </w:rPr>
        <w:t xml:space="preserve"> a legally binding marriage alliance between the Evans </w:t>
      </w:r>
      <w:r w:rsidR="00D1348F" w:rsidRPr="00DA310E">
        <w:rPr>
          <w:color w:val="000000" w:themeColor="text1"/>
        </w:rPr>
        <w:t xml:space="preserve">and </w:t>
      </w:r>
      <w:r w:rsidRPr="00DA310E">
        <w:rPr>
          <w:color w:val="000000" w:themeColor="text1"/>
        </w:rPr>
        <w:t>Strutt famil</w:t>
      </w:r>
      <w:r w:rsidR="00D1348F" w:rsidRPr="00DA310E">
        <w:rPr>
          <w:color w:val="000000" w:themeColor="text1"/>
        </w:rPr>
        <w:t>ies,</w:t>
      </w:r>
      <w:r w:rsidRPr="00DA310E">
        <w:rPr>
          <w:color w:val="000000" w:themeColor="text1"/>
        </w:rPr>
        <w:t xml:space="preserve"> effectively transform</w:t>
      </w:r>
      <w:r w:rsidR="00D1348F" w:rsidRPr="00DA310E">
        <w:rPr>
          <w:color w:val="000000" w:themeColor="text1"/>
        </w:rPr>
        <w:t>ing</w:t>
      </w:r>
      <w:r w:rsidRPr="00DA310E">
        <w:rPr>
          <w:color w:val="000000" w:themeColor="text1"/>
        </w:rPr>
        <w:t xml:space="preserve"> the joint business venture of close associates into a family firm.</w:t>
      </w:r>
      <w:r w:rsidR="00C0682E" w:rsidRPr="00DA310E">
        <w:rPr>
          <w:b/>
          <w:bCs/>
          <w:color w:val="000000" w:themeColor="text1"/>
        </w:rPr>
        <w:t xml:space="preserve"> </w:t>
      </w:r>
    </w:p>
    <w:bookmarkEnd w:id="72"/>
    <w:p w14:paraId="65135DC2" w14:textId="39B245B3" w:rsidR="005A05DF" w:rsidRPr="00DA310E" w:rsidRDefault="005A05DF" w:rsidP="005A05DF">
      <w:pPr>
        <w:rPr>
          <w:b/>
          <w:bCs/>
          <w:color w:val="000000" w:themeColor="text1"/>
        </w:rPr>
      </w:pPr>
      <w:r>
        <w:t xml:space="preserve">The evidence from these two firms suggests that the families </w:t>
      </w:r>
      <w:r w:rsidRPr="0074377D">
        <w:t xml:space="preserve">conformed to the wider kinship system noted by Margaret </w:t>
      </w:r>
      <w:r>
        <w:t xml:space="preserve">R. </w:t>
      </w:r>
      <w:r w:rsidRPr="0074377D">
        <w:t xml:space="preserve">Hunt </w:t>
      </w:r>
      <w:r>
        <w:t xml:space="preserve">in her study on family and the middling sort </w:t>
      </w:r>
      <w:r w:rsidRPr="0074377D">
        <w:t xml:space="preserve">and Young and </w:t>
      </w:r>
      <w:r>
        <w:t xml:space="preserve">Wilmott's study of </w:t>
      </w:r>
      <w:r w:rsidRPr="00FB76B3">
        <w:rPr>
          <w:i/>
          <w:iCs/>
        </w:rPr>
        <w:t>Family and Kinship in East London</w:t>
      </w:r>
      <w:r>
        <w:rPr>
          <w:i/>
          <w:iCs/>
        </w:rPr>
        <w:t>.</w:t>
      </w:r>
      <w:r>
        <w:rPr>
          <w:rStyle w:val="FootnoteReference"/>
          <w:i/>
          <w:iCs/>
        </w:rPr>
        <w:footnoteReference w:id="216"/>
      </w:r>
      <w:r>
        <w:rPr>
          <w:i/>
          <w:iCs/>
        </w:rPr>
        <w:t xml:space="preserve"> </w:t>
      </w:r>
      <w:r>
        <w:t xml:space="preserve">This wider kinship system incorporated the support structure of more distant family members such as uncles, cousins, nephews, etc., taking responsibility for the well-being of their extended kinship network. </w:t>
      </w:r>
      <w:r w:rsidR="00FE1B70">
        <w:t xml:space="preserve">However, </w:t>
      </w:r>
      <w:r w:rsidR="00BE5EFC">
        <w:t xml:space="preserve">by exploring these two </w:t>
      </w:r>
      <w:r w:rsidR="00FE1B70">
        <w:t>firms</w:t>
      </w:r>
      <w:r w:rsidR="00BE5EFC">
        <w:t>, their narratives</w:t>
      </w:r>
      <w:r w:rsidR="00FE1B70">
        <w:t xml:space="preserve"> suggest that</w:t>
      </w:r>
      <w:r w:rsidR="000708A6">
        <w:t xml:space="preserve"> the supportive nature of the kinship network changed during the period. At the outset </w:t>
      </w:r>
      <w:r w:rsidR="00C4773F">
        <w:t xml:space="preserve">social capital </w:t>
      </w:r>
      <w:r w:rsidR="00056A34">
        <w:t xml:space="preserve">derived from </w:t>
      </w:r>
      <w:r w:rsidR="000708A6">
        <w:t>community networks</w:t>
      </w:r>
      <w:r w:rsidR="001A0D8A">
        <w:t xml:space="preserve"> enabled the establishment of the mills</w:t>
      </w:r>
      <w:r w:rsidR="00714CFD">
        <w:t xml:space="preserve">. This was </w:t>
      </w:r>
      <w:r w:rsidR="00C4773F">
        <w:t>qui</w:t>
      </w:r>
      <w:r w:rsidR="00056A34">
        <w:t xml:space="preserve">cky </w:t>
      </w:r>
      <w:r w:rsidR="00416BAD">
        <w:t xml:space="preserve">reaffirmed by kinship networks investing </w:t>
      </w:r>
      <w:r w:rsidR="00276861">
        <w:t>kinship based social</w:t>
      </w:r>
      <w:r w:rsidR="00C2742C">
        <w:t xml:space="preserve"> capital to combine with other forms of capital</w:t>
      </w:r>
      <w:r w:rsidR="00ED0C2E">
        <w:t xml:space="preserve"> to sure up the fledgling enterprises.</w:t>
      </w:r>
      <w:r w:rsidR="000C3EEA">
        <w:t xml:space="preserve"> The process was continual and emergent</w:t>
      </w:r>
      <w:r w:rsidR="00A86C5F">
        <w:t xml:space="preserve"> throughout the industrialising </w:t>
      </w:r>
      <w:r w:rsidR="00930FBD">
        <w:t>phase</w:t>
      </w:r>
      <w:r w:rsidR="00B06786">
        <w:t>.</w:t>
      </w:r>
      <w:r w:rsidR="0040106D">
        <w:t xml:space="preserve"> With the withdrawal of Arkwright in the Boar’s Head</w:t>
      </w:r>
      <w:r w:rsidR="000648E0">
        <w:t xml:space="preserve"> Cotton</w:t>
      </w:r>
      <w:r w:rsidR="0040106D">
        <w:t xml:space="preserve"> Mills and the </w:t>
      </w:r>
      <w:r w:rsidR="003342C1">
        <w:t>merging of the Strutt-Evans families and the McConnel-Kennedy families th</w:t>
      </w:r>
      <w:r w:rsidR="00A408EE">
        <w:t>e influence of kinship and family on the mills increased.</w:t>
      </w:r>
      <w:r w:rsidR="00B06786">
        <w:t xml:space="preserve"> However, by the </w:t>
      </w:r>
      <w:r w:rsidR="0075088D">
        <w:t>end of the second generation of family business leadership</w:t>
      </w:r>
      <w:r w:rsidR="002D57EE">
        <w:t xml:space="preserve"> the close association community ties were once again be</w:t>
      </w:r>
      <w:r w:rsidR="00A408EE">
        <w:t>coming</w:t>
      </w:r>
      <w:r w:rsidR="002D57EE">
        <w:t xml:space="preserve"> more influential</w:t>
      </w:r>
      <w:r w:rsidR="00A408EE">
        <w:t xml:space="preserve">. As the businesses expanded the management structures </w:t>
      </w:r>
      <w:r w:rsidR="00F0794F">
        <w:t>welcomed more community investment into the cotton mills</w:t>
      </w:r>
      <w:r w:rsidR="00531934">
        <w:t xml:space="preserve"> from trusted connections outside of the kinship network. </w:t>
      </w:r>
      <w:bookmarkStart w:id="73" w:name="_Hlk170476738"/>
      <w:r w:rsidR="00F222CE" w:rsidRPr="00DA310E">
        <w:rPr>
          <w:color w:val="000000" w:themeColor="text1"/>
        </w:rPr>
        <w:t>Examples of this are Moses Harvey and John Keeling in the Boar’s Head</w:t>
      </w:r>
      <w:r w:rsidR="000648E0" w:rsidRPr="00DA310E">
        <w:rPr>
          <w:color w:val="000000" w:themeColor="text1"/>
        </w:rPr>
        <w:t xml:space="preserve"> Cotton</w:t>
      </w:r>
      <w:r w:rsidR="00F222CE" w:rsidRPr="00DA310E">
        <w:rPr>
          <w:color w:val="000000" w:themeColor="text1"/>
        </w:rPr>
        <w:t xml:space="preserve"> </w:t>
      </w:r>
      <w:r w:rsidR="000648E0" w:rsidRPr="00DA310E">
        <w:rPr>
          <w:color w:val="000000" w:themeColor="text1"/>
        </w:rPr>
        <w:t>M</w:t>
      </w:r>
      <w:r w:rsidR="00F222CE" w:rsidRPr="00DA310E">
        <w:rPr>
          <w:color w:val="000000" w:themeColor="text1"/>
        </w:rPr>
        <w:t>ills</w:t>
      </w:r>
      <w:r w:rsidR="00855F72" w:rsidRPr="00DA310E">
        <w:rPr>
          <w:color w:val="000000" w:themeColor="text1"/>
        </w:rPr>
        <w:t xml:space="preserve"> and the Heywood family </w:t>
      </w:r>
      <w:r w:rsidR="00C0682E" w:rsidRPr="00DA310E">
        <w:rPr>
          <w:color w:val="000000" w:themeColor="text1"/>
        </w:rPr>
        <w:t xml:space="preserve">in </w:t>
      </w:r>
      <w:r w:rsidR="00855F72" w:rsidRPr="00DA310E">
        <w:rPr>
          <w:color w:val="000000" w:themeColor="text1"/>
        </w:rPr>
        <w:t xml:space="preserve">the McConnel &amp; Kennedy </w:t>
      </w:r>
      <w:r w:rsidR="00BA1E1F" w:rsidRPr="00DA310E">
        <w:rPr>
          <w:color w:val="000000" w:themeColor="text1"/>
        </w:rPr>
        <w:t>M</w:t>
      </w:r>
      <w:r w:rsidR="00855F72" w:rsidRPr="00DA310E">
        <w:rPr>
          <w:color w:val="000000" w:themeColor="text1"/>
        </w:rPr>
        <w:t>ills</w:t>
      </w:r>
      <w:r w:rsidR="00C0682E" w:rsidRPr="00DA310E">
        <w:rPr>
          <w:color w:val="000000" w:themeColor="text1"/>
        </w:rPr>
        <w:t>,</w:t>
      </w:r>
      <w:r w:rsidR="00855F72" w:rsidRPr="00DA310E">
        <w:rPr>
          <w:color w:val="000000" w:themeColor="text1"/>
        </w:rPr>
        <w:t xml:space="preserve"> </w:t>
      </w:r>
      <w:r w:rsidR="00C0682E" w:rsidRPr="00DA310E">
        <w:rPr>
          <w:color w:val="000000" w:themeColor="text1"/>
        </w:rPr>
        <w:t>a</w:t>
      </w:r>
      <w:r w:rsidR="00855F72" w:rsidRPr="00DA310E">
        <w:rPr>
          <w:color w:val="000000" w:themeColor="text1"/>
        </w:rPr>
        <w:t xml:space="preserve">lthough the Heywood family did become kin </w:t>
      </w:r>
      <w:r w:rsidR="00C86B2D" w:rsidRPr="00DA310E">
        <w:rPr>
          <w:color w:val="000000" w:themeColor="text1"/>
        </w:rPr>
        <w:t xml:space="preserve">years </w:t>
      </w:r>
      <w:r w:rsidR="00855F72" w:rsidRPr="00DA310E">
        <w:rPr>
          <w:color w:val="000000" w:themeColor="text1"/>
        </w:rPr>
        <w:t>later.</w:t>
      </w:r>
    </w:p>
    <w:bookmarkEnd w:id="73"/>
    <w:p w14:paraId="3300B52B" w14:textId="2AB628B2" w:rsidR="005A05DF" w:rsidRDefault="00A3342B" w:rsidP="005A05DF">
      <w:pPr>
        <w:rPr>
          <w:i/>
          <w:iCs/>
        </w:rPr>
      </w:pPr>
      <w:r>
        <w:rPr>
          <w:i/>
          <w:iCs/>
        </w:rPr>
        <w:t>Gender and t</w:t>
      </w:r>
      <w:r w:rsidR="005A05DF" w:rsidRPr="00123B76">
        <w:rPr>
          <w:i/>
          <w:iCs/>
        </w:rPr>
        <w:t xml:space="preserve">he </w:t>
      </w:r>
      <w:r w:rsidR="00BC2858">
        <w:rPr>
          <w:i/>
          <w:iCs/>
        </w:rPr>
        <w:t>M</w:t>
      </w:r>
      <w:r w:rsidR="005A05DF" w:rsidRPr="00123B76">
        <w:rPr>
          <w:i/>
          <w:iCs/>
        </w:rPr>
        <w:t xml:space="preserve">arriage </w:t>
      </w:r>
      <w:r w:rsidR="00BC2858">
        <w:rPr>
          <w:i/>
          <w:iCs/>
        </w:rPr>
        <w:t>T</w:t>
      </w:r>
      <w:r w:rsidR="005A05DF" w:rsidRPr="00123B76">
        <w:rPr>
          <w:i/>
          <w:iCs/>
        </w:rPr>
        <w:t xml:space="preserve">ie </w:t>
      </w:r>
    </w:p>
    <w:p w14:paraId="59538A10" w14:textId="1B906CBC" w:rsidR="00B66721" w:rsidRDefault="00480673" w:rsidP="005A05DF">
      <w:r>
        <w:t xml:space="preserve">As Chapter One showed, the family backgrounds of the </w:t>
      </w:r>
      <w:r w:rsidR="005A05DF">
        <w:t xml:space="preserve">factory master’s network </w:t>
      </w:r>
      <w:r>
        <w:t>were</w:t>
      </w:r>
      <w:r w:rsidR="005A05DF">
        <w:t xml:space="preserve"> founded on kinship and marriage alliances, and blood ties were fundamental in forging close-knit, trusted networks within the cotton industry. </w:t>
      </w:r>
      <w:r w:rsidR="00F277C3">
        <w:t>Silvia A Conca Messina</w:t>
      </w:r>
      <w:r w:rsidR="009F34C1">
        <w:t xml:space="preserve"> noted in her study of the Lombardy cotton enterpris</w:t>
      </w:r>
      <w:r w:rsidR="00432B5E">
        <w:t xml:space="preserve">es from 1815-1860 </w:t>
      </w:r>
      <w:r w:rsidR="00CC7E03">
        <w:t xml:space="preserve">that this region </w:t>
      </w:r>
      <w:r w:rsidR="00432B5E">
        <w:t>saw a trend towards cooperative behaviour</w:t>
      </w:r>
      <w:r w:rsidR="002D218E">
        <w:t xml:space="preserve"> that was underpinned by marriages in the community.</w:t>
      </w:r>
      <w:r w:rsidR="00401EE4">
        <w:rPr>
          <w:rStyle w:val="FootnoteReference"/>
        </w:rPr>
        <w:footnoteReference w:id="217"/>
      </w:r>
      <w:r w:rsidR="002D218E">
        <w:t xml:space="preserve"> </w:t>
      </w:r>
      <w:r w:rsidR="006F2ECE">
        <w:t xml:space="preserve">The industrialising cotton industry in Britain, </w:t>
      </w:r>
      <w:r w:rsidR="006F2ECE">
        <w:lastRenderedPageBreak/>
        <w:t xml:space="preserve">though </w:t>
      </w:r>
      <w:r w:rsidR="002F0FA2">
        <w:t xml:space="preserve">earlier in </w:t>
      </w:r>
      <w:r w:rsidR="00AC374C">
        <w:t xml:space="preserve">the </w:t>
      </w:r>
      <w:r w:rsidR="002F0FA2">
        <w:t>timeframe</w:t>
      </w:r>
      <w:r w:rsidR="00AC374C">
        <w:t>,</w:t>
      </w:r>
      <w:r w:rsidR="002F0FA2">
        <w:t xml:space="preserve"> saw a </w:t>
      </w:r>
      <w:r w:rsidR="00665C07">
        <w:t xml:space="preserve">similar </w:t>
      </w:r>
      <w:r w:rsidR="002F0FA2">
        <w:t>general trend across the social and business networks</w:t>
      </w:r>
      <w:r w:rsidR="00665C07">
        <w:t xml:space="preserve">. However, it was not simply cooperative behaviour the marriage alliances brought. </w:t>
      </w:r>
      <w:r>
        <w:t>For the Evans family</w:t>
      </w:r>
      <w:r w:rsidR="0085103C">
        <w:t>,</w:t>
      </w:r>
      <w:r>
        <w:t xml:space="preserve"> th</w:t>
      </w:r>
      <w:r w:rsidR="002D2166">
        <w:t xml:space="preserve">e process of gaining social, </w:t>
      </w:r>
      <w:r w:rsidR="00C86B2D">
        <w:t>cultural,</w:t>
      </w:r>
      <w:r w:rsidR="002D2166">
        <w:t xml:space="preserve"> and economic capital via the marriage tie had been used to great effect since the marriage of Anthony Evans to Hannah Ferne in </w:t>
      </w:r>
      <w:r w:rsidR="0085103C">
        <w:t>1688</w:t>
      </w:r>
      <w:r w:rsidR="00EF0727">
        <w:t>. It continued</w:t>
      </w:r>
      <w:r w:rsidR="00965EEA">
        <w:t xml:space="preserve"> to be used by the family until the late nineteenth century.</w:t>
      </w:r>
      <w:r w:rsidR="0085103C">
        <w:t xml:space="preserve"> </w:t>
      </w:r>
      <w:r w:rsidR="00251DA3">
        <w:t xml:space="preserve">For the McConnel and Kennedy kinship group, </w:t>
      </w:r>
      <w:r w:rsidR="00EF0727">
        <w:t>James McConnel and John Kennedy also adopted this pr</w:t>
      </w:r>
      <w:r w:rsidR="00C0682E">
        <w:t>actice</w:t>
      </w:r>
      <w:r w:rsidR="0085103C">
        <w:t xml:space="preserve"> </w:t>
      </w:r>
      <w:r w:rsidR="00965EEA">
        <w:t xml:space="preserve">to </w:t>
      </w:r>
      <w:r w:rsidR="00EF0727">
        <w:t>ensure</w:t>
      </w:r>
      <w:r w:rsidR="00965EEA">
        <w:t xml:space="preserve"> their entry into the Manchester business elites. </w:t>
      </w:r>
      <w:r w:rsidR="009B4D79">
        <w:t>Therefore, t</w:t>
      </w:r>
      <w:r w:rsidR="005A05DF">
        <w:t>his was evident in Manchester, Scotland, and the Derwent Valley</w:t>
      </w:r>
      <w:r w:rsidR="009B4D79">
        <w:t xml:space="preserve"> in the social networks that became the kinship networks</w:t>
      </w:r>
      <w:r w:rsidR="00EF0727">
        <w:t xml:space="preserve"> within the cotton trade</w:t>
      </w:r>
      <w:r w:rsidR="005A05DF">
        <w:t xml:space="preserve">. </w:t>
      </w:r>
    </w:p>
    <w:p w14:paraId="3D32F65B" w14:textId="4D722E62" w:rsidR="005A05DF" w:rsidRDefault="00061B1F" w:rsidP="005A05DF">
      <w:r>
        <w:t xml:space="preserve">The marriage tie created networks of kinship that </w:t>
      </w:r>
      <w:r w:rsidR="001D52DC">
        <w:t xml:space="preserve">were bound by more than simply mutual endeavour in the cotton trade. </w:t>
      </w:r>
      <w:r w:rsidR="00396F35">
        <w:t>Deep bonds of family and kin then bound the network members</w:t>
      </w:r>
      <w:r w:rsidR="005D7E78">
        <w:t xml:space="preserve">. </w:t>
      </w:r>
      <w:r w:rsidR="00EF0727">
        <w:t>In the McConnel and Kennedy case study</w:t>
      </w:r>
      <w:r w:rsidR="005A05DF">
        <w:t>, James McConnel’s brother</w:t>
      </w:r>
      <w:r w:rsidR="00DB4006">
        <w:t>s</w:t>
      </w:r>
      <w:r w:rsidR="005A05DF">
        <w:t xml:space="preserve">-in-law </w:t>
      </w:r>
      <w:r w:rsidR="00DB4006">
        <w:t>included</w:t>
      </w:r>
      <w:r w:rsidR="005A05DF">
        <w:t xml:space="preserve"> Henry</w:t>
      </w:r>
      <w:r w:rsidR="00DB4006">
        <w:t xml:space="preserve"> and Thomas</w:t>
      </w:r>
      <w:r w:rsidR="005A05DF">
        <w:t xml:space="preserve"> Houldsworth, the Manchester and Glasgow cotton manufacturer</w:t>
      </w:r>
      <w:r w:rsidR="00DB4006">
        <w:t>s</w:t>
      </w:r>
      <w:r w:rsidR="005A05DF">
        <w:t>. James McConnel married Margaret Houldsworth on the 28</w:t>
      </w:r>
      <w:r w:rsidR="005A05DF" w:rsidRPr="00271C85">
        <w:rPr>
          <w:vertAlign w:val="superscript"/>
        </w:rPr>
        <w:t>th</w:t>
      </w:r>
      <w:r w:rsidR="005A05DF">
        <w:t xml:space="preserve"> of May 1799 at </w:t>
      </w:r>
      <w:proofErr w:type="spellStart"/>
      <w:r w:rsidR="005A05DF">
        <w:t>Gonalston</w:t>
      </w:r>
      <w:proofErr w:type="spellEnd"/>
      <w:r w:rsidR="005A05DF">
        <w:t xml:space="preserve"> in Nottinghamshire, only four years after the foundation of McConnel &amp; Kennedy.</w:t>
      </w:r>
      <w:r w:rsidR="005A05DF">
        <w:rPr>
          <w:rStyle w:val="FootnoteReference"/>
        </w:rPr>
        <w:footnoteReference w:id="218"/>
      </w:r>
      <w:r w:rsidR="005A05DF">
        <w:t xml:space="preserve"> Margaret’s brothers, Thomas and Henry, worked in the cotton trade in Manchester after they opened their Newton Street Mills there in 1796.</w:t>
      </w:r>
      <w:r w:rsidR="005A05DF">
        <w:rPr>
          <w:rStyle w:val="FootnoteReference"/>
        </w:rPr>
        <w:footnoteReference w:id="219"/>
      </w:r>
      <w:r w:rsidR="00133FC5">
        <w:t xml:space="preserve"> </w:t>
      </w:r>
      <w:r w:rsidR="005A05DF">
        <w:t>A</w:t>
      </w:r>
      <w:r w:rsidR="005A05DF" w:rsidRPr="00FC59F3">
        <w:t>lliances</w:t>
      </w:r>
      <w:r w:rsidR="005A05DF">
        <w:t xml:space="preserve"> like this one</w:t>
      </w:r>
      <w:r w:rsidR="005A05DF" w:rsidRPr="00FC59F3">
        <w:t xml:space="preserve"> firmly intertwined families, such as the Evans family with the Strutt family and the McConnel and Kennedy families with each other</w:t>
      </w:r>
      <w:r w:rsidR="005A05DF">
        <w:t xml:space="preserve"> – solidifying the cotton spinners network into one tied by kinship and operated for the mutual benefit of a wider kinship network</w:t>
      </w:r>
      <w:r w:rsidR="005A05DF" w:rsidRPr="00FC59F3">
        <w:t xml:space="preserve">. Prominent marriage alliances extended beyond </w:t>
      </w:r>
      <w:r w:rsidR="005A05DF">
        <w:t>the immediate</w:t>
      </w:r>
      <w:r w:rsidR="005A05DF" w:rsidRPr="00FC59F3">
        <w:t xml:space="preserve"> </w:t>
      </w:r>
      <w:r w:rsidR="005A05DF">
        <w:t xml:space="preserve">family </w:t>
      </w:r>
      <w:r w:rsidR="005A05DF" w:rsidRPr="00FC59F3">
        <w:t>circle</w:t>
      </w:r>
      <w:r w:rsidR="005A05DF">
        <w:t>, binding</w:t>
      </w:r>
      <w:r w:rsidR="005A05DF" w:rsidRPr="00FC59F3">
        <w:t xml:space="preserve"> the kinship group to leading cotton manufacturing families. </w:t>
      </w:r>
      <w:r w:rsidR="005A05DF">
        <w:t>A l</w:t>
      </w:r>
      <w:r w:rsidR="005A05DF" w:rsidRPr="00FC59F3">
        <w:t xml:space="preserve">egal </w:t>
      </w:r>
      <w:r w:rsidR="005A05DF">
        <w:t xml:space="preserve">marriage </w:t>
      </w:r>
      <w:r w:rsidR="005A05DF" w:rsidRPr="00FC59F3">
        <w:t>bond connected</w:t>
      </w:r>
      <w:r w:rsidR="005A05DF">
        <w:t xml:space="preserve"> </w:t>
      </w:r>
      <w:r w:rsidR="005A05DF" w:rsidRPr="00FC59F3">
        <w:t xml:space="preserve">Elizabeth </w:t>
      </w:r>
      <w:r w:rsidR="005A05DF">
        <w:t>Kennedy</w:t>
      </w:r>
      <w:r w:rsidR="005A05DF" w:rsidRPr="00FC59F3">
        <w:t xml:space="preserve"> to John Greg </w:t>
      </w:r>
      <w:r w:rsidR="005A05DF">
        <w:t xml:space="preserve">from the </w:t>
      </w:r>
      <w:r w:rsidR="005A05DF" w:rsidRPr="00FC59F3">
        <w:t>prominent cotton manufactur</w:t>
      </w:r>
      <w:r w:rsidR="005A05DF">
        <w:t>ing family of the Styal cotton mills in Cheshire</w:t>
      </w:r>
      <w:r w:rsidR="005A05DF" w:rsidRPr="00FC59F3">
        <w:t>.</w:t>
      </w:r>
      <w:r w:rsidR="005A05DF">
        <w:rPr>
          <w:rStyle w:val="FootnoteReference"/>
        </w:rPr>
        <w:footnoteReference w:id="220"/>
      </w:r>
      <w:r w:rsidR="005A05DF" w:rsidRPr="00FC59F3">
        <w:t xml:space="preserve"> Likewise, Henry McConnel's marriage to Isabella Murray, daughter of George Murray, united the family with the A. &amp;</w:t>
      </w:r>
      <w:r w:rsidR="005A05DF">
        <w:t xml:space="preserve"> G.</w:t>
      </w:r>
      <w:r w:rsidR="005A05DF" w:rsidRPr="00FC59F3">
        <w:t xml:space="preserve"> Murray Cotton Mills of Manchester.</w:t>
      </w:r>
      <w:r w:rsidR="005A05DF">
        <w:rPr>
          <w:rStyle w:val="FootnoteReference"/>
        </w:rPr>
        <w:footnoteReference w:id="221"/>
      </w:r>
      <w:r w:rsidR="005A05DF" w:rsidRPr="00FC59F3">
        <w:t xml:space="preserve"> A later connection between Anne Kennedy and Gustavus Albert Escher also connected the Kennedy family to Swiss cotton manufacturing.</w:t>
      </w:r>
      <w:r w:rsidR="005A05DF">
        <w:rPr>
          <w:rStyle w:val="FootnoteReference"/>
        </w:rPr>
        <w:footnoteReference w:id="222"/>
      </w:r>
      <w:r w:rsidR="005A05DF" w:rsidRPr="00FC59F3">
        <w:t xml:space="preserve"> Alongside these connections are the noteworthy alliances that expanded the family's connections to broader kinship networks, encompassing merchant families, such as the Stuart family of Manchester, bankers like the </w:t>
      </w:r>
      <w:proofErr w:type="spellStart"/>
      <w:r w:rsidR="005A05DF" w:rsidRPr="00FC59F3">
        <w:t>Heywoods</w:t>
      </w:r>
      <w:proofErr w:type="spellEnd"/>
      <w:r w:rsidR="005A05DF" w:rsidRPr="00FC59F3">
        <w:t xml:space="preserve"> of Liverpool, and other influential figures who played instrumental roles in shaping the socio-economic landscape of their local and regional areas.</w:t>
      </w:r>
    </w:p>
    <w:p w14:paraId="6721E2B0" w14:textId="7AFC53BC" w:rsidR="005A05DF" w:rsidRDefault="005A05DF" w:rsidP="005A05DF">
      <w:r>
        <w:t xml:space="preserve">Few occasions saw the shift of substantial capital resources through the kinship network on the scale of a marriage dowry </w:t>
      </w:r>
      <w:r w:rsidR="00ED4BB9">
        <w:t>except for</w:t>
      </w:r>
      <w:r w:rsidR="0085152E">
        <w:t xml:space="preserve"> </w:t>
      </w:r>
      <w:r w:rsidR="00ED4BB9">
        <w:t>via</w:t>
      </w:r>
      <w:r>
        <w:t xml:space="preserve"> inheritance following the death of a key network member. </w:t>
      </w:r>
      <w:r w:rsidRPr="00425FB2">
        <w:t>The marriage alliance yielded many benefits</w:t>
      </w:r>
      <w:r>
        <w:t xml:space="preserve">; this </w:t>
      </w:r>
      <w:r w:rsidRPr="00425FB2">
        <w:t>includ</w:t>
      </w:r>
      <w:r>
        <w:t xml:space="preserve">ed </w:t>
      </w:r>
      <w:r w:rsidRPr="00425FB2">
        <w:t xml:space="preserve">exchanging resources </w:t>
      </w:r>
      <w:r>
        <w:t>in</w:t>
      </w:r>
      <w:r w:rsidRPr="00425FB2">
        <w:t xml:space="preserve"> a marriage dowry and establishing an extended kinship network. As Jean Lindsay had noted, when Barbara Evans was married to William Strutt in 1793, her dowry of £20,000 was invested at the earliest opportunity in an estate at Kingston-on-Soar, which became the seat of the Strutt family.</w:t>
      </w:r>
      <w:r w:rsidR="003B4A2D">
        <w:rPr>
          <w:rStyle w:val="FootnoteReference"/>
        </w:rPr>
        <w:footnoteReference w:id="223"/>
      </w:r>
      <w:r w:rsidRPr="00425FB2">
        <w:t xml:space="preserve"> </w:t>
      </w:r>
      <w:r w:rsidR="008610DB">
        <w:t xml:space="preserve">Her dowry might have </w:t>
      </w:r>
      <w:r w:rsidR="008610DB">
        <w:lastRenderedPageBreak/>
        <w:t xml:space="preserve">been funded, at least in some part, from the proceeds of the cotton trade. </w:t>
      </w:r>
      <w:r>
        <w:t>Margaret Hunt suggests marriage was for all ranks, the main means of transferring property, occupational status, personal contacts, money, tools, livestock, and women across generations and kinship groups.</w:t>
      </w:r>
      <w:r>
        <w:rPr>
          <w:rStyle w:val="FootnoteReference"/>
        </w:rPr>
        <w:footnoteReference w:id="224"/>
      </w:r>
      <w:r>
        <w:t xml:space="preserve"> This was the case in both case studies, but I would argue that t</w:t>
      </w:r>
      <w:r w:rsidRPr="00425FB2">
        <w:t>he alliance</w:t>
      </w:r>
      <w:r>
        <w:t>s</w:t>
      </w:r>
      <w:r w:rsidRPr="00425FB2">
        <w:t xml:space="preserve"> </w:t>
      </w:r>
      <w:r>
        <w:t>strengthened the families' bonds</w:t>
      </w:r>
      <w:r w:rsidRPr="00425FB2">
        <w:t xml:space="preserve"> and helped create a trustworthy kinship network. This network served as a means for accessing further resources, drawing upon the collective effort of its members united in the pursuit of mutual advantage. As John Gillis aptly argued, marriage transcended the realm of private affairs, assuming a pivotal role in reaffirming the significance of wider kinship connections and community involvement in the intricacies of everyday family life.</w:t>
      </w:r>
      <w:r w:rsidR="00D964BA">
        <w:rPr>
          <w:rStyle w:val="FootnoteReference"/>
        </w:rPr>
        <w:footnoteReference w:id="225"/>
      </w:r>
      <w:r w:rsidRPr="00425FB2">
        <w:t xml:space="preserve"> Notably, within the context of the case study’s cotton mills, the wives of the business leaders also played a vital role in their success with their domestic endeavours.</w:t>
      </w:r>
    </w:p>
    <w:p w14:paraId="1A026DC7" w14:textId="0830960F" w:rsidR="005A05DF" w:rsidRDefault="005A05DF" w:rsidP="005A05DF">
      <w:r w:rsidRPr="00AD747C">
        <w:t>The advantages of relying on known and trusted kin and associates</w:t>
      </w:r>
      <w:r>
        <w:t xml:space="preserve"> to manage the firms</w:t>
      </w:r>
      <w:r w:rsidRPr="00AD747C">
        <w:t xml:space="preserve"> were readily apparent, as overseeing a known quantity proved significantly easier than dealing with an unknown one. While </w:t>
      </w:r>
      <w:r>
        <w:t xml:space="preserve">Gillian </w:t>
      </w:r>
      <w:r w:rsidRPr="00AD747C">
        <w:t>Cookson argues that families are not always trustworthy,</w:t>
      </w:r>
      <w:r>
        <w:rPr>
          <w:rStyle w:val="FootnoteReference"/>
        </w:rPr>
        <w:footnoteReference w:id="226"/>
      </w:r>
      <w:r w:rsidRPr="00AD747C">
        <w:t xml:space="preserve"> I contend that families often serve as the foundation for trust and social responsibility. Within the family unit, trust and morality were regularly negotiated, and even if someone proved untrustworthy, they would, at the very least, be known. Family members were familiar</w:t>
      </w:r>
      <w:r w:rsidR="00607EC7">
        <w:t>,</w:t>
      </w:r>
      <w:r w:rsidRPr="00AD747C">
        <w:t xml:space="preserve"> and untrustworthy traits could be compensated for as long as the trait was known within the group. As </w:t>
      </w:r>
      <w:proofErr w:type="spellStart"/>
      <w:r w:rsidRPr="00AD747C">
        <w:t>Nen</w:t>
      </w:r>
      <w:r w:rsidR="00FA43CE">
        <w:t>a</w:t>
      </w:r>
      <w:r w:rsidRPr="00AD747C">
        <w:t>dic</w:t>
      </w:r>
      <w:proofErr w:type="spellEnd"/>
      <w:r w:rsidRPr="00AD747C">
        <w:t xml:space="preserve"> suggests, family firms acted as a remedy to the low-trust environment prevalent during this period.</w:t>
      </w:r>
      <w:r>
        <w:rPr>
          <w:rStyle w:val="FootnoteReference"/>
        </w:rPr>
        <w:footnoteReference w:id="227"/>
      </w:r>
      <w:r w:rsidRPr="00AD747C">
        <w:t xml:space="preserve"> The notion of a low-trust environment outside these trusted networks aligns with the language used in the correspondence between the two mills, emphasising the necessity for commercial caution. The frequent use of terms such as 'safe,' 'reliable,' and 'honesty' suggests an underlying concern about the untrustworthy nature of the business environment.</w:t>
      </w:r>
      <w:r w:rsidR="00FA43CE">
        <w:t xml:space="preserve"> </w:t>
      </w:r>
      <w:bookmarkStart w:id="77" w:name="_Hlk170477599"/>
      <w:r w:rsidR="00A52ECC" w:rsidRPr="00DA310E">
        <w:rPr>
          <w:color w:val="000000" w:themeColor="text1"/>
        </w:rPr>
        <w:t>Family members often used terms ‘dear’ and ‘my dearest’ in personal correspondence to express connectivity and deeper bonds. This tone was often carried forward into business correspondence between close-tie family members. Examples of this can be seen in the letters between Samuel Evans and Walter Evans &amp; Co.</w:t>
      </w:r>
      <w:r w:rsidR="00BC1D77" w:rsidRPr="00DA310E">
        <w:rPr>
          <w:color w:val="000000" w:themeColor="text1"/>
        </w:rPr>
        <w:t>, where one letter included the phrase ‘my dearest Sam’</w:t>
      </w:r>
      <w:r w:rsidR="00A52ECC" w:rsidRPr="00DA310E">
        <w:rPr>
          <w:color w:val="000000" w:themeColor="text1"/>
        </w:rPr>
        <w:t xml:space="preserve"> and between McConnel &amp; Kennedy and Robert Kennedy.</w:t>
      </w:r>
      <w:r w:rsidR="00A52ECC" w:rsidRPr="00DA310E">
        <w:rPr>
          <w:rStyle w:val="FootnoteReference"/>
          <w:color w:val="000000" w:themeColor="text1"/>
        </w:rPr>
        <w:footnoteReference w:id="228"/>
      </w:r>
      <w:r w:rsidR="00A52ECC" w:rsidRPr="00DA310E">
        <w:rPr>
          <w:color w:val="000000" w:themeColor="text1"/>
        </w:rPr>
        <w:t xml:space="preserve"> </w:t>
      </w:r>
      <w:bookmarkEnd w:id="77"/>
      <w:r w:rsidR="00607EC7">
        <w:t>Therefore</w:t>
      </w:r>
      <w:r w:rsidR="00F30CF7">
        <w:t xml:space="preserve">, the evidence of this research aligns well with </w:t>
      </w:r>
      <w:proofErr w:type="spellStart"/>
      <w:r w:rsidR="00F30CF7">
        <w:t>Nenadic’s</w:t>
      </w:r>
      <w:proofErr w:type="spellEnd"/>
      <w:r w:rsidR="00F30CF7">
        <w:t xml:space="preserve"> </w:t>
      </w:r>
      <w:r w:rsidR="00011DED">
        <w:t xml:space="preserve">interpretation. </w:t>
      </w:r>
      <w:r w:rsidR="00607EC7">
        <w:t xml:space="preserve"> </w:t>
      </w:r>
    </w:p>
    <w:p w14:paraId="576CC72E" w14:textId="77777777" w:rsidR="005A05DF" w:rsidRPr="003B5C5F" w:rsidRDefault="005A05DF" w:rsidP="005A05DF">
      <w:r>
        <w:t xml:space="preserve">The institution of marriage, initially negotiated between a father and a prospective son-in-law, carried with it a set of obligations and expectations that delineated gender roles. An example of this division of responsibilities became manifest in the marriage agreement formalised between Thomas Evans and his first wife's father, William Evans the Younger. This document highlighted the legal authority concentrated in the hands of male members within this system. Interestingly, Sarah Evans was not called upon to append her signature to the contract between her father and her future husband. However, she would have participated in the binding marriage ceremony in the Church. As explained by Davidoff and Hall, 'Under the common law doctrine of coverture, a married woman only existed under her husband’s protection. She could not sign bills of exchange, make contracts, sue or be sued, collect debts, or stand surety.' In this context, a woman's influence lay not in legal authority but in her ability to cultivate a favourable reputation for domesticity, which, in turn, </w:t>
      </w:r>
      <w:r>
        <w:lastRenderedPageBreak/>
        <w:t>significantly impacted the commercial endeavours of the kinship network. The female would bring to the kinship network what Davidoff and Hall described as a ‘hidden investment.’</w:t>
      </w:r>
      <w:r>
        <w:rPr>
          <w:rStyle w:val="FootnoteReference"/>
        </w:rPr>
        <w:footnoteReference w:id="229"/>
      </w:r>
    </w:p>
    <w:p w14:paraId="03220CDA" w14:textId="2490F08E" w:rsidR="005A05DF" w:rsidRPr="004D0958" w:rsidRDefault="005A05DF" w:rsidP="005A05DF">
      <w:pPr>
        <w:rPr>
          <w:i/>
          <w:iCs/>
        </w:rPr>
      </w:pPr>
      <w:r w:rsidRPr="004D0958">
        <w:rPr>
          <w:i/>
          <w:iCs/>
        </w:rPr>
        <w:t xml:space="preserve">The Blood Tie – The </w:t>
      </w:r>
      <w:r w:rsidR="00BC2858">
        <w:rPr>
          <w:i/>
          <w:iCs/>
        </w:rPr>
        <w:t>Subsequent</w:t>
      </w:r>
      <w:r w:rsidRPr="004D0958">
        <w:rPr>
          <w:i/>
          <w:iCs/>
        </w:rPr>
        <w:t xml:space="preserve"> Generations</w:t>
      </w:r>
    </w:p>
    <w:p w14:paraId="4C53B234" w14:textId="58E29A66" w:rsidR="005A05DF" w:rsidRDefault="005A05DF" w:rsidP="005A05DF">
      <w:r w:rsidRPr="00FC59F3">
        <w:t>The marriage alliances forged within these networks were not just legal bonds but also formed the foundation for enduring blood ties carried forward by subsequent generations.</w:t>
      </w:r>
      <w:r>
        <w:t xml:space="preserve"> Katie Donington states that women's reproductive labour was vital for continuing the family business.</w:t>
      </w:r>
      <w:r>
        <w:rPr>
          <w:rStyle w:val="FootnoteReference"/>
        </w:rPr>
        <w:footnoteReference w:id="230"/>
      </w:r>
      <w:r>
        <w:t xml:space="preserve"> This was true of both case studies, as the next generations were key to the longevity of both cotton-spinning firms. </w:t>
      </w:r>
      <w:r w:rsidRPr="00BD53A8">
        <w:t>The network of factory masters was continuously strengthened through the weaving of kinship bonds, with sons stepping into leadership roles and daughters serving as valuable assets for marriage alliances. Although recogni</w:t>
      </w:r>
      <w:r>
        <w:t>s</w:t>
      </w:r>
      <w:r w:rsidRPr="00BD53A8">
        <w:t xml:space="preserve">ing that not all individuals possessed the aptitude for business leadership, it remained a prevailing trend that entrepreneurs' sons </w:t>
      </w:r>
      <w:r>
        <w:t xml:space="preserve">or nephews </w:t>
      </w:r>
      <w:r w:rsidRPr="00BD53A8">
        <w:t>were groomed to succeed as the next generation's business leaders within each case study firm.</w:t>
      </w:r>
      <w:r>
        <w:t xml:space="preserve"> </w:t>
      </w:r>
      <w:r w:rsidRPr="00BD53A8">
        <w:t xml:space="preserve">Within the Evans family mill, the </w:t>
      </w:r>
      <w:r>
        <w:t>leadership responsibility</w:t>
      </w:r>
      <w:r w:rsidRPr="00BD53A8">
        <w:t xml:space="preserve"> passed from Thomas to his sons, William and Walter</w:t>
      </w:r>
      <w:r>
        <w:t xml:space="preserve"> I</w:t>
      </w:r>
      <w:r w:rsidRPr="00BD53A8">
        <w:t>, who assumed control over the cotton mill and other family-related business ventures. Subsequent generations witnessed a transition, with Samuel, the son of William, followed by Walter</w:t>
      </w:r>
      <w:r>
        <w:t xml:space="preserve"> II</w:t>
      </w:r>
      <w:r w:rsidRPr="00BD53A8">
        <w:t xml:space="preserve">, the son of Samuel, assuming </w:t>
      </w:r>
      <w:r>
        <w:t>overall co</w:t>
      </w:r>
      <w:r w:rsidRPr="00BD53A8">
        <w:t>mmand of the mills' management structures.</w:t>
      </w:r>
      <w:r w:rsidR="008E4E8F">
        <w:rPr>
          <w:rStyle w:val="FootnoteReference"/>
        </w:rPr>
        <w:footnoteReference w:id="231"/>
      </w:r>
      <w:r w:rsidRPr="00BD53A8">
        <w:t xml:space="preserve"> During </w:t>
      </w:r>
      <w:r>
        <w:t>the leadership tenure of William and Walter I, Samuel Evans</w:t>
      </w:r>
      <w:r w:rsidRPr="00BD53A8">
        <w:t xml:space="preserve"> gained practical experience by working as a company agent in Manchester.</w:t>
      </w:r>
      <w:r w:rsidR="008E4E8F">
        <w:rPr>
          <w:rStyle w:val="FootnoteReference"/>
        </w:rPr>
        <w:footnoteReference w:id="232"/>
      </w:r>
      <w:r w:rsidRPr="00BD53A8">
        <w:t xml:space="preserve"> This experience honed his market acumen and equipped him to embody the ideal traits of a</w:t>
      </w:r>
      <w:r>
        <w:t xml:space="preserve"> ‘man of business.’ </w:t>
      </w:r>
      <w:r w:rsidRPr="00BD53A8">
        <w:t xml:space="preserve">Meanwhile, at the McConnel &amp; Kennedy mills, the </w:t>
      </w:r>
      <w:r>
        <w:t>leadership responsibility</w:t>
      </w:r>
      <w:r w:rsidRPr="00BD53A8">
        <w:t xml:space="preserve"> </w:t>
      </w:r>
      <w:r>
        <w:t>was</w:t>
      </w:r>
      <w:r w:rsidRPr="00BD53A8">
        <w:t xml:space="preserve"> taken up by James McConnel’s sons: Henry, James, and William McConnel. This succession followed the retirement of John Kennedy in 1826 and the unfortunate passing of James McConnel in 1831.</w:t>
      </w:r>
      <w:r w:rsidR="00D342A4">
        <w:rPr>
          <w:rStyle w:val="FootnoteReference"/>
        </w:rPr>
        <w:footnoteReference w:id="233"/>
      </w:r>
      <w:r w:rsidRPr="00BD53A8">
        <w:t xml:space="preserve"> The </w:t>
      </w:r>
      <w:r>
        <w:t xml:space="preserve">female kinship members </w:t>
      </w:r>
      <w:r w:rsidRPr="00BD53A8">
        <w:t xml:space="preserve">of these male </w:t>
      </w:r>
      <w:r>
        <w:t>leaders’ networks</w:t>
      </w:r>
      <w:r w:rsidRPr="00BD53A8">
        <w:t xml:space="preserve"> played an instrumental role in enhancing the collective business endeavours of the kinship groups. Their</w:t>
      </w:r>
      <w:r>
        <w:t xml:space="preserve"> noticeable</w:t>
      </w:r>
      <w:r w:rsidRPr="00BD53A8">
        <w:t xml:space="preserve"> involvement </w:t>
      </w:r>
      <w:r>
        <w:t xml:space="preserve">came when their marriage alliances </w:t>
      </w:r>
      <w:r w:rsidRPr="00BD53A8">
        <w:t>expanded the kinship network, fostering broader connections that advanced the interests of each group and granted them access to more extensive resources</w:t>
      </w:r>
      <w:r>
        <w:t>.</w:t>
      </w:r>
    </w:p>
    <w:p w14:paraId="41E858C6" w14:textId="2AF3C7F5" w:rsidR="005A05DF" w:rsidRDefault="005A05DF" w:rsidP="005A05DF">
      <w:pPr>
        <w:rPr>
          <w:i/>
          <w:iCs/>
        </w:rPr>
      </w:pPr>
      <w:r>
        <w:rPr>
          <w:i/>
          <w:iCs/>
        </w:rPr>
        <w:t xml:space="preserve">The Structure of Kinship and </w:t>
      </w:r>
      <w:r w:rsidR="00430063">
        <w:rPr>
          <w:i/>
          <w:iCs/>
        </w:rPr>
        <w:t xml:space="preserve">the </w:t>
      </w:r>
      <w:r>
        <w:rPr>
          <w:i/>
          <w:iCs/>
        </w:rPr>
        <w:t>Trust and Reputation</w:t>
      </w:r>
      <w:r w:rsidR="00430063">
        <w:rPr>
          <w:i/>
          <w:iCs/>
        </w:rPr>
        <w:t xml:space="preserve"> Cycle</w:t>
      </w:r>
    </w:p>
    <w:p w14:paraId="367FCC67" w14:textId="3DA602BE" w:rsidR="0099547E" w:rsidRPr="0099547E" w:rsidRDefault="0099547E" w:rsidP="005A05DF">
      <w:r>
        <w:t>Trust and reputation played crucial roles in the establishment and development of kinship groups. Within these networks, one member's trust in another often determined the direction of family capital and resource allocation. This dynamic is most evident in the context of marriage dowries and wills among key network members. The allocation of resources was, therefore, guided by the prevailing cultural norms, particularly regarding individuals who embodied the character-based ideals of trustworthiness, a quality influenced by factors such as status and gender. This can be observed most clearly in the distribution of wealth and resources outlined in the wills of Thomas Evans and Walter Evans.</w:t>
      </w:r>
      <w:r w:rsidR="00783287">
        <w:rPr>
          <w:rStyle w:val="FootnoteReference"/>
        </w:rPr>
        <w:footnoteReference w:id="234"/>
      </w:r>
      <w:r>
        <w:t xml:space="preserve"> These documents reveal how personal assets were distributed to those who best exemplified the societal ideals of their time, particularly in the aftermath of the family head's passing. Thomas and Walter held significant power in determining how their entrusted assets </w:t>
      </w:r>
      <w:r>
        <w:lastRenderedPageBreak/>
        <w:t>would be distributed, consequently shaping the family structure. In 1839, Walter Evans created his will, designating Elizabeth</w:t>
      </w:r>
      <w:r w:rsidR="00BB6A3B">
        <w:t xml:space="preserve"> Evans (n</w:t>
      </w:r>
      <w:r w:rsidR="00BB6A3B">
        <w:rPr>
          <w:rFonts w:cstheme="minorHAnsi"/>
        </w:rPr>
        <w:t>é</w:t>
      </w:r>
      <w:r w:rsidR="00BB6A3B">
        <w:t>e</w:t>
      </w:r>
      <w:r>
        <w:t xml:space="preserve"> Strutt</w:t>
      </w:r>
      <w:r w:rsidR="00BB6A3B">
        <w:t>)</w:t>
      </w:r>
      <w:r>
        <w:t xml:space="preserve"> as the recipient of all his household items, including furniture, silverware, carriages, and carriage horses at Darley Abbey.</w:t>
      </w:r>
      <w:r w:rsidR="00783287">
        <w:rPr>
          <w:rStyle w:val="FootnoteReference"/>
        </w:rPr>
        <w:footnoteReference w:id="235"/>
      </w:r>
      <w:r>
        <w:t xml:space="preserve"> He also allocated land and financial assets to his extended kin, </w:t>
      </w:r>
      <w:r w:rsidR="009C02C6">
        <w:t>considering</w:t>
      </w:r>
      <w:r>
        <w:t xml:space="preserve"> his own son with Elizabeth having passed away in 1821. His provisions extended to his nephews and nieces through his brother William, who later became </w:t>
      </w:r>
      <w:r w:rsidR="00BB6A3B">
        <w:t>his</w:t>
      </w:r>
      <w:r>
        <w:t xml:space="preserve"> step</w:t>
      </w:r>
      <w:r w:rsidR="00BB6A3B">
        <w:t>children</w:t>
      </w:r>
      <w:r>
        <w:t>.</w:t>
      </w:r>
      <w:r w:rsidR="00631152">
        <w:t xml:space="preserve"> What the wills show is that the allocation of resources was </w:t>
      </w:r>
      <w:r w:rsidR="007D5DDF">
        <w:t xml:space="preserve">gendered, </w:t>
      </w:r>
      <w:r w:rsidR="00457431">
        <w:t>as the business interests were passed on to the male members of the group</w:t>
      </w:r>
      <w:r w:rsidR="009C02C6">
        <w:t xml:space="preserve">, while the domestic items went to Elizabeth. </w:t>
      </w:r>
    </w:p>
    <w:p w14:paraId="382D5258" w14:textId="45EB21F4" w:rsidR="005A05DF" w:rsidRDefault="005A05DF" w:rsidP="005A05DF">
      <w:r>
        <w:t>During the initial stages of industriali</w:t>
      </w:r>
      <w:r w:rsidR="00927644">
        <w:t>s</w:t>
      </w:r>
      <w:r>
        <w:t>ation, the enduring influence of pre-industrial societal norms and values likely persisted. Despite this period marking a significant transition, examining the network of middle-class factory masters raises questions about whether changes in family structures, such as the adoption of the industrial family model—referred to as the conjugal family by William Goode—were exclusive to the working class.</w:t>
      </w:r>
      <w:r w:rsidR="009415D2">
        <w:rPr>
          <w:rStyle w:val="FootnoteReference"/>
        </w:rPr>
        <w:footnoteReference w:id="236"/>
      </w:r>
      <w:r>
        <w:t xml:space="preserve"> Scant evidence suggests that middle-class families managing cotton mills experienced substantial shifts in their obligation norms, duties, and trust within broader kinship networks. It is essential to note that shifts in family and kinship structures and class boundaries occurred gradually and were not universally complete. Scholars like Hunt, Young, and Wilmott have also shown that pre-industrial families heavily relied on wider kinship networks, a practice that, as I will demonstrate later in this chapter, persisted in cotton mill-owning families during the early phase of industrialisation. Jean Lindsay suggests that the Evans family, as an old county family, held traditional paternalistic ideals influencing their approach to mill management. She positions them as upper-class gentlemen factory owners whose patronage and social superiority set them apart from their general workforce. While not strictly middle-class like the McConnel and Kennedy families, the Evans family straddled the boundary between upper and middle classes, embodying both descriptors, with kinship members fitting into both categories.</w:t>
      </w:r>
    </w:p>
    <w:p w14:paraId="16799ECE" w14:textId="09BA8016" w:rsidR="00017341" w:rsidRPr="00017341" w:rsidRDefault="00017341" w:rsidP="00017341">
      <w:r>
        <w:t>Kinship bonds, while often strong, could occasionally be overshadowed by community ties, especially when factors like geographical distance or family disputes made maintaining kinship connections challenging. David Sunderland's theory suggests that trust within pre-industrial kinship groups thrived primarily due to the biological relationships among family members.</w:t>
      </w:r>
      <w:r>
        <w:rPr>
          <w:rStyle w:val="FootnoteReference"/>
        </w:rPr>
        <w:footnoteReference w:id="237"/>
      </w:r>
      <w:r>
        <w:t xml:space="preserve"> However, Naomi </w:t>
      </w:r>
      <w:proofErr w:type="spellStart"/>
      <w:r>
        <w:t>Tadmoor's</w:t>
      </w:r>
      <w:proofErr w:type="spellEnd"/>
      <w:r>
        <w:t xml:space="preserve"> research presents an alternative perspective, emphasizing the close relationships between families and non-kin household members during that era.</w:t>
      </w:r>
      <w:r>
        <w:rPr>
          <w:rStyle w:val="FootnoteReference"/>
        </w:rPr>
        <w:footnoteReference w:id="238"/>
      </w:r>
      <w:r>
        <w:t xml:space="preserve"> </w:t>
      </w:r>
      <w:proofErr w:type="spellStart"/>
      <w:r>
        <w:t>Tadmoor's</w:t>
      </w:r>
      <w:proofErr w:type="spellEnd"/>
      <w:r>
        <w:t xml:space="preserve"> findings raise questions about the necessity of biological ties in instilling a sense of duty and building trust within various contexts, including the home, the household, the family, and the broader community. Interestingly, both Sunderland's and </w:t>
      </w:r>
      <w:proofErr w:type="spellStart"/>
      <w:r>
        <w:t>Tadmoor's</w:t>
      </w:r>
      <w:proofErr w:type="spellEnd"/>
      <w:r>
        <w:t xml:space="preserve"> findings may complement each other, as they highlight how both biological and non-biological ties could simultaneously shape the dynamics of kinship, community, and household networks. In this intricate scenario, trust and reputation were developed within the intricate web of kinship and community connections among cotton mill families in both case studies.</w:t>
      </w:r>
    </w:p>
    <w:p w14:paraId="0620797C" w14:textId="39DF0555" w:rsidR="005A05DF" w:rsidRPr="00F52666" w:rsidRDefault="00562549" w:rsidP="00F52666">
      <w:pPr>
        <w:pStyle w:val="Heading2"/>
        <w:rPr>
          <w:rFonts w:asciiTheme="minorHAnsi" w:hAnsiTheme="minorHAnsi" w:cstheme="minorHAnsi"/>
          <w:b/>
          <w:bCs/>
          <w:color w:val="auto"/>
          <w:sz w:val="24"/>
          <w:szCs w:val="24"/>
        </w:rPr>
      </w:pPr>
      <w:bookmarkStart w:id="80" w:name="_Toc170825666"/>
      <w:r>
        <w:rPr>
          <w:rFonts w:asciiTheme="minorHAnsi" w:hAnsiTheme="minorHAnsi" w:cstheme="minorHAnsi"/>
          <w:b/>
          <w:bCs/>
          <w:color w:val="auto"/>
          <w:sz w:val="24"/>
          <w:szCs w:val="24"/>
        </w:rPr>
        <w:t>T</w:t>
      </w:r>
      <w:r w:rsidR="005A05DF" w:rsidRPr="00F52666">
        <w:rPr>
          <w:rFonts w:asciiTheme="minorHAnsi" w:hAnsiTheme="minorHAnsi" w:cstheme="minorHAnsi"/>
          <w:b/>
          <w:bCs/>
          <w:color w:val="auto"/>
          <w:sz w:val="24"/>
          <w:szCs w:val="24"/>
        </w:rPr>
        <w:t>he Domestic Household</w:t>
      </w:r>
      <w:bookmarkEnd w:id="80"/>
    </w:p>
    <w:p w14:paraId="26E14ADD" w14:textId="77777777" w:rsidR="005A05DF" w:rsidRPr="0077792C" w:rsidRDefault="005A05DF" w:rsidP="005A05DF">
      <w:pPr>
        <w:rPr>
          <w:i/>
          <w:iCs/>
        </w:rPr>
      </w:pPr>
      <w:r w:rsidRPr="0077792C">
        <w:rPr>
          <w:i/>
          <w:iCs/>
        </w:rPr>
        <w:t>The Role of the Female in the Home</w:t>
      </w:r>
    </w:p>
    <w:p w14:paraId="2C01B855" w14:textId="538B6E34" w:rsidR="005A05DF" w:rsidRPr="00B04BBA" w:rsidRDefault="005A05DF" w:rsidP="005A05DF">
      <w:r>
        <w:lastRenderedPageBreak/>
        <w:t xml:space="preserve">Davidoff and Hall have noted that in middle-class industrial society between 1780 and 1850, there was a distinct change in the construction of </w:t>
      </w:r>
      <w:r w:rsidR="00905199">
        <w:t>gender spheres</w:t>
      </w:r>
      <w:r>
        <w:t>.</w:t>
      </w:r>
      <w:r>
        <w:rPr>
          <w:rStyle w:val="FootnoteReference"/>
        </w:rPr>
        <w:footnoteReference w:id="239"/>
      </w:r>
      <w:r>
        <w:t xml:space="preserve"> The female role revolved around domestic dwellings, and the male role was in trade and commerce. They further assert that the middle-class man’s command of power and wealth was embedded in familial and female support networks, underpinning their rise to public prominence.</w:t>
      </w:r>
      <w:r>
        <w:rPr>
          <w:rStyle w:val="FootnoteReference"/>
        </w:rPr>
        <w:footnoteReference w:id="240"/>
      </w:r>
      <w:r>
        <w:t xml:space="preserve"> This utilisation of gender helped John Smail, Leonore Davidoff, and Catherine Hall to understand the construction of middle-class identity. A more nuanced view of gender in the home has been offered by Karen Harvey when she argued that as gendered individuals, and certainly compared to women, men are notable for their absence in accounts of the eighteenth-century domestic interior but that they were active members in the home.</w:t>
      </w:r>
      <w:r>
        <w:rPr>
          <w:rStyle w:val="FootnoteReference"/>
        </w:rPr>
        <w:footnoteReference w:id="241"/>
      </w:r>
      <w:r>
        <w:t xml:space="preserve"> She argues that th</w:t>
      </w:r>
      <w:r w:rsidR="00905199">
        <w:t>ere</w:t>
      </w:r>
      <w:r>
        <w:t xml:space="preserve"> was </w:t>
      </w:r>
      <w:r w:rsidR="00905199">
        <w:t xml:space="preserve">also </w:t>
      </w:r>
      <w:r>
        <w:t>an ideal of manhood during this time.</w:t>
      </w:r>
      <w:r>
        <w:rPr>
          <w:rStyle w:val="FootnoteReference"/>
        </w:rPr>
        <w:footnoteReference w:id="242"/>
      </w:r>
      <w:r>
        <w:t xml:space="preserve"> The demarcation must, therefore, be understood in terms of the division of labour rather than the absence of the male from the domestic setting. This leads to an interesting question: if the male is only absent from the female world of domesticity in theory, the documents, and the historiography, could the same be said for the female regarding the management of the cotton mills? How can we know what influence the female had in the private realm that transferred into the actual management decisions of the cotton mill, as these conversations would </w:t>
      </w:r>
      <w:r w:rsidR="00F02B9A">
        <w:t xml:space="preserve">potentially </w:t>
      </w:r>
      <w:r>
        <w:t xml:space="preserve">never make it into the documents? </w:t>
      </w:r>
    </w:p>
    <w:p w14:paraId="5909699F" w14:textId="77777777" w:rsidR="005A05DF" w:rsidRDefault="005A05DF" w:rsidP="005A05DF">
      <w:r>
        <w:t>The Evans family ledger book offers a glimpse into their domestic life through the detailed accounts held for Mrs. Evans. Covering the period of 1796-1804, these ledgers span the timespan when Mrs. Evans, initially Elizabeth Strutt, was the wife of William Evans and later Walter Evans I. The documents suggest her crucial role involved overseeing the management of the family's domestic affairs. This arrangement freed her husbands, William and Walter, to focus on the operations of the cotton mill and their other businesses. The financial aspects of running the family's households fell within her responsibility. This included paying the wages of servants, labourers, and gardeners. Her budget encompassed various household management expenses, ranging from routine necessities like building maintenance, rent, and taxes for the house, farm, and garden to provisions like food, soaps, coal, and, intriguingly, even a rolling pin.</w:t>
      </w:r>
      <w:r>
        <w:rPr>
          <w:rStyle w:val="FootnoteReference"/>
        </w:rPr>
        <w:footnoteReference w:id="243"/>
      </w:r>
      <w:r>
        <w:t xml:space="preserve"> Moreover, her duties extended to the financial care of the livestock, such as the cows that supplied milk for the community, the maintenance of two carriage horses and four wagon horses, and the upkeep of stables, wagons, and carriages.</w:t>
      </w:r>
      <w:r>
        <w:rPr>
          <w:rStyle w:val="FootnoteReference"/>
        </w:rPr>
        <w:footnoteReference w:id="244"/>
      </w:r>
      <w:r>
        <w:t xml:space="preserve"> In essence, her meticulous financial oversight played an essential role in sustaining the functionality and operations of the household, allowing her husbands to dedicate their attention to their industrial enterprises.</w:t>
      </w:r>
    </w:p>
    <w:p w14:paraId="1D8E32C8" w14:textId="77777777" w:rsidR="005A05DF" w:rsidRPr="0077792C" w:rsidRDefault="005A05DF" w:rsidP="005A05DF">
      <w:pPr>
        <w:rPr>
          <w:i/>
          <w:iCs/>
        </w:rPr>
      </w:pPr>
      <w:r w:rsidRPr="0077792C">
        <w:rPr>
          <w:i/>
          <w:iCs/>
        </w:rPr>
        <w:t>Widows and Reputation</w:t>
      </w:r>
    </w:p>
    <w:p w14:paraId="733ED767" w14:textId="77777777" w:rsidR="005A05DF" w:rsidRDefault="005A05DF" w:rsidP="005A05DF">
      <w:r>
        <w:t>As caretaker of the family’s domestic sphere, Elizabeth was entrusted with guarding the family’s domestic and social reputation and raising the next generation. This gender demarcation was further reinforced when she became a widow. Widows such as Elizabeth Strutt could find themselves in possession of assets and power extending beyond the domestic sphere upon the death of their husbands. When William Evans, the head of the Evans family household at Darley Abbey, died in 1796, Elizabeth became the head of the household. While Erasmus Darwin’s treatise on female education theoretically allowed females to step into male roles in this eventuality,</w:t>
      </w:r>
      <w:r>
        <w:rPr>
          <w:rStyle w:val="FootnoteReference"/>
        </w:rPr>
        <w:footnoteReference w:id="245"/>
      </w:r>
      <w:r>
        <w:t xml:space="preserve"> the wider kinship </w:t>
      </w:r>
      <w:r>
        <w:lastRenderedPageBreak/>
        <w:t>network surrounding Elizabeth stepped in to ensure her position remained respectable within the community and the bounds of propriety were upheld. The wider network sought to manage and control Elizabeth's ambitions when she developed a friendship with Samuel Taylor Coleridge. Fearing the influence Coleridge was exerting on Elizabeth and that this would only increase if he were to tutor William and Elizabeth's children.</w:t>
      </w:r>
      <w:r>
        <w:rPr>
          <w:rStyle w:val="FootnoteReference"/>
        </w:rPr>
        <w:footnoteReference w:id="246"/>
      </w:r>
      <w:r>
        <w:t xml:space="preserve"> The family promptly arranged for her to marry William's younger half-brother, Walter. This strategic move ensured the family's continued control over her assets and the direction of the next generation of business and community leaders. </w:t>
      </w:r>
      <w:r w:rsidRPr="00323068">
        <w:t>A parallel pattern also surfaced within the Kennedy family, wherein authority over widows' assets and influence was wielded. Anne Kennedy, the youngest daughter of John Kennedy, found herself widowed after the passing of Gustav Albert Escher, a renowned cotton manufacturer from Zurich and an esteemed architect and innovator, in 1845.</w:t>
      </w:r>
      <w:r>
        <w:rPr>
          <w:rStyle w:val="FootnoteReference"/>
        </w:rPr>
        <w:footnoteReference w:id="247"/>
      </w:r>
      <w:r w:rsidRPr="00323068">
        <w:t xml:space="preserve"> Subsequently, in 1853, Anne entered a second marriage with James Haywood, a prominent member of the Liverpool-based Heywood banking family.</w:t>
      </w:r>
      <w:r>
        <w:rPr>
          <w:rStyle w:val="FootnoteReference"/>
        </w:rPr>
        <w:footnoteReference w:id="248"/>
      </w:r>
      <w:r w:rsidRPr="00323068">
        <w:t xml:space="preserve"> The Heywood family held significant banking and financial sway within the McConnel &amp; Kennedy cotton mill.</w:t>
      </w:r>
      <w:r>
        <w:rPr>
          <w:rStyle w:val="FootnoteReference"/>
        </w:rPr>
        <w:footnoteReference w:id="249"/>
      </w:r>
    </w:p>
    <w:p w14:paraId="487E8120" w14:textId="77777777" w:rsidR="005A05DF" w:rsidRPr="00817B40" w:rsidRDefault="005A05DF" w:rsidP="00817B40">
      <w:pPr>
        <w:pStyle w:val="Heading2"/>
        <w:rPr>
          <w:rFonts w:asciiTheme="minorHAnsi" w:hAnsiTheme="minorHAnsi" w:cstheme="minorHAnsi"/>
          <w:b/>
          <w:bCs/>
          <w:color w:val="auto"/>
          <w:sz w:val="24"/>
          <w:szCs w:val="24"/>
        </w:rPr>
      </w:pPr>
      <w:bookmarkStart w:id="84" w:name="_Toc170825667"/>
      <w:r w:rsidRPr="00817B40">
        <w:rPr>
          <w:rFonts w:asciiTheme="minorHAnsi" w:hAnsiTheme="minorHAnsi" w:cstheme="minorHAnsi"/>
          <w:b/>
          <w:bCs/>
          <w:color w:val="auto"/>
          <w:sz w:val="24"/>
          <w:szCs w:val="24"/>
        </w:rPr>
        <w:t>Kinship, Capital, and the Cotton-spinning Firms</w:t>
      </w:r>
      <w:bookmarkEnd w:id="84"/>
    </w:p>
    <w:p w14:paraId="382C7B59" w14:textId="0A7EEF71" w:rsidR="005A05DF" w:rsidRPr="00DA310E" w:rsidRDefault="005A05DF" w:rsidP="005A05DF">
      <w:pPr>
        <w:rPr>
          <w:i/>
          <w:iCs/>
        </w:rPr>
      </w:pPr>
      <w:r w:rsidRPr="00DA310E">
        <w:rPr>
          <w:i/>
          <w:iCs/>
        </w:rPr>
        <w:t>The Flow of Kinship Capital</w:t>
      </w:r>
    </w:p>
    <w:p w14:paraId="0AC08BB3" w14:textId="514E7E69" w:rsidR="005A05DF" w:rsidRDefault="005A05DF" w:rsidP="005A05DF">
      <w:r>
        <w:t xml:space="preserve">The Evans family possessed a substantial asset base that served as the capital and social capital foundation of their cotton mill. </w:t>
      </w:r>
      <w:r w:rsidRPr="00EB6B2E">
        <w:t xml:space="preserve">As </w:t>
      </w:r>
      <w:r>
        <w:t>the above section showed</w:t>
      </w:r>
      <w:r w:rsidRPr="00EB6B2E">
        <w:t xml:space="preserve">, </w:t>
      </w:r>
      <w:r>
        <w:t xml:space="preserve">with its educated members, the Evans family </w:t>
      </w:r>
      <w:r w:rsidRPr="00EB6B2E">
        <w:t>commanded significant ascribed trust, community trust, business trust, and a reputation for reliability as a family and kinship group. Th</w:t>
      </w:r>
      <w:r>
        <w:t>eir</w:t>
      </w:r>
      <w:r w:rsidRPr="00EB6B2E">
        <w:t xml:space="preserve"> wealth </w:t>
      </w:r>
      <w:r>
        <w:t>and</w:t>
      </w:r>
      <w:r w:rsidRPr="00EB6B2E">
        <w:t xml:space="preserve"> social capital positioned them favourably to invest in the burgeoning cotton trade markets. </w:t>
      </w:r>
      <w:r>
        <w:t>This background and their existing trust networks informed their entry into cotton spinning</w:t>
      </w:r>
      <w:r w:rsidRPr="00EB6B2E">
        <w:t>.</w:t>
      </w:r>
      <w:r>
        <w:t xml:space="preserve"> Over the hundred years before they established their mill, the monetary capital and property that flowed through the family shaped their financial landscape. While resource shifts were evident during marriage alliances, significant changes also occurred with the passing of key family members. Examining wills and probate documents provides valuable insights into the dynamics of family resource management. Thomas, along with his younger brothers George and Henry, was well provided for by his father. In 1746, each received a substantial sum of £400, equivalent to approximately £50,000 </w:t>
      </w:r>
      <w:r w:rsidRPr="00DA310E">
        <w:rPr>
          <w:color w:val="000000" w:themeColor="text1"/>
        </w:rPr>
        <w:t xml:space="preserve">in </w:t>
      </w:r>
      <w:r w:rsidR="00FA43CE" w:rsidRPr="00DA310E">
        <w:rPr>
          <w:color w:val="000000" w:themeColor="text1"/>
        </w:rPr>
        <w:t>2024</w:t>
      </w:r>
      <w:r w:rsidRPr="00DA310E">
        <w:rPr>
          <w:color w:val="000000" w:themeColor="text1"/>
        </w:rPr>
        <w:t xml:space="preserve"> </w:t>
      </w:r>
      <w:r>
        <w:t>purchasing power.</w:t>
      </w:r>
      <w:r>
        <w:rPr>
          <w:rStyle w:val="FootnoteReference"/>
        </w:rPr>
        <w:footnoteReference w:id="250"/>
      </w:r>
      <w:r>
        <w:t xml:space="preserve"> Edmund Evans' Will underscores the family's wealth in the middle of the eighteenth century, which had been amassed long before their venture into cotton spinning. Edmund's provisions extended beyond his sons, as he left £200 (£25,000) each to his two unmarried daughters and £100 (£12,500) to his married daughter. This wealth had been derived from the revenues generated by the natural resources of their land, whether owned outright by the Evans family or acquired through ownership rights. These revenues were further augmented by the dowries of Hannah and Rebecca, the wives of Anthony and his son Edmund. This financial stability afforded the family access to education and social connections that might otherwise have been beyond their reach. However, it is worth noting that Thomas and his younger brothers had not yet started their own families or trade careers at the time of their father's passing. With Thomas being only twenty-three, George at twenty, and Henry merely fifteen, </w:t>
      </w:r>
      <w:r>
        <w:lastRenderedPageBreak/>
        <w:t xml:space="preserve">Edmund's stipulation that each must reach the age of twenty-two before accessing their funds meant that only Thomas was eligible to inherit his share immediately. Thomas was thus able to establish himself as an iron master in the town of Derby. </w:t>
      </w:r>
    </w:p>
    <w:p w14:paraId="17BBFCAA" w14:textId="16F7EDB1" w:rsidR="005A05DF" w:rsidRPr="00562549" w:rsidRDefault="005A05DF" w:rsidP="005A05DF">
      <w:r>
        <w:t>Throughout much of the eighteenth century, kinship and family capital circulated within this group. It spanned a range of trades and professions and had been dispersed among numerous kinship members. Notably, the will of Edmund Evans, Thomas’s father, reveals that the lead and calamine mines, as well as the primary family business interests, passed into the hands of Thomas’s older brother, Edmund, rather than Thomas himself. Some of this transition occurred through Rebecca Evans (Gell), their mother. While many secondary sources attribute Thomas's fortune to the lead mines, it is possible that his capital accumulation was primarily derived from his involvement in the iron and copper trades. Thomas's connections with the Duke of Devonshire, particularly in supplying copper sheathing for warships, likely secured lucrative contracts.</w:t>
      </w:r>
      <w:r w:rsidR="00C15CF9">
        <w:rPr>
          <w:rStyle w:val="FootnoteReference"/>
        </w:rPr>
        <w:footnoteReference w:id="251"/>
      </w:r>
      <w:r>
        <w:t xml:space="preserve"> Moreover, his collaboration with his brother Henry in importing and exporting iron and beer via the Trent Navigation into the Baltic trade markets might have contributed significantly to Thomas's financial resources.</w:t>
      </w:r>
      <w:r w:rsidR="00F553D5">
        <w:rPr>
          <w:rStyle w:val="FootnoteReference"/>
        </w:rPr>
        <w:footnoteReference w:id="252"/>
      </w:r>
      <w:r>
        <w:t xml:space="preserve"> With this substantial capital, Thomas ventured into the banking business in the town of Derby, ultimately culminating in establishing the Boar’s Head Cotton </w:t>
      </w:r>
      <w:r w:rsidR="000648E0">
        <w:t>M</w:t>
      </w:r>
      <w:r>
        <w:t xml:space="preserve">ills in 1782-3, a venture Thomas embarked upon at the age of fifty-nine. </w:t>
      </w:r>
      <w:bookmarkStart w:id="85" w:name="_Hlk170477753"/>
      <w:r w:rsidRPr="00562549">
        <w:t>The Evans family case study shows that not all cotton mill enterprises were established on the resources earned from the textile or colonial trades.</w:t>
      </w:r>
    </w:p>
    <w:p w14:paraId="39BF92B3" w14:textId="1AE1E448" w:rsidR="006F7A29" w:rsidRDefault="005A05DF" w:rsidP="005A05DF">
      <w:r w:rsidRPr="00562549">
        <w:t>What we can learn from this kinship group within the cotton trade of the late eighteenth century is that not all manufacturers originated from the textile trade community.</w:t>
      </w:r>
      <w:r w:rsidR="00FA43CE" w:rsidRPr="00562549">
        <w:t xml:space="preserve"> </w:t>
      </w:r>
      <w:bookmarkEnd w:id="85"/>
      <w:r>
        <w:t>Jean Lindsay highlights the Evans family as distinct from figures like Arkwright and Strutt, who had prior experience in the textile industry and were known inventors in the trade.</w:t>
      </w:r>
      <w:r w:rsidR="00C15CF9">
        <w:rPr>
          <w:rStyle w:val="FootnoteReference"/>
        </w:rPr>
        <w:footnoteReference w:id="253"/>
      </w:r>
      <w:r>
        <w:t xml:space="preserve"> The Evans family's background does, however, underscore the continuity of business leadership, as demonstrated in Katrina Honeyman's research, which reveals that this leadership persisted even among individuals diversifying from other trades.</w:t>
      </w:r>
      <w:r w:rsidR="00C15CF9">
        <w:rPr>
          <w:rStyle w:val="FootnoteReference"/>
        </w:rPr>
        <w:footnoteReference w:id="254"/>
      </w:r>
      <w:r>
        <w:t xml:space="preserve"> There is little evidence of men of limited means becoming cotton factory masters in this period. The Evans family's ability to transition successfully can be attributed to their substantial financial and social capital levels. Their wealth and elevated status enhanced their reputation, and their connections within trusted networks and access to financial resources played a pivotal role. Their access to credit networks was exceptional, as they were recognised as lenders to many other cotton manufacturers and merchants of the era. Therefore, they possessed a very privileged position. </w:t>
      </w:r>
    </w:p>
    <w:p w14:paraId="144F4D10" w14:textId="0D29F427" w:rsidR="005A05DF" w:rsidRPr="00271A21" w:rsidRDefault="005A05DF" w:rsidP="005A05DF">
      <w:r>
        <w:t>In contrast, the McConnel and Kennedy families faced capital constraints as newcomers to the Lancashire textile and trade community. McConnel &amp; Kennedy's strategy relied heavily on reinvesting profits to fuel their business growth.</w:t>
      </w:r>
      <w:r w:rsidR="006F7A29">
        <w:rPr>
          <w:rStyle w:val="FootnoteReference"/>
        </w:rPr>
        <w:footnoteReference w:id="255"/>
      </w:r>
      <w:r>
        <w:t xml:space="preserve"> James McConnel's kinship connection with William Cannan offered some support, but their success in Manchester was more reliant on building their reputations and cultivating community trust. In their future endeavours, accumulating community trust and individual reputation would prove vital. </w:t>
      </w:r>
      <w:r w:rsidRPr="00271A21">
        <w:t xml:space="preserve">James McConnel and John Kennedy entered the cotton trade with fewer resources than the Evans family. In </w:t>
      </w:r>
      <w:r w:rsidR="006D0A02" w:rsidRPr="00271A21">
        <w:t>a</w:t>
      </w:r>
      <w:r w:rsidRPr="00271A21">
        <w:t xml:space="preserve"> </w:t>
      </w:r>
      <w:r w:rsidR="00E902E6" w:rsidRPr="00271A21">
        <w:t>biography of his father</w:t>
      </w:r>
      <w:r w:rsidR="007C537A" w:rsidRPr="00271A21">
        <w:t xml:space="preserve">, John Lawson Kennedy </w:t>
      </w:r>
      <w:r w:rsidRPr="00271A21">
        <w:t>described the</w:t>
      </w:r>
      <w:r w:rsidR="007C537A" w:rsidRPr="00271A21">
        <w:t xml:space="preserve"> origins of the</w:t>
      </w:r>
      <w:r w:rsidRPr="00271A21">
        <w:t xml:space="preserve"> Kennedy family in humble terms.</w:t>
      </w:r>
    </w:p>
    <w:p w14:paraId="414C2732" w14:textId="351F2F76" w:rsidR="005A05DF" w:rsidRPr="00271A21" w:rsidRDefault="005A05DF" w:rsidP="005A05DF">
      <w:pPr>
        <w:ind w:left="720"/>
      </w:pPr>
      <w:r w:rsidRPr="00271A21">
        <w:lastRenderedPageBreak/>
        <w:t xml:space="preserve">John Kennedy's parents were respectable peasants, possessed of a little bit of ground at </w:t>
      </w:r>
      <w:proofErr w:type="spellStart"/>
      <w:r w:rsidRPr="00271A21">
        <w:t>Knocknalling</w:t>
      </w:r>
      <w:proofErr w:type="spellEnd"/>
      <w:r w:rsidRPr="00271A21">
        <w:t xml:space="preserve"> (in the parish of Kells), in the </w:t>
      </w:r>
      <w:proofErr w:type="spellStart"/>
      <w:r w:rsidRPr="00271A21">
        <w:t>Stewartry</w:t>
      </w:r>
      <w:proofErr w:type="spellEnd"/>
      <w:r w:rsidRPr="00271A21">
        <w:t xml:space="preserve"> of Kirkcudbright, on which they contrived to live, and that was all.</w:t>
      </w:r>
      <w:r w:rsidRPr="00271A21">
        <w:rPr>
          <w:rStyle w:val="FootnoteReference"/>
        </w:rPr>
        <w:footnoteReference w:id="256"/>
      </w:r>
    </w:p>
    <w:p w14:paraId="14F17220" w14:textId="66FF5381" w:rsidR="007E4C10" w:rsidRPr="00271A21" w:rsidRDefault="003F5E53" w:rsidP="005A05DF">
      <w:r w:rsidRPr="00271A21">
        <w:t xml:space="preserve">This extract suggests that the Kennedy family were not </w:t>
      </w:r>
      <w:r w:rsidR="00271A21" w:rsidRPr="00271A21">
        <w:t>able</w:t>
      </w:r>
      <w:r w:rsidRPr="00271A21">
        <w:t xml:space="preserve"> to advance John with substantial capital and resources from which to build his career</w:t>
      </w:r>
      <w:r w:rsidR="00E44786" w:rsidRPr="00271A21">
        <w:t xml:space="preserve">. </w:t>
      </w:r>
      <w:r w:rsidR="007E4C10" w:rsidRPr="00271A21">
        <w:t>The McConnel family had a more modest background compared to the Kennedy family, as they worked as tenant farmers, whereas the Kennedys were yeoman farmers.</w:t>
      </w:r>
      <w:r w:rsidR="007E4C10" w:rsidRPr="00271A21">
        <w:rPr>
          <w:rStyle w:val="FootnoteReference"/>
        </w:rPr>
        <w:t xml:space="preserve"> </w:t>
      </w:r>
      <w:r w:rsidR="007E4C10" w:rsidRPr="00271A21">
        <w:rPr>
          <w:rStyle w:val="FootnoteReference"/>
        </w:rPr>
        <w:footnoteReference w:id="257"/>
      </w:r>
      <w:r w:rsidR="007E4C10" w:rsidRPr="00271A21">
        <w:t xml:space="preserve"> Despite this difference, the McConnel family managed to establish their social capital and business networks during their apprenticeships, and they continued to build on this foundation. These apprenticeships leveraged their community and kinship ties, which, in the absence of the monetary assets and capital that the Evans family had at the start of their cotton spinning enterprise, played a crucial role in the McConnel family's path to success.</w:t>
      </w:r>
    </w:p>
    <w:p w14:paraId="2784BDD7" w14:textId="77777777" w:rsidR="000C3B2A" w:rsidRPr="00817B40" w:rsidRDefault="000C3B2A" w:rsidP="000C3B2A">
      <w:pPr>
        <w:pStyle w:val="Heading2"/>
        <w:rPr>
          <w:rFonts w:asciiTheme="minorHAnsi" w:hAnsiTheme="minorHAnsi" w:cstheme="minorHAnsi"/>
          <w:b/>
          <w:bCs/>
          <w:color w:val="auto"/>
          <w:sz w:val="24"/>
          <w:szCs w:val="24"/>
        </w:rPr>
      </w:pPr>
      <w:bookmarkStart w:id="86" w:name="_Toc170825668"/>
      <w:r w:rsidRPr="00817B40">
        <w:rPr>
          <w:rFonts w:asciiTheme="minorHAnsi" w:hAnsiTheme="minorHAnsi" w:cstheme="minorHAnsi"/>
          <w:b/>
          <w:bCs/>
          <w:color w:val="auto"/>
          <w:sz w:val="24"/>
          <w:szCs w:val="24"/>
        </w:rPr>
        <w:t>Kinship Networks and Education Networks</w:t>
      </w:r>
      <w:bookmarkEnd w:id="86"/>
    </w:p>
    <w:p w14:paraId="2A73BB8C" w14:textId="77777777" w:rsidR="000C3B2A" w:rsidRPr="00F52666" w:rsidRDefault="000C3B2A" w:rsidP="000C3B2A">
      <w:pPr>
        <w:rPr>
          <w:i/>
          <w:iCs/>
        </w:rPr>
      </w:pPr>
      <w:r w:rsidRPr="00F52666">
        <w:rPr>
          <w:i/>
          <w:iCs/>
        </w:rPr>
        <w:t xml:space="preserve">Learning to Conform to Expectations </w:t>
      </w:r>
    </w:p>
    <w:p w14:paraId="34EEA68D" w14:textId="77777777" w:rsidR="000C3B2A" w:rsidRDefault="000C3B2A" w:rsidP="000C3B2A">
      <w:r>
        <w:t>As Sunderland argues, families and kinship groups influenced general moral behaviour and were the primary socialisation of moral trust and social norms. Beyond the family, the community also instilled these morals, particularly in the education of the young members of the kinship group. While the early years of the McConnel and Kennedy kinship group lack comprehensive documentation, certain key aspects regarding their education levels are discernible. John Kennedy, James McConnel, George Murray, and Adam Murray completed seven-year apprenticeships under James McConnel's uncle, William Cannan. John Seed and Janet Wolff suggest that this quartet hailed from Scottish families with backgrounds in small trading and yeomanry, and they had received a relatively robust education compared to their English counterparts of a similar social stratum.</w:t>
      </w:r>
      <w:r>
        <w:rPr>
          <w:rStyle w:val="FootnoteReference"/>
        </w:rPr>
        <w:footnoteReference w:id="258"/>
      </w:r>
      <w:r>
        <w:t xml:space="preserve"> Alistair Livingstone suggests that John Kennedy’s eldest brother was educated at the College of Edinburgh.</w:t>
      </w:r>
      <w:r>
        <w:rPr>
          <w:rStyle w:val="FootnoteReference"/>
        </w:rPr>
        <w:footnoteReference w:id="259"/>
      </w:r>
      <w:r>
        <w:t xml:space="preserve"> Within this group, James McConnel demonstrated a particular aptitude for business. McConnel took charge of the financial aspects of McConnel &amp; Kennedy, while John Kennedy focused on the technical and manufacturing facets of the firm. Their rural upbringings and formative educations under William Cannan instilled in them a guiding sense of trustworthiness and morality learned from interacting with other members of the trade community in Lancashire. This underscores the vital role of the community and kinship group in shaping the characteristics of the ideal businessperson within the McConnel &amp; Kennedy business. </w:t>
      </w:r>
    </w:p>
    <w:p w14:paraId="42784E02" w14:textId="77777777" w:rsidR="000C3B2A" w:rsidRPr="006A20E3" w:rsidRDefault="000C3B2A" w:rsidP="000C3B2A">
      <w:pPr>
        <w:rPr>
          <w:b/>
          <w:bCs/>
        </w:rPr>
      </w:pPr>
      <w:r w:rsidRPr="006A20E3">
        <w:rPr>
          <w:b/>
          <w:bCs/>
        </w:rPr>
        <w:t>Youth – Learning the Hierarchy</w:t>
      </w:r>
    </w:p>
    <w:p w14:paraId="1C5573F4" w14:textId="77777777" w:rsidR="000C3B2A" w:rsidRDefault="000C3B2A" w:rsidP="000C3B2A">
      <w:pPr>
        <w:rPr>
          <w:i/>
          <w:iCs/>
        </w:rPr>
      </w:pPr>
      <w:r w:rsidRPr="009F0043">
        <w:rPr>
          <w:i/>
          <w:iCs/>
        </w:rPr>
        <w:t>Apprentice Networks</w:t>
      </w:r>
    </w:p>
    <w:p w14:paraId="154E0739" w14:textId="77777777" w:rsidR="000C3B2A" w:rsidRPr="00CA4596" w:rsidRDefault="000C3B2A" w:rsidP="000C3B2A">
      <w:r>
        <w:t xml:space="preserve">In both case studies, apprentice networks played a vital role in shaping the education and development of young men within kinship networks. These apprenticeships were often facilitated through family and kinship connections, whether within the local community or among dispersed communities that had migrated to Lancashire. These apprenticeships were not limited to technical skills in machine making but also served as platforms for the apprentices to enhance their social skills and moral values, making them trusted individuals in the business world. They actively participated in the business networks of the machine-making trade, which contributed to their social and moral </w:t>
      </w:r>
      <w:r>
        <w:lastRenderedPageBreak/>
        <w:t>development. The fact that these apprentices could leave their training and quickly establish themselves as reputable members of the Manchester business community illustrates the effectiveness of these apprenticeship systems in building trust and reputation. The importance of apprenticeships is further underscored by the successes of individuals like Thomas Evans and Jedediah Strutt, who achieved notable accomplishments through this system. Their experiences demonstrated that apprenticeships were not only about honing technical skills but also about shaping well-rounded individuals prepared for success in the business world.</w:t>
      </w:r>
    </w:p>
    <w:p w14:paraId="6D77D64B" w14:textId="77777777" w:rsidR="000C3B2A" w:rsidRPr="007273E7" w:rsidRDefault="000C3B2A" w:rsidP="000C3B2A">
      <w:pPr>
        <w:rPr>
          <w:i/>
          <w:iCs/>
        </w:rPr>
      </w:pPr>
      <w:r w:rsidRPr="007273E7">
        <w:rPr>
          <w:i/>
          <w:iCs/>
        </w:rPr>
        <w:t xml:space="preserve">Educating the </w:t>
      </w:r>
      <w:proofErr w:type="gramStart"/>
      <w:r w:rsidRPr="007273E7">
        <w:rPr>
          <w:i/>
          <w:iCs/>
        </w:rPr>
        <w:t>Sons</w:t>
      </w:r>
      <w:proofErr w:type="gramEnd"/>
    </w:p>
    <w:p w14:paraId="2964EB1E" w14:textId="12FA8A1F" w:rsidR="000C3B2A" w:rsidRDefault="000C3B2A" w:rsidP="000C3B2A">
      <w:r>
        <w:t>This tradition extended further when John Kennedy and his wife, Mary Stuart, assumed the responsibility of educating their son, John Lawson Kennedy. The younger John Kennedy was educated at Shrewsbury School, the same institution attended by Charles Darwin, before proceeding to Trinity College, Cambridge,</w:t>
      </w:r>
      <w:r>
        <w:rPr>
          <w:rStyle w:val="FootnoteReference"/>
        </w:rPr>
        <w:footnoteReference w:id="260"/>
      </w:r>
      <w:r>
        <w:t xml:space="preserve"> where he eventually became a barrister-at-law. Likewise, the Greg family, who became connected with the Kennedy family through marriage, ensured the education of their sons in Unitarian Schools at Manchester and Edinburgh </w:t>
      </w:r>
      <w:r w:rsidRPr="00562549">
        <w:rPr>
          <w:color w:val="000000" w:themeColor="text1"/>
        </w:rPr>
        <w:t>University</w:t>
      </w:r>
      <w:r w:rsidR="00FA43CE" w:rsidRPr="00562549">
        <w:rPr>
          <w:color w:val="000000" w:themeColor="text1"/>
        </w:rPr>
        <w:t>,</w:t>
      </w:r>
      <w:r w:rsidRPr="00562549">
        <w:rPr>
          <w:color w:val="000000" w:themeColor="text1"/>
        </w:rPr>
        <w:t xml:space="preserve"> </w:t>
      </w:r>
      <w:r w:rsidR="00FA43CE" w:rsidRPr="00562549">
        <w:rPr>
          <w:color w:val="000000" w:themeColor="text1"/>
        </w:rPr>
        <w:t>alt</w:t>
      </w:r>
      <w:r w:rsidRPr="00562549">
        <w:rPr>
          <w:color w:val="000000" w:themeColor="text1"/>
        </w:rPr>
        <w:t xml:space="preserve">hough </w:t>
      </w:r>
      <w:r>
        <w:t>Samuel Greg Senior had been educated at Harrow.</w:t>
      </w:r>
      <w:r>
        <w:rPr>
          <w:rStyle w:val="FootnoteReference"/>
        </w:rPr>
        <w:footnoteReference w:id="261"/>
      </w:r>
      <w:r>
        <w:t xml:space="preserve"> These educations often combined classical learning with practical instruction in trade and industry. The male members of both kinship groups were primed for their anticipated roles in the religious, commercial, and legal communities. John Kennedy and James McConnel were the founders of their industrial dynasties and received a less formal education. Still, they ensured the next generation was firmly established within the liberal and dissenting Industrial bourgeoisie, and their education levels reflected this transition in status.  </w:t>
      </w:r>
    </w:p>
    <w:p w14:paraId="1F9C98B8" w14:textId="77777777" w:rsidR="000C3B2A" w:rsidRDefault="000C3B2A" w:rsidP="000C3B2A">
      <w:r>
        <w:t>The family, household, and community were where the social and cultural ethos of trust, trustworthiness, and reputable character traits were first learned by the younger members of the kinship networks. An insight into the education of the young people of the Evans family can be seen in the schools and tutors chosen for the children. In Thomas Evans’ generation, his older brother Edmund was educated as a boy at Chesterfield School for Boys under the instruction of Reverend Burrows.</w:t>
      </w:r>
      <w:r>
        <w:rPr>
          <w:rStyle w:val="FootnoteReference"/>
        </w:rPr>
        <w:footnoteReference w:id="262"/>
      </w:r>
      <w:r>
        <w:t xml:space="preserve"> It was also under the instruction of Reverend Burrows that </w:t>
      </w:r>
      <w:proofErr w:type="spellStart"/>
      <w:r>
        <w:t>Dr.</w:t>
      </w:r>
      <w:proofErr w:type="spellEnd"/>
      <w:r>
        <w:t xml:space="preserve"> Erasmus Darwin received his early education.</w:t>
      </w:r>
      <w:r>
        <w:rPr>
          <w:rStyle w:val="FootnoteReference"/>
        </w:rPr>
        <w:footnoteReference w:id="263"/>
      </w:r>
      <w:r>
        <w:t xml:space="preserve"> During the middle of the eighteenth century, Chesterfield School claimed to be the leading establishment in the north of England, shaping young minds for callings in universities, the church, industry, and the government.</w:t>
      </w:r>
      <w:r>
        <w:rPr>
          <w:rStyle w:val="FootnoteReference"/>
        </w:rPr>
        <w:footnoteReference w:id="264"/>
      </w:r>
      <w:r>
        <w:t xml:space="preserve"> The family educating their sons at this school shows a high educational aspiration and achievement within the wider kinship group. This, in turn, helped to build a strong and positive family reputation. Thomas, George, and Henry all went into trade and commerce, with Thomas becoming an apprentice and then a master in the iron industry.</w:t>
      </w:r>
      <w:r>
        <w:rPr>
          <w:rStyle w:val="FootnoteReference"/>
        </w:rPr>
        <w:footnoteReference w:id="265"/>
      </w:r>
      <w:r>
        <w:t xml:space="preserve"> Each son was educated with their future career path in mind. William and Walter Evans (I) were raised to manage the cotton firms, as was Samuel Evans, William’s eldest son. Samuel was educated at Derby School, located in St. Peter’s Churchyard in the centre of Derby. This school had also educated his uncle Joseph Strutt and his distant kin (through Thomas Evans's brother Henry), Henry, Thomas, and </w:t>
      </w:r>
      <w:r>
        <w:lastRenderedPageBreak/>
        <w:t>Edward Worthington of Burton.</w:t>
      </w:r>
      <w:r>
        <w:rPr>
          <w:rStyle w:val="FootnoteReference"/>
        </w:rPr>
        <w:footnoteReference w:id="266"/>
      </w:r>
      <w:r>
        <w:t xml:space="preserve"> Samuel Evans sent his son Walter Evans (II) to Trinity College Cambridge,</w:t>
      </w:r>
      <w:r>
        <w:rPr>
          <w:rStyle w:val="FootnoteReference"/>
        </w:rPr>
        <w:footnoteReference w:id="267"/>
      </w:r>
      <w:r>
        <w:t xml:space="preserve"> showing that the kinship group included a well-educated network of men groomed for life in high societal positions. Walter Evans (II) was the last of the Evans family to manage the cotton mills in Darley Abbey. </w:t>
      </w:r>
    </w:p>
    <w:p w14:paraId="559B94DF" w14:textId="40D91454" w:rsidR="000C3B2A" w:rsidRDefault="000C3B2A" w:rsidP="000C3B2A">
      <w:r>
        <w:t>The choice of schools for educating the sons within kinship groups yielded two significant and enduring consequences. Firstly, it immediately contributed to establishing a respectable reputation for the family and the kinship group. This association between education and reputation was reinforced by the perception, as argued by David Sunderland, that educated individuals were inherently more trustworthy.</w:t>
      </w:r>
      <w:r>
        <w:rPr>
          <w:rStyle w:val="FootnoteReference"/>
        </w:rPr>
        <w:footnoteReference w:id="268"/>
      </w:r>
      <w:r>
        <w:t xml:space="preserve"> J. Pedersen has noted that public schools profoundly shaped trust in society, raising regional and national trust levels between the aristocracy and urban manufacturing elites. Furthermore, attendance at a public school not only symbolised wealth but also carried a high level of associated trust.</w:t>
      </w:r>
      <w:r>
        <w:rPr>
          <w:rStyle w:val="FootnoteReference"/>
        </w:rPr>
        <w:footnoteReference w:id="269"/>
      </w:r>
      <w:r>
        <w:t xml:space="preserve"> This perception was rooted in the school's intentions to engrain societal norms, such as honour, trust, and morality, imparted through teaching ethics via classical education and promoting social interactions based on hierarchical trust. Additionally, the schools fostered social interaction and bonding among peers, further strengthening the moral and ethical foundations of the next generation. Arguably, the relationships and skills cultivated through this schooling process laid the groundwork for future business leaders, endowing them with a wealth of advantages. These advantages included </w:t>
      </w:r>
      <w:bookmarkStart w:id="88" w:name="_Hlk170477964"/>
      <w:r w:rsidRPr="00562549">
        <w:rPr>
          <w:color w:val="000000" w:themeColor="text1"/>
        </w:rPr>
        <w:t>not only knowledge but also essential</w:t>
      </w:r>
      <w:r w:rsidR="00FA43CE" w:rsidRPr="00562549">
        <w:rPr>
          <w:color w:val="000000" w:themeColor="text1"/>
        </w:rPr>
        <w:t xml:space="preserve"> practical,</w:t>
      </w:r>
      <w:r w:rsidRPr="00562549">
        <w:rPr>
          <w:color w:val="000000" w:themeColor="text1"/>
        </w:rPr>
        <w:t xml:space="preserve"> social and communication skills.</w:t>
      </w:r>
      <w:bookmarkEnd w:id="88"/>
      <w:r w:rsidRPr="00562549">
        <w:rPr>
          <w:color w:val="000000" w:themeColor="text1"/>
        </w:rPr>
        <w:t xml:space="preserve"> </w:t>
      </w:r>
      <w:r>
        <w:t xml:space="preserve">Moreover, they formed networks of trusted peers, possessing high social capital and material resources. Consequently, the education received by these boys provided them with practical skills, valuable networks, and moral tutelage in ethics and morality. Simultaneously, it bolstered the reputation of their families. This reputation was, in essence, a prelude to their entry into the business world. Their task was to succeed and maintain the trust and high expectations that had already been placed upon them. In essence, the choice of schools and the subsequent education within kinship groups had a profound and far-reaching impact, setting the stage for the next generation's success in various spheres, from business to higher societal positions. At this stage, younger members of the kinship group began becoming trustworthy, reputable men of business. </w:t>
      </w:r>
    </w:p>
    <w:p w14:paraId="4CAB1A89" w14:textId="77777777" w:rsidR="000C3B2A" w:rsidRDefault="000C3B2A" w:rsidP="000C3B2A">
      <w:pPr>
        <w:rPr>
          <w:i/>
          <w:iCs/>
        </w:rPr>
      </w:pPr>
      <w:r w:rsidRPr="00070660">
        <w:rPr>
          <w:i/>
          <w:iCs/>
        </w:rPr>
        <w:t xml:space="preserve">Educating the </w:t>
      </w:r>
      <w:proofErr w:type="gramStart"/>
      <w:r w:rsidRPr="00070660">
        <w:rPr>
          <w:i/>
          <w:iCs/>
        </w:rPr>
        <w:t>Daughters</w:t>
      </w:r>
      <w:proofErr w:type="gramEnd"/>
    </w:p>
    <w:p w14:paraId="5B25C658" w14:textId="77777777" w:rsidR="000C3B2A" w:rsidRDefault="000C3B2A" w:rsidP="000C3B2A">
      <w:r>
        <w:t>Education for the female members of the kinship groups was less defined, but as Catherine Hall had noted, there was a distinct demarcation of the gender roles,</w:t>
      </w:r>
      <w:r>
        <w:rPr>
          <w:rStyle w:val="FootnoteReference"/>
        </w:rPr>
        <w:footnoteReference w:id="270"/>
      </w:r>
      <w:r>
        <w:t xml:space="preserve"> which can be seen in their educations. Paul Elliott has stated that until the late nineteenth century, most middle-class girls were educated domestically or in private schools.</w:t>
      </w:r>
      <w:r>
        <w:rPr>
          <w:rStyle w:val="FootnoteReference"/>
        </w:rPr>
        <w:footnoteReference w:id="271"/>
      </w:r>
      <w:r>
        <w:t xml:space="preserve"> </w:t>
      </w:r>
      <w:r w:rsidRPr="00DC288E">
        <w:t xml:space="preserve">The daughters of William Evans and Elizabeth Strutt received their education at a girls' </w:t>
      </w:r>
      <w:r>
        <w:t>boarding</w:t>
      </w:r>
      <w:r w:rsidRPr="00DC288E">
        <w:t xml:space="preserve"> school in Ashbourne, which was run by Susanna and Mary Parker, Erasmus Darwin's daughters</w:t>
      </w:r>
      <w:r>
        <w:t xml:space="preserve"> – whose mother was a governess</w:t>
      </w:r>
      <w:r w:rsidRPr="00DC288E">
        <w:t xml:space="preserve">. This educational connection with the Darwin family was significant, as Erasmus held strong views on women's education, influenced by the works of Locke, Rousseau, and </w:t>
      </w:r>
      <w:proofErr w:type="spellStart"/>
      <w:r w:rsidRPr="00DC288E">
        <w:t>Genlis</w:t>
      </w:r>
      <w:proofErr w:type="spellEnd"/>
      <w:r w:rsidRPr="00DC288E">
        <w:t>.</w:t>
      </w:r>
      <w:r>
        <w:rPr>
          <w:rStyle w:val="FootnoteReference"/>
        </w:rPr>
        <w:footnoteReference w:id="272"/>
      </w:r>
      <w:r>
        <w:t xml:space="preserve"> Darwin had been influential in his two daughters establishing the school.</w:t>
      </w:r>
      <w:r w:rsidRPr="00DC288E">
        <w:t xml:space="preserve"> In a letter</w:t>
      </w:r>
      <w:r>
        <w:t xml:space="preserve"> between Darwin and Elizabeth Evans,</w:t>
      </w:r>
      <w:r w:rsidRPr="00DC288E">
        <w:t xml:space="preserve"> dated December 11, 1794, Erasmus Darwin discussed arrangements for bringing several girls</w:t>
      </w:r>
      <w:r>
        <w:t xml:space="preserve"> home for Christmas, including Violetta </w:t>
      </w:r>
      <w:r>
        <w:lastRenderedPageBreak/>
        <w:t>Darwin, Betty Evans, and Miss M. Parker</w:t>
      </w:r>
      <w:r w:rsidRPr="00DC288E">
        <w:t>.</w:t>
      </w:r>
      <w:r>
        <w:rPr>
          <w:rStyle w:val="FootnoteReference"/>
        </w:rPr>
        <w:footnoteReference w:id="273"/>
      </w:r>
      <w:r w:rsidRPr="00DC288E">
        <w:t xml:space="preserve"> </w:t>
      </w:r>
      <w:r>
        <w:t>This letter also showed Darwin</w:t>
      </w:r>
      <w:r w:rsidRPr="00DC288E">
        <w:t xml:space="preserve"> shared a draft of his book, </w:t>
      </w:r>
      <w:r w:rsidRPr="007149ED">
        <w:rPr>
          <w:i/>
          <w:iCs/>
        </w:rPr>
        <w:t>Plan for the Conduct of Female Education in Boarding Schools</w:t>
      </w:r>
      <w:r w:rsidRPr="00DC288E">
        <w:t>, published in 1797, with Elizabeth Evans. These personal letters reveal that he valued Elizabeth's</w:t>
      </w:r>
      <w:r>
        <w:t xml:space="preserve"> opinions and</w:t>
      </w:r>
      <w:r w:rsidRPr="00DC288E">
        <w:t xml:space="preserve"> input on these matters, highlighting the hidden role of women in society and commerce, as observed by Davidoff and Hall in </w:t>
      </w:r>
      <w:r w:rsidRPr="00F37F9D">
        <w:rPr>
          <w:i/>
          <w:iCs/>
        </w:rPr>
        <w:t>Family Fortunes</w:t>
      </w:r>
      <w:r w:rsidRPr="00DC288E">
        <w:t>.</w:t>
      </w:r>
      <w:r>
        <w:rPr>
          <w:rStyle w:val="FootnoteReference"/>
        </w:rPr>
        <w:footnoteReference w:id="274"/>
      </w:r>
      <w:r w:rsidRPr="00DC288E">
        <w:t xml:space="preserve"> They also reflect Elizabeth Evans' awareness of the expectations placed upon her as an upper-middle-class woman responsible for educating the next generation</w:t>
      </w:r>
      <w:r>
        <w:t xml:space="preserve"> of industry masters</w:t>
      </w:r>
      <w:r w:rsidRPr="00DC288E">
        <w:t xml:space="preserve"> and potentially managing business affairs in certain circumstances.</w:t>
      </w:r>
      <w:r>
        <w:t xml:space="preserve"> Interestingly, women were also expected to hold a genteel sense of moral and religious obligation and combat the evils of life with their trustworthy and reputable characters.</w:t>
      </w:r>
    </w:p>
    <w:p w14:paraId="2E1CCF9E" w14:textId="77777777" w:rsidR="005A05DF" w:rsidRPr="00817B40" w:rsidRDefault="005A05DF" w:rsidP="00817B40">
      <w:pPr>
        <w:pStyle w:val="Heading2"/>
        <w:rPr>
          <w:rFonts w:asciiTheme="minorHAnsi" w:hAnsiTheme="minorHAnsi" w:cstheme="minorHAnsi"/>
          <w:b/>
          <w:bCs/>
          <w:color w:val="auto"/>
          <w:sz w:val="24"/>
          <w:szCs w:val="24"/>
        </w:rPr>
      </w:pPr>
      <w:bookmarkStart w:id="89" w:name="_Toc170825669"/>
      <w:r w:rsidRPr="00817B40">
        <w:rPr>
          <w:rFonts w:asciiTheme="minorHAnsi" w:hAnsiTheme="minorHAnsi" w:cstheme="minorHAnsi"/>
          <w:b/>
          <w:bCs/>
          <w:color w:val="auto"/>
          <w:sz w:val="24"/>
          <w:szCs w:val="24"/>
        </w:rPr>
        <w:t>Kinship Capital and the Business Relationship</w:t>
      </w:r>
      <w:bookmarkEnd w:id="89"/>
    </w:p>
    <w:p w14:paraId="2255BB10" w14:textId="77777777" w:rsidR="005A05DF" w:rsidRPr="008A579E" w:rsidRDefault="005A05DF" w:rsidP="005A05DF">
      <w:pPr>
        <w:rPr>
          <w:i/>
          <w:iCs/>
        </w:rPr>
      </w:pPr>
      <w:r w:rsidRPr="008A579E">
        <w:rPr>
          <w:i/>
          <w:iCs/>
        </w:rPr>
        <w:t xml:space="preserve">The </w:t>
      </w:r>
      <w:r>
        <w:rPr>
          <w:i/>
          <w:iCs/>
        </w:rPr>
        <w:t>Benefits of Kinship in Business</w:t>
      </w:r>
    </w:p>
    <w:p w14:paraId="4DF62669" w14:textId="6ADC2A81" w:rsidR="005A05DF" w:rsidRDefault="005A05DF" w:rsidP="005A05DF">
      <w:r>
        <w:t>The cotton mills utilised the kinship network to access greater levels of resources, to access opportunities for apprenticeships, to access capital</w:t>
      </w:r>
      <w:r w:rsidR="004E36C1">
        <w:t>,</w:t>
      </w:r>
      <w:r>
        <w:t xml:space="preserve"> and credit, </w:t>
      </w:r>
      <w:r w:rsidR="00EE622F">
        <w:t xml:space="preserve">to </w:t>
      </w:r>
      <w:r>
        <w:t>act as employees and agents, and enact business exchange partnerships. There seems to have been a perceived increase in the trustworthiness of a business exchange partner if they were kin or recommended by kin. While Cookson argues that family connections were not the only trustworthy connections and that kinship did not always guarantee a connection's trustworthiness,</w:t>
      </w:r>
      <w:r>
        <w:rPr>
          <w:rStyle w:val="FootnoteReference"/>
        </w:rPr>
        <w:footnoteReference w:id="275"/>
      </w:r>
      <w:r>
        <w:t xml:space="preserve"> it seems plausible that the prevailing perception was that the odds of safety were higher with a known actor than with risking engagement with an unfamiliar party, regardless of whether they were kin or not. Notably, the connections individuals were most familiar with often included their family and close kin. Mary B. Rose's proposition of 'networks of trust' suggests that these networks were constructed around extended kinship groups bound by shared blood and close ties such as shared beliefs and values.</w:t>
      </w:r>
      <w:r w:rsidR="004E36C1">
        <w:rPr>
          <w:rStyle w:val="FootnoteReference"/>
        </w:rPr>
        <w:footnoteReference w:id="276"/>
      </w:r>
      <w:r>
        <w:t xml:space="preserve"> This phenomenon can help explain the significant prevalence of business associations rooted in close ties and kinship, particularly in the firms' early years. This phenomenon finds ample supporting evidence within the mill documents of McConnel &amp; Kennedy and W. Evans &amp; Co. </w:t>
      </w:r>
    </w:p>
    <w:p w14:paraId="772C5C90" w14:textId="272DA7BB" w:rsidR="005A05DF" w:rsidRDefault="005A05DF" w:rsidP="005A05DF">
      <w:r>
        <w:t xml:space="preserve">The Evans family, for instance, </w:t>
      </w:r>
      <w:r w:rsidR="00FA43CE" w:rsidRPr="00562549">
        <w:rPr>
          <w:color w:val="000000" w:themeColor="text1"/>
        </w:rPr>
        <w:t>had</w:t>
      </w:r>
      <w:r>
        <w:t xml:space="preserve"> numerous commercial ties within their kinship network. From 1797 to 1798, Thomas’s brother and nephew, Henry and John Evans of Burton, supplied beer and vinegar to the Darley Abbey mill community. George and Anthony Carr, Thomas’s nephews, were hosiers in Leicester and patrons of the Boar’s Head Cotton </w:t>
      </w:r>
      <w:r w:rsidR="000648E0">
        <w:t>M</w:t>
      </w:r>
      <w:r>
        <w:t xml:space="preserve">ills. Noteworthy among these connections is Charles </w:t>
      </w:r>
      <w:proofErr w:type="spellStart"/>
      <w:r>
        <w:t>Plimley</w:t>
      </w:r>
      <w:proofErr w:type="spellEnd"/>
      <w:r>
        <w:t xml:space="preserve"> of Birmingham, a maternal cousin of Walter Evans I. In 1804, when the mill was under Walter's control, Charles provided the mill with glass for windows and lamps. Kinship connections were also crucial in the McConnel &amp; Kennedy </w:t>
      </w:r>
      <w:r w:rsidR="00BA1E1F">
        <w:t>M</w:t>
      </w:r>
      <w:r>
        <w:t>ills. The documents show that John Kennedy’s brother-in-law, Mr. Stuart, was instrumental in building a trusting business relationship with Alexander Barclay, who became the company’s sales agent in Hamburg.</w:t>
      </w:r>
      <w:r>
        <w:rPr>
          <w:rStyle w:val="FootnoteReference"/>
        </w:rPr>
        <w:footnoteReference w:id="277"/>
      </w:r>
      <w:r>
        <w:t xml:space="preserve"> These are some of the most prominent kinship connections within the business relationships of the firms. </w:t>
      </w:r>
    </w:p>
    <w:p w14:paraId="7BE7F905" w14:textId="77777777" w:rsidR="005A05DF" w:rsidRDefault="005A05DF" w:rsidP="005A05DF">
      <w:r>
        <w:t xml:space="preserve">Alistair Owens has suggested that the family should be seen less as influencing business activity and more as its </w:t>
      </w:r>
      <w:r w:rsidRPr="00BF2189">
        <w:rPr>
          <w:i/>
          <w:iCs/>
        </w:rPr>
        <w:t>raison d’</w:t>
      </w:r>
      <w:r w:rsidRPr="00BF2189">
        <w:rPr>
          <w:rFonts w:cstheme="minorHAnsi"/>
          <w:i/>
          <w:iCs/>
        </w:rPr>
        <w:t>ê</w:t>
      </w:r>
      <w:r w:rsidRPr="00BF2189">
        <w:rPr>
          <w:i/>
          <w:iCs/>
        </w:rPr>
        <w:t>tre</w:t>
      </w:r>
      <w:r w:rsidRPr="00BF2189">
        <w:t>.</w:t>
      </w:r>
      <w:r w:rsidRPr="00BF2189">
        <w:rPr>
          <w:rStyle w:val="FootnoteReference"/>
        </w:rPr>
        <w:footnoteReference w:id="278"/>
      </w:r>
      <w:r>
        <w:t xml:space="preserve"> In the late eighteenth and early nineteenth centuries, kinship responsibilities extended beyond the household family and the parents and children in a family </w:t>
      </w:r>
      <w:r>
        <w:lastRenderedPageBreak/>
        <w:t>network. Margaret Hunt argues that loyalty to kin had both functional and symbolic importance in premodern societies, with the practicalities of extended kin providing a framework to swap often scarce resources.</w:t>
      </w:r>
      <w:r>
        <w:rPr>
          <w:rStyle w:val="FootnoteReference"/>
        </w:rPr>
        <w:footnoteReference w:id="279"/>
      </w:r>
      <w:r>
        <w:t xml:space="preserve"> While the cotton firms transitioned between the premodern and modern societies, these mechanisms were still active in the kinship networks of Evans, McConnel, and Kennedy. T</w:t>
      </w:r>
      <w:r w:rsidRPr="00850643">
        <w:t>he strategic utili</w:t>
      </w:r>
      <w:r>
        <w:t>s</w:t>
      </w:r>
      <w:r w:rsidRPr="00850643">
        <w:t xml:space="preserve">ation </w:t>
      </w:r>
      <w:r>
        <w:t>of kinship connections and channelling the firm's resources into these connections</w:t>
      </w:r>
      <w:r w:rsidRPr="007279C5">
        <w:t xml:space="preserve"> </w:t>
      </w:r>
      <w:r>
        <w:t xml:space="preserve">not only had the benefit of familiarity, which better enabled the measurement of risk, but it also ensured a </w:t>
      </w:r>
      <w:r w:rsidRPr="00850643">
        <w:t>continuous circulation of assets within the intimate</w:t>
      </w:r>
      <w:r w:rsidRPr="007279C5">
        <w:t xml:space="preserve"> </w:t>
      </w:r>
      <w:r>
        <w:t>close circle of kinship associations.</w:t>
      </w:r>
      <w:r w:rsidRPr="007279C5">
        <w:t xml:space="preserve"> </w:t>
      </w:r>
      <w:r w:rsidRPr="00850643">
        <w:t>This deliberate resource circulation effectively maintain</w:t>
      </w:r>
      <w:r>
        <w:t>ed</w:t>
      </w:r>
      <w:r w:rsidRPr="00850643">
        <w:t xml:space="preserve"> the fiscal well-being of the broader family unit.</w:t>
      </w:r>
      <w:r>
        <w:t xml:space="preserve"> </w:t>
      </w:r>
      <w:r w:rsidRPr="00850643">
        <w:t>Consequently, this practice substantially diminishe</w:t>
      </w:r>
      <w:r>
        <w:t>d</w:t>
      </w:r>
      <w:r w:rsidRPr="00850643">
        <w:t xml:space="preserve"> the probability of </w:t>
      </w:r>
      <w:r>
        <w:t xml:space="preserve">the networks </w:t>
      </w:r>
      <w:r w:rsidRPr="00850643">
        <w:t>encountering financial hardships or bankruptcy within their enterprises. Consequently, the method directly contribute</w:t>
      </w:r>
      <w:r>
        <w:t>d</w:t>
      </w:r>
      <w:r w:rsidRPr="00850643">
        <w:t xml:space="preserve"> to safeguarding and nurturing the overall reputation of the extended </w:t>
      </w:r>
      <w:r>
        <w:t xml:space="preserve">kinship networks. </w:t>
      </w:r>
    </w:p>
    <w:p w14:paraId="13386423" w14:textId="77777777" w:rsidR="005A05DF" w:rsidRPr="00817B40" w:rsidRDefault="005A05DF" w:rsidP="00817B40">
      <w:pPr>
        <w:pStyle w:val="Heading2"/>
        <w:rPr>
          <w:rFonts w:asciiTheme="minorHAnsi" w:hAnsiTheme="minorHAnsi" w:cstheme="minorHAnsi"/>
          <w:b/>
          <w:bCs/>
          <w:color w:val="auto"/>
          <w:sz w:val="24"/>
          <w:szCs w:val="24"/>
        </w:rPr>
      </w:pPr>
      <w:bookmarkStart w:id="90" w:name="_Toc170825670"/>
      <w:r w:rsidRPr="00817B40">
        <w:rPr>
          <w:rFonts w:asciiTheme="minorHAnsi" w:hAnsiTheme="minorHAnsi" w:cstheme="minorHAnsi"/>
          <w:b/>
          <w:bCs/>
          <w:color w:val="auto"/>
          <w:sz w:val="24"/>
          <w:szCs w:val="24"/>
        </w:rPr>
        <w:t>Conclusions</w:t>
      </w:r>
      <w:bookmarkEnd w:id="90"/>
      <w:r w:rsidRPr="00817B40">
        <w:rPr>
          <w:rFonts w:asciiTheme="minorHAnsi" w:hAnsiTheme="minorHAnsi" w:cstheme="minorHAnsi"/>
          <w:b/>
          <w:bCs/>
          <w:color w:val="auto"/>
          <w:sz w:val="24"/>
          <w:szCs w:val="24"/>
        </w:rPr>
        <w:t xml:space="preserve"> </w:t>
      </w:r>
    </w:p>
    <w:p w14:paraId="00BE2833" w14:textId="65A5FAC5" w:rsidR="008B7EAA" w:rsidRDefault="009A4AF5" w:rsidP="00B548EE">
      <w:r w:rsidRPr="00DC0A76">
        <w:t>This chapter has argued that kinship ties</w:t>
      </w:r>
      <w:r w:rsidR="00DC0A76" w:rsidRPr="00DC0A76">
        <w:t xml:space="preserve"> </w:t>
      </w:r>
      <w:r w:rsidR="008B2EF6" w:rsidRPr="00562549">
        <w:rPr>
          <w:color w:val="000000" w:themeColor="text1"/>
        </w:rPr>
        <w:t xml:space="preserve">were </w:t>
      </w:r>
      <w:r w:rsidR="00FA43CE" w:rsidRPr="00562549">
        <w:rPr>
          <w:color w:val="000000" w:themeColor="text1"/>
        </w:rPr>
        <w:t>beneficial</w:t>
      </w:r>
      <w:r w:rsidR="00DC0A76" w:rsidRPr="00562549">
        <w:rPr>
          <w:color w:val="000000" w:themeColor="text1"/>
        </w:rPr>
        <w:t xml:space="preserve"> </w:t>
      </w:r>
      <w:r w:rsidR="00FA43CE">
        <w:t>to</w:t>
      </w:r>
      <w:r w:rsidR="00DC0A76" w:rsidRPr="00DC0A76">
        <w:t xml:space="preserve"> cotton </w:t>
      </w:r>
      <w:r w:rsidR="009F7874">
        <w:t>spinning firms</w:t>
      </w:r>
      <w:r w:rsidR="00D55870">
        <w:t xml:space="preserve"> by</w:t>
      </w:r>
      <w:r w:rsidR="00DC0A76" w:rsidRPr="00DC0A76">
        <w:t xml:space="preserve"> </w:t>
      </w:r>
      <w:r w:rsidR="00B548EE">
        <w:t xml:space="preserve">setting up the network members with the skills and connections that were required for business. Both case studies show usage of the </w:t>
      </w:r>
      <w:r w:rsidR="00DC0A76" w:rsidRPr="00DC0A76">
        <w:t>more traditional kinship system</w:t>
      </w:r>
      <w:r w:rsidR="008B2EF6">
        <w:t xml:space="preserve"> that </w:t>
      </w:r>
      <w:r w:rsidR="00761A51">
        <w:t xml:space="preserve">relied upon the wider kinship connections to </w:t>
      </w:r>
      <w:r w:rsidR="000F5A90">
        <w:t>help</w:t>
      </w:r>
      <w:r w:rsidR="00761A51">
        <w:t xml:space="preserve"> in the </w:t>
      </w:r>
      <w:bookmarkStart w:id="91" w:name="_Hlk170478052"/>
      <w:r w:rsidR="00761A51">
        <w:t>mutual</w:t>
      </w:r>
      <w:r w:rsidR="00B548EE">
        <w:t xml:space="preserve"> application of business transactions</w:t>
      </w:r>
      <w:r w:rsidR="00761A51">
        <w:t>.</w:t>
      </w:r>
      <w:r w:rsidR="009F7874">
        <w:t xml:space="preserve"> </w:t>
      </w:r>
      <w:bookmarkEnd w:id="91"/>
      <w:r w:rsidR="009F7874">
        <w:t xml:space="preserve">The marriage </w:t>
      </w:r>
      <w:r w:rsidR="00D55870">
        <w:t>ties</w:t>
      </w:r>
      <w:r w:rsidR="009F7874">
        <w:t xml:space="preserve"> </w:t>
      </w:r>
      <w:r w:rsidR="00395181">
        <w:t>alongside</w:t>
      </w:r>
      <w:r w:rsidR="009F7874">
        <w:t xml:space="preserve"> the blood tie</w:t>
      </w:r>
      <w:r w:rsidR="00D55870">
        <w:t>s</w:t>
      </w:r>
      <w:r w:rsidR="00395181">
        <w:t xml:space="preserve"> created, populated</w:t>
      </w:r>
      <w:r w:rsidR="00D55870">
        <w:t>,</w:t>
      </w:r>
      <w:r w:rsidR="00395181">
        <w:t xml:space="preserve"> and expanded networks of trust</w:t>
      </w:r>
      <w:r w:rsidR="00D55870">
        <w:t xml:space="preserve">. </w:t>
      </w:r>
      <w:r w:rsidR="00980785">
        <w:t xml:space="preserve">The marriage tie of individuals whose family and kin operated within the same </w:t>
      </w:r>
      <w:r w:rsidR="00BA7091">
        <w:t>trade</w:t>
      </w:r>
      <w:r w:rsidR="00BB6429">
        <w:t>,</w:t>
      </w:r>
      <w:r w:rsidR="00980785">
        <w:t xml:space="preserve"> cotton manufacturing</w:t>
      </w:r>
      <w:r w:rsidR="00857928">
        <w:t xml:space="preserve"> combined</w:t>
      </w:r>
      <w:r w:rsidR="000F5A90">
        <w:t>,</w:t>
      </w:r>
      <w:r w:rsidR="00857928">
        <w:t xml:space="preserve"> ascribed trust</w:t>
      </w:r>
      <w:r w:rsidR="001E5DB2">
        <w:t xml:space="preserve"> </w:t>
      </w:r>
      <w:r w:rsidR="00654C9C">
        <w:t xml:space="preserve">that was </w:t>
      </w:r>
      <w:r w:rsidR="001E5DB2">
        <w:t xml:space="preserve">built </w:t>
      </w:r>
      <w:r w:rsidR="00654C9C">
        <w:t xml:space="preserve">and </w:t>
      </w:r>
      <w:r w:rsidR="000F5A90">
        <w:t>based on</w:t>
      </w:r>
      <w:r w:rsidR="001E5DB2">
        <w:t xml:space="preserve"> </w:t>
      </w:r>
      <w:r w:rsidR="00945C92">
        <w:t xml:space="preserve">the </w:t>
      </w:r>
      <w:r w:rsidR="001E5DB2">
        <w:t>mutual endeavou</w:t>
      </w:r>
      <w:r w:rsidR="000F5A90">
        <w:t>r</w:t>
      </w:r>
      <w:r w:rsidR="00857928">
        <w:t xml:space="preserve"> with kinship trust</w:t>
      </w:r>
      <w:r w:rsidR="00133E25">
        <w:t xml:space="preserve"> to form </w:t>
      </w:r>
      <w:r w:rsidR="00D17583">
        <w:t xml:space="preserve">stronger community connections that were bound by multiple </w:t>
      </w:r>
      <w:r w:rsidR="00556B38">
        <w:t xml:space="preserve">strands of trust. </w:t>
      </w:r>
      <w:r w:rsidR="00763CAC">
        <w:t>Previously</w:t>
      </w:r>
      <w:r w:rsidR="009D6B8F">
        <w:t>,</w:t>
      </w:r>
      <w:r w:rsidR="00763CAC">
        <w:t xml:space="preserve"> the marriage tie has been noted to have been uti</w:t>
      </w:r>
      <w:r w:rsidR="009D6B8F">
        <w:t>l</w:t>
      </w:r>
      <w:r w:rsidR="00763CAC">
        <w:t xml:space="preserve">ised </w:t>
      </w:r>
      <w:r w:rsidR="009D6B8F">
        <w:t>for</w:t>
      </w:r>
      <w:r w:rsidR="00763CAC">
        <w:t xml:space="preserve"> the benefit of the business networks</w:t>
      </w:r>
      <w:r w:rsidR="009D6B8F">
        <w:t xml:space="preserve">. </w:t>
      </w:r>
      <w:r w:rsidR="008B7D86">
        <w:t>However, I would argue that the marriage alliance</w:t>
      </w:r>
      <w:r w:rsidR="00BB6429">
        <w:t>,</w:t>
      </w:r>
      <w:r w:rsidR="008B7D86">
        <w:t xml:space="preserve"> coupled with the resulting blood ties of the next generation</w:t>
      </w:r>
      <w:r w:rsidR="00BB6429">
        <w:t>,</w:t>
      </w:r>
      <w:r w:rsidR="00AC231A">
        <w:t xml:space="preserve"> created the primary space in which the morality of trustworthiness and the </w:t>
      </w:r>
      <w:r w:rsidR="007E4CE4">
        <w:t xml:space="preserve">desire to conform to the ideal character traits were </w:t>
      </w:r>
      <w:r w:rsidR="0011290E">
        <w:t xml:space="preserve">instilled in the next generation. The generation with the power within the </w:t>
      </w:r>
      <w:r w:rsidR="003F275B">
        <w:t xml:space="preserve">kinship networks </w:t>
      </w:r>
      <w:r w:rsidR="00EC512C">
        <w:t xml:space="preserve">helped </w:t>
      </w:r>
      <w:r w:rsidR="003F275B">
        <w:t>cho</w:t>
      </w:r>
      <w:r w:rsidR="003F0580">
        <w:t>o</w:t>
      </w:r>
      <w:r w:rsidR="003F275B">
        <w:t>se the direction of the next generations</w:t>
      </w:r>
      <w:r w:rsidR="00294C6C">
        <w:t>’ space and learning environments</w:t>
      </w:r>
      <w:r w:rsidR="00D71C17">
        <w:t xml:space="preserve">, where they would learn </w:t>
      </w:r>
      <w:r w:rsidR="00971D5E">
        <w:t xml:space="preserve">to trust </w:t>
      </w:r>
      <w:r w:rsidR="00BA7091">
        <w:t>each other,</w:t>
      </w:r>
      <w:r w:rsidR="00971D5E">
        <w:t xml:space="preserve"> and which parameters would fulfil the </w:t>
      </w:r>
      <w:r w:rsidR="004055CC">
        <w:t>conceptualisation</w:t>
      </w:r>
      <w:r w:rsidR="00971D5E">
        <w:t xml:space="preserve"> of what a trustworthy person would be. </w:t>
      </w:r>
      <w:r w:rsidR="004055CC">
        <w:t>The parents would choose which school to send their children to</w:t>
      </w:r>
      <w:r w:rsidR="00216661">
        <w:t xml:space="preserve"> within the available choices</w:t>
      </w:r>
      <w:r w:rsidR="00803615">
        <w:t xml:space="preserve"> based on class, gender</w:t>
      </w:r>
      <w:r w:rsidR="00F655A0">
        <w:t>,</w:t>
      </w:r>
      <w:r w:rsidR="00803615">
        <w:t xml:space="preserve"> and geography</w:t>
      </w:r>
      <w:r w:rsidR="00216661">
        <w:t xml:space="preserve">. </w:t>
      </w:r>
      <w:r w:rsidR="005C6408">
        <w:t xml:space="preserve">A negotiation between parents and society would </w:t>
      </w:r>
      <w:r w:rsidR="003E2BB4">
        <w:t xml:space="preserve">inform these choices. </w:t>
      </w:r>
      <w:r w:rsidR="00D6161F">
        <w:t>The Evans family had a greater choice than either the McConnel or Kennedy families did in the eighteenth century</w:t>
      </w:r>
      <w:r w:rsidR="003F0580">
        <w:t>. Still, the</w:t>
      </w:r>
      <w:r w:rsidR="001F6BC8">
        <w:t xml:space="preserve"> McConnel and Kennedy families</w:t>
      </w:r>
      <w:r w:rsidR="00F414E1">
        <w:t xml:space="preserve">’ choices </w:t>
      </w:r>
      <w:r w:rsidR="00941AA8">
        <w:t>opened</w:t>
      </w:r>
      <w:r w:rsidR="00F414E1">
        <w:t xml:space="preserve"> when their wealth and social status </w:t>
      </w:r>
      <w:r w:rsidR="00165D45">
        <w:t>increased. By looking at the similarities and differences of these two case studies</w:t>
      </w:r>
      <w:r w:rsidR="00450772">
        <w:t xml:space="preserve">, the difference in </w:t>
      </w:r>
      <w:r w:rsidR="0029328A">
        <w:t xml:space="preserve">their </w:t>
      </w:r>
      <w:r w:rsidR="00450772">
        <w:t>choice</w:t>
      </w:r>
      <w:r w:rsidR="0029328A">
        <w:t>s</w:t>
      </w:r>
      <w:r w:rsidR="00450772">
        <w:t xml:space="preserve"> </w:t>
      </w:r>
      <w:r w:rsidR="00F655A0">
        <w:t>also reflects</w:t>
      </w:r>
      <w:r w:rsidR="00450772">
        <w:t xml:space="preserve"> the </w:t>
      </w:r>
      <w:r w:rsidR="00F655A0">
        <w:t>families' reputations</w:t>
      </w:r>
      <w:r w:rsidR="003F0580">
        <w:t xml:space="preserve">. </w:t>
      </w:r>
      <w:r w:rsidR="00A87098">
        <w:t>The</w:t>
      </w:r>
      <w:r w:rsidR="003221AD">
        <w:t xml:space="preserve"> education networks for the younger members of the kinship group established </w:t>
      </w:r>
      <w:r w:rsidR="00381CA8">
        <w:t xml:space="preserve">early on in their lives a network of </w:t>
      </w:r>
      <w:r w:rsidR="00D205A9">
        <w:t xml:space="preserve">peers that they could </w:t>
      </w:r>
      <w:r w:rsidR="00127E7C">
        <w:t xml:space="preserve">call upon later in their careers. In the case of the </w:t>
      </w:r>
      <w:r w:rsidR="00B64470">
        <w:t>upper-middle-class</w:t>
      </w:r>
      <w:r w:rsidR="00127E7C">
        <w:t xml:space="preserve"> Evans family and the next generation of </w:t>
      </w:r>
      <w:r w:rsidR="00524194">
        <w:t xml:space="preserve">the McConnel and Kennedy family beyond James and John – the schools were themselves a signifier of trustworthy characters and respectable </w:t>
      </w:r>
      <w:r w:rsidR="001F7985">
        <w:t xml:space="preserve">men ready to be moulded further into safe and reliable men of business or women of genteel domesticity.  </w:t>
      </w:r>
    </w:p>
    <w:p w14:paraId="6BD4006D" w14:textId="77777777" w:rsidR="00F86EB5" w:rsidRDefault="00B64470" w:rsidP="005A05DF">
      <w:pPr>
        <w:sectPr w:rsidR="00F86EB5">
          <w:footnotePr>
            <w:numRestart w:val="eachSect"/>
          </w:footnotePr>
          <w:pgSz w:w="11906" w:h="16838"/>
          <w:pgMar w:top="1440" w:right="1440" w:bottom="1440" w:left="1440" w:header="708" w:footer="708" w:gutter="0"/>
          <w:cols w:space="708"/>
          <w:docGrid w:linePitch="360"/>
        </w:sectPr>
      </w:pPr>
      <w:r w:rsidRPr="00B64470">
        <w:t>In conclusion, this chapter has illustrated the pivotal role of kinship ties, marriage alliances,</w:t>
      </w:r>
      <w:r w:rsidR="002C33EB">
        <w:t xml:space="preserve"> the household </w:t>
      </w:r>
      <w:r w:rsidR="00356320">
        <w:t>family, domestic</w:t>
      </w:r>
      <w:r w:rsidRPr="00B64470">
        <w:t xml:space="preserve"> and education network</w:t>
      </w:r>
      <w:r w:rsidR="002C33EB">
        <w:t xml:space="preserve"> that underpinned the business networks of the </w:t>
      </w:r>
      <w:r w:rsidR="00CB0498">
        <w:t>cotton-spinning</w:t>
      </w:r>
      <w:r w:rsidRPr="00B64470">
        <w:t xml:space="preserve"> firms. It has shown how these interconnected aspects not only fostered trust and reputation but also influenced the next generation's character and career choices. By examining the case studies of the Evans, McConnel, and Kennedy families, we see that these dynamics had a </w:t>
      </w:r>
      <w:r w:rsidRPr="00B64470">
        <w:lastRenderedPageBreak/>
        <w:t>profound impact on the evolution of their businesses and social standing. Ultimately, kinship, marriage, and education networks created a web of trust and opportunity, mo</w:t>
      </w:r>
      <w:r w:rsidR="00631930">
        <w:t>u</w:t>
      </w:r>
      <w:r w:rsidRPr="00B64470">
        <w:t>lding individuals into trustworthy and respectable figures within their respective communities and professions.</w:t>
      </w:r>
      <w:r w:rsidR="00B75EB1">
        <w:t xml:space="preserve"> This was also fostered in the community and religious networks that will be explored in the next chapter. </w:t>
      </w:r>
    </w:p>
    <w:p w14:paraId="3FC23E96" w14:textId="6A76B2BF" w:rsidR="005A05DF" w:rsidRPr="00817B40" w:rsidRDefault="005A05DF" w:rsidP="00817B40">
      <w:pPr>
        <w:pStyle w:val="Heading1"/>
        <w:jc w:val="both"/>
        <w:rPr>
          <w:rFonts w:asciiTheme="minorHAnsi" w:hAnsiTheme="minorHAnsi" w:cstheme="minorHAnsi"/>
          <w:b/>
          <w:bCs/>
          <w:color w:val="auto"/>
          <w:sz w:val="28"/>
          <w:szCs w:val="28"/>
        </w:rPr>
      </w:pPr>
      <w:bookmarkStart w:id="92" w:name="_Toc170825671"/>
      <w:r w:rsidRPr="00817B40">
        <w:rPr>
          <w:rFonts w:asciiTheme="minorHAnsi" w:hAnsiTheme="minorHAnsi" w:cstheme="minorHAnsi"/>
          <w:b/>
          <w:bCs/>
          <w:color w:val="auto"/>
          <w:sz w:val="28"/>
          <w:szCs w:val="28"/>
        </w:rPr>
        <w:lastRenderedPageBreak/>
        <w:t>Chapter Three: Community, Religious, and Business Networks</w:t>
      </w:r>
      <w:bookmarkEnd w:id="92"/>
    </w:p>
    <w:p w14:paraId="19E7C8BA" w14:textId="77777777" w:rsidR="005A05DF" w:rsidRPr="00817B40" w:rsidRDefault="005A05DF" w:rsidP="00817B40">
      <w:pPr>
        <w:pStyle w:val="Heading2"/>
        <w:rPr>
          <w:rFonts w:asciiTheme="minorHAnsi" w:hAnsiTheme="minorHAnsi" w:cstheme="minorHAnsi"/>
          <w:b/>
          <w:bCs/>
          <w:color w:val="auto"/>
          <w:sz w:val="24"/>
          <w:szCs w:val="24"/>
        </w:rPr>
      </w:pPr>
      <w:bookmarkStart w:id="93" w:name="_Toc170825672"/>
      <w:r w:rsidRPr="00817B40">
        <w:rPr>
          <w:rFonts w:asciiTheme="minorHAnsi" w:hAnsiTheme="minorHAnsi" w:cstheme="minorHAnsi"/>
          <w:b/>
          <w:bCs/>
          <w:color w:val="auto"/>
          <w:sz w:val="24"/>
          <w:szCs w:val="24"/>
        </w:rPr>
        <w:t>Introduction</w:t>
      </w:r>
      <w:bookmarkEnd w:id="93"/>
    </w:p>
    <w:p w14:paraId="6C0C3EF1" w14:textId="77777777" w:rsidR="005A05DF" w:rsidRPr="005A05DF" w:rsidRDefault="005A05DF" w:rsidP="005A05DF">
      <w:r w:rsidRPr="005A05DF">
        <w:t>This chapter argues that trust, trustworthiness, and reputations of network actors that surrounded and operated the cotton mills were forged and negotiated within the community as well as in the family and home. The societal negotiation of what constituted trustworthy and reputable behaviours occurred in religious associations and social connections at balls, assemblies, coffeehouses, local philosophical societies, and other social associations. Social capital and reputations of respectability, reliability and acceptable social norms and behaviours were firmed up, routed through, and intersected with kinship structures throughout the community. These were then transferred into the business networks of each cotton-spinning firm. This consolidated the social capital held by individuals and groups of kinship members and channelled into the cotton industry. This could manifest differently, as shown when considering the similarities and differences between the McConnel &amp; Kennedy and Evans case studies. The Evans, Strutt, McConnel, and Kennedy families were all influenced by their respective middle-class liberal cultures as they all prescribed to the Whig politics of the day. However, the McConnel and Kennedy families were less emphatic in expressing political views. The Evans family built their reputations on being abolitionists. In contrast, James McConnel built his reputation on being an astute businessman, and John Kennedy focused on being a key industrialist thinker and writer on the cotton trade. Key members from each network joined their local societies and built their reputations in the community through their involvement in improvement projects and charity for their local communities. Therefore, I contend that the trust and reputations that the network members built enabled them to harness the resources they required from the goodwill and trust their communities placed upon them to build a legacy of prosperity. Peter Ester argues that social capital indicates the resources individuals derive from group or community membership; it enhances the predictability of group members’ behaviour and increases access to community information channels.</w:t>
      </w:r>
      <w:r w:rsidRPr="005A05DF">
        <w:rPr>
          <w:vertAlign w:val="superscript"/>
        </w:rPr>
        <w:footnoteReference w:id="280"/>
      </w:r>
      <w:r w:rsidRPr="005A05DF">
        <w:t xml:space="preserve"> This is well reflected in the cotton mills and their community networks, often translated into business opportunities for the cotton mills and their business exchange partners within the local community. Most suppliers for the mill, except raw cotton and oils and lubricants, were found within each firm's local and regional networks. Trust and reputation built in the community were fundamental to the cotton mills as the network actors were also actors within the community. </w:t>
      </w:r>
    </w:p>
    <w:p w14:paraId="2CD7864F" w14:textId="439B11AF" w:rsidR="005A05DF" w:rsidRPr="005A05DF" w:rsidRDefault="005A05DF" w:rsidP="005A05DF">
      <w:r w:rsidRPr="005A05DF">
        <w:t xml:space="preserve">As the historian </w:t>
      </w:r>
      <w:proofErr w:type="spellStart"/>
      <w:r w:rsidRPr="005A05DF">
        <w:t>Sheryllynne</w:t>
      </w:r>
      <w:proofErr w:type="spellEnd"/>
      <w:r w:rsidRPr="005A05DF">
        <w:t xml:space="preserve"> Haggerty has argued, eighteenth-century business was socially embedded, informed, framed, and shaped by the wider social, economic, political, and cultural milieu in which the merchants operated.</w:t>
      </w:r>
      <w:r w:rsidRPr="005A05DF">
        <w:rPr>
          <w:vertAlign w:val="superscript"/>
        </w:rPr>
        <w:footnoteReference w:id="281"/>
      </w:r>
      <w:r w:rsidRPr="005A05DF">
        <w:t xml:space="preserve"> She concludes that because of this, merchants could not act purely to maximise their profits but were morally and culturally responsible for their wider community.</w:t>
      </w:r>
      <w:r w:rsidRPr="005A05DF">
        <w:rPr>
          <w:vertAlign w:val="superscript"/>
        </w:rPr>
        <w:footnoteReference w:id="282"/>
      </w:r>
      <w:r w:rsidRPr="005A05DF">
        <w:t xml:space="preserve"> The welfare of the business community and the networks as a collective was ideally the responsibility of all network members, promoting self-regulation in behaviour and conduct. This chimes well with the findings of this research, as the correspondence of the cotton mill networks is full of examples of regulatory advice regarding the obligations and conduct of its members. Mary B. Rose has shown that British cotton manufacturing firms were embedded in their local communities.</w:t>
      </w:r>
      <w:r w:rsidRPr="005A05DF">
        <w:rPr>
          <w:vertAlign w:val="superscript"/>
        </w:rPr>
        <w:footnoteReference w:id="283"/>
      </w:r>
      <w:r w:rsidRPr="005A05DF">
        <w:t xml:space="preserve"> This phenomenon is evident in the Boar’s Head Cotton Mills and the McConnel &amp; Kennedy Mills. These mills were formed from close association ties within their local communities. The mills were </w:t>
      </w:r>
      <w:r w:rsidRPr="005A05DF">
        <w:lastRenderedPageBreak/>
        <w:t xml:space="preserve">operated and managed by members of </w:t>
      </w:r>
      <w:proofErr w:type="gramStart"/>
      <w:r w:rsidRPr="005A05DF">
        <w:t>ever-evolving</w:t>
      </w:r>
      <w:proofErr w:type="gramEnd"/>
      <w:r w:rsidRPr="005A05DF">
        <w:t xml:space="preserve"> and growing industrialising communities. Although the partnership and kinship groups that owned and managed the mills operated them to collect a profit, this was not their only concern. I argue that it is reasonable to assume that individuals within the cotton mill networks brought their moral values, sense of social responsibility, and the trustworthiness they had established within their family, kinship, community, and religious circles into their business ethos and ethics. The same people who would meet in the social and community settings would form the business networks, which often overlapped. The social responsibility formed within the communities will have significantly impacted how the business networks formed and operated. Nonetheless, I will also demonstrate that the ideals formed in these networks and communities required ongoing behaviour management and negotiation. Many of these ideals posed challenges for individuals to uphold.</w:t>
      </w:r>
    </w:p>
    <w:p w14:paraId="634847C2" w14:textId="77777777" w:rsidR="005A05DF" w:rsidRDefault="005A05DF" w:rsidP="00817B40">
      <w:pPr>
        <w:pStyle w:val="Heading2"/>
        <w:rPr>
          <w:rFonts w:asciiTheme="minorHAnsi" w:hAnsiTheme="minorHAnsi" w:cstheme="minorHAnsi"/>
          <w:b/>
          <w:bCs/>
          <w:color w:val="auto"/>
          <w:sz w:val="24"/>
          <w:szCs w:val="24"/>
        </w:rPr>
      </w:pPr>
      <w:bookmarkStart w:id="95" w:name="_Toc170825673"/>
      <w:r w:rsidRPr="00817B40">
        <w:rPr>
          <w:rFonts w:asciiTheme="minorHAnsi" w:hAnsiTheme="minorHAnsi" w:cstheme="minorHAnsi"/>
          <w:b/>
          <w:bCs/>
          <w:color w:val="auto"/>
          <w:sz w:val="24"/>
          <w:szCs w:val="24"/>
        </w:rPr>
        <w:t>The Cotton-Spinning Firms were an Integral Part of the Community</w:t>
      </w:r>
      <w:bookmarkEnd w:id="95"/>
      <w:r w:rsidRPr="00817B40">
        <w:rPr>
          <w:rFonts w:asciiTheme="minorHAnsi" w:hAnsiTheme="minorHAnsi" w:cstheme="minorHAnsi"/>
          <w:b/>
          <w:bCs/>
          <w:color w:val="auto"/>
          <w:sz w:val="24"/>
          <w:szCs w:val="24"/>
        </w:rPr>
        <w:t xml:space="preserve"> </w:t>
      </w:r>
    </w:p>
    <w:p w14:paraId="2568C5EA" w14:textId="77777777" w:rsidR="00817B40" w:rsidRDefault="005A05DF" w:rsidP="00817B40">
      <w:pPr>
        <w:rPr>
          <w:b/>
          <w:bCs/>
        </w:rPr>
      </w:pPr>
      <w:r w:rsidRPr="00817B40">
        <w:rPr>
          <w:b/>
          <w:bCs/>
        </w:rPr>
        <w:t xml:space="preserve">Close Association Bonds </w:t>
      </w:r>
    </w:p>
    <w:p w14:paraId="7ECAEA76" w14:textId="6D5D0A80" w:rsidR="005A05DF" w:rsidRPr="005A05DF" w:rsidRDefault="005A05DF" w:rsidP="00817B40">
      <w:pPr>
        <w:rPr>
          <w:i/>
          <w:iCs/>
        </w:rPr>
      </w:pPr>
      <w:r w:rsidRPr="005A05DF">
        <w:rPr>
          <w:i/>
          <w:iCs/>
        </w:rPr>
        <w:t>Kinshi</w:t>
      </w:r>
      <w:r w:rsidR="001572D3">
        <w:rPr>
          <w:i/>
          <w:iCs/>
        </w:rPr>
        <w:t>p,</w:t>
      </w:r>
      <w:r w:rsidRPr="005A05DF">
        <w:rPr>
          <w:i/>
          <w:iCs/>
        </w:rPr>
        <w:t xml:space="preserve"> the Community</w:t>
      </w:r>
      <w:r w:rsidR="001572D3">
        <w:rPr>
          <w:i/>
          <w:iCs/>
        </w:rPr>
        <w:t xml:space="preserve"> and Shared Identity</w:t>
      </w:r>
    </w:p>
    <w:p w14:paraId="4991A6A7" w14:textId="77777777" w:rsidR="005A05DF" w:rsidRPr="005A05DF" w:rsidRDefault="005A05DF" w:rsidP="005A05DF">
      <w:r w:rsidRPr="005A05DF">
        <w:t>Neither the Boar’s Head Cotton Mills nor the McConnel &amp; Kennedy Mills were initially established based solely on kinship ties; instead, their foundations were rooted in close, trusted associations formed within the local community. Mary B. Rose has suggested that British cotton spinning firms were firmly embedded in and inseparable from their local communities during the early stages of industrialisation.</w:t>
      </w:r>
      <w:r w:rsidRPr="005A05DF">
        <w:rPr>
          <w:vertAlign w:val="superscript"/>
        </w:rPr>
        <w:footnoteReference w:id="284"/>
      </w:r>
      <w:r w:rsidRPr="005A05DF">
        <w:t xml:space="preserve"> This is reflected in both the Derwent Valley and Manchester with these two firms. As has been established, Thomas Evans partnered with close business associates and banking customers Strutt and Arkwright, while James McConnel and John Kennedy came together through their shared apprenticeship connectivity under master William Cannan. However, the community networks combined with and formed kinship networks that became the backbone of the networks of trusted people surrounding the cotton-spinning firms. Therefore, I would contend that the interconnectivity and interdependency of community and kinship were the driving force behind the establishment and expansion of these two mills in the early phase of the Industrial Revolution. Moreover, the formation of the mills induced the establishment of new mill communities for the working classes, which changed the structure of their kinship groups.  </w:t>
      </w:r>
    </w:p>
    <w:p w14:paraId="3F255F34" w14:textId="1188D8EA" w:rsidR="005A05DF" w:rsidRPr="005A05DF" w:rsidRDefault="005A05DF" w:rsidP="005A05DF">
      <w:r w:rsidRPr="005A05DF">
        <w:t>The social and community networks that the owners and managers of the cotton-spinning firms populated differed from those who operated their machinery and worked on the factory floor. Sunderland has equated community and shared identity within networks to be differentiated between classes. He noted that elite and middle-class networks transcended the constraints of the neighbourhood.</w:t>
      </w:r>
      <w:r w:rsidRPr="005A05DF">
        <w:rPr>
          <w:vertAlign w:val="superscript"/>
        </w:rPr>
        <w:footnoteReference w:id="285"/>
      </w:r>
      <w:r w:rsidRPr="005A05DF">
        <w:t xml:space="preserve"> The merchants and manufacturers made webs of connections that spanned different communities, as the webs were more geographically dispersed. Evidence in the mill documents shows the factory masters regarded themselves as a distinct and separate class from their spinners and that local factors did not constrain their network. Rather, their shared identities were with those most relatable regardless of their regional and geographical location. Insights into this distinction can be seen when a wage dispute arose in September 1802 as the spinners in Stockport began advocating for higher wages. In a letter to McConnel &amp; Kennedy dated 30th September 1802, Will Howard of James Brown &amp; Sons stated that many </w:t>
      </w:r>
      <w:r w:rsidR="00AC76AE">
        <w:t xml:space="preserve">operative </w:t>
      </w:r>
      <w:r w:rsidRPr="005A05DF">
        <w:t>spinners in Stockport demanded increased wages.</w:t>
      </w:r>
      <w:r w:rsidR="0087383E">
        <w:rPr>
          <w:rStyle w:val="FootnoteReference"/>
        </w:rPr>
        <w:footnoteReference w:id="286"/>
      </w:r>
      <w:r w:rsidRPr="005A05DF">
        <w:t xml:space="preserve"> However, the masters were determined to stand united against these demands. The letter not only urged McConnel &amp; Kennedy not to hire any of the </w:t>
      </w:r>
      <w:r w:rsidRPr="005A05DF">
        <w:lastRenderedPageBreak/>
        <w:t>spinners under their employment until the dispute was resolved but also encouraged them to spread the same message to their neighbours and fellow employers.</w:t>
      </w:r>
      <w:r w:rsidR="00D04FCA">
        <w:rPr>
          <w:rStyle w:val="FootnoteReference"/>
        </w:rPr>
        <w:footnoteReference w:id="287"/>
      </w:r>
      <w:r w:rsidRPr="005A05DF">
        <w:t xml:space="preserve"> This correspondence underscores the prevailing power and unity among factory masters, entities often in competition against one another, showcasing a shared sense of identity that facilitated cooperation within their ranks. The increased wages in Stockport would have implications for the desired wages in Manchester, directly affecting McConnel &amp; Kennedy. The shared interests of the factory masters necessitated them to trust in each other and represent each other for the mutual benefit of their network. This correspondence emphasises the distinctions between the workers and their employers. It also highlights a shared sense of identity within the factory masters and that the factory masters' community spanned geographical distances. It chimes well with Sunderland’s ascribed trust explanation of trust, where the network agents acknowledged a shared set of characteristics, in this case – a shared identity of class and occupation. This, therefore, underscores the complexities of the networks and their memberships.</w:t>
      </w:r>
    </w:p>
    <w:p w14:paraId="17C234EB" w14:textId="77777777" w:rsidR="005A05DF" w:rsidRPr="005A05DF" w:rsidRDefault="005A05DF" w:rsidP="005A05DF">
      <w:r w:rsidRPr="005A05DF">
        <w:rPr>
          <w:i/>
          <w:iCs/>
        </w:rPr>
        <w:t>Membership and Belonging</w:t>
      </w:r>
    </w:p>
    <w:p w14:paraId="1074EBD9" w14:textId="16B092C7" w:rsidR="005A05DF" w:rsidRPr="005A05DF" w:rsidRDefault="005A05DF" w:rsidP="005A05DF">
      <w:r w:rsidRPr="005A05DF">
        <w:t>The industrialisation of the cotton trade in Britain ushered in significant social and economic transformations within British society, impacting both factory masters and the working classes and their sense of identity and belonging. Amidst these changes, there existed an ideal of close-knit bonds within the manufacturing community. However, like the idealised trust levels, the models of the ideal man of business and the 'ideal domestic woman’, the internal feeling of closeness and sense of belonging in these circles were not always attainable for members of this network. A 1786 letter exchanged between Jedediah Strutt and Elizabeth Evans offers valuable insights into the conflicting sentiments that the fashionable society of the time required compared with the mindset of determined manufacturers like Strutt.</w:t>
      </w:r>
      <w:r w:rsidR="007C3E43">
        <w:rPr>
          <w:rStyle w:val="FootnoteReference"/>
        </w:rPr>
        <w:footnoteReference w:id="288"/>
      </w:r>
      <w:r w:rsidRPr="005A05DF">
        <w:t xml:space="preserve"> Notably, the Evans and Strutt kinship group possessed great wealth, granting them access to the world of fashionable society – should they choose to pursue it. However, within this letter, Strutt's personality, characterised by careful frugality and disdain for the frivolities of fashionable social circles, underscores his feeling of not truly belonging to that world. This letter</w:t>
      </w:r>
      <w:r w:rsidR="001572D3" w:rsidRPr="005A05DF">
        <w:t xml:space="preserve"> challenges</w:t>
      </w:r>
      <w:r w:rsidRPr="005A05DF">
        <w:t xml:space="preserve"> </w:t>
      </w:r>
      <w:r w:rsidRPr="00562549">
        <w:rPr>
          <w:color w:val="000000" w:themeColor="text1"/>
        </w:rPr>
        <w:t>the</w:t>
      </w:r>
      <w:r w:rsidR="00AC76AE" w:rsidRPr="00562549">
        <w:rPr>
          <w:color w:val="000000" w:themeColor="text1"/>
        </w:rPr>
        <w:t xml:space="preserve"> limits of the concepts of trust and reputation</w:t>
      </w:r>
      <w:r w:rsidRPr="005A05DF">
        <w:t xml:space="preserve">, as it exposes the contrast between Strutt's private </w:t>
      </w:r>
      <w:r w:rsidR="001572D3" w:rsidRPr="005A05DF">
        <w:t>thoughts,</w:t>
      </w:r>
      <w:r w:rsidRPr="005A05DF">
        <w:t xml:space="preserve"> and the public obligations expected within the social and business networks he navigated. The societal norms of the genteel company, including attending assemblies, balls, concerts, plays, and shows and participating in the summer season to be seen as fashionable, were social obligations Strutt found challenging to fulfil. In the letter, he implores Elizabeth Evans to consider his humble background and personal values when engaging in the superficialities of that world. He urges her to embrace industriousness, temperance, and frugality, regardless of her fortune.</w:t>
      </w:r>
      <w:r w:rsidR="00A5462E">
        <w:rPr>
          <w:rStyle w:val="FootnoteReference"/>
        </w:rPr>
        <w:footnoteReference w:id="289"/>
      </w:r>
      <w:r w:rsidRPr="005A05DF">
        <w:t xml:space="preserve"> In essence, this letter sheds light on some of the profound societal and economic shifts resulting from the industrialisation of the textile trade in Britain. Strutt's personal experiences, his changing social status and wealth, and the contrast between the new public expectations placed upon him and his private beliefs show the complexities of network membership during this historical period. </w:t>
      </w:r>
    </w:p>
    <w:p w14:paraId="70889A74" w14:textId="3F41FEBE" w:rsidR="005A05DF" w:rsidRPr="005A05DF" w:rsidRDefault="005A05DF" w:rsidP="005A05DF">
      <w:r w:rsidRPr="005A05DF">
        <w:t xml:space="preserve">In this letter, the network members were far from a uniform group; they exhibited diverse personalities, conflicting views, and sometimes contradictory </w:t>
      </w:r>
      <w:r w:rsidR="00AC76AE" w:rsidRPr="00562549">
        <w:rPr>
          <w:color w:val="000000" w:themeColor="text1"/>
        </w:rPr>
        <w:t>values</w:t>
      </w:r>
      <w:r w:rsidRPr="00562549">
        <w:rPr>
          <w:color w:val="000000" w:themeColor="text1"/>
        </w:rPr>
        <w:t>.</w:t>
      </w:r>
      <w:r w:rsidRPr="005A05DF">
        <w:t xml:space="preserve"> Also, disputes arose within the community and social networks to which the kinship groups were connected. Erasmus Darwin was a key member of the social and community networks of the Evans family. He was a personal </w:t>
      </w:r>
      <w:r w:rsidRPr="005A05DF">
        <w:lastRenderedPageBreak/>
        <w:t>correspondent of many Evans-Strutt kinship group members, including Mrs. Barbara Strutt, Jedediah, Joseph, William Senior, William Junior, Mrs. Elizabeth Evans, and Charles Upton.</w:t>
      </w:r>
      <w:r w:rsidRPr="005A05DF">
        <w:rPr>
          <w:vertAlign w:val="superscript"/>
        </w:rPr>
        <w:footnoteReference w:id="290"/>
      </w:r>
      <w:r w:rsidRPr="005A05DF">
        <w:t xml:space="preserve"> Charles Upton, the son-in-law of Thomas Evans through his daughter Sarah, was an attorney at Derby who owned a house that adjoined Erasmus Darwin’s in Full Street in Derby. There was a dispute between the two regarding the positioning of windows that overlooked each other’s property. The dispute escalated when Upton thought the conduct of Darwin was disappointing in so ‘near a neighbour.’</w:t>
      </w:r>
      <w:r w:rsidRPr="005A05DF">
        <w:rPr>
          <w:vertAlign w:val="superscript"/>
        </w:rPr>
        <w:footnoteReference w:id="291"/>
      </w:r>
      <w:r w:rsidRPr="005A05DF">
        <w:t xml:space="preserve"> This example of Darwin and Upton pursuing a legal remedy for a neighbourhood and community-based dispute shows that the close-knit community networks did not always promote trust and that actors did not always perceive each other as trustworthy members who conformed to the expected codes of conduct. However, this deviation from the expected norms of the networks did not stop Darwin and Upton from being friends and cooperative community members when they met and worked together in other capacities and for other works of mutual benefit. This shows that the contradictory ideas within the network could even be held by the same person who could enact differing roles and ideas concurrently, as Darwin and Upton could simultaneously be both friends and adversaries.  </w:t>
      </w:r>
    </w:p>
    <w:p w14:paraId="439A3DF1" w14:textId="59374EE2" w:rsidR="005A05DF" w:rsidRPr="005A05DF" w:rsidRDefault="005A05DF" w:rsidP="005A05DF">
      <w:r w:rsidRPr="005A05DF">
        <w:t xml:space="preserve">The Evans family </w:t>
      </w:r>
      <w:r w:rsidR="00AC76AE">
        <w:t>performed</w:t>
      </w:r>
      <w:r w:rsidRPr="005A05DF">
        <w:t xml:space="preserve"> multiple societal roles, including participating in the urban and rural social circles of Derbyshire’s middle-classes and elites. They were open to many differing influences and adopted many differing roles. For instance, they were deeply embedded in a web of social connections centred around Matlock Bath, a fashionable hub of their social circles. Another letter dated June 22nd, 1777, a few years before the establishment of the Boar’s Head </w:t>
      </w:r>
      <w:r w:rsidR="00100A7A">
        <w:t xml:space="preserve">Cotton </w:t>
      </w:r>
      <w:r w:rsidRPr="005A05DF">
        <w:t xml:space="preserve">Mills, reveals that the Evans family was closely associated with prominent Derbyshire families, including the </w:t>
      </w:r>
      <w:proofErr w:type="spellStart"/>
      <w:r w:rsidRPr="005A05DF">
        <w:t>Arkwrights</w:t>
      </w:r>
      <w:proofErr w:type="spellEnd"/>
      <w:r w:rsidRPr="005A05DF">
        <w:t xml:space="preserve">, Simpsons, </w:t>
      </w:r>
      <w:proofErr w:type="spellStart"/>
      <w:r w:rsidRPr="005A05DF">
        <w:t>Toplis</w:t>
      </w:r>
      <w:proofErr w:type="spellEnd"/>
      <w:r w:rsidRPr="005A05DF">
        <w:t xml:space="preserve"> banking family of Wirksworth, and the Mathers of Derby. Within this social circle, Stanley Chapman identified the Evans of Darley Abbey and the Mathers of Derby as central figures.</w:t>
      </w:r>
      <w:r w:rsidRPr="005A05DF">
        <w:rPr>
          <w:vertAlign w:val="superscript"/>
        </w:rPr>
        <w:footnoteReference w:id="292"/>
      </w:r>
      <w:r w:rsidRPr="005A05DF">
        <w:t xml:space="preserve"> They and others joined the Arkwright social circle, which was instrumental in gaining social standing and reputation as a rural elite in Derbyshire. Initially, this appears to conform to the idea that trust was formed around a shared class of people who shared similar ideals and attributes, as suggested by Sunderland’s trust generator. However, what becomes apparent from these letters is that the status of the Evans family was complex; they were middle-class in their manufacturing pursuits but also had gentry affiliations. The Evans family belonged to the rural elites of Derbyshire and was also connected by kinship to the </w:t>
      </w:r>
      <w:r w:rsidR="00AC76AE">
        <w:t>g</w:t>
      </w:r>
      <w:r w:rsidRPr="005A05DF">
        <w:t xml:space="preserve">entry Gell family of Hopton Hall. This complexity highlights that the sense of belonging to a particular class and community was not as straightforward as it might initially appear. The contrast between the personalities of Thomas Evans, Richard Arkwright and Jedediah Strutt highlights the differences; Strutt aligned more closely with middle-class ideals, initially starting with limited means. In contrast, Thomas Evans had middle-class beginnings but hailed from a family with upper-class connections. By entering the cotton trade, they had also acquired upper-class wealth. These personal letters between the members of this social circle show a diverse social network populated by contrasting views and complex identities. The networks were far from a homogenous group. However, I would argue that the joint endeavour to create a distinct identity from their employees and the aristocracy enables the group to stand apart. As bankers, manufacturers and factory owners, the group could find common ground in the shared belonging as industrial capitalists. This shared belonging enabled the generation of trust, but trust was also formed by a pragmatic sense of mutual benefit rather than shared personality traits and attributes.   </w:t>
      </w:r>
    </w:p>
    <w:p w14:paraId="3DDD0C70" w14:textId="77777777" w:rsidR="001572D3" w:rsidRDefault="005A05DF" w:rsidP="005A05DF">
      <w:r w:rsidRPr="005A05DF">
        <w:lastRenderedPageBreak/>
        <w:t xml:space="preserve">By exploring the social backgrounds of the network actors, </w:t>
      </w:r>
      <w:r w:rsidR="00C6683A">
        <w:t>what</w:t>
      </w:r>
      <w:r w:rsidRPr="005A05DF">
        <w:t xml:space="preserve"> becomes clear that the cotton masters of the Industrial Revolution did not emerge from a uniform background; instead, they hailed from diverse social and economic backgrounds while striving to establish a collective identity. The examples of the differences and similarities between Jedediah Strutt and Thomas Evans confirm this. Thomas Evans had benefitted from the advantage of the lead and calamine deposits being on the Evans family land and gentry connections within the family, which Strutt did not have. Likewise, while exploring the class backgrounds of the actors in the other case study, John Kennedy and James McConnel did not originate from the same position within the continuum of the social stratum. James McConnel, the son of an impoverished tenant farmer and Thomas Evans, the son of a wealthy landowner and industrialist, exemplify the extremes of class distinction within these case study examples of the cotton spinners networks. This diversity among cotton mill owners suggests that the network comprised individuals who gained shared common attributes and characteristics from their network interactions as they progressed in their careers and developed common social standings. </w:t>
      </w:r>
    </w:p>
    <w:p w14:paraId="0F470C50" w14:textId="527E7858" w:rsidR="005A05DF" w:rsidRPr="005A05DF" w:rsidRDefault="005A05DF" w:rsidP="005A05DF">
      <w:r w:rsidRPr="005A05DF">
        <w:t>Katrina Honeyman argues that business leadership of the period was a continuation of business leadership based on class and societal position that was in existence before industrialisation. Honeyman concluded that the man of small means did not generally enter the leadership ranks of business.</w:t>
      </w:r>
      <w:r w:rsidRPr="005A05DF">
        <w:rPr>
          <w:vertAlign w:val="superscript"/>
        </w:rPr>
        <w:footnoteReference w:id="293"/>
      </w:r>
      <w:r w:rsidRPr="005A05DF">
        <w:t xml:space="preserve"> Although James McConnel’s background was not of </w:t>
      </w:r>
      <w:r w:rsidR="001572D3">
        <w:t xml:space="preserve">an </w:t>
      </w:r>
      <w:r w:rsidR="001572D3" w:rsidRPr="005A05DF">
        <w:t>agricultural labourer</w:t>
      </w:r>
      <w:r w:rsidRPr="005A05DF">
        <w:t xml:space="preserve"> but </w:t>
      </w:r>
      <w:r w:rsidR="001572D3">
        <w:t xml:space="preserve">a descendant of </w:t>
      </w:r>
      <w:r w:rsidRPr="005A05DF">
        <w:t xml:space="preserve">tenant farmers, his example shows Honeyman’s perspective becomes more accurate the wider the perspective scale. A close-up view of these networks shows a more complex picture. Honeyman’s conclusion would situate James McConnel’s position as unusual as a business leader during this time. Still, the examples of James McConnel, John Kennedy, Jedediah Strutt and the Murray brothers suggest something more complex. It raises the question of when </w:t>
      </w:r>
      <w:r w:rsidR="001572D3">
        <w:t xml:space="preserve">does </w:t>
      </w:r>
      <w:r w:rsidRPr="005A05DF">
        <w:t>a humble background becomes irrelevant in a business leadership role</w:t>
      </w:r>
      <w:r w:rsidR="001572D3">
        <w:t>?</w:t>
      </w:r>
      <w:r w:rsidRPr="005A05DF">
        <w:t xml:space="preserve"> At what point did Honeyman choose class distinction and identity when establishing her categories? Were these people evaluated and categorised at the beginning or end of their careers in which their social standing might change? Honeyman’s conclusions only work if social class were viewed as a static c</w:t>
      </w:r>
      <w:r w:rsidR="001572D3">
        <w:t>oncept that remains unchanged throughout a person’s life.</w:t>
      </w:r>
      <w:r w:rsidRPr="005A05DF">
        <w:t xml:space="preserve"> Many of these examples contradict this. Moreover, business leadership</w:t>
      </w:r>
      <w:r w:rsidR="001572D3">
        <w:t xml:space="preserve"> can be </w:t>
      </w:r>
      <w:r w:rsidR="00672692">
        <w:t>a fleeting experience or a longstanding position in someone life whereas</w:t>
      </w:r>
      <w:r w:rsidRPr="005A05DF">
        <w:t xml:space="preserve"> class </w:t>
      </w:r>
      <w:r w:rsidR="00672692">
        <w:t xml:space="preserve">can be changed through wealth or knowledge acquisition. Where Honeyman’s conclusions work best is when she suggests that there were decreasing opportunities for men of limited means as the industrialised sector of the cotton trade expanded. </w:t>
      </w:r>
    </w:p>
    <w:p w14:paraId="33B010A9" w14:textId="60AA7351" w:rsidR="005A05DF" w:rsidRDefault="005A05DF" w:rsidP="005A05DF">
      <w:pPr>
        <w:rPr>
          <w:b/>
          <w:bCs/>
        </w:rPr>
      </w:pPr>
      <w:r w:rsidRPr="005A05DF">
        <w:rPr>
          <w:b/>
          <w:bCs/>
        </w:rPr>
        <w:t xml:space="preserve">Formation of </w:t>
      </w:r>
      <w:r w:rsidR="001572D3">
        <w:rPr>
          <w:b/>
          <w:bCs/>
        </w:rPr>
        <w:t>Hierarchies</w:t>
      </w:r>
      <w:r w:rsidRPr="005A05DF">
        <w:rPr>
          <w:b/>
          <w:bCs/>
        </w:rPr>
        <w:t xml:space="preserve"> within the </w:t>
      </w:r>
      <w:r w:rsidR="00BC2858">
        <w:rPr>
          <w:b/>
          <w:bCs/>
        </w:rPr>
        <w:t>N</w:t>
      </w:r>
      <w:r w:rsidRPr="005A05DF">
        <w:rPr>
          <w:b/>
          <w:bCs/>
        </w:rPr>
        <w:t xml:space="preserve">etworks </w:t>
      </w:r>
    </w:p>
    <w:p w14:paraId="5EB75173" w14:textId="71EF05B7" w:rsidR="00E015DC" w:rsidRPr="00E015DC" w:rsidRDefault="00E015DC" w:rsidP="00E015DC">
      <w:r w:rsidRPr="00E015DC">
        <w:t>The class and shared identity among cotton mill owners and managers not only defined their careers but also created distinctions between management and workers, establishing a hierarchical structure within the mills. This social hierarchy extended beyond the workplace and was mirrored in the wider community. A clear example of this hierarchical structure can be seen in the figure of Moses Harvey within the social and community dynamics of the Boar's Head Cotton Mills. While</w:t>
      </w:r>
      <w:r w:rsidR="001572D3">
        <w:t xml:space="preserve"> </w:t>
      </w:r>
      <w:r w:rsidRPr="00E015DC">
        <w:t xml:space="preserve">Harvey was not a kinship member of the Evans family, </w:t>
      </w:r>
      <w:r w:rsidR="00EA73FA">
        <w:t xml:space="preserve">he took on a management role within the </w:t>
      </w:r>
      <w:r w:rsidR="00965B71">
        <w:t>firm. H</w:t>
      </w:r>
      <w:r w:rsidRPr="00E015DC">
        <w:t>e held a notable position</w:t>
      </w:r>
      <w:r w:rsidR="00965B71">
        <w:t xml:space="preserve"> within the community and the Evans family</w:t>
      </w:r>
      <w:r w:rsidRPr="00E015DC">
        <w:t xml:space="preserve"> that was commemorated in both St. Edmund's Church in Allestree and St. Matthew's Church at Darley Abbey with plaques. His elevated status was further affirmed by his close relationship with the Evans family. Harvey was responsible for the firm's finances and had earned the trust and respect of the Evans family, effectively becoming an integral part of their social network, if not a blood relative.</w:t>
      </w:r>
      <w:r w:rsidR="001572D3">
        <w:t xml:space="preserve"> Harvey showed the Evans family that he possessed many of the characteristics of the ideal ‘man of business’ and he was able to build his </w:t>
      </w:r>
      <w:r w:rsidR="001572D3">
        <w:lastRenderedPageBreak/>
        <w:t xml:space="preserve">reputation within the community and business networks. His status of a man of the middle-classes allowed him to be situated symbolically, metaphorically and in socio-economic reality above the local population of mill workers. </w:t>
      </w:r>
    </w:p>
    <w:p w14:paraId="1E51489E" w14:textId="506210EA" w:rsidR="005A05DF" w:rsidRPr="005A05DF" w:rsidRDefault="005A05DF" w:rsidP="005A05DF">
      <w:pPr>
        <w:rPr>
          <w:i/>
          <w:iCs/>
        </w:rPr>
      </w:pPr>
      <w:r w:rsidRPr="005A05DF">
        <w:rPr>
          <w:i/>
          <w:iCs/>
        </w:rPr>
        <w:t>Paternalism in the Industrial Community</w:t>
      </w:r>
    </w:p>
    <w:p w14:paraId="2F5BAA38" w14:textId="0CC35727" w:rsidR="005A05DF" w:rsidRPr="005A05DF" w:rsidRDefault="005A05DF" w:rsidP="005A05DF">
      <w:r w:rsidRPr="005A05DF">
        <w:t>The cotton mills were not just created out of the fabric of the community. They also established new communities that grew up around them. The new industrial communities formed in Manchester and the Derwent Valley saw clusters of mill workers become part of a new endeavour that the mill owners and managers were responsible for. The management of the cotton mills often included taking on the social responsibility of the factory workers. Jean Lindsay noted that the Evans family, as an old county family, were keen to show their authority over the mill workers by implementing a paternalistic management strategy to educate their workers and care for their spiritual well-being.</w:t>
      </w:r>
      <w:r w:rsidRPr="005A05DF">
        <w:rPr>
          <w:vertAlign w:val="superscript"/>
        </w:rPr>
        <w:footnoteReference w:id="294"/>
      </w:r>
      <w:r w:rsidRPr="005A05DF">
        <w:t xml:space="preserve"> The sentiments of paternalism induced the Evans family to provide a school room and later St. Matthews church for the local community at Darley Abbey. This paternalism was not unique to this mill. Arkwright and Strutt implemented this pattern at Cromford, Belper, Milford and </w:t>
      </w:r>
      <w:r w:rsidRPr="00210297">
        <w:rPr>
          <w:color w:val="FF0000"/>
        </w:rPr>
        <w:t>other</w:t>
      </w:r>
      <w:r w:rsidR="00AC76AE">
        <w:t xml:space="preserve"> mills</w:t>
      </w:r>
      <w:r w:rsidRPr="005A05DF">
        <w:t xml:space="preserve"> beyond the Derwent Valley</w:t>
      </w:r>
      <w:r w:rsidR="00AC76AE">
        <w:t xml:space="preserve"> followed this pattern</w:t>
      </w:r>
      <w:r w:rsidRPr="005A05DF">
        <w:t>. Mary B. Rose has noted paternalist strategies were often adopted by British cotton mill owners – to create or change a community to reduce conflict and uncertainty.</w:t>
      </w:r>
      <w:r w:rsidR="000736D0">
        <w:rPr>
          <w:rStyle w:val="FootnoteReference"/>
        </w:rPr>
        <w:footnoteReference w:id="295"/>
      </w:r>
      <w:r w:rsidRPr="005A05DF">
        <w:t xml:space="preserve">  </w:t>
      </w:r>
    </w:p>
    <w:p w14:paraId="6A9DF17F" w14:textId="192B032F" w:rsidR="005A05DF" w:rsidRPr="005A05DF" w:rsidRDefault="005A05DF" w:rsidP="005A05DF">
      <w:r w:rsidRPr="005A05DF">
        <w:t>The conduct of the factory masters included taking responsibility for the well-being of the workers under their charge. The ledger books of the Evans family document many of the forfeits they imposed on their workers who broke the codes of conduct expected of them as factory employees. The imposition of these rules clarifies the social differences between the workers and the employers. The mill workers' abilities and willingness to conform to their obligations and expectations exemplify the trust between the working-class mill operatives and employers and their management structures. In return, the reciprocal agreement between the two parties required the employers to remain fair and trustworthy and ensure that the employee was cared for and treated well. Of course, there are many examples of employers failing to comply with their obligations, but the Evans and Strutt families appear to have been some of the better employees of the time. I would argue that, like many of the ideals set then, some employers and their employees struggled to continuously comply with the high expectations and trust levels expected of them. The number of forfeits imposed on the mill workers by the Evans family shows that non-compliance was a regular occurrence from their workers. Between September 1804 and January 1805, there were 70 entries into the forfeit ledger of fines imposed on the workers, which seems significant</w:t>
      </w:r>
      <w:r w:rsidR="00FA0B2E">
        <w:t xml:space="preserve"> on a workforce that </w:t>
      </w:r>
      <w:bookmarkStart w:id="97" w:name="_Hlk170478413"/>
      <w:r w:rsidR="00FA0B2E">
        <w:t>only numbered 500 workers after an expansion between 1818 and 1821</w:t>
      </w:r>
      <w:bookmarkEnd w:id="97"/>
      <w:r w:rsidR="00FA0B2E">
        <w:t>.</w:t>
      </w:r>
      <w:r w:rsidR="00D45C7A">
        <w:rPr>
          <w:rStyle w:val="FootnoteReference"/>
        </w:rPr>
        <w:footnoteReference w:id="296"/>
      </w:r>
      <w:r w:rsidRPr="005A05DF">
        <w:t xml:space="preserve"> Although most fines were about ten shillings, and only two went above fifteen. In December 1808, an anomaly occurred: forty-two fines were issued for that month alone.</w:t>
      </w:r>
      <w:r w:rsidR="00D45C7A">
        <w:rPr>
          <w:rStyle w:val="FootnoteReference"/>
        </w:rPr>
        <w:footnoteReference w:id="297"/>
      </w:r>
      <w:r w:rsidRPr="005A05DF">
        <w:t xml:space="preserve"> However, while the ideal was difficult to achieve, there must have been a significant level of trust and trustworthiness between the employer and their employees as necessity would have demanded a certain level of cooperation, requiring a minimum level of trust as a base to build from.     </w:t>
      </w:r>
    </w:p>
    <w:p w14:paraId="48467618" w14:textId="5941D931" w:rsidR="005A05DF" w:rsidRPr="006717AD" w:rsidRDefault="005A05DF" w:rsidP="005A05DF">
      <w:pPr>
        <w:rPr>
          <w:i/>
          <w:iCs/>
        </w:rPr>
      </w:pPr>
      <w:r w:rsidRPr="006717AD">
        <w:rPr>
          <w:i/>
          <w:iCs/>
        </w:rPr>
        <w:t xml:space="preserve">The </w:t>
      </w:r>
      <w:r w:rsidR="00BC2858" w:rsidRPr="006717AD">
        <w:rPr>
          <w:i/>
          <w:iCs/>
        </w:rPr>
        <w:t>R</w:t>
      </w:r>
      <w:r w:rsidRPr="006717AD">
        <w:rPr>
          <w:i/>
          <w:iCs/>
        </w:rPr>
        <w:t xml:space="preserve">esponsible </w:t>
      </w:r>
      <w:r w:rsidR="00BC2858" w:rsidRPr="006717AD">
        <w:rPr>
          <w:i/>
          <w:iCs/>
        </w:rPr>
        <w:t>C</w:t>
      </w:r>
      <w:r w:rsidRPr="006717AD">
        <w:rPr>
          <w:i/>
          <w:iCs/>
        </w:rPr>
        <w:t xml:space="preserve">onduct of a </w:t>
      </w:r>
      <w:r w:rsidR="00BC2858" w:rsidRPr="006717AD">
        <w:rPr>
          <w:i/>
          <w:iCs/>
        </w:rPr>
        <w:t>F</w:t>
      </w:r>
      <w:r w:rsidRPr="006717AD">
        <w:rPr>
          <w:i/>
          <w:iCs/>
        </w:rPr>
        <w:t xml:space="preserve">actory </w:t>
      </w:r>
      <w:r w:rsidR="00BC2858" w:rsidRPr="006717AD">
        <w:rPr>
          <w:i/>
          <w:iCs/>
        </w:rPr>
        <w:t>M</w:t>
      </w:r>
      <w:r w:rsidRPr="006717AD">
        <w:rPr>
          <w:i/>
          <w:iCs/>
        </w:rPr>
        <w:t xml:space="preserve">aster </w:t>
      </w:r>
    </w:p>
    <w:p w14:paraId="522D5235" w14:textId="506D66CE" w:rsidR="005A05DF" w:rsidRPr="005A05DF" w:rsidRDefault="005A05DF" w:rsidP="005A05DF">
      <w:r w:rsidRPr="005A05DF">
        <w:t xml:space="preserve">The owners and managers were also responsible for maintaining a positive reputation and </w:t>
      </w:r>
      <w:r w:rsidR="00402394">
        <w:t xml:space="preserve">a sense of </w:t>
      </w:r>
      <w:r w:rsidRPr="005A05DF">
        <w:t xml:space="preserve">trust between other cotton-spinning firms regardless of size and location. This built goodwill and </w:t>
      </w:r>
      <w:r w:rsidRPr="005A05DF">
        <w:lastRenderedPageBreak/>
        <w:t>potential cooperation for future business dealings. The employment of mill workers was a potential area of dispute if workers left with their expertise and joined other firms. The factory masters network established a working code of conduct for employers wanting to employ another mill’s workers. A potential employer was expected to contact a previous or existing employer of the workers seeking employment to check that they were properly skilled and possessed good character. A 1787 correspondence between W. Evans &amp; Co. and Messrs. Bott &amp; Co. of Tutbury discusses the proper conduct required of cotton masters, as employers, concerning their recruitment of mill hands.</w:t>
      </w:r>
      <w:r w:rsidR="007A2331">
        <w:rPr>
          <w:rStyle w:val="FootnoteReference"/>
        </w:rPr>
        <w:footnoteReference w:id="298"/>
      </w:r>
      <w:r w:rsidR="00AE06D5">
        <w:t xml:space="preserve"> </w:t>
      </w:r>
      <w:r w:rsidRPr="005A05DF">
        <w:t>No employee moving between cotton mills should be employed without a written character reference from the previous employer.</w:t>
      </w:r>
      <w:r w:rsidR="00AE06D5" w:rsidRPr="00AE06D5">
        <w:rPr>
          <w:rStyle w:val="FootnoteReference"/>
        </w:rPr>
        <w:t xml:space="preserve"> </w:t>
      </w:r>
      <w:r w:rsidR="00AE06D5">
        <w:rPr>
          <w:rStyle w:val="FootnoteReference"/>
        </w:rPr>
        <w:footnoteReference w:id="299"/>
      </w:r>
      <w:r w:rsidR="00D03159">
        <w:t xml:space="preserve"> </w:t>
      </w:r>
      <w:r w:rsidRPr="005A05DF">
        <w:t>In June 1795, W. Evans &amp; Co. felt obliged to write to both John and James Robinson at their mills in Bulwell and Papplewick, enquiring about their intentions regarding the poaching of their staff.</w:t>
      </w:r>
      <w:r w:rsidR="00AE06D5">
        <w:rPr>
          <w:rStyle w:val="FootnoteReference"/>
        </w:rPr>
        <w:footnoteReference w:id="300"/>
      </w:r>
      <w:r w:rsidRPr="005A05DF">
        <w:t xml:space="preserve"> This letter followed the actions of a widow, Margaret Holmes, removing her children from </w:t>
      </w:r>
      <w:r w:rsidR="00402394">
        <w:t xml:space="preserve">employment at </w:t>
      </w:r>
      <w:r w:rsidRPr="005A05DF">
        <w:t>the Boar’s Head</w:t>
      </w:r>
      <w:r w:rsidR="00100A7A">
        <w:t xml:space="preserve"> Cotton</w:t>
      </w:r>
      <w:r w:rsidRPr="005A05DF">
        <w:t xml:space="preserve"> Mills and applying for work at the Bulwell and Papplewick mills owned by the Robinsons. The letter states that the Evans family mill owners were not concerned about Margaret Holmes and her children specifically but that if this became a trend and they lost more workers that they had taken the trouble and expense to train, they would be unhappy with Robinson’s conduct.</w:t>
      </w:r>
    </w:p>
    <w:p w14:paraId="2FB78CC7" w14:textId="7F174570" w:rsidR="005A05DF" w:rsidRPr="005A05DF" w:rsidRDefault="005A05DF" w:rsidP="005A05DF">
      <w:r w:rsidRPr="005A05DF">
        <w:t>The McConnel &amp; Kennedy firm showed a positive example of the factory masters' system of good conduct when they wrote to Taylor &amp; Haywood of Duffield on the 18th of April 1795 regarding the movement of staff between the cotton mills.</w:t>
      </w:r>
      <w:r w:rsidR="00CB2513">
        <w:rPr>
          <w:rStyle w:val="FootnoteReference"/>
        </w:rPr>
        <w:footnoteReference w:id="301"/>
      </w:r>
      <w:r w:rsidRPr="005A05DF">
        <w:t xml:space="preserve"> McConnel &amp; Kennedy acted as negotiators for a young man Taylor &amp; Haywood sought to employ. They offered reassurances and recommendations of his conduct and abilities and sought to ensure their prospective new employers had amply recompensed the man in question. </w:t>
      </w:r>
    </w:p>
    <w:p w14:paraId="2FA079BF" w14:textId="3AB71061" w:rsidR="005A05DF" w:rsidRPr="005A05DF" w:rsidRDefault="005A05DF" w:rsidP="005A05DF">
      <w:pPr>
        <w:ind w:left="720"/>
      </w:pPr>
      <w:r w:rsidRPr="005A05DF">
        <w:t xml:space="preserve">The young man we spoke to you for wishes to know what wages you would be willing to give… He has spun with us about a year and is one that we can with confidence recommend for </w:t>
      </w:r>
      <w:proofErr w:type="gramStart"/>
      <w:r w:rsidRPr="005A05DF">
        <w:t>a spinners</w:t>
      </w:r>
      <w:proofErr w:type="gramEnd"/>
      <w:r w:rsidRPr="005A05DF">
        <w:t xml:space="preserve"> conduct and ability’s that will intitle [sic] him to a place of trust if necessary.</w:t>
      </w:r>
      <w:r w:rsidRPr="005A05DF">
        <w:rPr>
          <w:vertAlign w:val="superscript"/>
        </w:rPr>
        <w:footnoteReference w:id="302"/>
      </w:r>
      <w:r w:rsidRPr="005A05DF">
        <w:t xml:space="preserve">      </w:t>
      </w:r>
    </w:p>
    <w:p w14:paraId="3A6B6ADB" w14:textId="77777777" w:rsidR="005A05DF" w:rsidRPr="005A05DF" w:rsidRDefault="005A05DF" w:rsidP="005A05DF">
      <w:r w:rsidRPr="005A05DF">
        <w:t xml:space="preserve">This letter demonstrates that McConnel &amp; Kennedy and Taylor &amp; Haywood had built a strong business relationship, and there was reciprocal trust between the two firms. McConnel &amp; Kennedy were willing to share their experienced, trusted and, therefore, valuable workers with a firm in another county, Derbyshire, that worked as outsourced spinners for them.   </w:t>
      </w:r>
    </w:p>
    <w:p w14:paraId="45EF1E90" w14:textId="45EB52D7" w:rsidR="005A05DF" w:rsidRPr="005A05DF" w:rsidRDefault="005A05DF" w:rsidP="005A05DF">
      <w:r w:rsidRPr="005A05DF">
        <w:t>Having noted some similarities and differences within the networks, it must be acknowledged that the shared similarities were significant enough to keep the networks cohesive and bonded on various levels of trust. Trust signals that coded the level of trustworthiness of a potential network member included membership in societies, particularly in the first half of the nineteenth century. Sunderland has noted six types of associations in which middle-class society joined: religious worship, cultural and scientific, business and property, political, philanthropic, and public service.</w:t>
      </w:r>
      <w:r w:rsidRPr="005A05DF">
        <w:rPr>
          <w:vertAlign w:val="superscript"/>
        </w:rPr>
        <w:footnoteReference w:id="303"/>
      </w:r>
      <w:r w:rsidRPr="005A05DF">
        <w:t xml:space="preserve"> While the demarcation into these types might be a matter of debate, I contend that membership in these groups allowed the formation of networks within society that enabled the building of trust and trustworthy </w:t>
      </w:r>
      <w:r w:rsidRPr="00562549">
        <w:rPr>
          <w:color w:val="000000" w:themeColor="text1"/>
        </w:rPr>
        <w:t>reputations.</w:t>
      </w:r>
      <w:r w:rsidR="00210297" w:rsidRPr="00562549">
        <w:rPr>
          <w:color w:val="000000" w:themeColor="text1"/>
        </w:rPr>
        <w:t xml:space="preserve"> I contend this because </w:t>
      </w:r>
      <w:r w:rsidR="00CD1D60" w:rsidRPr="00562549">
        <w:rPr>
          <w:color w:val="000000" w:themeColor="text1"/>
        </w:rPr>
        <w:t xml:space="preserve">without these memberships the social connectivity would have been absent, and the trust built within these connections would not have occurred. </w:t>
      </w:r>
      <w:r w:rsidRPr="00562549">
        <w:rPr>
          <w:color w:val="000000" w:themeColor="text1"/>
        </w:rPr>
        <w:t xml:space="preserve">This </w:t>
      </w:r>
      <w:r w:rsidRPr="005A05DF">
        <w:t xml:space="preserve">trust and the resulting reputations were transferable to the business and industrial networks of the </w:t>
      </w:r>
      <w:r w:rsidRPr="005A05DF">
        <w:lastRenderedPageBreak/>
        <w:t xml:space="preserve">time. The resulting social networks impacted the establishment and operation of the cotton mills both in Manchester and the Derwent Valley. The networks became vital channels for exchanging ideas, knowledge, and resources, favouring the cotton mill management structures that could harness various community and business networks to their advantage.  </w:t>
      </w:r>
    </w:p>
    <w:p w14:paraId="01744D56" w14:textId="77777777" w:rsidR="005A05DF" w:rsidRPr="00817B40" w:rsidRDefault="005A05DF" w:rsidP="00817B40">
      <w:pPr>
        <w:pStyle w:val="Heading2"/>
        <w:rPr>
          <w:rFonts w:asciiTheme="minorHAnsi" w:hAnsiTheme="minorHAnsi" w:cstheme="minorHAnsi"/>
          <w:b/>
          <w:bCs/>
          <w:color w:val="auto"/>
          <w:sz w:val="24"/>
          <w:szCs w:val="24"/>
        </w:rPr>
      </w:pPr>
      <w:bookmarkStart w:id="100" w:name="_Toc170825674"/>
      <w:r w:rsidRPr="00817B40">
        <w:rPr>
          <w:rFonts w:asciiTheme="minorHAnsi" w:hAnsiTheme="minorHAnsi" w:cstheme="minorHAnsi"/>
          <w:b/>
          <w:bCs/>
          <w:color w:val="auto"/>
          <w:sz w:val="24"/>
          <w:szCs w:val="24"/>
        </w:rPr>
        <w:t>Religious Networks</w:t>
      </w:r>
      <w:bookmarkEnd w:id="100"/>
      <w:r w:rsidRPr="00817B40">
        <w:rPr>
          <w:rFonts w:asciiTheme="minorHAnsi" w:hAnsiTheme="minorHAnsi" w:cstheme="minorHAnsi"/>
          <w:b/>
          <w:bCs/>
          <w:color w:val="auto"/>
          <w:sz w:val="24"/>
          <w:szCs w:val="24"/>
        </w:rPr>
        <w:t xml:space="preserve"> </w:t>
      </w:r>
    </w:p>
    <w:p w14:paraId="65C7999B" w14:textId="77777777" w:rsidR="005A05DF" w:rsidRPr="005A05DF" w:rsidRDefault="005A05DF" w:rsidP="005A05DF">
      <w:r w:rsidRPr="005A05DF">
        <w:t>Social capital within the networks that converged in the cotton mills was often reinforced by the ascribed trust that stemmed from shared religious beliefs. Many of the business network members knew each other either as members of the same congregations, of the same religious denomination or of the same religion and religious background. The shared moral and spiritual belief structure invoked a sense of connectivity and offered a space where human relationships could form and strengthen. The close ties and members of the kinship networks that managed the cotton mills were embedded into religious networks that influenced and seeped into the families and their communities' cultural and commercial lives. John Seed has suggested that religious institutions were central agencies of social and cultural life during the nineteenth century.</w:t>
      </w:r>
      <w:r w:rsidRPr="005A05DF">
        <w:rPr>
          <w:vertAlign w:val="superscript"/>
        </w:rPr>
        <w:footnoteReference w:id="304"/>
      </w:r>
      <w:r w:rsidRPr="005A05DF">
        <w:t xml:space="preserve"> Davidoff and Hall have argued that religious affiliation and identity were central elements of the social networks of the middle classes during the late eighteenth and early nineteenth centuries.</w:t>
      </w:r>
      <w:r w:rsidRPr="005A05DF">
        <w:rPr>
          <w:vertAlign w:val="superscript"/>
        </w:rPr>
        <w:footnoteReference w:id="305"/>
      </w:r>
      <w:r w:rsidRPr="005A05DF">
        <w:t xml:space="preserve"> The McConnel, Kennedy, Evans and Strutt families all had markers which fitted into the middle classes at the beginning of their enterprises. Religion combined with this class belonging, family, kinship, and community was one of the foundations of morality, respectability and trustworthy character that formed an individual’s and a group's collective reputation. By being a member of a congregation, an individual could become part of a collective which would influence their personal reputation.    </w:t>
      </w:r>
    </w:p>
    <w:p w14:paraId="355CC672" w14:textId="77777777" w:rsidR="005A05DF" w:rsidRPr="005A05DF" w:rsidRDefault="005A05DF" w:rsidP="005A05DF">
      <w:pPr>
        <w:rPr>
          <w:i/>
          <w:iCs/>
        </w:rPr>
      </w:pPr>
      <w:r w:rsidRPr="005A05DF">
        <w:rPr>
          <w:i/>
          <w:iCs/>
        </w:rPr>
        <w:t>The Role of the Site of Worship</w:t>
      </w:r>
    </w:p>
    <w:p w14:paraId="4335E160" w14:textId="48D0721A" w:rsidR="005A05DF" w:rsidRPr="005A05DF" w:rsidRDefault="005A05DF" w:rsidP="005A05DF">
      <w:r w:rsidRPr="005A05DF">
        <w:t xml:space="preserve">The religious sites served not only as places where marriage alliances were </w:t>
      </w:r>
      <w:r w:rsidR="00C839BA" w:rsidRPr="005A05DF">
        <w:t>solemnised,</w:t>
      </w:r>
      <w:r w:rsidRPr="005A05DF">
        <w:t xml:space="preserve"> and new kinship members were welcomed into the kinship network and the religious community but also as hubs of networking where charitable acts occurred and vital information flowed. Through these sites, knowledge about personal reputations and the trustworthiness of network actors could be exchanged. One noteworthy example of such a hub was St. Margaret’s Church in </w:t>
      </w:r>
      <w:proofErr w:type="spellStart"/>
      <w:r w:rsidRPr="005A05DF">
        <w:t>Lothbury</w:t>
      </w:r>
      <w:proofErr w:type="spellEnd"/>
      <w:r w:rsidRPr="005A05DF">
        <w:t xml:space="preserve">, London. This church played a central role in formulating charitable acts and disseminating information within the community. Within its congregation, members of the Evans family, including Ann </w:t>
      </w:r>
      <w:proofErr w:type="spellStart"/>
      <w:r w:rsidRPr="005A05DF">
        <w:t>Plymley</w:t>
      </w:r>
      <w:proofErr w:type="spellEnd"/>
      <w:r w:rsidRPr="005A05DF">
        <w:t>, Thomas Evans’ niece by marriage, married Patrick Kelley, a mathematician and astronomer.</w:t>
      </w:r>
      <w:r w:rsidR="00B7321E">
        <w:rPr>
          <w:rStyle w:val="FootnoteReference"/>
        </w:rPr>
        <w:footnoteReference w:id="306"/>
      </w:r>
      <w:r w:rsidRPr="005A05DF">
        <w:t xml:space="preserve"> They worshipped alongside George Greaves, the Evans family cotton broker located at 12 </w:t>
      </w:r>
      <w:proofErr w:type="spellStart"/>
      <w:r w:rsidRPr="005A05DF">
        <w:t>Lothbury</w:t>
      </w:r>
      <w:proofErr w:type="spellEnd"/>
      <w:r w:rsidRPr="005A05DF">
        <w:t xml:space="preserve"> in London.</w:t>
      </w:r>
      <w:r w:rsidR="00F37B07">
        <w:rPr>
          <w:rStyle w:val="FootnoteReference"/>
        </w:rPr>
        <w:footnoteReference w:id="307"/>
      </w:r>
      <w:r w:rsidRPr="005A05DF">
        <w:t xml:space="preserve"> George's eldest son, George Jr., was baptised in this church on September 29, 1789.</w:t>
      </w:r>
      <w:r w:rsidR="00F37B07">
        <w:rPr>
          <w:rStyle w:val="FootnoteReference"/>
        </w:rPr>
        <w:footnoteReference w:id="308"/>
      </w:r>
      <w:r w:rsidRPr="005A05DF">
        <w:t xml:space="preserve"> The connection of the Evans family's extended kinship group to </w:t>
      </w:r>
      <w:proofErr w:type="spellStart"/>
      <w:r w:rsidRPr="005A05DF">
        <w:t>Lothbury</w:t>
      </w:r>
      <w:proofErr w:type="spellEnd"/>
      <w:r w:rsidRPr="005A05DF">
        <w:t xml:space="preserve"> in London extended further through Ann’s brother, Henry, who had ties to </w:t>
      </w:r>
      <w:proofErr w:type="spellStart"/>
      <w:r w:rsidRPr="005A05DF">
        <w:t>Lothbury</w:t>
      </w:r>
      <w:proofErr w:type="spellEnd"/>
      <w:r w:rsidRPr="005A05DF">
        <w:t xml:space="preserve"> School. A letter from Thomas Evans &amp; Sons to the London-based bankers Messrs. </w:t>
      </w:r>
      <w:proofErr w:type="spellStart"/>
      <w:r w:rsidRPr="005A05DF">
        <w:t>Bolders</w:t>
      </w:r>
      <w:proofErr w:type="spellEnd"/>
      <w:r w:rsidRPr="005A05DF">
        <w:t xml:space="preserve">, Adey, </w:t>
      </w:r>
      <w:proofErr w:type="spellStart"/>
      <w:r w:rsidRPr="005A05DF">
        <w:t>Lushington</w:t>
      </w:r>
      <w:proofErr w:type="spellEnd"/>
      <w:r w:rsidRPr="005A05DF">
        <w:t xml:space="preserve"> &amp; </w:t>
      </w:r>
      <w:proofErr w:type="spellStart"/>
      <w:r w:rsidRPr="005A05DF">
        <w:t>Bolders</w:t>
      </w:r>
      <w:proofErr w:type="spellEnd"/>
      <w:r w:rsidRPr="005A05DF">
        <w:t xml:space="preserve"> instructed them to provide £2000 to Henry </w:t>
      </w:r>
      <w:proofErr w:type="spellStart"/>
      <w:r w:rsidRPr="005A05DF">
        <w:t>Plymley</w:t>
      </w:r>
      <w:proofErr w:type="spellEnd"/>
      <w:r w:rsidRPr="005A05DF">
        <w:t>, secured against a house in Finsbury Square.</w:t>
      </w:r>
      <w:r w:rsidR="00C12704">
        <w:rPr>
          <w:rStyle w:val="FootnoteReference"/>
        </w:rPr>
        <w:footnoteReference w:id="309"/>
      </w:r>
      <w:r w:rsidRPr="005A05DF">
        <w:t xml:space="preserve"> While it remains </w:t>
      </w:r>
      <w:r w:rsidRPr="005A05DF">
        <w:lastRenderedPageBreak/>
        <w:t xml:space="preserve">uncertain whether Patrick Kelley, Henry </w:t>
      </w:r>
      <w:proofErr w:type="spellStart"/>
      <w:r w:rsidRPr="005A05DF">
        <w:t>Plymley</w:t>
      </w:r>
      <w:proofErr w:type="spellEnd"/>
      <w:r w:rsidRPr="005A05DF">
        <w:t>, and George Greaves personally knew each other, this interconnected web presents a potential conduit through which information could traverse the religious network, ultimately translating into valuable knowledge for commercial enterprises, such as insights into the character of business acquaintances. These close-bond associations within a shared community and set of values underscore the significance of these social spaces.</w:t>
      </w:r>
    </w:p>
    <w:p w14:paraId="0513F12D" w14:textId="77777777" w:rsidR="005A05DF" w:rsidRPr="005A05DF" w:rsidRDefault="005A05DF" w:rsidP="005A05DF">
      <w:pPr>
        <w:rPr>
          <w:i/>
          <w:iCs/>
        </w:rPr>
      </w:pPr>
      <w:r w:rsidRPr="005A05DF">
        <w:rPr>
          <w:i/>
          <w:iCs/>
        </w:rPr>
        <w:t>The Transfer of Trust and Reputation between Religious and Business Networks</w:t>
      </w:r>
    </w:p>
    <w:p w14:paraId="691801E5" w14:textId="07CDE61F" w:rsidR="005A05DF" w:rsidRPr="005A05DF" w:rsidRDefault="005A05DF" w:rsidP="005A05DF">
      <w:r w:rsidRPr="005A05DF">
        <w:t xml:space="preserve">The economist Mehmet </w:t>
      </w:r>
      <w:proofErr w:type="spellStart"/>
      <w:r w:rsidRPr="005A05DF">
        <w:t>Karaçuka</w:t>
      </w:r>
      <w:proofErr w:type="spellEnd"/>
      <w:r w:rsidRPr="005A05DF">
        <w:t xml:space="preserve"> has argued that the role of religion in economic performance is mainly achieved through networks of small religious groups that form social networks within which non-formal contract enforcement mechanisms are enabled.</w:t>
      </w:r>
      <w:r w:rsidRPr="005A05DF">
        <w:rPr>
          <w:vertAlign w:val="superscript"/>
        </w:rPr>
        <w:footnoteReference w:id="310"/>
      </w:r>
      <w:r w:rsidRPr="005A05DF">
        <w:t xml:space="preserve"> This suggests that social capital is generated within the religious networks and can transfer into the business sphere, further generating increased cooperation and decreased transaction costs.</w:t>
      </w:r>
      <w:r w:rsidRPr="005A05DF">
        <w:rPr>
          <w:vertAlign w:val="superscript"/>
        </w:rPr>
        <w:footnoteReference w:id="311"/>
      </w:r>
      <w:r w:rsidRPr="005A05DF">
        <w:t xml:space="preserve"> This phenomenon is exemplified in the early years of the McConnel &amp; Kennedy firm, where the men established families that became integral to Manchester's merchant elite, with some connectivity originating from religious environments. During the 1790s, John Kennedy and James McConnel moved to Manchester, where they firmly established their families within the Unitarian branch of the Christian faith. While in Manchester, the McConnel and Kennedy families actively participated in the life of the Mosley Street Unitarian Chapel, founded in 1786. Between 1801 and 1821, James McConnel and his wife Margaret Houldsworth had their thirteen children baptised within the chapel.</w:t>
      </w:r>
      <w:r w:rsidR="004B6BDD">
        <w:rPr>
          <w:rStyle w:val="FootnoteReference"/>
        </w:rPr>
        <w:footnoteReference w:id="312"/>
      </w:r>
      <w:r w:rsidRPr="005A05DF">
        <w:t xml:space="preserve"> Similarly, John Kennedy and his wife, Mary Stuart, followed suit, baptising their eight children here.</w:t>
      </w:r>
      <w:r w:rsidR="004B6BDD">
        <w:rPr>
          <w:rStyle w:val="FootnoteReference"/>
        </w:rPr>
        <w:footnoteReference w:id="313"/>
      </w:r>
      <w:r w:rsidRPr="005A05DF">
        <w:t xml:space="preserve"> A significant moment in this narrative was when James and Margaret’s eldest son, Henry</w:t>
      </w:r>
      <w:r w:rsidR="00CD1D60">
        <w:t xml:space="preserve"> McConnel</w:t>
      </w:r>
      <w:r w:rsidRPr="005A05DF">
        <w:t>, joined in marriage with John and Mary’s eldest daughter, Margaret</w:t>
      </w:r>
      <w:r w:rsidR="00CD1D60">
        <w:t xml:space="preserve"> Kennedy</w:t>
      </w:r>
      <w:r w:rsidRPr="005A05DF">
        <w:t>.</w:t>
      </w:r>
      <w:r w:rsidR="00C35294">
        <w:rPr>
          <w:rStyle w:val="FootnoteReference"/>
        </w:rPr>
        <w:footnoteReference w:id="314"/>
      </w:r>
      <w:r w:rsidRPr="005A05DF">
        <w:t xml:space="preserve"> They went on to baptise their two children in the chapel in 1830 and 1832.</w:t>
      </w:r>
      <w:r w:rsidR="00C35294">
        <w:rPr>
          <w:rStyle w:val="FootnoteReference"/>
        </w:rPr>
        <w:footnoteReference w:id="315"/>
      </w:r>
      <w:r w:rsidRPr="005A05DF">
        <w:t xml:space="preserve"> From 1786 until 1839, when the Upper Brook Street Chapel replaced it, this chapel drew a community that included merchants and manufacturers. These men were pivotal in its establishment, taking up trusted positions as officers and active congregants. Among these notable figures were Peter Ewart, Robert Hyde-Greg, George Murray, Robert Philips, Samuel Robinson, John Kennedy, James McConnel, and Henry McConnel.</w:t>
      </w:r>
      <w:r w:rsidR="00C35294">
        <w:rPr>
          <w:rStyle w:val="FootnoteReference"/>
        </w:rPr>
        <w:footnoteReference w:id="316"/>
      </w:r>
      <w:r w:rsidRPr="005A05DF">
        <w:t xml:space="preserve"> As time unfolded, a compelling thread of intermarriage began to weave between their offspring, forging strong bonds of connection tied by multiple strands of connectivity. I would argue that the cumulative influence of these individuals reverberated profoundly within Manchester's cotton manufacturing trade as the nineteenth century unfolded, significantly shaping its path.</w:t>
      </w:r>
      <w:r w:rsidR="00C35294">
        <w:t xml:space="preserve"> </w:t>
      </w:r>
      <w:bookmarkStart w:id="103" w:name="_Hlk170478729"/>
      <w:r w:rsidR="00C35294" w:rsidRPr="00562549">
        <w:rPr>
          <w:color w:val="000000" w:themeColor="text1"/>
        </w:rPr>
        <w:t>This is evident in the influence of these religious communities in peopling the networks of trade and manufacturing industry.</w:t>
      </w:r>
      <w:r w:rsidRPr="00562549">
        <w:rPr>
          <w:color w:val="000000" w:themeColor="text1"/>
        </w:rPr>
        <w:t xml:space="preserve"> </w:t>
      </w:r>
      <w:bookmarkEnd w:id="103"/>
      <w:r w:rsidRPr="00562549">
        <w:rPr>
          <w:color w:val="000000" w:themeColor="text1"/>
        </w:rPr>
        <w:t xml:space="preserve">This </w:t>
      </w:r>
      <w:r w:rsidRPr="005A05DF">
        <w:t>religious congregation's strong associations and reliable connections created a community bound by shared belief. They provided the families with religious networks, and these often crossed over into commercial networks.</w:t>
      </w:r>
    </w:p>
    <w:p w14:paraId="590D9105" w14:textId="652CEB0A" w:rsidR="005A05DF" w:rsidRPr="005A05DF" w:rsidRDefault="005A05DF" w:rsidP="005A05DF">
      <w:r w:rsidRPr="005A05DF">
        <w:lastRenderedPageBreak/>
        <w:t xml:space="preserve">The economist </w:t>
      </w:r>
      <w:proofErr w:type="spellStart"/>
      <w:r w:rsidRPr="005A05DF">
        <w:t>Anver</w:t>
      </w:r>
      <w:proofErr w:type="spellEnd"/>
      <w:r w:rsidRPr="005A05DF">
        <w:t xml:space="preserve"> Greif has argued that </w:t>
      </w:r>
      <w:r w:rsidR="00C35294">
        <w:t xml:space="preserve">members of </w:t>
      </w:r>
      <w:r w:rsidRPr="005A05DF">
        <w:t xml:space="preserve">religious groups </w:t>
      </w:r>
      <w:r w:rsidR="00C35294">
        <w:t xml:space="preserve">operating in business </w:t>
      </w:r>
      <w:r w:rsidRPr="005A05DF">
        <w:t>rely on implicit contracts reinforced by reputation rather than relying on formal legal routes.</w:t>
      </w:r>
      <w:r w:rsidRPr="005A05DF">
        <w:rPr>
          <w:vertAlign w:val="superscript"/>
        </w:rPr>
        <w:footnoteReference w:id="317"/>
      </w:r>
      <w:r w:rsidRPr="005A05DF">
        <w:t xml:space="preserve"> This suggests that reputations are valuable commodities often forged and maintained in religious networks. The reputations are then transferred to business networks as a guide to avoid costly legal resolutions of potential disputes. Individual and collective reputations intertwined within the shared identity and sense of belonging derived from religious congregation and denomination memberships. However, the modes in which reputations were built and sustained differed within the cotton trade networks depending on the denomination of the religious network. As Anglicans, the Evans family’s reputation became entwined with the reputation of the established church. Thomas Evans’ eldest brother Edmund pioneered this kinship group, graduating from St. John’s College, Cambridge, and becoming a vicar of Mayfield near Ashbourne. Their sister Hannah Evans married Anthony Carr,</w:t>
      </w:r>
      <w:r w:rsidRPr="005A05DF">
        <w:rPr>
          <w:vertAlign w:val="superscript"/>
        </w:rPr>
        <w:footnoteReference w:id="318"/>
      </w:r>
      <w:r w:rsidRPr="005A05DF">
        <w:t xml:space="preserve"> the vicar of </w:t>
      </w:r>
      <w:proofErr w:type="spellStart"/>
      <w:r w:rsidRPr="005A05DF">
        <w:t>Selston</w:t>
      </w:r>
      <w:proofErr w:type="spellEnd"/>
      <w:r w:rsidRPr="005A05DF">
        <w:t xml:space="preserve"> in Nottinghamshire and Alfreton in Derbyshire.</w:t>
      </w:r>
      <w:r w:rsidRPr="005A05DF">
        <w:rPr>
          <w:vertAlign w:val="superscript"/>
        </w:rPr>
        <w:footnoteReference w:id="319"/>
      </w:r>
      <w:r w:rsidRPr="005A05DF">
        <w:t xml:space="preserve">  Additionally, two of their sons, John and Thomas, followed suit and became members of the established clergy. This close affiliation with the established church bestowed legitimacy upon the Evans family, affording them access to valuable resources, including access to education gained at St. John’s College. The Evans family’s advantage was also built upon the elevated reputation and respectability that could be garnered from membership in the Anglican Church. This allowed them to access resources and social capital from their religious and social communities, ultimately benefiting their business ventures. In contrast, as dissenters, the McConnel and Kennedy families lacked legitimacy until the 1813 Doctrine of Trinity Act</w:t>
      </w:r>
      <w:r w:rsidRPr="005A05DF">
        <w:rPr>
          <w:vertAlign w:val="superscript"/>
        </w:rPr>
        <w:footnoteReference w:id="320"/>
      </w:r>
      <w:r w:rsidRPr="005A05DF">
        <w:t xml:space="preserve"> and faced legal barriers against formal education until the Universities Tests Act of 1871.</w:t>
      </w:r>
      <w:r w:rsidRPr="005A05DF">
        <w:rPr>
          <w:vertAlign w:val="superscript"/>
        </w:rPr>
        <w:footnoteReference w:id="321"/>
      </w:r>
      <w:r w:rsidRPr="005A05DF">
        <w:t xml:space="preserve">  The legal structure denied dissenters specific rights, resources, and access to traditional power channels. Consequently, they might have been disinclined to pursue conventional legal remedies within a discriminatory system, which could explain their inclination towards robust reputational-based religious networks.</w:t>
      </w:r>
    </w:p>
    <w:p w14:paraId="78815D0E" w14:textId="77777777" w:rsidR="005A05DF" w:rsidRPr="005A05DF" w:rsidRDefault="005A05DF" w:rsidP="005A05DF">
      <w:r w:rsidRPr="005A05DF">
        <w:t>During the late eighteenth and early nineteenth centuries, the influence of Christianity and religion resonated deeply within the social fabric of industrialising Britain. In the eighteenth century, economics held a predominantly moral dimension, a perspective underscored by figures like philosopher James Sauer.</w:t>
      </w:r>
      <w:r w:rsidRPr="005A05DF">
        <w:rPr>
          <w:vertAlign w:val="superscript"/>
        </w:rPr>
        <w:footnoteReference w:id="322"/>
      </w:r>
      <w:r w:rsidRPr="005A05DF">
        <w:t xml:space="preserve"> Bernard </w:t>
      </w:r>
      <w:proofErr w:type="spellStart"/>
      <w:r w:rsidRPr="005A05DF">
        <w:t>Longeran</w:t>
      </w:r>
      <w:proofErr w:type="spellEnd"/>
      <w:r w:rsidRPr="005A05DF">
        <w:t>, a philosopher and theologian, has emphasised the intrinsic link between exchanging material goods and the non-material realm of ethical inquiry.</w:t>
      </w:r>
      <w:r w:rsidRPr="005A05DF">
        <w:rPr>
          <w:vertAlign w:val="superscript"/>
        </w:rPr>
        <w:footnoteReference w:id="323"/>
      </w:r>
      <w:r w:rsidRPr="005A05DF">
        <w:t xml:space="preserve">  These interconnected values were inherently interwoven with religious thought, reflecting the profound impact of spirituality on the economic and ethical landscapes of the time. As dissenters, the McConnel and Kennedy families found it necessary to establish networks of trusted connections to enhance their collective and individual business, financial, and familial well-being and build robust reputations. The Mosley Street Chapel and its congregation served as a crucial arena where they put this process into action. Within this context, they forged trusted bonds and reputations, aligning themselves with the moral framework of Unitarian beliefs and Christian values. Despite their </w:t>
      </w:r>
      <w:r w:rsidRPr="005A05DF">
        <w:lastRenderedPageBreak/>
        <w:t xml:space="preserve">theological differences, such as the contested belief in the Trinity, the Anglican Evans family and the Unitarian McConnel, Kennedy, and Strutt families shared common Christian values that upheld virtues such as honesty, integrity, Christian love, and charity. These shared values formed the core of their ethical outlook, fostering a sense of unity reinforced by their shared business interests. The denominational differences between the Evans and the Strutt families were not enough to dissuade them from forming a triple kinship alliance with the marriages of Elizabeth and William Strutt to William, Walter, and Barbara Evans, as their other shared attributes more than compensated for these differences.  </w:t>
      </w:r>
    </w:p>
    <w:p w14:paraId="15DBE60A" w14:textId="77777777" w:rsidR="005A05DF" w:rsidRPr="005A05DF" w:rsidRDefault="005A05DF" w:rsidP="005A05DF">
      <w:pPr>
        <w:rPr>
          <w:i/>
          <w:iCs/>
        </w:rPr>
      </w:pPr>
      <w:bookmarkStart w:id="105" w:name="_Hlk148691058"/>
      <w:r w:rsidRPr="005A05DF">
        <w:rPr>
          <w:i/>
          <w:iCs/>
        </w:rPr>
        <w:t>Anglican Evangelicals</w:t>
      </w:r>
    </w:p>
    <w:p w14:paraId="3014BC2A" w14:textId="77777777" w:rsidR="005A05DF" w:rsidRPr="005A05DF" w:rsidRDefault="005A05DF" w:rsidP="005A05DF">
      <w:r w:rsidRPr="005A05DF">
        <w:t>The Evans family, though Anglican, most likely tended towards the reformist Evangelical persuasion rather than the orthodox Anglican Church and King sect. There are several reasons why this is likely, including that Thomas Evans not only went into business with Jedediah Strutt but also married his children into the Unitarian family. This action suggests that his religious leanings were closer in their thinking to the Unitarian position, or his religious beliefs were less important to him than the social and economic benefits of joining with the family. However, this seems unlikely, as Thomas did not need to marry his children to the Strutt family; he chose to. The Evans family would have had many other options open to them, and their children could have married into other wealthy families because they were already wealthy. Additionally, Davidoff and Hall noted a tendency for Anglican evangelicals to be initially drawn from the margins of the lesser gentry and merchants.</w:t>
      </w:r>
      <w:r w:rsidRPr="005A05DF">
        <w:rPr>
          <w:vertAlign w:val="superscript"/>
        </w:rPr>
        <w:footnoteReference w:id="324"/>
      </w:r>
      <w:r w:rsidRPr="005A05DF">
        <w:t xml:space="preserve"> The upper ranks of the middle class, from which the Evans family originated. While there are few private letters in the Evans family documents to show their inner religious beliefs, traces indicate a tendency to follow liberal, radical and reformist thinking. The Unitarian Strutt family also influenced their radical thinking, which played a major role in their public and private lives from the late eighteenth century. Their social and kinship connections drew individuals with strong evangelical zeal, including Reverend Thomas Gisborne. Reverend Thomas Gisborne, the Anglican evangelical priest and poet who was a key figure in the Clapham Sect, became the father-in-law of William Evans MP, the grandson of Thomas Evans.</w:t>
      </w:r>
      <w:r w:rsidRPr="005A05DF">
        <w:rPr>
          <w:vertAlign w:val="superscript"/>
        </w:rPr>
        <w:footnoteReference w:id="325"/>
      </w:r>
      <w:r w:rsidRPr="005A05DF">
        <w:t xml:space="preserve"> </w:t>
      </w:r>
    </w:p>
    <w:p w14:paraId="26836962" w14:textId="61F9C971" w:rsidR="005A05DF" w:rsidRPr="00817B40" w:rsidRDefault="005A05DF" w:rsidP="00817B40">
      <w:pPr>
        <w:pStyle w:val="Heading2"/>
        <w:rPr>
          <w:rFonts w:asciiTheme="minorHAnsi" w:hAnsiTheme="minorHAnsi" w:cstheme="minorHAnsi"/>
          <w:b/>
          <w:bCs/>
          <w:color w:val="auto"/>
          <w:sz w:val="24"/>
          <w:szCs w:val="24"/>
        </w:rPr>
      </w:pPr>
      <w:bookmarkStart w:id="107" w:name="_Toc170825675"/>
      <w:r w:rsidRPr="00817B40">
        <w:rPr>
          <w:rFonts w:asciiTheme="minorHAnsi" w:hAnsiTheme="minorHAnsi" w:cstheme="minorHAnsi"/>
          <w:b/>
          <w:bCs/>
          <w:color w:val="auto"/>
          <w:sz w:val="24"/>
          <w:szCs w:val="24"/>
        </w:rPr>
        <w:t>Political and</w:t>
      </w:r>
      <w:r w:rsidR="004F406F" w:rsidRPr="00817B40">
        <w:rPr>
          <w:rFonts w:asciiTheme="minorHAnsi" w:hAnsiTheme="minorHAnsi" w:cstheme="minorHAnsi"/>
          <w:b/>
          <w:bCs/>
          <w:color w:val="auto"/>
          <w:sz w:val="24"/>
          <w:szCs w:val="24"/>
        </w:rPr>
        <w:t xml:space="preserve"> Community</w:t>
      </w:r>
      <w:r w:rsidRPr="00817B40">
        <w:rPr>
          <w:rFonts w:asciiTheme="minorHAnsi" w:hAnsiTheme="minorHAnsi" w:cstheme="minorHAnsi"/>
          <w:b/>
          <w:bCs/>
          <w:color w:val="auto"/>
          <w:sz w:val="24"/>
          <w:szCs w:val="24"/>
        </w:rPr>
        <w:t xml:space="preserve"> Networks</w:t>
      </w:r>
      <w:bookmarkEnd w:id="107"/>
      <w:r w:rsidRPr="00817B40">
        <w:rPr>
          <w:rFonts w:asciiTheme="minorHAnsi" w:hAnsiTheme="minorHAnsi" w:cstheme="minorHAnsi"/>
          <w:b/>
          <w:bCs/>
          <w:color w:val="auto"/>
          <w:sz w:val="24"/>
          <w:szCs w:val="24"/>
        </w:rPr>
        <w:t xml:space="preserve"> </w:t>
      </w:r>
    </w:p>
    <w:p w14:paraId="1A6E8B14" w14:textId="5AAF399F" w:rsidR="005A05DF" w:rsidRPr="005A05DF" w:rsidRDefault="00672692" w:rsidP="005A05DF">
      <w:pPr>
        <w:rPr>
          <w:i/>
          <w:iCs/>
        </w:rPr>
      </w:pPr>
      <w:r>
        <w:rPr>
          <w:i/>
          <w:iCs/>
        </w:rPr>
        <w:t>Political Motivation</w:t>
      </w:r>
      <w:r w:rsidR="005A05DF" w:rsidRPr="005A05DF">
        <w:rPr>
          <w:i/>
          <w:iCs/>
        </w:rPr>
        <w:t xml:space="preserve"> and Influences</w:t>
      </w:r>
    </w:p>
    <w:p w14:paraId="1DDA33C4" w14:textId="77777777" w:rsidR="005A05DF" w:rsidRPr="005A05DF" w:rsidRDefault="005A05DF" w:rsidP="005A05DF">
      <w:r w:rsidRPr="005A05DF">
        <w:t>Davidoff and Hall argued that the drive towards evangelical Christianity stemmed from a fear of the deterioration of manners and morals within late eighteenth and early nineteenth-century society.</w:t>
      </w:r>
      <w:r w:rsidRPr="005A05DF">
        <w:rPr>
          <w:vertAlign w:val="superscript"/>
        </w:rPr>
        <w:footnoteReference w:id="326"/>
      </w:r>
      <w:r w:rsidRPr="005A05DF">
        <w:t xml:space="preserve"> This situation suggests that the perceived trust levels of the time within society had fallen. This is a situation noted by Elizabeth Evans in her letter to Joseph Strutt in October 1793 regarding the manners and morals of the working classes. Elizabeth wrote to her brother,</w:t>
      </w:r>
    </w:p>
    <w:p w14:paraId="5700B434" w14:textId="1B69A818" w:rsidR="005A05DF" w:rsidRPr="005A05DF" w:rsidRDefault="005A05DF" w:rsidP="005A05DF">
      <w:pPr>
        <w:ind w:left="720"/>
      </w:pPr>
      <w:r w:rsidRPr="005A05DF">
        <w:t>The grand desideratum in Politics is the diffusion of knowledge and morals amongst the poor. – This the manufacturer has it in his power considerably to promote and is culpable in the neglect of it.</w:t>
      </w:r>
      <w:r w:rsidRPr="005A05DF">
        <w:rPr>
          <w:vertAlign w:val="superscript"/>
        </w:rPr>
        <w:footnoteReference w:id="327"/>
      </w:r>
      <w:r w:rsidRPr="005A05DF">
        <w:t xml:space="preserve"> </w:t>
      </w:r>
    </w:p>
    <w:p w14:paraId="510E0C1A" w14:textId="77777777" w:rsidR="005A05DF" w:rsidRPr="005A05DF" w:rsidRDefault="005A05DF" w:rsidP="005A05DF">
      <w:r w:rsidRPr="005A05DF">
        <w:lastRenderedPageBreak/>
        <w:t xml:space="preserve">This letter suggests that the perceived fall in societal trust was not universal. They believed that their kinship group, as manufacturers, had the knowledge and the morality needed to counteract the lack of morality in some sections of society and that it was in their power and their duty to act upon it. As other evidence has pointed out, the factory masters' networks and kinship groups saw their place as societal guides to their workers. This letter indicates the depth of this sentiment and highlights an interface where the societal networks diverged and created differences based on knowledge and morality. These interfaces would likely see trust and reputations expressed and received differently. This letter also highlights the influences of religious and political thought surrounding the Evans family, who had aligned themselves with the Unitarians. Moreover, the letter suggests that it was the duty of the family to disseminate and promote the religious and political beliefs held by the kinship group.  </w:t>
      </w:r>
    </w:p>
    <w:p w14:paraId="22F319CA" w14:textId="399C6F05" w:rsidR="005A05DF" w:rsidRPr="005A05DF" w:rsidRDefault="005A05DF" w:rsidP="005A05DF">
      <w:r w:rsidRPr="005A05DF">
        <w:t>This letter contains valuable insights into the political ideologies embraced by the members of the kinship group in the 1790s. It reveals the family's engagement with the contemporary philosopher William Godwin, particularly through his influence on Elizabeth. She fervently encourages her brother to read Godwin's work and attentively engage in meaningful discussions and dissemination of the ideas presented. Elizabeth describes these opinions as precious, almost divine truths that have deeply resonated with her. The specific work Elizabeth references is Godwin's 1793</w:t>
      </w:r>
      <w:bookmarkStart w:id="108" w:name="_Hlk150007038"/>
      <w:r w:rsidR="00CD1D60">
        <w:t xml:space="preserve">, </w:t>
      </w:r>
      <w:r w:rsidR="00CD1D60" w:rsidRPr="00CD1D60">
        <w:rPr>
          <w:i/>
          <w:iCs/>
        </w:rPr>
        <w:t>Enquiry</w:t>
      </w:r>
      <w:r w:rsidR="00CD1D60">
        <w:t>.</w:t>
      </w:r>
      <w:r w:rsidR="00CD1D60">
        <w:rPr>
          <w:rStyle w:val="FootnoteReference"/>
          <w:i/>
          <w:iCs/>
        </w:rPr>
        <w:footnoteReference w:id="328"/>
      </w:r>
      <w:r w:rsidRPr="005A05DF">
        <w:t xml:space="preserve"> </w:t>
      </w:r>
      <w:bookmarkEnd w:id="108"/>
      <w:r w:rsidRPr="005A05DF">
        <w:t>This work drew inspiration from Thomas Paine's 'Rights of Man,' the American and French Revolutions, and is widely acknowledged as a radical treatise with an anarchist vision.</w:t>
      </w:r>
      <w:r w:rsidR="00305099">
        <w:rPr>
          <w:rStyle w:val="FootnoteReference"/>
        </w:rPr>
        <w:footnoteReference w:id="329"/>
      </w:r>
      <w:r w:rsidRPr="005A05DF">
        <w:t xml:space="preserve"> Godwin argues for the perfectibility of humanity and the significance of enlightened reasoning, ultimately suggesting that government may become unnecessary. He portrays the government as a set of political institutions and practices that, in his view, had become immoral and were hindering the progress of mankind.</w:t>
      </w:r>
      <w:r w:rsidR="00FC56B4">
        <w:rPr>
          <w:rStyle w:val="FootnoteReference"/>
        </w:rPr>
        <w:footnoteReference w:id="330"/>
      </w:r>
      <w:r w:rsidRPr="005A05DF">
        <w:t xml:space="preserve"> This radical intellectualism had a significant impact on the Evans-Strutt kinship group and helped establish their identities within their community. It also helped forge the community identity as like-minded individuals converged to create networks based on shared beliefs. Leading figures in the radical intellectual movement, such as Samuel Taylor Coleridge and Enlightenment thinkers, such as Erasmus Darwin, were close friends and associates of the Evans and Strutt families. These associations, in turn, gave the families a reputation as liberal, radical thinkers within their own networks.   </w:t>
      </w:r>
    </w:p>
    <w:p w14:paraId="633113C7" w14:textId="7BA2329C" w:rsidR="005A05DF" w:rsidRPr="005A05DF" w:rsidRDefault="005B338A" w:rsidP="005A05DF">
      <w:pPr>
        <w:rPr>
          <w:i/>
          <w:iCs/>
        </w:rPr>
      </w:pPr>
      <w:r>
        <w:rPr>
          <w:i/>
          <w:iCs/>
        </w:rPr>
        <w:t xml:space="preserve">Membership of an </w:t>
      </w:r>
      <w:r w:rsidR="005A05DF" w:rsidRPr="005A05DF">
        <w:rPr>
          <w:i/>
          <w:iCs/>
        </w:rPr>
        <w:t xml:space="preserve">Urban Elite </w:t>
      </w:r>
    </w:p>
    <w:p w14:paraId="59D720EA" w14:textId="1655EC66" w:rsidR="005A05DF" w:rsidRPr="005A05DF" w:rsidRDefault="005A05DF" w:rsidP="005A05DF">
      <w:r w:rsidRPr="005A05DF">
        <w:t>Derby’s urban elite comprised an oligarchy of powerful families that dominated the town's political, cultural, and social structure and environment. The Evans and Strutt families held prominent positions within Derby’s Georgian urban oligarchy. The Evans family’s influence in local politics was boosted in 1750 when Thomas Evans married Sarah Evans, the daughter of William Evans Junior, an alderman and later Mayor of the Corporation that governed the town of Derby.</w:t>
      </w:r>
      <w:r w:rsidRPr="005A05DF">
        <w:rPr>
          <w:vertAlign w:val="superscript"/>
        </w:rPr>
        <w:footnoteReference w:id="331"/>
      </w:r>
      <w:r w:rsidRPr="005A05DF">
        <w:t xml:space="preserve"> The Evans-Evans kinship group was aligned with the Whig faction, which dominated the eighteenth and early nineteenth-century politics of Derby. Paul Elliott's research showed that the composition of the town’s Corporation in 1792 was 47.6% Anglican, 52.4% Unitarian, of which 75% supported the Whig or reformers and 25% were politically Tory.</w:t>
      </w:r>
      <w:r w:rsidRPr="005A05DF">
        <w:rPr>
          <w:vertAlign w:val="superscript"/>
        </w:rPr>
        <w:footnoteReference w:id="332"/>
      </w:r>
      <w:r w:rsidRPr="005A05DF">
        <w:t xml:space="preserve"> In Derby, the dissenters influenced the town's power structure. Despite the laws against their inclusion into positions of political power, non-conformist </w:t>
      </w:r>
      <w:r w:rsidRPr="005A05DF">
        <w:lastRenderedPageBreak/>
        <w:t>families like the Crompton, Strutt, Leaper, Bingham, Fox</w:t>
      </w:r>
      <w:r w:rsidR="0032248D">
        <w:t>,</w:t>
      </w:r>
      <w:r w:rsidRPr="005A05DF">
        <w:t xml:space="preserve"> and Drewry continued to become aldermen and mayors of the borough.</w:t>
      </w:r>
      <w:r w:rsidRPr="005A05DF">
        <w:rPr>
          <w:vertAlign w:val="superscript"/>
        </w:rPr>
        <w:footnoteReference w:id="333"/>
      </w:r>
      <w:r w:rsidRPr="005A05DF">
        <w:t xml:space="preserve"> The Evans family was influenced by their close associations with the non-conformist families within the urban community, which would have impacted their reputation and social standing within the social and political networks of the town.  In Manchester, like in Derby</w:t>
      </w:r>
      <w:r w:rsidR="0032248D">
        <w:t>, the dissenters significantly influenced</w:t>
      </w:r>
      <w:r w:rsidRPr="005A05DF">
        <w:t xml:space="preserve"> the town’s political and cultural structure. The McConnel and Kennedy families were immersed in the liberal middle-class culture of Manchester during the late eighteenth and early nineteenth centuries. Their Unitarian religion brought to them ideas of radical intellectualism, much the same ideas as the Evans and Strutt families were engaging with. Although James McConnel was not particularly political, he aligned with the Whig cause.</w:t>
      </w:r>
      <w:r w:rsidRPr="005A05DF">
        <w:rPr>
          <w:vertAlign w:val="superscript"/>
        </w:rPr>
        <w:footnoteReference w:id="334"/>
      </w:r>
    </w:p>
    <w:p w14:paraId="164CFC27" w14:textId="68F60D39" w:rsidR="00CD6254" w:rsidRPr="00817B40" w:rsidRDefault="00CD6254" w:rsidP="00817B40">
      <w:pPr>
        <w:pStyle w:val="Heading2"/>
        <w:rPr>
          <w:rFonts w:asciiTheme="minorHAnsi" w:hAnsiTheme="minorHAnsi" w:cstheme="minorHAnsi"/>
          <w:b/>
          <w:bCs/>
          <w:color w:val="auto"/>
          <w:sz w:val="24"/>
          <w:szCs w:val="24"/>
        </w:rPr>
      </w:pPr>
      <w:bookmarkStart w:id="110" w:name="_Toc170825676"/>
      <w:r w:rsidRPr="00817B40">
        <w:rPr>
          <w:rFonts w:asciiTheme="minorHAnsi" w:hAnsiTheme="minorHAnsi" w:cstheme="minorHAnsi"/>
          <w:b/>
          <w:bCs/>
          <w:color w:val="auto"/>
          <w:sz w:val="24"/>
          <w:szCs w:val="24"/>
        </w:rPr>
        <w:t xml:space="preserve">Trust and Reputation in </w:t>
      </w:r>
      <w:r w:rsidR="0052738A" w:rsidRPr="00817B40">
        <w:rPr>
          <w:rFonts w:asciiTheme="minorHAnsi" w:hAnsiTheme="minorHAnsi" w:cstheme="minorHAnsi"/>
          <w:b/>
          <w:bCs/>
          <w:color w:val="auto"/>
          <w:sz w:val="24"/>
          <w:szCs w:val="24"/>
        </w:rPr>
        <w:t>Community Associations</w:t>
      </w:r>
      <w:bookmarkEnd w:id="110"/>
      <w:r w:rsidRPr="00817B40">
        <w:rPr>
          <w:rFonts w:asciiTheme="minorHAnsi" w:hAnsiTheme="minorHAnsi" w:cstheme="minorHAnsi"/>
          <w:b/>
          <w:bCs/>
          <w:color w:val="auto"/>
          <w:sz w:val="24"/>
          <w:szCs w:val="24"/>
        </w:rPr>
        <w:t xml:space="preserve"> </w:t>
      </w:r>
    </w:p>
    <w:p w14:paraId="06DFD999" w14:textId="64BE7461" w:rsidR="005B338A" w:rsidRPr="005B338A" w:rsidRDefault="005B338A" w:rsidP="005B338A">
      <w:pPr>
        <w:rPr>
          <w:i/>
          <w:iCs/>
        </w:rPr>
      </w:pPr>
      <w:r w:rsidRPr="005B338A">
        <w:rPr>
          <w:i/>
          <w:iCs/>
        </w:rPr>
        <w:t>C</w:t>
      </w:r>
      <w:r w:rsidR="002F1C97">
        <w:rPr>
          <w:i/>
          <w:iCs/>
        </w:rPr>
        <w:t>ommunity</w:t>
      </w:r>
      <w:r w:rsidRPr="005B338A">
        <w:rPr>
          <w:i/>
          <w:iCs/>
        </w:rPr>
        <w:t xml:space="preserve"> Associations</w:t>
      </w:r>
    </w:p>
    <w:p w14:paraId="21311F85" w14:textId="2AA5CFC3" w:rsidR="009A0F10" w:rsidRPr="00700C8C" w:rsidRDefault="002150D5" w:rsidP="005B338A">
      <w:r w:rsidRPr="00700C8C">
        <w:t>Community associations were formed within the urban spaces of both Derby and Manchester of which the middle-class network members of the Evans</w:t>
      </w:r>
      <w:r w:rsidR="00D633FF" w:rsidRPr="00700C8C">
        <w:t xml:space="preserve">, Strutt, </w:t>
      </w:r>
      <w:r w:rsidRPr="00700C8C">
        <w:t>McConnel and Kennedy families were</w:t>
      </w:r>
      <w:r w:rsidR="00D633FF" w:rsidRPr="00700C8C">
        <w:t xml:space="preserve"> key members.</w:t>
      </w:r>
      <w:r w:rsidRPr="00700C8C">
        <w:t xml:space="preserve"> T</w:t>
      </w:r>
      <w:r w:rsidR="002F1C97" w:rsidRPr="00700C8C">
        <w:t>rust</w:t>
      </w:r>
      <w:r w:rsidR="00AA4BE6" w:rsidRPr="00700C8C">
        <w:t xml:space="preserve"> </w:t>
      </w:r>
      <w:r w:rsidRPr="00700C8C">
        <w:t>between</w:t>
      </w:r>
      <w:r w:rsidR="00AA4BE6" w:rsidRPr="00700C8C">
        <w:t xml:space="preserve"> network members was generated within the social and community </w:t>
      </w:r>
      <w:r w:rsidR="00D633FF" w:rsidRPr="00700C8C">
        <w:t xml:space="preserve">associations that became extensions to church congregations and political parties and were also formed due to shared interests and beliefs on matters such as religion, philosophy, and science. </w:t>
      </w:r>
      <w:r w:rsidR="005B338A" w:rsidRPr="00700C8C">
        <w:t xml:space="preserve">Paul Elliott argues that the role of associational culture within middle-class social activity and political identity </w:t>
      </w:r>
      <w:r w:rsidR="00C35294">
        <w:t>was</w:t>
      </w:r>
      <w:r w:rsidR="005B338A" w:rsidRPr="00700C8C">
        <w:t xml:space="preserve"> significant</w:t>
      </w:r>
      <w:r w:rsidR="005B338A" w:rsidRPr="00562549">
        <w:rPr>
          <w:color w:val="000000" w:themeColor="text1"/>
        </w:rPr>
        <w:t>.</w:t>
      </w:r>
      <w:r w:rsidR="00D633FF" w:rsidRPr="00562549">
        <w:rPr>
          <w:rStyle w:val="FootnoteReference"/>
          <w:color w:val="000000" w:themeColor="text1"/>
        </w:rPr>
        <w:footnoteReference w:id="335"/>
      </w:r>
      <w:r w:rsidR="00D633FF" w:rsidRPr="00562549">
        <w:rPr>
          <w:color w:val="000000" w:themeColor="text1"/>
        </w:rPr>
        <w:t xml:space="preserve"> </w:t>
      </w:r>
      <w:bookmarkStart w:id="111" w:name="_Hlk170479148"/>
      <w:r w:rsidR="00FA0B2E" w:rsidRPr="00562549">
        <w:rPr>
          <w:color w:val="000000" w:themeColor="text1"/>
        </w:rPr>
        <w:t>Associational culture</w:t>
      </w:r>
      <w:r w:rsidR="00E9084C" w:rsidRPr="00562549">
        <w:rPr>
          <w:color w:val="000000" w:themeColor="text1"/>
        </w:rPr>
        <w:t xml:space="preserve"> was significant because it</w:t>
      </w:r>
      <w:r w:rsidR="00FA0B2E" w:rsidRPr="00562549">
        <w:rPr>
          <w:color w:val="000000" w:themeColor="text1"/>
        </w:rPr>
        <w:t xml:space="preserve"> help</w:t>
      </w:r>
      <w:r w:rsidR="00E9084C" w:rsidRPr="00562549">
        <w:rPr>
          <w:color w:val="000000" w:themeColor="text1"/>
        </w:rPr>
        <w:t>ed</w:t>
      </w:r>
      <w:r w:rsidR="00FA0B2E" w:rsidRPr="00562549">
        <w:rPr>
          <w:color w:val="000000" w:themeColor="text1"/>
        </w:rPr>
        <w:t xml:space="preserve"> build communities, forge connections and offer a space in which middle-class society could forge new social relationships and identities.</w:t>
      </w:r>
      <w:r w:rsidR="00C35294" w:rsidRPr="00562549">
        <w:rPr>
          <w:color w:val="000000" w:themeColor="text1"/>
        </w:rPr>
        <w:t xml:space="preserve"> </w:t>
      </w:r>
      <w:bookmarkEnd w:id="111"/>
      <w:r w:rsidR="00D633FF" w:rsidRPr="00700C8C">
        <w:t>John Smail suggests that these associations were a means of establishing and demonstrating class identity within the public sphere.</w:t>
      </w:r>
      <w:r w:rsidR="00C36E3F" w:rsidRPr="00700C8C">
        <w:rPr>
          <w:rStyle w:val="FootnoteReference"/>
        </w:rPr>
        <w:footnoteReference w:id="336"/>
      </w:r>
      <w:r w:rsidR="00D633FF" w:rsidRPr="00700C8C">
        <w:t xml:space="preserve"> These interpretations have a foundational basis in J</w:t>
      </w:r>
      <w:r w:rsidR="00D633FF" w:rsidRPr="00700C8C">
        <w:rPr>
          <w:rFonts w:cstheme="minorHAnsi"/>
        </w:rPr>
        <w:t>ü</w:t>
      </w:r>
      <w:r w:rsidR="00D633FF" w:rsidRPr="00700C8C">
        <w:t>rgen Habermas’s theory of the formation of the ‘bourgeois public sphere.’ It is within this</w:t>
      </w:r>
      <w:r w:rsidR="00AA7311" w:rsidRPr="00700C8C">
        <w:t xml:space="preserve"> public</w:t>
      </w:r>
      <w:r w:rsidR="00D633FF" w:rsidRPr="00700C8C">
        <w:t xml:space="preserve"> space where the industrial man of business built trusted relationships and consolidated his reputation as a middle-class man of respectability and </w:t>
      </w:r>
      <w:r w:rsidR="006368DB" w:rsidRPr="00700C8C">
        <w:t>character. The separation of the middle-class man of business in the public and commercial sectors and the domesticated female were of course idealised guidelines and there are suggestions that females had much greater inputs into the community associations, just as the male was not absent from the home. However, it was the male presence that dominated the public sphere</w:t>
      </w:r>
      <w:r w:rsidR="00813286" w:rsidRPr="00700C8C">
        <w:t>, although as Elliott argues, it was the provincial urban culture, such as that found in Derby and Manchester that played a crucial role in the emancipation of women.</w:t>
      </w:r>
      <w:r w:rsidR="009A0F10" w:rsidRPr="00700C8C">
        <w:rPr>
          <w:rStyle w:val="FootnoteReference"/>
        </w:rPr>
        <w:footnoteReference w:id="337"/>
      </w:r>
      <w:r w:rsidR="009A0F10" w:rsidRPr="00700C8C">
        <w:t xml:space="preserve"> In this research, the figure of Elizabeth Evans stands out in terms of women influencing the public and political arena of society. Her letters to and from her father, brother and close friend Erasmus Darwin show the understated role that females could have in society, concerning education, political issues such as slavery, and abolition and the use of associational libraries as a source of personal education for Elizabeth.</w:t>
      </w:r>
      <w:r w:rsidR="009A0F10" w:rsidRPr="00700C8C">
        <w:rPr>
          <w:rStyle w:val="FootnoteReference"/>
        </w:rPr>
        <w:footnoteReference w:id="338"/>
      </w:r>
      <w:r w:rsidR="009A0F10" w:rsidRPr="00700C8C">
        <w:t xml:space="preserve"> </w:t>
      </w:r>
    </w:p>
    <w:p w14:paraId="5083D321" w14:textId="3303870D" w:rsidR="005B338A" w:rsidRPr="00700C8C" w:rsidRDefault="009A0F10" w:rsidP="005B338A">
      <w:r w:rsidRPr="00093FBD">
        <w:t>Membership and belonging to a community association was an important part of being part of the bourgeois middle-class. Reputations and respectability</w:t>
      </w:r>
      <w:r w:rsidR="00A00971" w:rsidRPr="00093FBD">
        <w:t xml:space="preserve"> of members</w:t>
      </w:r>
      <w:r w:rsidRPr="00093FBD">
        <w:t xml:space="preserve"> could be grown in these organisations</w:t>
      </w:r>
      <w:r w:rsidR="00A00971" w:rsidRPr="00093FBD">
        <w:t>, particularly those whose foundation rested upon philanthropy, projects of societal or community improvement. Projects of civic engineering, and infrastructure improvements were key parts of associational life in the urban centres of Derby and Manchester.</w:t>
      </w:r>
      <w:r w:rsidR="00700C8C" w:rsidRPr="00093FBD">
        <w:t xml:space="preserve"> For example, </w:t>
      </w:r>
      <w:r w:rsidR="00A00971" w:rsidRPr="00093FBD">
        <w:t xml:space="preserve">John Kennedy </w:t>
      </w:r>
      <w:r w:rsidR="00A00971" w:rsidRPr="00093FBD">
        <w:lastRenderedPageBreak/>
        <w:t xml:space="preserve">was a key </w:t>
      </w:r>
      <w:r w:rsidR="00C35294" w:rsidRPr="00093FBD">
        <w:t>sponsor</w:t>
      </w:r>
      <w:r w:rsidR="00A00971" w:rsidRPr="00093FBD">
        <w:t xml:space="preserve"> of the Liverpool and Manchester Railway and in 1829 he presided as a judge at the Rainhill locomotive trials, where George Stephenson’s Rocket became the clear winner.</w:t>
      </w:r>
      <w:r w:rsidR="00A00971" w:rsidRPr="00093FBD">
        <w:rPr>
          <w:rStyle w:val="FootnoteReference"/>
        </w:rPr>
        <w:footnoteReference w:id="339"/>
      </w:r>
      <w:r w:rsidR="00700C8C" w:rsidRPr="00093FBD">
        <w:t xml:space="preserve"> Kennedy’s involvement in such a pivotal moment shows not only the trust placed in him to be invited to be a judge but also that the members of this class were pushing the boundaries of progress while growing their reputations.</w:t>
      </w:r>
      <w:r w:rsidR="00A00971" w:rsidRPr="00093FBD">
        <w:t xml:space="preserve"> As respectable members of the middle-class, men like John Kennedy had built trust within their local communities. The </w:t>
      </w:r>
      <w:r w:rsidR="00700C8C" w:rsidRPr="00093FBD">
        <w:t>projects of improvements also included charitable work that included the foundation of hospitals such as the Derbyshire Royal Infirmary.</w:t>
      </w:r>
      <w:r w:rsidR="00700C8C" w:rsidRPr="00700C8C">
        <w:rPr>
          <w:b/>
          <w:bCs/>
        </w:rPr>
        <w:t xml:space="preserve"> </w:t>
      </w:r>
      <w:r w:rsidR="005B338A" w:rsidRPr="00700C8C">
        <w:t>The Evans-Strutt kinship group were key players in the Derbyshire Royal Infirmary's foundation, designed and founded by Thomas Evan’s son-in-law, William Strutt.</w:t>
      </w:r>
      <w:r w:rsidR="00700C8C" w:rsidRPr="00700C8C">
        <w:rPr>
          <w:vertAlign w:val="superscript"/>
        </w:rPr>
        <w:footnoteReference w:id="340"/>
      </w:r>
      <w:r w:rsidR="00700C8C" w:rsidRPr="00700C8C">
        <w:t xml:space="preserve"> </w:t>
      </w:r>
      <w:r w:rsidR="00700C8C">
        <w:t xml:space="preserve">The pattern that both case studies have shown </w:t>
      </w:r>
      <w:r w:rsidR="00CC1823">
        <w:t>regarding</w:t>
      </w:r>
      <w:r w:rsidR="00700C8C">
        <w:t xml:space="preserve"> their involvement in improvement and charitable associations and projects</w:t>
      </w:r>
      <w:r w:rsidR="00897C33">
        <w:t xml:space="preserve"> is that </w:t>
      </w:r>
      <w:r w:rsidR="00CC1823">
        <w:t>all</w:t>
      </w:r>
      <w:r w:rsidR="00897C33">
        <w:t xml:space="preserve"> the men of business participated in community acts of improvement and charity. </w:t>
      </w:r>
      <w:r w:rsidR="00700C8C">
        <w:t xml:space="preserve"> </w:t>
      </w:r>
      <w:r w:rsidR="005B338A" w:rsidRPr="00700C8C">
        <w:t xml:space="preserve"> </w:t>
      </w:r>
    </w:p>
    <w:p w14:paraId="4794D2CE" w14:textId="234FBF1E" w:rsidR="005A05DF" w:rsidRPr="005A05DF" w:rsidRDefault="005A05DF" w:rsidP="005A05DF">
      <w:r w:rsidRPr="005A05DF">
        <w:t>In 1783, Erasmus Darwin, a close friend and correspondent of the Evans family, played a pivotal role in establishing the Derby Philosophical Society in the town of Derby. As a founding member of the Lunar Society in Birmingham, Erasmus Darwin was a prominent intellectual of the European Enlightenment, making his contribution to the town of Derby particularly significant. The Evans-Strutt kinship group had a deep connection to Enlightenment thinking and maintained friendships and acquaintanceships with notable Enlightenment thinkers. Notably, William Strutt, Erasmus Darwin's closest friend in Derby, actively supported the creation of the Derby Philosophical Society. In Darwin's absence, he acted as chairman and later assumed the role of president upon Darwin's passing.</w:t>
      </w:r>
      <w:r w:rsidR="00893286">
        <w:rPr>
          <w:rStyle w:val="FootnoteReference"/>
        </w:rPr>
        <w:footnoteReference w:id="341"/>
      </w:r>
      <w:r w:rsidRPr="005A05DF">
        <w:t xml:space="preserve"> William Evans, the son of Thomas Evans and brother-in-law of Joseph and William Strutt, played a crucial role in promoting intellectual pursuits in the region.</w:t>
      </w:r>
      <w:r w:rsidR="00893286">
        <w:rPr>
          <w:rStyle w:val="FootnoteReference"/>
        </w:rPr>
        <w:footnoteReference w:id="342"/>
      </w:r>
      <w:r w:rsidRPr="005A05DF">
        <w:t xml:space="preserve"> He was instrumental in founding the Chesterfield Literary and Scientific Debating Society in 1786 and became a member of the Derby Philosophical Society.</w:t>
      </w:r>
      <w:r w:rsidR="00893286">
        <w:rPr>
          <w:rStyle w:val="FootnoteReference"/>
        </w:rPr>
        <w:footnoteReference w:id="343"/>
      </w:r>
      <w:r w:rsidRPr="005A05DF">
        <w:t xml:space="preserve"> Walter, William's half-brother, and William Evans MP, William's son, also became members of the Philosophical Society by 1813, demonstrating the family's commitment to intellectual exploration.</w:t>
      </w:r>
      <w:r w:rsidR="00893286">
        <w:rPr>
          <w:rStyle w:val="FootnoteReference"/>
        </w:rPr>
        <w:footnoteReference w:id="344"/>
      </w:r>
      <w:r w:rsidRPr="005A05DF">
        <w:t xml:space="preserve"> They actively subscribed to works like White Watson's 'Delineation of the Strata of Derbyshire' (1811).</w:t>
      </w:r>
      <w:r w:rsidR="00893286">
        <w:rPr>
          <w:rStyle w:val="FootnoteReference"/>
        </w:rPr>
        <w:footnoteReference w:id="345"/>
      </w:r>
      <w:r w:rsidRPr="005A05DF">
        <w:t xml:space="preserve"> The later father-in-law of William Evans from 1820, Rev. Thomas Gisborne, was another founding member of the Derby Philosophical Society who also held an honorary membership with the Manchester Philosophical Society - showing a strong link between the two towns. </w:t>
      </w:r>
    </w:p>
    <w:p w14:paraId="38A013FE" w14:textId="1DAF7C24" w:rsidR="005A05DF" w:rsidRPr="005A05DF" w:rsidRDefault="00D03DAB" w:rsidP="005A05DF">
      <w:r>
        <w:t xml:space="preserve">The </w:t>
      </w:r>
      <w:r w:rsidR="00086837">
        <w:t xml:space="preserve">Manchester </w:t>
      </w:r>
      <w:r w:rsidR="005605D1">
        <w:t>Literary</w:t>
      </w:r>
      <w:r w:rsidR="00086837">
        <w:t xml:space="preserve"> and Philosophical Society was founded in 1781 by Thomas Percival </w:t>
      </w:r>
      <w:r w:rsidR="00645A63">
        <w:t xml:space="preserve">and </w:t>
      </w:r>
      <w:r w:rsidR="00893286">
        <w:t>t</w:t>
      </w:r>
      <w:r w:rsidR="00645A63" w:rsidRPr="00FE4A09">
        <w:t>he Greg, Henry, McConnel, Kennedy, Philips and the Robinson families in Manchester all had founding members in their ranks.</w:t>
      </w:r>
      <w:r w:rsidR="00645A63" w:rsidRPr="00FE4A09">
        <w:rPr>
          <w:sz w:val="24"/>
          <w:szCs w:val="24"/>
        </w:rPr>
        <w:t xml:space="preserve"> </w:t>
      </w:r>
      <w:r w:rsidR="005A05DF" w:rsidRPr="005A05DF">
        <w:t>Fitton and Wadsworth assert that the Literary and Philosophical Societies exemplified a strong commitment to science and the cultivation of 'useful knowledge,' leaving a lasting impact on both the social and cultural spheres.</w:t>
      </w:r>
      <w:r w:rsidR="00FE4A09">
        <w:rPr>
          <w:rStyle w:val="FootnoteReference"/>
        </w:rPr>
        <w:footnoteReference w:id="346"/>
      </w:r>
      <w:r w:rsidR="005A05DF" w:rsidRPr="005A05DF">
        <w:t xml:space="preserve"> Elliott suggests that Derby was a vibrant hub of literary and scientific culture that helped to transform the political and social identity of the bourgeoisie whilst reducing the impact of religious and political fragmentation.</w:t>
      </w:r>
      <w:r w:rsidR="005A05DF" w:rsidRPr="005A05DF">
        <w:rPr>
          <w:vertAlign w:val="superscript"/>
        </w:rPr>
        <w:footnoteReference w:id="347"/>
      </w:r>
      <w:r w:rsidR="005A05DF" w:rsidRPr="005A05DF">
        <w:t xml:space="preserve"> However, an essential yet often overlooked aspect of these groups was their role in facilitating the development of trust</w:t>
      </w:r>
      <w:r w:rsidR="00E06136">
        <w:t>ed</w:t>
      </w:r>
      <w:r w:rsidR="005A05DF" w:rsidRPr="005A05DF">
        <w:t xml:space="preserve"> networks</w:t>
      </w:r>
      <w:r w:rsidR="00E06136">
        <w:t>.</w:t>
      </w:r>
      <w:r w:rsidR="005A05DF" w:rsidRPr="005A05DF">
        <w:t xml:space="preserve"> These spaces allowed members to establish trustworthy relationships with one another, fostering a sense of belonging and creating a distinct identity separate from non-members. </w:t>
      </w:r>
      <w:r w:rsidR="005A05DF" w:rsidRPr="005A05DF">
        <w:lastRenderedPageBreak/>
        <w:t xml:space="preserve">Moreover, participating in these societies helped individuals build a reputation as learned, respectable, and honest. These spaces encouraged social interactions while contributing to the dissemination of cutting-edge knowledge and </w:t>
      </w:r>
      <w:r w:rsidR="00E2467F">
        <w:t>promoting</w:t>
      </w:r>
      <w:r w:rsidR="005A05DF" w:rsidRPr="005A05DF">
        <w:t xml:space="preserve"> important social causes of their time among members, a crucial component for the successful operation of the cotton mills in each hub. </w:t>
      </w:r>
    </w:p>
    <w:p w14:paraId="5D526813" w14:textId="03870106" w:rsidR="005A05DF" w:rsidRPr="005A05DF" w:rsidRDefault="005A05DF" w:rsidP="005A05DF">
      <w:r w:rsidRPr="005A05DF">
        <w:t xml:space="preserve">Different social associations were established during the eighteenth century, fostering a sense of belonging and generating trust between their members. One such organisation was the </w:t>
      </w:r>
      <w:r w:rsidR="00E2467F">
        <w:t>Freemasons</w:t>
      </w:r>
      <w:r w:rsidRPr="005A05DF">
        <w:t>. This was less influential within the cotton mill networks but had some impact on the social networks of the cotton mill owners and their management structures. In the Evans-Strutt kinship group, William Strutt</w:t>
      </w:r>
      <w:r w:rsidR="003844D4">
        <w:t xml:space="preserve"> </w:t>
      </w:r>
      <w:r w:rsidR="0051303B">
        <w:t xml:space="preserve">belonged to </w:t>
      </w:r>
      <w:r w:rsidR="003844D4">
        <w:t xml:space="preserve">the </w:t>
      </w:r>
      <w:r w:rsidR="00A07651">
        <w:t>Trinity</w:t>
      </w:r>
      <w:r w:rsidR="003844D4">
        <w:t xml:space="preserve"> Lodge of Derby’s Freemasons</w:t>
      </w:r>
      <w:r w:rsidR="006C3F7A">
        <w:t>. John Harrison, a Derby</w:t>
      </w:r>
      <w:r w:rsidR="009C17FA">
        <w:t xml:space="preserve"> based </w:t>
      </w:r>
      <w:r w:rsidR="006C3F7A">
        <w:t xml:space="preserve">attorney and husband of </w:t>
      </w:r>
      <w:r w:rsidR="00F1091C">
        <w:t xml:space="preserve">one of </w:t>
      </w:r>
      <w:r w:rsidR="006C3F7A">
        <w:t>Thomas Evans’ granddaughter</w:t>
      </w:r>
      <w:r w:rsidR="00F1091C">
        <w:t>s, was a key Freemason in Derby.</w:t>
      </w:r>
      <w:r w:rsidR="00F1091C">
        <w:rPr>
          <w:rStyle w:val="FootnoteReference"/>
        </w:rPr>
        <w:footnoteReference w:id="348"/>
      </w:r>
      <w:r w:rsidR="00F1091C">
        <w:t xml:space="preserve">  </w:t>
      </w:r>
      <w:r w:rsidR="009C17FA">
        <w:t xml:space="preserve">Membership of exclusive social </w:t>
      </w:r>
      <w:r w:rsidR="00387547">
        <w:t xml:space="preserve">clubs, societies and being an active part of the Urban elite’s subscription culture enacted not just a flow of knowledge but created further spaces for the societal negotiation of trust and reputation building. </w:t>
      </w:r>
      <w:r w:rsidR="008D51C4">
        <w:t xml:space="preserve">These social associations </w:t>
      </w:r>
      <w:r w:rsidR="0061634B">
        <w:t xml:space="preserve">while important in the flow of useful and cultural knowledge were spaces where trust and social capital were generated. </w:t>
      </w:r>
      <w:r w:rsidR="005D0295">
        <w:t xml:space="preserve">Their belonging created ascribed trust as well as facilitating social interactions to create shared experiences and distinct identities. </w:t>
      </w:r>
      <w:r w:rsidR="003F70DF">
        <w:t xml:space="preserve">The regalia often created signs </w:t>
      </w:r>
      <w:r w:rsidR="005373D7">
        <w:t xml:space="preserve">and signifiers of </w:t>
      </w:r>
      <w:r w:rsidR="003F70DF">
        <w:t>trust</w:t>
      </w:r>
      <w:r w:rsidR="005373D7">
        <w:t xml:space="preserve"> and belonging</w:t>
      </w:r>
      <w:r w:rsidR="00BD2E21">
        <w:t xml:space="preserve"> which was exclusive, as membership worked on an inner network basis. </w:t>
      </w:r>
    </w:p>
    <w:p w14:paraId="3D6F8AED" w14:textId="2B37D360" w:rsidR="005A05DF" w:rsidRPr="00817B40" w:rsidRDefault="005A05DF" w:rsidP="00817B40">
      <w:pPr>
        <w:pStyle w:val="Heading2"/>
        <w:rPr>
          <w:rFonts w:asciiTheme="minorHAnsi" w:hAnsiTheme="minorHAnsi" w:cstheme="minorHAnsi"/>
          <w:b/>
          <w:bCs/>
          <w:color w:val="auto"/>
          <w:sz w:val="24"/>
          <w:szCs w:val="24"/>
        </w:rPr>
      </w:pPr>
      <w:bookmarkStart w:id="112" w:name="_Toc170825677"/>
      <w:r w:rsidRPr="00817B40">
        <w:rPr>
          <w:rFonts w:asciiTheme="minorHAnsi" w:hAnsiTheme="minorHAnsi" w:cstheme="minorHAnsi"/>
          <w:b/>
          <w:bCs/>
          <w:color w:val="auto"/>
          <w:sz w:val="24"/>
          <w:szCs w:val="24"/>
        </w:rPr>
        <w:t>Abolitionism, and the Cotton Manufacturers</w:t>
      </w:r>
      <w:bookmarkEnd w:id="112"/>
    </w:p>
    <w:p w14:paraId="7B3180C2" w14:textId="4C1A5D4B" w:rsidR="005A05DF" w:rsidRPr="005A05DF" w:rsidRDefault="005A05DF" w:rsidP="005A05DF">
      <w:r w:rsidRPr="005A05DF">
        <w:t>Unitarianism and Evangelical Anglicanism joined with rational enlightenment thinking was disseminated in the social and religious networks of the cotton manufacturers</w:t>
      </w:r>
      <w:r w:rsidR="00CF1B7B">
        <w:t>’</w:t>
      </w:r>
      <w:r w:rsidRPr="005A05DF">
        <w:t xml:space="preserve"> communities. This brought issues of morality and political justice to the forefront of the minds of the network actors. As early as 1792, William Evans, his brothers-in-law William, Joseph, and George Benson Strutt were all part of Derby’s call to discuss the abolition of the slave trade and Derby’s petition to Parliament surrounding the issue. The Derby Mercury advertised in March 1792 for a meeting at County Hall, which the men from the Evans-Strutt kinship group attended. The group's female members were also keen to promote the abolition of the slave trade. Elizabeth Evans wrote to her brother Joseph Strutt in October 1793, imploring him to use his efforts to ‘ameliorate the condition of mankind.’ While this letter refers to the plight and morals of the poor, it also becomes clear she is writing about the plight of enslaved people. She writes about the delightful hope she holds when ‘tyrants and slaves’ of the earth are converted into one great alliance and brotherhood. The letter also clarifies that she believes her brother Joseph has the power to fight the cause and that he could accelerate the process. These contemporary sources highlight the influences and abolitionist thinking within the cotton manufacturing networks, even in the early days of their enterprises. </w:t>
      </w:r>
    </w:p>
    <w:p w14:paraId="35258A70" w14:textId="77777777" w:rsidR="005A05DF" w:rsidRPr="005A05DF" w:rsidRDefault="005A05DF" w:rsidP="005A05DF">
      <w:r w:rsidRPr="005A05DF">
        <w:t>While it is likely that the Evans-Strutt kinship group signed petitions to Parliament to see the abolition of the slave trade, it is less clear about the position of the McConnel and Kennedy families. The abolition of the slave trade occurred when Parliament passed the 1807 bill. Before this, the inhabitants of Manchester submitted two key petitions to Parliament. One was from the town’s pro-slave trade faction, and the other was from those wishing to see an end to the trade. Interestingly, none of the signatures were from James McConnel, John Kennedy, or any known member of their firm.</w:t>
      </w:r>
      <w:r w:rsidRPr="005A05DF">
        <w:rPr>
          <w:vertAlign w:val="superscript"/>
        </w:rPr>
        <w:footnoteReference w:id="349"/>
      </w:r>
      <w:r w:rsidRPr="005A05DF">
        <w:t xml:space="preserve"> Many of their suppliers and customers in Manchester took a clear position one way or another. Their most frequent supplier of raw cotton, Messrs. Thomas &amp; William Bateman &amp; Co., </w:t>
      </w:r>
      <w:r w:rsidRPr="005A05DF">
        <w:lastRenderedPageBreak/>
        <w:t>signed in support of the abolition of the slave trade.</w:t>
      </w:r>
      <w:r w:rsidRPr="005A05DF">
        <w:rPr>
          <w:vertAlign w:val="superscript"/>
        </w:rPr>
        <w:footnoteReference w:id="350"/>
      </w:r>
      <w:r w:rsidRPr="005A05DF">
        <w:t xml:space="preserve"> However, firms such as Richard Alsop &amp; Co., Harrison Nephew &amp; Co., and John Hyde of Co., some of their key suppliers of raw cotton, were against ending the trade in enslaved people.</w:t>
      </w:r>
      <w:r w:rsidRPr="005A05DF">
        <w:rPr>
          <w:vertAlign w:val="superscript"/>
        </w:rPr>
        <w:footnoteReference w:id="351"/>
      </w:r>
      <w:r w:rsidRPr="005A05DF">
        <w:t xml:space="preserve"> There are many possible reasons why the McConnel and Kennedy families were not represented on either petition, including their desire to remain loyal to their trusted network members, such as the Greg and Heywood families, but did not agree with the pro-slave trade position. Alternatively, they might have been undecided on the matter due to the clear economic implications for the cotton markets of Manchester and Britain.    </w:t>
      </w:r>
    </w:p>
    <w:p w14:paraId="7C3CBD2E" w14:textId="58BC043F" w:rsidR="005A05DF" w:rsidRPr="005A05DF" w:rsidRDefault="005A05DF" w:rsidP="005A05DF">
      <w:r w:rsidRPr="005A05DF">
        <w:t xml:space="preserve">The kinship, religious and political networks surrounding the Boar’s Head Cotton </w:t>
      </w:r>
      <w:r w:rsidR="00100A7A">
        <w:t>M</w:t>
      </w:r>
      <w:r w:rsidRPr="005A05DF">
        <w:t xml:space="preserve">ills were connected to the abolitionist cause and the Clapham Sect. A key member of the Evans family to take up the abolitionist cause was William Evans MP, the grandson of Thomas Evans. William Evans held shares in the cotton mill with his brother Samuel Evans, but Samuel was responsible for its day-to-day operation. This freed William to pursue a political career and reside at Allestree Hall. While in Parliament, William gained a reputation for his forthright defence of the abolitionist cause, and he steadfastly campaigned for ameliorating the lives of the enslaved people. His community engagement with key abolitionists influenced his ability to connect with like-minded individuals, such as the Reverend Thomas Gisborne, who, in 1820, became his father-in-law via his marriage to Mary Gisborne. The influences from members of the Clapham Sect and the trust that William was able to build with them gave him access to their networks. This access opened channels of information and opportunities for the Evans family to enter the parliamentary debates and for William Evans to become a regular patron, a director, and a secretary of the African Institution. This institution had been set up to create a refuge for people freed from enslavement, and William Wilberforce and James Stephens had been its main organisers.   </w:t>
      </w:r>
    </w:p>
    <w:p w14:paraId="41328D64" w14:textId="77777777" w:rsidR="005A05DF" w:rsidRPr="005A05DF" w:rsidRDefault="005A05DF" w:rsidP="005A05DF">
      <w:r w:rsidRPr="005A05DF">
        <w:rPr>
          <w:noProof/>
        </w:rPr>
        <w:drawing>
          <wp:inline distT="0" distB="0" distL="0" distR="0" wp14:anchorId="18632C15" wp14:editId="2F9ED87A">
            <wp:extent cx="4358148" cy="2977215"/>
            <wp:effectExtent l="0" t="0" r="4445" b="0"/>
            <wp:docPr id="279641274" name="Picture 1" descr="A group of people's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41274" name="Picture 1" descr="A group of people's names&#10;&#10;Description automatically generated"/>
                    <pic:cNvPicPr/>
                  </pic:nvPicPr>
                  <pic:blipFill>
                    <a:blip r:embed="rId12"/>
                    <a:stretch>
                      <a:fillRect/>
                    </a:stretch>
                  </pic:blipFill>
                  <pic:spPr>
                    <a:xfrm>
                      <a:off x="0" y="0"/>
                      <a:ext cx="4378237" cy="2990939"/>
                    </a:xfrm>
                    <a:prstGeom prst="rect">
                      <a:avLst/>
                    </a:prstGeom>
                  </pic:spPr>
                </pic:pic>
              </a:graphicData>
            </a:graphic>
          </wp:inline>
        </w:drawing>
      </w:r>
    </w:p>
    <w:p w14:paraId="4B66FC96" w14:textId="77777777" w:rsidR="005A05DF" w:rsidRPr="005A05DF" w:rsidRDefault="005A05DF" w:rsidP="005A05DF">
      <w:r w:rsidRPr="005A05DF">
        <w:t xml:space="preserve">[Source: </w:t>
      </w:r>
      <w:r w:rsidRPr="005A05DF">
        <w:rPr>
          <w:i/>
          <w:iCs/>
        </w:rPr>
        <w:t>Sixteenth Report of the Directors of the African Institution</w:t>
      </w:r>
      <w:r w:rsidRPr="005A05DF">
        <w:t>, (London: J. Hatchard &amp; Sons, 1822)]</w:t>
      </w:r>
    </w:p>
    <w:p w14:paraId="48F4D65E" w14:textId="52EC700E" w:rsidR="005A05DF" w:rsidRPr="005A05DF" w:rsidRDefault="005A05DF" w:rsidP="005A05DF">
      <w:r w:rsidRPr="005A05DF">
        <w:lastRenderedPageBreak/>
        <w:t>The connections that William Evans made through his community engagemen</w:t>
      </w:r>
      <w:bookmarkEnd w:id="105"/>
      <w:r w:rsidRPr="005A05DF">
        <w:t xml:space="preserve">t with the abolitionism debates brought the kinship group the potential to build their social and political networks. By aligning themselves with abolitionist causes, the members of the Evans family were creating a reputation for radical thinking and progressive policies. They risked losing trust within the broader business networks with those who aligned themselves with the pro-slavery cause. Their reputation, while positive within their immediate circles </w:t>
      </w:r>
      <w:r w:rsidR="00454FEB">
        <w:t xml:space="preserve">might have suffered within the wider business community. </w:t>
      </w:r>
      <w:r w:rsidRPr="005A05DF">
        <w:t xml:space="preserve"> </w:t>
      </w:r>
    </w:p>
    <w:p w14:paraId="73D09FC0" w14:textId="26E5231A" w:rsidR="005A05DF" w:rsidRPr="00817B40" w:rsidRDefault="005A05DF" w:rsidP="00817B40">
      <w:pPr>
        <w:pStyle w:val="Heading2"/>
        <w:rPr>
          <w:rFonts w:asciiTheme="minorHAnsi" w:hAnsiTheme="minorHAnsi" w:cstheme="minorHAnsi"/>
          <w:b/>
          <w:bCs/>
          <w:color w:val="auto"/>
          <w:sz w:val="24"/>
          <w:szCs w:val="24"/>
        </w:rPr>
      </w:pPr>
      <w:bookmarkStart w:id="113" w:name="_Toc170825678"/>
      <w:r w:rsidRPr="00817B40">
        <w:rPr>
          <w:rFonts w:asciiTheme="minorHAnsi" w:hAnsiTheme="minorHAnsi" w:cstheme="minorHAnsi"/>
          <w:b/>
          <w:bCs/>
          <w:color w:val="auto"/>
          <w:sz w:val="24"/>
          <w:szCs w:val="24"/>
        </w:rPr>
        <w:t>Conclusions</w:t>
      </w:r>
      <w:bookmarkEnd w:id="113"/>
    </w:p>
    <w:p w14:paraId="258D6D28" w14:textId="6D3EEC03" w:rsidR="005A05DF" w:rsidRPr="005A05DF" w:rsidRDefault="005A05DF" w:rsidP="005B4EA0">
      <w:r w:rsidRPr="005A05DF">
        <w:t>This chapter has illustrated the intrinsic relationship between cotton mills and the local communities they served, emphasising the bidirectional nature of this connection. Community bonds and social networks played a pivotal role in the mills' formation and functioning. These bonds initially took shape within households, homes, and kinship networks, and extended further into community spaces like schools, churches, social societies, and hubs of political, philosophical, and knowledge exchange. The level of trust within these bonds varied depending on the nature and purpose of interactions. Factory masters assumed a duty of care towards their workers and were expected to treat them fairly, while simultaneously expecting trustworthiness from their employees in terms of behaviour, honesty, reliability, and job performance. However, this study primarily centres on the networks of the middle class and mill operators, by examining their interactions with other firms and network actors considered their social peers. In this context, intra-class trust and, as the following chapter explores, business trust become paramount. Within this framework, we have argued that the ideals and morality underpinning the respectable reputations of middle-class network actors were both negotiated and formed within the community. Religious networks played a foundational role in nurturing their reputations and ethical perspectives on the world. Simultaneously, political networks enabled their engagement with the contemporary thought of their era, with the Evans family demonstrating a more active involvement in this regard, particularly in the first generation, compared to the McConnel and Kennedy families.</w:t>
      </w:r>
    </w:p>
    <w:p w14:paraId="3DA15A4B" w14:textId="7DBA5D78" w:rsidR="005A05DF" w:rsidRPr="005A05DF" w:rsidRDefault="005A05DF" w:rsidP="005A05DF">
      <w:r w:rsidRPr="005A05DF">
        <w:t>The Evans family also took a more active stance against the institutions of the slave trade and slavery as integral parts of the cotton trade and the commercial world of Britain at the time. The Strutt-Evans kinship group were progressive thinkers in terms of their religious, political, and scientific ideas and ideologies. The McConnel-Kennedy kinship group were progressive in their religious and scientific ideas and, while influenced by liberal Whig tendencies, remained detached from the debates around abolitionism. Part of my overall thesis for this research project was that trust, trustworthiness, and reputation were vital to the establishment, expansion, and success of these two cotton mill enterprises in Britain during the early phase of the Industrial Revolution. What the findings of this research have begun to uncover, however, is the complexity of the networks, the complexity of the ideas and ideologies that were being debated with the society at the time</w:t>
      </w:r>
      <w:r w:rsidR="00FB2D97">
        <w:t>,</w:t>
      </w:r>
      <w:r w:rsidRPr="005A05DF">
        <w:t xml:space="preserve"> and the ideals which some of the network members sought to aspire to and the contradictions between the public community persona and the private individual thoughts of men such as Jedediah Strutt. </w:t>
      </w:r>
    </w:p>
    <w:p w14:paraId="3F214803" w14:textId="34F97688" w:rsidR="00F86EB5" w:rsidRDefault="00454FEB" w:rsidP="005A05DF">
      <w:pPr>
        <w:sectPr w:rsidR="00F86EB5">
          <w:footnotePr>
            <w:numRestart w:val="eachSect"/>
          </w:footnotePr>
          <w:pgSz w:w="11906" w:h="16838"/>
          <w:pgMar w:top="1440" w:right="1440" w:bottom="1440" w:left="1440" w:header="708" w:footer="708" w:gutter="0"/>
          <w:cols w:space="708"/>
          <w:docGrid w:linePitch="360"/>
        </w:sectPr>
      </w:pPr>
      <w:r>
        <w:t>T</w:t>
      </w:r>
      <w:r w:rsidR="005A05DF" w:rsidRPr="005A05DF">
        <w:t>his chapter has shown that while trust within the community bonds did exist, it was constantly being negotiated, generated, and broken. As the example of Jedediah Strutt has exemplified, not all members felt part of a wider collective, even if society has suggested they were.</w:t>
      </w:r>
      <w:r w:rsidR="0006354D">
        <w:t xml:space="preserve"> The correspondence between Elizabeth Evans and her father</w:t>
      </w:r>
      <w:r w:rsidR="00F87AE3">
        <w:t xml:space="preserve"> exemplifies the complexities between public community membership and private feelings of belonging. </w:t>
      </w:r>
      <w:r w:rsidR="005A05DF" w:rsidRPr="005A05DF">
        <w:t>Rapid industrialisation ensured the need for new communities to be formed, which in the early years of the factory system meant the transition of many rural workers into industrial roles, which broke existing community bonds, and new bonds took time to form. Factory masters such as Jedediah Strutt, James McConnel</w:t>
      </w:r>
      <w:r w:rsidR="00FB2D97">
        <w:t>,</w:t>
      </w:r>
      <w:r w:rsidR="005A05DF" w:rsidRPr="005A05DF">
        <w:t xml:space="preserve"> and John Kennedy </w:t>
      </w:r>
      <w:r w:rsidR="00FB2D97">
        <w:lastRenderedPageBreak/>
        <w:t>transitioned</w:t>
      </w:r>
      <w:r w:rsidR="005A05DF" w:rsidRPr="005A05DF">
        <w:t xml:space="preserve"> from agricultural backgrounds to industrial capitalists, needing to form new bonds of shared identity with other industrial capitalists. Their social rise changed their</w:t>
      </w:r>
      <w:r w:rsidR="00435525">
        <w:t xml:space="preserve"> public</w:t>
      </w:r>
      <w:r w:rsidR="005A05DF" w:rsidRPr="005A05DF">
        <w:t xml:space="preserve"> identities, and their new wealth placed them in positions which the</w:t>
      </w:r>
      <w:r w:rsidR="002D442D">
        <w:t>ir privately held identity</w:t>
      </w:r>
      <w:r w:rsidR="005A05DF" w:rsidRPr="005A05DF">
        <w:t xml:space="preserve"> felt uncomfortable with. </w:t>
      </w:r>
      <w:r w:rsidR="002D442D">
        <w:t xml:space="preserve">What this chapter </w:t>
      </w:r>
      <w:r w:rsidR="00AA44F1">
        <w:t>shows is that public adherence and private feelings could create dualities</w:t>
      </w:r>
      <w:r w:rsidR="004D3B3A">
        <w:t xml:space="preserve">. </w:t>
      </w:r>
      <w:r w:rsidR="007B5040">
        <w:t>Additionally p</w:t>
      </w:r>
      <w:r w:rsidR="005A05DF" w:rsidRPr="005A05DF">
        <w:t>ositive reputations took years to build and nurture but could be decimated by non-conformity to the network's norms and codes of behaviour.</w:t>
      </w:r>
      <w:r w:rsidR="004D3B3A">
        <w:t xml:space="preserve"> This led Jedediah Strutt to felt compelled to conform</w:t>
      </w:r>
      <w:r w:rsidR="00FD20CB">
        <w:t xml:space="preserve"> to an extent that his reputation was intact. </w:t>
      </w:r>
    </w:p>
    <w:p w14:paraId="6E1156F8" w14:textId="7E959CB8" w:rsidR="005A05DF" w:rsidRDefault="005A05DF" w:rsidP="00817B40">
      <w:pPr>
        <w:pStyle w:val="Heading1"/>
        <w:rPr>
          <w:rFonts w:asciiTheme="minorHAnsi" w:hAnsiTheme="minorHAnsi" w:cstheme="minorHAnsi"/>
          <w:b/>
          <w:bCs/>
          <w:color w:val="auto"/>
          <w:sz w:val="28"/>
          <w:szCs w:val="28"/>
        </w:rPr>
      </w:pPr>
      <w:bookmarkStart w:id="114" w:name="_Toc170825679"/>
      <w:r w:rsidRPr="00817B40">
        <w:rPr>
          <w:rFonts w:asciiTheme="minorHAnsi" w:hAnsiTheme="minorHAnsi" w:cstheme="minorHAnsi"/>
          <w:b/>
          <w:bCs/>
          <w:color w:val="auto"/>
          <w:sz w:val="28"/>
          <w:szCs w:val="28"/>
        </w:rPr>
        <w:lastRenderedPageBreak/>
        <w:t>Part Two: Towards Frayed Edges: Network Management, Trust, Mistrust and Distrust</w:t>
      </w:r>
      <w:bookmarkEnd w:id="114"/>
      <w:r w:rsidRPr="00817B40">
        <w:rPr>
          <w:rFonts w:asciiTheme="minorHAnsi" w:hAnsiTheme="minorHAnsi" w:cstheme="minorHAnsi"/>
          <w:b/>
          <w:bCs/>
          <w:color w:val="auto"/>
          <w:sz w:val="28"/>
          <w:szCs w:val="28"/>
        </w:rPr>
        <w:t xml:space="preserve"> </w:t>
      </w:r>
    </w:p>
    <w:p w14:paraId="2A2F66A6" w14:textId="77777777" w:rsidR="00817B40" w:rsidRPr="00817B40" w:rsidRDefault="00817B40" w:rsidP="00817B40"/>
    <w:p w14:paraId="2A426A65" w14:textId="71612E6B" w:rsidR="005A05DF" w:rsidRPr="005A05DF" w:rsidRDefault="005A05DF" w:rsidP="005A05DF">
      <w:r w:rsidRPr="005A05DF">
        <w:t xml:space="preserve">In the </w:t>
      </w:r>
      <w:r w:rsidR="00F72F76">
        <w:t>first</w:t>
      </w:r>
      <w:r w:rsidRPr="005A05DF">
        <w:t xml:space="preserve"> part of this thesis, we explored the formation of trust, trustworthiness, and reputation within tight-knit local communities, religious networks, and family and kinship groups. Morality and shared values, including trustworthiness, integrity, and honesty, were primarily cultivated within the household, homes, and places of worship</w:t>
      </w:r>
      <w:r w:rsidR="00274F8E">
        <w:t>. This</w:t>
      </w:r>
      <w:r w:rsidRPr="005A05DF">
        <w:t xml:space="preserve"> period also revealed a significant overlap in network membership between the social networks within the community and those within the business sphere. In this section, our focus shifts towards understanding how cotton-spinning firms established, accessed, and sustained their commercial exchange and financial networks, all of which, as I will demonstrate, were constructed upon an ideal foundation of trust, trustworthiness, and reputation. Chapter Four addresses the research question of how the business networks of the early industrialising cotton mills in Britain harnessed trust, trustworthiness, and established reputations to launch and sustain themselves. It also delves into knowledge, capital, and credit networks, all underpinned by trust systems. Chapter Five will continue this exploration by extending our focus to examine the dynamics within networks when trust was absent</w:t>
      </w:r>
      <w:r w:rsidR="00274F8E">
        <w:t>,</w:t>
      </w:r>
      <w:r w:rsidRPr="005A05DF">
        <w:t xml:space="preserve"> and network actors behaved </w:t>
      </w:r>
      <w:r w:rsidR="00274F8E">
        <w:t>untrustworthy</w:t>
      </w:r>
      <w:r w:rsidRPr="005A05DF">
        <w:t xml:space="preserve">. It asks questions regarding how the networks dealt with deception, financial disasters, and those with negative reputations. The research findings suggest that trust levels outside these networks were perceived as low, leading to a heightened concern for safety within the business networks. These networks were originally established to promote cooperation, trust, and mutual respect as ideals to aspire to. The response to untrustworthy behaviour varied, with consequences ranging in severity based on the degree of deviation from established norms. </w:t>
      </w:r>
    </w:p>
    <w:p w14:paraId="7AD48303" w14:textId="77777777" w:rsidR="00F86EB5" w:rsidRDefault="005A05DF" w:rsidP="005A05DF">
      <w:pPr>
        <w:sectPr w:rsidR="00F86EB5">
          <w:footnotePr>
            <w:numRestart w:val="eachSect"/>
          </w:footnotePr>
          <w:pgSz w:w="11906" w:h="16838"/>
          <w:pgMar w:top="1440" w:right="1440" w:bottom="1440" w:left="1440" w:header="708" w:footer="708" w:gutter="0"/>
          <w:cols w:space="708"/>
          <w:docGrid w:linePitch="360"/>
        </w:sectPr>
      </w:pPr>
      <w:r w:rsidRPr="005A05DF">
        <w:t>Mark Casson has argued that high levels of trust are crucial in promoting economic performance.</w:t>
      </w:r>
      <w:r w:rsidR="0040086B">
        <w:rPr>
          <w:rStyle w:val="FootnoteReference"/>
        </w:rPr>
        <w:footnoteReference w:id="352"/>
      </w:r>
      <w:r w:rsidRPr="005A05DF">
        <w:t xml:space="preserve"> Chapter Four will show that the findings of this research support his argument by revealing that contemporaries of the industrialising cotton trade recognised the significance of trust. While aspiring to achieve high trust levels, cotton-spinning firms and their business networks faced the challenge of its attainment. A noteworthy consideration is that trust in business relationships often takes time to develop and nurture. However, as Chapter Five will show, as these networks expanded, they encountered a growing sense of distrust and untrustworthiness. Andrew Popp's study of trust levels in the Staffordshire Potteries industrial district uncovered an increasing distrust over time, and this appears to be the case in the cotton trade, but for different reasons.</w:t>
      </w:r>
      <w:r w:rsidR="0040086B">
        <w:rPr>
          <w:rStyle w:val="FootnoteReference"/>
        </w:rPr>
        <w:footnoteReference w:id="353"/>
      </w:r>
      <w:r w:rsidRPr="005A05DF">
        <w:t xml:space="preserve"> Despite operating in specialised hubs, as noted by Pat Hudson's work, the cotton trade relied on geographically expansive supply chains and distant markets. This geographical complexity made it increasingly difficult to control the behaviour of network members as they ventured further away from the manufacturing community hub.</w:t>
      </w:r>
      <w:r w:rsidR="008401A7">
        <w:rPr>
          <w:rStyle w:val="FootnoteReference"/>
        </w:rPr>
        <w:footnoteReference w:id="354"/>
      </w:r>
      <w:r w:rsidRPr="005A05DF">
        <w:t xml:space="preserve"> Consequently, trust levels declined when interacting with other industrial districts, such as the card-making district of Halifax in Yorkshire.</w:t>
      </w:r>
    </w:p>
    <w:p w14:paraId="6763015A" w14:textId="5B70A6C8" w:rsidR="005A05DF" w:rsidRPr="00817B40" w:rsidRDefault="005A05DF" w:rsidP="00817B40">
      <w:pPr>
        <w:pStyle w:val="Heading1"/>
        <w:rPr>
          <w:rFonts w:asciiTheme="minorHAnsi" w:hAnsiTheme="minorHAnsi" w:cstheme="minorHAnsi"/>
          <w:b/>
          <w:bCs/>
          <w:color w:val="auto"/>
          <w:sz w:val="28"/>
          <w:szCs w:val="28"/>
          <w:vertAlign w:val="subscript"/>
        </w:rPr>
      </w:pPr>
      <w:bookmarkStart w:id="115" w:name="_Toc170825680"/>
      <w:r w:rsidRPr="00817B40">
        <w:rPr>
          <w:rFonts w:asciiTheme="minorHAnsi" w:hAnsiTheme="minorHAnsi" w:cstheme="minorHAnsi"/>
          <w:b/>
          <w:bCs/>
          <w:color w:val="auto"/>
          <w:sz w:val="28"/>
          <w:szCs w:val="28"/>
        </w:rPr>
        <w:lastRenderedPageBreak/>
        <w:t>Chapter Four: Building the Trusted Business Network</w:t>
      </w:r>
      <w:bookmarkEnd w:id="115"/>
      <w:r w:rsidRPr="00817B40">
        <w:rPr>
          <w:rFonts w:asciiTheme="minorHAnsi" w:hAnsiTheme="minorHAnsi" w:cstheme="minorHAnsi"/>
          <w:b/>
          <w:bCs/>
          <w:color w:val="auto"/>
          <w:sz w:val="28"/>
          <w:szCs w:val="28"/>
        </w:rPr>
        <w:t xml:space="preserve"> </w:t>
      </w:r>
    </w:p>
    <w:p w14:paraId="5C37D4A7" w14:textId="7CFE8D56" w:rsidR="005A05DF" w:rsidRPr="00817B40" w:rsidRDefault="005A05DF" w:rsidP="00817B40">
      <w:pPr>
        <w:pStyle w:val="Heading2"/>
        <w:rPr>
          <w:rFonts w:asciiTheme="minorHAnsi" w:hAnsiTheme="minorHAnsi" w:cstheme="minorHAnsi"/>
          <w:b/>
          <w:bCs/>
          <w:color w:val="auto"/>
          <w:sz w:val="24"/>
          <w:szCs w:val="24"/>
        </w:rPr>
      </w:pPr>
      <w:bookmarkStart w:id="116" w:name="_Toc170825681"/>
      <w:r w:rsidRPr="00817B40">
        <w:rPr>
          <w:rFonts w:asciiTheme="minorHAnsi" w:hAnsiTheme="minorHAnsi" w:cstheme="minorHAnsi"/>
          <w:b/>
          <w:bCs/>
          <w:color w:val="auto"/>
          <w:sz w:val="24"/>
          <w:szCs w:val="24"/>
        </w:rPr>
        <w:t>Introduction</w:t>
      </w:r>
      <w:bookmarkEnd w:id="116"/>
      <w:r w:rsidRPr="00817B40">
        <w:rPr>
          <w:rFonts w:asciiTheme="minorHAnsi" w:hAnsiTheme="minorHAnsi" w:cstheme="minorHAnsi"/>
          <w:b/>
          <w:bCs/>
          <w:color w:val="auto"/>
          <w:sz w:val="24"/>
          <w:szCs w:val="24"/>
        </w:rPr>
        <w:t xml:space="preserve"> </w:t>
      </w:r>
    </w:p>
    <w:p w14:paraId="64E5E747" w14:textId="274E70F0" w:rsidR="005A05DF" w:rsidRPr="005A05DF" w:rsidRDefault="005A05DF" w:rsidP="002A731F">
      <w:r w:rsidRPr="005A05DF">
        <w:t>The late eighteenth and early nineteenth centuries witnessed the flourishing of the industrialising cotton trade, propelled by a web of interconnected individuals who relied on one another's trust to fulfil commitments and collectively drive coordination and expansion. This intricate system saw the convergence of diverse specialisations that sustained the global cotton production network. Among the pivotal actors within this production system were cotton mills operated by prominent figures like the Evans family and McConnel &amp; Kennedy. What underpinned the success of these local networks was a foundation of trust, trustworthiness, and reputation deeply rooted in family, kinship, religious, and community networks.</w:t>
      </w:r>
      <w:r w:rsidR="00BD09D0">
        <w:t xml:space="preserve"> </w:t>
      </w:r>
      <w:r w:rsidR="00FD258C">
        <w:t xml:space="preserve">Moving </w:t>
      </w:r>
      <w:r w:rsidR="008A066D">
        <w:t xml:space="preserve">the focus of the analysis </w:t>
      </w:r>
      <w:r w:rsidR="00FD258C">
        <w:t>from the community and kinship networks into the commercial and business networks shows the fundamental buildin</w:t>
      </w:r>
      <w:r w:rsidR="001D40CD">
        <w:t>g</w:t>
      </w:r>
      <w:r w:rsidR="00FD258C">
        <w:t xml:space="preserve"> block of connected society – such as social capital – being implemented</w:t>
      </w:r>
      <w:r w:rsidR="005F0FCB">
        <w:t xml:space="preserve"> by many of the same network actors to aim to achieve the optimum</w:t>
      </w:r>
      <w:r w:rsidR="001D40CD">
        <w:t xml:space="preserve"> blend of competition and cooperation that flowed through the networks of the cotton trade.</w:t>
      </w:r>
      <w:r w:rsidR="00DE1A31">
        <w:t xml:space="preserve"> The inner networks were </w:t>
      </w:r>
      <w:r w:rsidR="003316FF">
        <w:t>utilised in the early years of the cotton mills</w:t>
      </w:r>
      <w:r w:rsidR="00BD09D0">
        <w:t>,</w:t>
      </w:r>
      <w:r w:rsidR="003316FF">
        <w:t xml:space="preserve"> </w:t>
      </w:r>
      <w:r w:rsidR="00A53D34">
        <w:t>but where this risk minimisation strategy</w:t>
      </w:r>
      <w:r w:rsidR="001D40CD">
        <w:t xml:space="preserve"> </w:t>
      </w:r>
      <w:r w:rsidR="00A53D34">
        <w:t xml:space="preserve">was not possible, other weaker ties </w:t>
      </w:r>
      <w:r w:rsidR="00AD13D2">
        <w:t>were formed</w:t>
      </w:r>
      <w:r w:rsidR="00BD09D0">
        <w:t>,</w:t>
      </w:r>
      <w:r w:rsidR="00AD13D2">
        <w:t xml:space="preserve"> and those that fulfilled the initial expectations would gain in strength and become </w:t>
      </w:r>
      <w:r w:rsidR="00BD09D0">
        <w:t xml:space="preserve">trusted network connections. </w:t>
      </w:r>
      <w:r w:rsidRPr="005A05DF">
        <w:t xml:space="preserve"> The following chapter will </w:t>
      </w:r>
      <w:r w:rsidR="001D40CD">
        <w:t>explore</w:t>
      </w:r>
      <w:r w:rsidRPr="005A05DF">
        <w:t xml:space="preserve"> transferring known and existing trusted connections into business networks. Key questions to be explored include how business exchange relationships were formed and the critical roles played by trust and reputation in this process. I will argue that trust was desirable for the cotton-spinning firms to establish themselves within existing trade networks and to expand and prosper.</w:t>
      </w:r>
      <w:r w:rsidR="00634BDC">
        <w:t xml:space="preserve"> This will be demonstrated by showing that the</w:t>
      </w:r>
      <w:r w:rsidR="004435CC">
        <w:rPr>
          <w:color w:val="00B050"/>
        </w:rPr>
        <w:t xml:space="preserve"> </w:t>
      </w:r>
      <w:r w:rsidR="004435CC" w:rsidRPr="00562549">
        <w:rPr>
          <w:color w:val="000000" w:themeColor="text1"/>
        </w:rPr>
        <w:t xml:space="preserve">ability to trade with a trusted </w:t>
      </w:r>
      <w:r w:rsidR="002A731F" w:rsidRPr="00562549">
        <w:rPr>
          <w:color w:val="000000" w:themeColor="text1"/>
        </w:rPr>
        <w:t>business exchange</w:t>
      </w:r>
      <w:r w:rsidR="004435CC" w:rsidRPr="00562549">
        <w:rPr>
          <w:color w:val="000000" w:themeColor="text1"/>
        </w:rPr>
        <w:t xml:space="preserve"> partner reduced costs, reduced risk</w:t>
      </w:r>
      <w:r w:rsidR="002A731F" w:rsidRPr="00562549">
        <w:rPr>
          <w:color w:val="000000" w:themeColor="text1"/>
        </w:rPr>
        <w:t xml:space="preserve"> and enabled traders to better quantify their business practices. </w:t>
      </w:r>
      <w:r w:rsidRPr="005A05DF">
        <w:t xml:space="preserve">Trust laid the cornerstone of business partnerships and facilitated the exchange of goods and services. Every firm maintained a core of trusted network members upon whom they </w:t>
      </w:r>
      <w:r w:rsidR="008E5E31" w:rsidRPr="005A05DF">
        <w:t>depended on</w:t>
      </w:r>
      <w:r w:rsidRPr="005A05DF">
        <w:t xml:space="preserve"> to provide their business ventures with essential resources, expertise, knowledge, financial support, and, ultimately, the foundation for a thriving, profitable, and esteemed business capable of transforming raw cotton into yarn and twist.</w:t>
      </w:r>
    </w:p>
    <w:p w14:paraId="62E67C1D" w14:textId="65D3BDDE" w:rsidR="005A05DF" w:rsidRPr="00817B40" w:rsidRDefault="005A05DF" w:rsidP="00817B40">
      <w:pPr>
        <w:pStyle w:val="Heading2"/>
        <w:rPr>
          <w:rFonts w:asciiTheme="minorHAnsi" w:hAnsiTheme="minorHAnsi" w:cstheme="minorHAnsi"/>
          <w:b/>
          <w:bCs/>
          <w:color w:val="auto"/>
          <w:sz w:val="24"/>
          <w:szCs w:val="24"/>
        </w:rPr>
      </w:pPr>
      <w:bookmarkStart w:id="117" w:name="_Toc170825682"/>
      <w:r w:rsidRPr="00817B40">
        <w:rPr>
          <w:rFonts w:asciiTheme="minorHAnsi" w:hAnsiTheme="minorHAnsi" w:cstheme="minorHAnsi"/>
          <w:b/>
          <w:bCs/>
          <w:color w:val="auto"/>
          <w:sz w:val="24"/>
          <w:szCs w:val="24"/>
        </w:rPr>
        <w:t xml:space="preserve">Building the </w:t>
      </w:r>
      <w:r w:rsidR="003D110F" w:rsidRPr="00817B40">
        <w:rPr>
          <w:rFonts w:asciiTheme="minorHAnsi" w:hAnsiTheme="minorHAnsi" w:cstheme="minorHAnsi"/>
          <w:b/>
          <w:bCs/>
          <w:color w:val="auto"/>
          <w:sz w:val="24"/>
          <w:szCs w:val="24"/>
        </w:rPr>
        <w:t>T</w:t>
      </w:r>
      <w:r w:rsidRPr="00817B40">
        <w:rPr>
          <w:rFonts w:asciiTheme="minorHAnsi" w:hAnsiTheme="minorHAnsi" w:cstheme="minorHAnsi"/>
          <w:b/>
          <w:bCs/>
          <w:color w:val="auto"/>
          <w:sz w:val="24"/>
          <w:szCs w:val="24"/>
        </w:rPr>
        <w:t xml:space="preserve">rusted </w:t>
      </w:r>
      <w:r w:rsidR="003D110F" w:rsidRPr="00817B40">
        <w:rPr>
          <w:rFonts w:asciiTheme="minorHAnsi" w:hAnsiTheme="minorHAnsi" w:cstheme="minorHAnsi"/>
          <w:b/>
          <w:bCs/>
          <w:color w:val="auto"/>
          <w:sz w:val="24"/>
          <w:szCs w:val="24"/>
        </w:rPr>
        <w:t>B</w:t>
      </w:r>
      <w:r w:rsidRPr="00817B40">
        <w:rPr>
          <w:rFonts w:asciiTheme="minorHAnsi" w:hAnsiTheme="minorHAnsi" w:cstheme="minorHAnsi"/>
          <w:b/>
          <w:bCs/>
          <w:color w:val="auto"/>
          <w:sz w:val="24"/>
          <w:szCs w:val="24"/>
        </w:rPr>
        <w:t xml:space="preserve">usiness </w:t>
      </w:r>
      <w:r w:rsidR="003D110F" w:rsidRPr="00817B40">
        <w:rPr>
          <w:rFonts w:asciiTheme="minorHAnsi" w:hAnsiTheme="minorHAnsi" w:cstheme="minorHAnsi"/>
          <w:b/>
          <w:bCs/>
          <w:color w:val="auto"/>
          <w:sz w:val="24"/>
          <w:szCs w:val="24"/>
        </w:rPr>
        <w:t>N</w:t>
      </w:r>
      <w:r w:rsidRPr="00817B40">
        <w:rPr>
          <w:rFonts w:asciiTheme="minorHAnsi" w:hAnsiTheme="minorHAnsi" w:cstheme="minorHAnsi"/>
          <w:b/>
          <w:bCs/>
          <w:color w:val="auto"/>
          <w:sz w:val="24"/>
          <w:szCs w:val="24"/>
        </w:rPr>
        <w:t>etworks</w:t>
      </w:r>
      <w:bookmarkEnd w:id="117"/>
      <w:r w:rsidRPr="00817B40">
        <w:rPr>
          <w:rFonts w:asciiTheme="minorHAnsi" w:hAnsiTheme="minorHAnsi" w:cstheme="minorHAnsi"/>
          <w:b/>
          <w:bCs/>
          <w:color w:val="auto"/>
          <w:sz w:val="24"/>
          <w:szCs w:val="24"/>
        </w:rPr>
        <w:t xml:space="preserve"> </w:t>
      </w:r>
    </w:p>
    <w:p w14:paraId="3F343EE6" w14:textId="2B8EEB09" w:rsidR="005A05DF" w:rsidRPr="005A05DF" w:rsidRDefault="005A05DF" w:rsidP="005A05DF">
      <w:pPr>
        <w:rPr>
          <w:i/>
          <w:iCs/>
        </w:rPr>
      </w:pPr>
      <w:r w:rsidRPr="005A05DF">
        <w:rPr>
          <w:i/>
          <w:iCs/>
        </w:rPr>
        <w:t xml:space="preserve">The </w:t>
      </w:r>
      <w:r w:rsidR="00BC2858">
        <w:rPr>
          <w:i/>
          <w:iCs/>
        </w:rPr>
        <w:t>B</w:t>
      </w:r>
      <w:r w:rsidRPr="005A05DF">
        <w:rPr>
          <w:i/>
          <w:iCs/>
        </w:rPr>
        <w:t xml:space="preserve">usiness </w:t>
      </w:r>
      <w:r w:rsidR="00BC2858">
        <w:rPr>
          <w:i/>
          <w:iCs/>
        </w:rPr>
        <w:t>P</w:t>
      </w:r>
      <w:r w:rsidRPr="005A05DF">
        <w:rPr>
          <w:i/>
          <w:iCs/>
        </w:rPr>
        <w:t>artnership</w:t>
      </w:r>
    </w:p>
    <w:p w14:paraId="525DD9A4" w14:textId="60798DEF" w:rsidR="005A05DF" w:rsidRPr="005A05DF" w:rsidRDefault="005A05DF" w:rsidP="005A05DF">
      <w:r w:rsidRPr="005A05DF">
        <w:t>The establishment of these two firms can be traced back to the formation of a business partnership that originated within the local communities of Manchester and the Derwent Valley. These firms cultivated their foundational business relationships in their emerging stages through these closely-knit associations and connections. In the late eighteenth century, as noted by J. Collyer, business partnerships often operated without formal contracts.</w:t>
      </w:r>
      <w:r w:rsidR="002042B8">
        <w:rPr>
          <w:rStyle w:val="FootnoteReference"/>
        </w:rPr>
        <w:footnoteReference w:id="355"/>
      </w:r>
      <w:r w:rsidRPr="005A05DF">
        <w:t xml:space="preserve"> Instead, they were characterised by individuals coming together to pursue profit, with each partner typically contributing differing amounts of capital, tools, skills, or labour.</w:t>
      </w:r>
      <w:r w:rsidRPr="005A05DF">
        <w:rPr>
          <w:vertAlign w:val="superscript"/>
        </w:rPr>
        <w:footnoteReference w:id="356"/>
      </w:r>
      <w:r w:rsidRPr="005A05DF">
        <w:t xml:space="preserve"> While these business partnerships would evolve over time, their initial framework was rooted in the common law prevailing in Britain during that era.</w:t>
      </w:r>
      <w:r w:rsidRPr="005A05DF">
        <w:rPr>
          <w:vertAlign w:val="superscript"/>
        </w:rPr>
        <w:footnoteReference w:id="357"/>
      </w:r>
      <w:r w:rsidRPr="005A05DF">
        <w:t xml:space="preserve"> I argue that the partnerships were founded upon strong, trust-based connections with reliable associates encountered in social and cultural environments that were supported by kinship networks and underpinned by trust and reputations. They were designed for multiple purposes, including nurturing expertise, knowledge building, strong communities, creating trusted networks, and making profits. In these settings, partners could develop a deep understanding of each other's character and reputation and strive towards norms of mutually beneficial conduct. This diversity in expertise </w:t>
      </w:r>
      <w:r w:rsidRPr="005A05DF">
        <w:lastRenderedPageBreak/>
        <w:t>among partnership members enhanced the overall viability of these collaborations. Trust was the cornerstone of these legal agreements, and once formed, the success of each partner became intertwined with that of the others. This symbiotic relationship incentivised cooperation and encouraged trustworthy behaviour. It helped forge robust reputations that translated into both social and financial gains. Within the Evans family mills context, a family-based partnership system was gradually shaped after Richard Arkwright departed from the initial formation partnership. William and Walter Evans assumed leadership roles within the firm following Thomas's step back. At the same time, William Strutt and Elizabeth Evans (n</w:t>
      </w:r>
      <w:r w:rsidRPr="005A05DF">
        <w:rPr>
          <w:rFonts w:cstheme="minorHAnsi"/>
        </w:rPr>
        <w:t>é</w:t>
      </w:r>
      <w:r w:rsidRPr="005A05DF">
        <w:t>e Strutt) held shares after Elizabeth’s marriage into the Evans family.</w:t>
      </w:r>
      <w:r w:rsidRPr="005A05DF">
        <w:rPr>
          <w:vertAlign w:val="superscript"/>
        </w:rPr>
        <w:footnoteReference w:id="358"/>
      </w:r>
      <w:r w:rsidRPr="005A05DF">
        <w:t xml:space="preserve"> The surviving evidence of the firms is patchy. Still, the ledger and account books between 1814 and 1827 documented the involvement of seven business partners: William Evans, Walter Evans, Samuel Evans, Moses Harvey, William Longden, Isaac Thompson, and Charles Mayor.</w:t>
      </w:r>
      <w:r w:rsidRPr="005A05DF">
        <w:rPr>
          <w:vertAlign w:val="superscript"/>
        </w:rPr>
        <w:footnoteReference w:id="359"/>
      </w:r>
    </w:p>
    <w:p w14:paraId="75734B7B" w14:textId="125D0AEA" w:rsidR="005A05DF" w:rsidRPr="005A05DF" w:rsidRDefault="005A05DF" w:rsidP="005A05DF">
      <w:r w:rsidRPr="005A05DF">
        <w:t xml:space="preserve">The business partnerships that defined ownership and control over the firms were an ever-evolving entity over the years of the firm's operational lives. The McConnel and Kennedy business partnership evolved from a connection forged during James McConnel and John Kennedy’s apprenticeship to the same master, William Cannan, in </w:t>
      </w:r>
      <w:proofErr w:type="spellStart"/>
      <w:r w:rsidRPr="005A05DF">
        <w:t>Chowbent</w:t>
      </w:r>
      <w:proofErr w:type="spellEnd"/>
      <w:r w:rsidRPr="005A05DF">
        <w:t xml:space="preserve"> during the 1780s.</w:t>
      </w:r>
      <w:r w:rsidR="002042B8">
        <w:rPr>
          <w:rStyle w:val="FootnoteReference"/>
        </w:rPr>
        <w:footnoteReference w:id="360"/>
      </w:r>
      <w:r w:rsidRPr="005A05DF">
        <w:t xml:space="preserve"> While the two men lacked monetary capital as they embarked on their careers, they possessed </w:t>
      </w:r>
      <w:r w:rsidR="00F72F76">
        <w:t>the</w:t>
      </w:r>
      <w:r w:rsidRPr="005A05DF">
        <w:t xml:space="preserve"> social capital and technological expertise to be able to convert into their positions into factory masters. Their initial business partnership, formed in 1791, included the Sandford brothers, who, according to Lee, provided most of the monetary capital to the venture.</w:t>
      </w:r>
      <w:r w:rsidRPr="005A05DF">
        <w:rPr>
          <w:vertAlign w:val="superscript"/>
        </w:rPr>
        <w:footnoteReference w:id="361"/>
      </w:r>
      <w:r w:rsidRPr="005A05DF">
        <w:t xml:space="preserve"> McConnel &amp; Kennedy brought technical and industry expertise obtained through their apprenticeships, and although this partnership was largely successful</w:t>
      </w:r>
      <w:r w:rsidR="00F72F76">
        <w:t xml:space="preserve"> financially</w:t>
      </w:r>
      <w:r w:rsidRPr="005A05DF">
        <w:t>, it was dissolved in 1795.</w:t>
      </w:r>
      <w:r w:rsidR="002042B8">
        <w:rPr>
          <w:rStyle w:val="FootnoteReference"/>
        </w:rPr>
        <w:footnoteReference w:id="362"/>
      </w:r>
      <w:r w:rsidRPr="005A05DF">
        <w:t xml:space="preserve"> James and John then formed an alliance known as McConnel &amp; Kennedy, which remained a legal entity until the retirement of John Kennedy in 1826. Then, the partnership was reformed as James McConnel’s sons Henry, William and James joined. The firm was renamed McConnel &amp; Co. and, over the years, was managed by James McConnel’s sons and grandson.</w:t>
      </w:r>
      <w:r w:rsidR="00F66DAC">
        <w:rPr>
          <w:rStyle w:val="FootnoteReference"/>
        </w:rPr>
        <w:footnoteReference w:id="363"/>
      </w:r>
      <w:r w:rsidRPr="005A05DF">
        <w:t xml:space="preserve"> What the business partnership in these two firms shows is that the trusted relationships created in the wider community, </w:t>
      </w:r>
      <w:r w:rsidR="00F72F76">
        <w:t xml:space="preserve">domestically and publicly, </w:t>
      </w:r>
      <w:r w:rsidRPr="005A05DF">
        <w:t>and within the kinship networks were crucial in the initial business partnerships that were formed to establish the cotton spinning mills</w:t>
      </w:r>
      <w:r w:rsidR="00F72F76">
        <w:t>. T</w:t>
      </w:r>
      <w:r w:rsidRPr="005A05DF">
        <w:t xml:space="preserve">he kinship networks </w:t>
      </w:r>
      <w:r w:rsidR="00F72F76">
        <w:t xml:space="preserve">then </w:t>
      </w:r>
      <w:r w:rsidRPr="005A05DF">
        <w:t>played an ever-increasing role in the operation and management of the firm</w:t>
      </w:r>
      <w:r w:rsidR="00F72F76">
        <w:t>s</w:t>
      </w:r>
      <w:r w:rsidRPr="005A05DF">
        <w:t xml:space="preserve">. The trusted network was built on the foundation of existing trusted networks that spanned the community, and the community’s leaders formed business partnerships to spin cotton for the employment and creation of the industrial community. </w:t>
      </w:r>
    </w:p>
    <w:p w14:paraId="6323A4E5" w14:textId="1BA4B96E" w:rsidR="005A05DF" w:rsidRPr="005A05DF" w:rsidRDefault="005A05DF" w:rsidP="00627A9B">
      <w:r w:rsidRPr="005A05DF">
        <w:t xml:space="preserve">Many business partnerships were formed by individuals joining with known and trusted members of existing merchant and manufacturing networks. These members often </w:t>
      </w:r>
      <w:r w:rsidR="00F72F76">
        <w:t>came</w:t>
      </w:r>
      <w:r w:rsidRPr="005A05DF">
        <w:t xml:space="preserve"> from other textile trades, such as the hosiery, linen, or silk industries. As Katrina Honeyman has shown, contrary to the belief held by earlier historians, such as Lee, most of the business leadership of late eighteenth-century Britain had evolved from the business leadership in other trades.</w:t>
      </w:r>
      <w:r w:rsidR="00F66DAC">
        <w:rPr>
          <w:rStyle w:val="FootnoteReference"/>
        </w:rPr>
        <w:footnoteReference w:id="364"/>
      </w:r>
      <w:r w:rsidRPr="005A05DF">
        <w:t xml:space="preserve"> </w:t>
      </w:r>
      <w:r w:rsidR="00627A9B" w:rsidRPr="00562549">
        <w:rPr>
          <w:color w:val="000000" w:themeColor="text1"/>
        </w:rPr>
        <w:t xml:space="preserve">For example, C. H. Lee, supported the hypothesis that unprecedented economic change allowed for new opportunities for men of limited means to become industrial leaders, which in turn permitted a transformation of the </w:t>
      </w:r>
      <w:r w:rsidR="00627A9B" w:rsidRPr="00562549">
        <w:rPr>
          <w:color w:val="000000" w:themeColor="text1"/>
        </w:rPr>
        <w:lastRenderedPageBreak/>
        <w:t>power structure in industrial leadership. Social changes also allowed for an easing of class rigidity.</w:t>
      </w:r>
      <w:r w:rsidR="00627A9B" w:rsidRPr="00562549">
        <w:rPr>
          <w:rStyle w:val="FootnoteReference"/>
          <w:color w:val="000000" w:themeColor="text1"/>
        </w:rPr>
        <w:footnoteReference w:id="365"/>
      </w:r>
      <w:r w:rsidR="00627A9B" w:rsidRPr="00562549">
        <w:rPr>
          <w:color w:val="000000" w:themeColor="text1"/>
        </w:rPr>
        <w:t xml:space="preserve"> However, Honeyman’s research found that t</w:t>
      </w:r>
      <w:r w:rsidRPr="00562549">
        <w:rPr>
          <w:color w:val="000000" w:themeColor="text1"/>
        </w:rPr>
        <w:t xml:space="preserve">here </w:t>
      </w:r>
      <w:r w:rsidRPr="005A05DF">
        <w:t xml:space="preserve">was little evidence that a man of limited means could make vast fortunes in the cotton industry at this time. Richard Arkwright and Jedediah Strutt were already embedded in the cotton trade when they brought Thomas Evans and his family into the cotton-spinning world. James McConnel and John Kennedy entered the cotton trade by operating in a sub-section of the cotton industry by making the machinery required to spin the cotton. </w:t>
      </w:r>
    </w:p>
    <w:p w14:paraId="6979BEBA" w14:textId="1DCD658E" w:rsidR="005A05DF" w:rsidRPr="005A05DF" w:rsidRDefault="005A05DF" w:rsidP="005A05DF">
      <w:pPr>
        <w:rPr>
          <w:i/>
          <w:iCs/>
        </w:rPr>
      </w:pPr>
      <w:r w:rsidRPr="005A05DF">
        <w:rPr>
          <w:i/>
          <w:iCs/>
        </w:rPr>
        <w:t xml:space="preserve">The </w:t>
      </w:r>
      <w:r w:rsidR="00545E0B">
        <w:rPr>
          <w:i/>
          <w:iCs/>
        </w:rPr>
        <w:t>B</w:t>
      </w:r>
      <w:r w:rsidRPr="005A05DF">
        <w:rPr>
          <w:i/>
          <w:iCs/>
        </w:rPr>
        <w:t xml:space="preserve">usiness </w:t>
      </w:r>
      <w:r w:rsidR="00545E0B">
        <w:rPr>
          <w:i/>
          <w:iCs/>
        </w:rPr>
        <w:t>E</w:t>
      </w:r>
      <w:r w:rsidRPr="005A05DF">
        <w:rPr>
          <w:i/>
          <w:iCs/>
        </w:rPr>
        <w:t xml:space="preserve">xchange </w:t>
      </w:r>
      <w:r w:rsidR="00545E0B">
        <w:rPr>
          <w:i/>
          <w:iCs/>
        </w:rPr>
        <w:t>R</w:t>
      </w:r>
      <w:r w:rsidRPr="005A05DF">
        <w:rPr>
          <w:i/>
          <w:iCs/>
        </w:rPr>
        <w:t>elationship</w:t>
      </w:r>
    </w:p>
    <w:p w14:paraId="7E96E818" w14:textId="0A51B1E4" w:rsidR="005A05DF" w:rsidRPr="005A05DF" w:rsidRDefault="005A05DF" w:rsidP="005A05DF">
      <w:r w:rsidRPr="005A05DF">
        <w:t>Stefanos Mouza et al., experts in the field of Management Studies, have proposed that comprehending business relationships necessitates understanding both interpersonal and inter-organisational dynamics.</w:t>
      </w:r>
      <w:r w:rsidR="00B9542C">
        <w:rPr>
          <w:rStyle w:val="FootnoteReference"/>
        </w:rPr>
        <w:footnoteReference w:id="366"/>
      </w:r>
      <w:r w:rsidRPr="005A05DF">
        <w:t xml:space="preserve"> This perspective offers the chance to view the interactions between firms and their business exchange partners on multiple platforms. The firms exhibited varying levels of trust, both on an interpersonal and inter-organisational level. The firms were establishing cooperative inter-organisational relationships, many of which were built upon a foundation of trust. I contend that trust plays a pivotal role in inter-firm business exchanges, albeit with degrees of variability ranging from minimal trust to impersonal interactions. The </w:t>
      </w:r>
      <w:r w:rsidR="00634BDC" w:rsidRPr="00562549">
        <w:rPr>
          <w:color w:val="000000" w:themeColor="text1"/>
        </w:rPr>
        <w:t>three</w:t>
      </w:r>
      <w:r w:rsidR="00634BDC">
        <w:t xml:space="preserve"> </w:t>
      </w:r>
      <w:r w:rsidRPr="005A05DF">
        <w:t>letters between McConnel &amp; Kennedy and John Thornton in Austria show the cross-over between business and personal trust</w:t>
      </w:r>
      <w:r w:rsidR="00634BDC">
        <w:t>, however</w:t>
      </w:r>
      <w:r w:rsidRPr="005A05DF">
        <w:t xml:space="preserve"> other ledger entries show a more impersonal transactional relationship between some firms.</w:t>
      </w:r>
      <w:r w:rsidR="002F2D2B">
        <w:rPr>
          <w:rStyle w:val="FootnoteReference"/>
        </w:rPr>
        <w:footnoteReference w:id="367"/>
      </w:r>
      <w:r w:rsidR="00634BDC">
        <w:t xml:space="preserve"> </w:t>
      </w:r>
      <w:r w:rsidR="00634BDC" w:rsidRPr="00562549">
        <w:rPr>
          <w:color w:val="000000" w:themeColor="text1"/>
        </w:rPr>
        <w:t>For example, many of the one-time purchases of raw cotton show that some business transactions were simply interactions based on available supplies filling a demand</w:t>
      </w:r>
      <w:r w:rsidR="00FE604A" w:rsidRPr="00562549">
        <w:rPr>
          <w:color w:val="000000" w:themeColor="text1"/>
        </w:rPr>
        <w:t xml:space="preserve">. </w:t>
      </w:r>
      <w:r w:rsidR="006F2CE5">
        <w:t>Strong</w:t>
      </w:r>
      <w:r w:rsidRPr="005A05DF">
        <w:t>-tie bonds had the potential to intertwine interpersonal trust with business trust in the business exchange relationship. Conversely, weak ties also cultivated trust and strengthened connections over time</w:t>
      </w:r>
      <w:r w:rsidR="00F66DAC">
        <w:t xml:space="preserve"> substantiating </w:t>
      </w:r>
      <w:proofErr w:type="spellStart"/>
      <w:r w:rsidR="00F66DAC">
        <w:t>Granovetter’s</w:t>
      </w:r>
      <w:proofErr w:type="spellEnd"/>
      <w:r w:rsidR="00F66DAC">
        <w:t xml:space="preserve"> model of the strength of weak ties</w:t>
      </w:r>
      <w:r w:rsidRPr="005A05DF">
        <w:t xml:space="preserve">. In alignment with Haggerty's perspective, </w:t>
      </w:r>
      <w:r w:rsidR="00227336">
        <w:t xml:space="preserve">that </w:t>
      </w:r>
      <w:r w:rsidRPr="005A05DF">
        <w:t xml:space="preserve">trust emerged as a dynamic process, and within the context of the cotton trade during this period, business exchange relationships encompassed a diverse blend of both </w:t>
      </w:r>
      <w:r w:rsidR="00B959A3">
        <w:t>strong</w:t>
      </w:r>
      <w:r w:rsidRPr="005A05DF">
        <w:t xml:space="preserve"> and weak ties.</w:t>
      </w:r>
      <w:r w:rsidR="00F66DAC">
        <w:rPr>
          <w:rStyle w:val="FootnoteReference"/>
        </w:rPr>
        <w:footnoteReference w:id="368"/>
      </w:r>
      <w:r w:rsidRPr="005A05DF">
        <w:t xml:space="preserve"> Some of these relationships were firmly rooted in high levels of trust, while others lacked such a foundation.</w:t>
      </w:r>
    </w:p>
    <w:p w14:paraId="7E52CA97" w14:textId="7566A0F8" w:rsidR="005A05DF" w:rsidRPr="005A05DF" w:rsidRDefault="005A05DF" w:rsidP="005A05DF">
      <w:r w:rsidRPr="005A05DF">
        <w:t>After establishing their business partnerships, the next crucial step was constructing the mills, which necessitated forging further connections within the wider community. Obtaining the necessary building materials, primarily sourced from the local community, was essential for this endeavour. The Evans-Strutt-Arkwright partnership proved adept at using their existing social standing to transition into cotton manufacturing. They skilfully redirected their network of contacts from various trades and commerce toward the goal of establishing a cotton spinning mill. For instance, a local brick maker in Breadsall</w:t>
      </w:r>
      <w:r w:rsidR="00F66DAC">
        <w:t xml:space="preserve">, </w:t>
      </w:r>
      <w:r w:rsidR="00247D22">
        <w:t>Mr.</w:t>
      </w:r>
      <w:r w:rsidR="00F66DAC">
        <w:t xml:space="preserve"> Radford,</w:t>
      </w:r>
      <w:r w:rsidRPr="005A05DF">
        <w:t xml:space="preserve"> supplied the bricks required to construct the cotton mill.</w:t>
      </w:r>
      <w:r w:rsidR="00F66DAC">
        <w:rPr>
          <w:rStyle w:val="FootnoteReference"/>
        </w:rPr>
        <w:footnoteReference w:id="369"/>
      </w:r>
      <w:r w:rsidRPr="005A05DF">
        <w:t xml:space="preserve"> In his role as a timber dealer, Thomas Evans easily secured the wood and timber needed for the cotton factory and its machinery. Metal components for the mill and its machinery were also easy to obtain, given that Thomas Evans and his family were prominent metal merchants, with Thomas himself being an accomplished iron master. The iron produced by Thomas found its way into supplying the Belper nail-making trade, which in turn made nails bought by the Evans family to be used in their cotton mill. One example is John Spencer, whom the Evans family had initially provided with the raw materials for nail production, who became a trusted supplier of nails to the family.</w:t>
      </w:r>
      <w:r w:rsidR="00F66DAC">
        <w:rPr>
          <w:rStyle w:val="FootnoteReference"/>
        </w:rPr>
        <w:footnoteReference w:id="370"/>
      </w:r>
      <w:r w:rsidR="00247D22">
        <w:t xml:space="preserve"> </w:t>
      </w:r>
      <w:r w:rsidRPr="005A05DF">
        <w:t xml:space="preserve">Their connections with the </w:t>
      </w:r>
      <w:r w:rsidRPr="005A05DF">
        <w:lastRenderedPageBreak/>
        <w:t>Arkwright and Strutt families enriched the partnership's machinery and textile manufacturing expertise. When the Evans family sought suppliers of raw cotton in the competitive London market, their associations with the Strutt family seamlessly integrated them into critical supply networks.</w:t>
      </w:r>
      <w:r w:rsidR="00247D22">
        <w:rPr>
          <w:rStyle w:val="FootnoteReference"/>
        </w:rPr>
        <w:footnoteReference w:id="371"/>
      </w:r>
      <w:r w:rsidRPr="005A05DF">
        <w:t xml:space="preserve"> This connection facilitated access to raw materials and offered entry into a trusted network of business exchange relationships.</w:t>
      </w:r>
    </w:p>
    <w:p w14:paraId="4932F605" w14:textId="77777777" w:rsidR="005A05DF" w:rsidRPr="005A05DF" w:rsidRDefault="005A05DF" w:rsidP="005A05DF">
      <w:pPr>
        <w:rPr>
          <w:i/>
          <w:iCs/>
        </w:rPr>
      </w:pPr>
      <w:r w:rsidRPr="005A05DF">
        <w:rPr>
          <w:i/>
          <w:iCs/>
        </w:rPr>
        <w:t>Promises, Verbal and Written Contracts</w:t>
      </w:r>
    </w:p>
    <w:p w14:paraId="4314FEB3" w14:textId="7EA12A54" w:rsidR="005A05DF" w:rsidRPr="005A05DF" w:rsidRDefault="00634BDC" w:rsidP="005A05DF">
      <w:bookmarkStart w:id="119" w:name="_Hlk170469134"/>
      <w:r w:rsidRPr="00562549">
        <w:rPr>
          <w:color w:val="000000" w:themeColor="text1"/>
        </w:rPr>
        <w:t>E</w:t>
      </w:r>
      <w:r w:rsidR="005A05DF" w:rsidRPr="00562549">
        <w:rPr>
          <w:color w:val="000000" w:themeColor="text1"/>
        </w:rPr>
        <w:t>ach firm built a core</w:t>
      </w:r>
      <w:r w:rsidRPr="00562549">
        <w:rPr>
          <w:color w:val="000000" w:themeColor="text1"/>
        </w:rPr>
        <w:t xml:space="preserve"> set</w:t>
      </w:r>
      <w:r w:rsidR="005A05DF" w:rsidRPr="00562549">
        <w:rPr>
          <w:color w:val="000000" w:themeColor="text1"/>
        </w:rPr>
        <w:t xml:space="preserve"> of business exchange relationships</w:t>
      </w:r>
      <w:bookmarkEnd w:id="119"/>
      <w:r w:rsidR="005A05DF" w:rsidRPr="00562549">
        <w:rPr>
          <w:color w:val="000000" w:themeColor="text1"/>
        </w:rPr>
        <w:t xml:space="preserve">, </w:t>
      </w:r>
      <w:r w:rsidR="005A05DF" w:rsidRPr="005A05DF">
        <w:t xml:space="preserve">which were supplemented by a host of fleeting and more transitory connections depending on the need of the firms, the reliability of the business exchange relationship and the levels of trust that could be built between the two business exchange partners. McConnel &amp; Kennedy recognised the importance of establishing contractual agreements with other firms based on mutual expectations. The fundamental mutual expectation was that each party involved in a business transaction would fulfil their agreed-upon actions. This approach allowed trust to develop on a foundation of mutual respect, with the assurance that their exchange partners would honour their word or written commitments. The principle held that it was better not to make a promise than to make one and later fail to fulfil it. This sentiment found frequent expression in the mill's correspondence. One such instance can be found in a letter dated 10th April 1795 between McConnel &amp; Kennedy and </w:t>
      </w:r>
      <w:proofErr w:type="spellStart"/>
      <w:r w:rsidR="005A05DF" w:rsidRPr="005A05DF">
        <w:t>Brundred</w:t>
      </w:r>
      <w:proofErr w:type="spellEnd"/>
      <w:r w:rsidR="005A05DF" w:rsidRPr="005A05DF">
        <w:t xml:space="preserve"> &amp; Co.</w:t>
      </w:r>
      <w:r>
        <w:t xml:space="preserve"> </w:t>
      </w:r>
      <w:bookmarkStart w:id="120" w:name="_Hlk170469176"/>
      <w:r w:rsidRPr="00562549">
        <w:rPr>
          <w:color w:val="000000" w:themeColor="text1"/>
        </w:rPr>
        <w:t xml:space="preserve">of </w:t>
      </w:r>
      <w:proofErr w:type="spellStart"/>
      <w:r w:rsidRPr="00562549">
        <w:rPr>
          <w:color w:val="000000" w:themeColor="text1"/>
        </w:rPr>
        <w:t>Winkhill</w:t>
      </w:r>
      <w:proofErr w:type="spellEnd"/>
      <w:r w:rsidRPr="00562549">
        <w:rPr>
          <w:color w:val="000000" w:themeColor="text1"/>
        </w:rPr>
        <w:t xml:space="preserve"> in Staffordshire</w:t>
      </w:r>
      <w:bookmarkEnd w:id="120"/>
      <w:r w:rsidR="005A05DF" w:rsidRPr="00562549">
        <w:rPr>
          <w:color w:val="000000" w:themeColor="text1"/>
        </w:rPr>
        <w:t xml:space="preserve">, </w:t>
      </w:r>
      <w:r w:rsidR="005A05DF" w:rsidRPr="005A05DF">
        <w:t>where the disappointment stemmed from the failure of the transaction partner to meet their obligations and expectations.</w:t>
      </w:r>
      <w:r w:rsidR="000A0307">
        <w:rPr>
          <w:rStyle w:val="FootnoteReference"/>
        </w:rPr>
        <w:footnoteReference w:id="372"/>
      </w:r>
      <w:r w:rsidR="005A05DF" w:rsidRPr="005A05DF">
        <w:t xml:space="preserve"> On this occasion, </w:t>
      </w:r>
      <w:proofErr w:type="spellStart"/>
      <w:r w:rsidR="005A05DF" w:rsidRPr="005A05DF">
        <w:t>Brundred</w:t>
      </w:r>
      <w:proofErr w:type="spellEnd"/>
      <w:r w:rsidR="005A05DF" w:rsidRPr="005A05DF">
        <w:t xml:space="preserve"> &amp; Co. broke their promise by deviating from the expected norms and conduct of business networks. In their letter, McConnel &amp; Kennedy expressed their dissatisfaction:</w:t>
      </w:r>
    </w:p>
    <w:p w14:paraId="177BED8D" w14:textId="7BD6F886" w:rsidR="005A05DF" w:rsidRPr="005A05DF" w:rsidRDefault="005A05DF" w:rsidP="005A05DF">
      <w:pPr>
        <w:ind w:left="720"/>
        <w:rPr>
          <w:sz w:val="20"/>
          <w:szCs w:val="20"/>
        </w:rPr>
      </w:pPr>
      <w:r w:rsidRPr="005A05DF">
        <w:rPr>
          <w:sz w:val="20"/>
          <w:szCs w:val="20"/>
        </w:rPr>
        <w:t xml:space="preserve">Four mules </w:t>
      </w:r>
      <w:proofErr w:type="gramStart"/>
      <w:r w:rsidRPr="005A05DF">
        <w:rPr>
          <w:sz w:val="20"/>
          <w:szCs w:val="20"/>
        </w:rPr>
        <w:t>entirely finished</w:t>
      </w:r>
      <w:proofErr w:type="gramEnd"/>
      <w:r w:rsidRPr="005A05DF">
        <w:rPr>
          <w:sz w:val="20"/>
          <w:szCs w:val="20"/>
        </w:rPr>
        <w:t xml:space="preserve"> but for want of rollers, which is entirely owing to you and very far different to what we expected from you. We find ourselves exceedingly badly used by your manner of acting – if it not convenient for you to do what we order you need not disappoint us by your promises and give you and us unnecessary trouble and expense…</w:t>
      </w:r>
      <w:r w:rsidRPr="005A05DF">
        <w:rPr>
          <w:sz w:val="20"/>
          <w:szCs w:val="20"/>
          <w:vertAlign w:val="superscript"/>
        </w:rPr>
        <w:footnoteReference w:id="373"/>
      </w:r>
      <w:r w:rsidRPr="005A05DF">
        <w:rPr>
          <w:sz w:val="20"/>
          <w:szCs w:val="20"/>
        </w:rPr>
        <w:t xml:space="preserve"> </w:t>
      </w:r>
    </w:p>
    <w:p w14:paraId="0854E982" w14:textId="010914D6" w:rsidR="005A05DF" w:rsidRPr="005A05DF" w:rsidRDefault="005A05DF" w:rsidP="005A05DF">
      <w:r w:rsidRPr="005A05DF">
        <w:t xml:space="preserve">This letter explicitly outlines the consequences experienced due to </w:t>
      </w:r>
      <w:proofErr w:type="spellStart"/>
      <w:r w:rsidRPr="005A05DF">
        <w:t>Brundred</w:t>
      </w:r>
      <w:proofErr w:type="spellEnd"/>
      <w:r w:rsidRPr="005A05DF">
        <w:t xml:space="preserve"> &amp; Co.'s breach of their promise. In contrast, there is evidence that McConnel and Kennedy backed up their obligations by not making promises they knew they could not keep. In another letter of April 1795 to Taylor &amp; Haywood of Duffield near Derby, McConnel &amp; Kennedy write that they could not promise to fulfil an order for two mules in less than four weeks since they had already sold the machinery to somebody else.</w:t>
      </w:r>
      <w:r w:rsidR="000A0307">
        <w:rPr>
          <w:rStyle w:val="FootnoteReference"/>
        </w:rPr>
        <w:footnoteReference w:id="374"/>
      </w:r>
      <w:r w:rsidRPr="005A05DF">
        <w:t xml:space="preserve"> Rather than disappoint their client with a broken promise, they explained why they could not make the promise in the first place. Rather than being seen as an immediate disappointment, this act was an honest response to a request they could not fulfil. </w:t>
      </w:r>
    </w:p>
    <w:p w14:paraId="3C8EC4F1" w14:textId="0ABDBBFC" w:rsidR="005A05DF" w:rsidRPr="005A05DF" w:rsidRDefault="005A05DF" w:rsidP="005A05DF">
      <w:pPr>
        <w:rPr>
          <w:i/>
          <w:iCs/>
        </w:rPr>
      </w:pPr>
      <w:r w:rsidRPr="005A05DF">
        <w:rPr>
          <w:i/>
          <w:iCs/>
        </w:rPr>
        <w:t xml:space="preserve">The </w:t>
      </w:r>
      <w:r w:rsidR="00545E0B">
        <w:rPr>
          <w:i/>
          <w:iCs/>
        </w:rPr>
        <w:t>T</w:t>
      </w:r>
      <w:r w:rsidRPr="005A05DF">
        <w:rPr>
          <w:i/>
          <w:iCs/>
        </w:rPr>
        <w:t xml:space="preserve">rusted </w:t>
      </w:r>
      <w:r w:rsidR="00545E0B">
        <w:rPr>
          <w:i/>
          <w:iCs/>
        </w:rPr>
        <w:t>C</w:t>
      </w:r>
      <w:r w:rsidRPr="005A05DF">
        <w:rPr>
          <w:i/>
          <w:iCs/>
        </w:rPr>
        <w:t>onnection</w:t>
      </w:r>
      <w:r w:rsidR="00545E0B">
        <w:rPr>
          <w:i/>
          <w:iCs/>
        </w:rPr>
        <w:t>s</w:t>
      </w:r>
      <w:r w:rsidRPr="005A05DF">
        <w:rPr>
          <w:i/>
          <w:iCs/>
        </w:rPr>
        <w:t xml:space="preserve"> </w:t>
      </w:r>
    </w:p>
    <w:p w14:paraId="4C262B8A" w14:textId="66A57CCB" w:rsidR="005A05DF" w:rsidRPr="005A05DF" w:rsidRDefault="005A05DF" w:rsidP="005A05DF">
      <w:r w:rsidRPr="005A05DF">
        <w:t xml:space="preserve">The trust system within the cotton trade extended beyond business exchanges; it also relied on trust between the factory masters and their employees. This trust relationship took different forms, depending on the perspective from which one viewed the trust levels. </w:t>
      </w:r>
      <w:r w:rsidR="00247D22">
        <w:t>This reflects agreement with Sunderland’s interpretation of many forms of trust being present in society at the time of the Industrial Revolution.</w:t>
      </w:r>
      <w:r w:rsidR="00247D22">
        <w:rPr>
          <w:rStyle w:val="FootnoteReference"/>
        </w:rPr>
        <w:footnoteReference w:id="375"/>
      </w:r>
      <w:r w:rsidR="00247D22">
        <w:t xml:space="preserve"> </w:t>
      </w:r>
      <w:r w:rsidRPr="005A05DF">
        <w:t xml:space="preserve">Furthermore, the specific type of employee played a crucial role in determining the required level of trust. Consequently, certain employees held a higher trust status, </w:t>
      </w:r>
      <w:r w:rsidRPr="005A05DF">
        <w:lastRenderedPageBreak/>
        <w:t xml:space="preserve">regardless of their potential trustworthiness. Management, sales agents, and </w:t>
      </w:r>
      <w:r w:rsidR="00634BDC">
        <w:t>mill hands</w:t>
      </w:r>
      <w:r w:rsidRPr="005A05DF">
        <w:t xml:space="preserve"> all occupied distinct roles and necessitated varying forms of trust and reputation. In this complex web of trust, the spinners were expected to maintain a positive reputation for their conduct, abilities, and character. Cotton masters were aware of this dynamic, as evidenced by a</w:t>
      </w:r>
      <w:r w:rsidR="001732CA">
        <w:t>nother</w:t>
      </w:r>
      <w:r w:rsidRPr="005A05DF">
        <w:t xml:space="preserve"> letter sent by McConnel &amp; Kennedy to Taylor &amp; Haywood of Duffield in April 1795.</w:t>
      </w:r>
      <w:r w:rsidR="00326D82">
        <w:rPr>
          <w:rStyle w:val="FootnoteReference"/>
        </w:rPr>
        <w:footnoteReference w:id="376"/>
      </w:r>
      <w:r w:rsidRPr="005A05DF">
        <w:t xml:space="preserve"> In the letter, McConnel &amp; Kennedy recommended a young cotton spinner who had been in their employ for about a year, asserting that his conduct and abilities entitled him to a place of trust. This </w:t>
      </w:r>
      <w:r w:rsidR="00634BDC" w:rsidRPr="00562549">
        <w:rPr>
          <w:color w:val="000000" w:themeColor="text1"/>
        </w:rPr>
        <w:t>letter</w:t>
      </w:r>
      <w:r w:rsidRPr="00562549">
        <w:rPr>
          <w:color w:val="000000" w:themeColor="text1"/>
        </w:rPr>
        <w:t xml:space="preserve"> </w:t>
      </w:r>
      <w:r w:rsidRPr="005A05DF">
        <w:t xml:space="preserve">underscores the multifaceted nature of trust, including employer-employee trust, business trust, and trust across different social classes, as outlined in Sunderland's work. The smooth operation of cotton mills hinged on maintaining a fundamental level of trust. From the perspective of the factory masters, the unnamed young man demonstrated enough trustworthiness to be employed as a spinner, implying his compliance with the role's expectations and obligations. The establishment and success of cotton factories depended on the trust between employers and employees, highlighting the importance of conduct and reputation in building and maintaining these trusting connections. </w:t>
      </w:r>
      <w:r w:rsidR="00247D22">
        <w:t xml:space="preserve">This evidence shows agreement with Newton’s trust and reputation approach which she applied to banks of the nineteenth century – suggesting that </w:t>
      </w:r>
      <w:r w:rsidR="003C1458">
        <w:t>reputations</w:t>
      </w:r>
      <w:r w:rsidR="00247D22">
        <w:t xml:space="preserve"> were also fundamental at the end of eighteenth century as well.</w:t>
      </w:r>
      <w:r w:rsidR="003C1458">
        <w:rPr>
          <w:rStyle w:val="FootnoteReference"/>
        </w:rPr>
        <w:footnoteReference w:id="377"/>
      </w:r>
      <w:r w:rsidR="00247D22">
        <w:t xml:space="preserve"> </w:t>
      </w:r>
      <w:r w:rsidRPr="005A05DF">
        <w:t>This letter also reveals trust between Taylor and Haywood and McConnel &amp; Kennedy. In this exchange, McConnel &amp; Kennedy were acting on behalf of Taylor &amp; Haywood, highlighting the significance of inter-firm trust in securing a suitable labour force.</w:t>
      </w:r>
    </w:p>
    <w:p w14:paraId="6F612CBD" w14:textId="687EE209" w:rsidR="005A05DF" w:rsidRPr="005A05DF" w:rsidRDefault="005A05DF" w:rsidP="005A05DF">
      <w:pPr>
        <w:rPr>
          <w:i/>
          <w:iCs/>
        </w:rPr>
      </w:pPr>
      <w:r w:rsidRPr="005A05DF">
        <w:rPr>
          <w:i/>
          <w:iCs/>
        </w:rPr>
        <w:t xml:space="preserve">Building </w:t>
      </w:r>
      <w:r w:rsidR="00F13FFE">
        <w:rPr>
          <w:i/>
          <w:iCs/>
        </w:rPr>
        <w:t>S</w:t>
      </w:r>
      <w:r w:rsidRPr="005A05DF">
        <w:rPr>
          <w:i/>
          <w:iCs/>
        </w:rPr>
        <w:t xml:space="preserve">trong </w:t>
      </w:r>
      <w:r w:rsidR="00F13FFE">
        <w:rPr>
          <w:i/>
          <w:iCs/>
        </w:rPr>
        <w:t>B</w:t>
      </w:r>
      <w:r w:rsidRPr="005A05DF">
        <w:rPr>
          <w:i/>
          <w:iCs/>
        </w:rPr>
        <w:t xml:space="preserve">onds over </w:t>
      </w:r>
      <w:r w:rsidR="00F13FFE">
        <w:rPr>
          <w:i/>
          <w:iCs/>
        </w:rPr>
        <w:t>L</w:t>
      </w:r>
      <w:r w:rsidRPr="005A05DF">
        <w:rPr>
          <w:i/>
          <w:iCs/>
        </w:rPr>
        <w:t xml:space="preserve">ong </w:t>
      </w:r>
      <w:r w:rsidR="00F13FFE">
        <w:rPr>
          <w:i/>
          <w:iCs/>
        </w:rPr>
        <w:t>D</w:t>
      </w:r>
      <w:r w:rsidRPr="005A05DF">
        <w:rPr>
          <w:i/>
          <w:iCs/>
        </w:rPr>
        <w:t>istances</w:t>
      </w:r>
    </w:p>
    <w:p w14:paraId="7DFE462B" w14:textId="5E93EAEF" w:rsidR="005A05DF" w:rsidRPr="005A05DF" w:rsidRDefault="005A05DF" w:rsidP="005A05DF">
      <w:r w:rsidRPr="005A05DF">
        <w:t xml:space="preserve">While many of the long distances traversed by the networks of the cotton mills were </w:t>
      </w:r>
      <w:r w:rsidRPr="00562549">
        <w:rPr>
          <w:color w:val="000000" w:themeColor="text1"/>
        </w:rPr>
        <w:t>punct</w:t>
      </w:r>
      <w:r w:rsidR="005A06B7" w:rsidRPr="00562549">
        <w:rPr>
          <w:color w:val="000000" w:themeColor="text1"/>
        </w:rPr>
        <w:t>uated</w:t>
      </w:r>
      <w:r w:rsidR="005A06B7">
        <w:t xml:space="preserve"> </w:t>
      </w:r>
      <w:r w:rsidRPr="005A05DF">
        <w:t>by middlemen and agents, there were a few occasions when network members travelled to distant markets, or people from distant markets travelled to the British manufacturing hubs. This was not always for commercial exchange but</w:t>
      </w:r>
      <w:r w:rsidR="003C1458">
        <w:t xml:space="preserve"> also</w:t>
      </w:r>
      <w:r w:rsidRPr="005A05DF">
        <w:t xml:space="preserve"> for knowledge exchange and </w:t>
      </w:r>
      <w:r w:rsidR="003C1458">
        <w:t xml:space="preserve">to </w:t>
      </w:r>
      <w:r w:rsidRPr="005A05DF">
        <w:t>build trusted networks over longer distances. After the fall of the Napoleonic blockades, a more open marketplace existed between Europe and Britain. This saw a significant knowledge and personnel exchange between Europe and Britain in cotton manufacturing network members. One of the earliest examples of this exchange can be seen in the letters of Johann (Hans) Casper Escher, who travelled to Britain in 1814.</w:t>
      </w:r>
      <w:r w:rsidR="000C79A7">
        <w:rPr>
          <w:rStyle w:val="FootnoteReference"/>
        </w:rPr>
        <w:footnoteReference w:id="378"/>
      </w:r>
      <w:r w:rsidRPr="005A05DF">
        <w:t xml:space="preserve"> During his knowledge-gathering mission for his cotton mill project in Zurich, he met and connected with many network members, ensuring he was introduced to leading industrialists and manufacturers in London, Liverpool, Manchester, Glasgow, Edinburgh, and Sunderland. One of these industrialists was James McConnel, who went on to engage the services of Escher as an architect for work on his house. A diary entry of Johann Georg Bodmer dated the 17</w:t>
      </w:r>
      <w:r w:rsidRPr="005A05DF">
        <w:rPr>
          <w:vertAlign w:val="superscript"/>
        </w:rPr>
        <w:t>th</w:t>
      </w:r>
      <w:r w:rsidRPr="005A05DF">
        <w:t xml:space="preserve"> of December 1816, details a visit by Bodmer to McConnel &amp; Kennedy’s firm, where he noted a conversation that suggested a general agreement that Escher had a good reputation as an architect.</w:t>
      </w:r>
      <w:r w:rsidR="003C1458">
        <w:rPr>
          <w:rStyle w:val="FootnoteReference"/>
        </w:rPr>
        <w:footnoteReference w:id="379"/>
      </w:r>
      <w:r w:rsidRPr="005A05DF">
        <w:t xml:space="preserve"> </w:t>
      </w:r>
    </w:p>
    <w:p w14:paraId="1ED6D509" w14:textId="67D4C5D7" w:rsidR="005A05DF" w:rsidRPr="005A05DF" w:rsidRDefault="005A05DF" w:rsidP="005A05DF">
      <w:pPr>
        <w:ind w:left="720"/>
        <w:rPr>
          <w:sz w:val="20"/>
          <w:szCs w:val="20"/>
        </w:rPr>
      </w:pPr>
      <w:r w:rsidRPr="005A05DF">
        <w:rPr>
          <w:sz w:val="20"/>
          <w:szCs w:val="20"/>
        </w:rPr>
        <w:t>Mr McConnel asked me for information about Herr Escher, but I replied that I had not seen him for several years. Mr McConnel told me Herr Escher was a very clever man. He had made a drawing of Mr. McConnel’s house with incredible speed. I said that Herr Escher had the reputation of a good architect.</w:t>
      </w:r>
      <w:r w:rsidRPr="005A05DF">
        <w:rPr>
          <w:sz w:val="20"/>
          <w:szCs w:val="20"/>
          <w:vertAlign w:val="superscript"/>
        </w:rPr>
        <w:footnoteReference w:id="380"/>
      </w:r>
      <w:r w:rsidRPr="005A05DF">
        <w:rPr>
          <w:sz w:val="20"/>
          <w:szCs w:val="20"/>
        </w:rPr>
        <w:t xml:space="preserve"> </w:t>
      </w:r>
    </w:p>
    <w:p w14:paraId="32B78606" w14:textId="6BB27427" w:rsidR="005A05DF" w:rsidRPr="00562549" w:rsidRDefault="005A05DF" w:rsidP="005A05DF">
      <w:pPr>
        <w:rPr>
          <w:color w:val="000000" w:themeColor="text1"/>
        </w:rPr>
      </w:pPr>
      <w:r w:rsidRPr="005A05DF">
        <w:t>This reputation had provided Escher with the necessary introductions to McConnel, and this connection opened further opportunities for Escher in Manchester.</w:t>
      </w:r>
      <w:r w:rsidR="007E6C50">
        <w:t xml:space="preserve"> Escher became a trusted </w:t>
      </w:r>
      <w:r w:rsidR="007E6C50">
        <w:lastRenderedPageBreak/>
        <w:t>connection of the business community</w:t>
      </w:r>
      <w:r w:rsidR="001208ED">
        <w:t xml:space="preserve"> and a key network member in the progression of the cotton trade in Europe</w:t>
      </w:r>
      <w:r w:rsidR="003B308C">
        <w:t xml:space="preserve">. The commonality between Escher, James McConnel and John Kennedy </w:t>
      </w:r>
      <w:r w:rsidR="0091519C">
        <w:t xml:space="preserve">as machine makers and cotton spinners brought a significant level of </w:t>
      </w:r>
      <w:r w:rsidR="0091519C" w:rsidRPr="003C1458">
        <w:rPr>
          <w:i/>
          <w:iCs/>
        </w:rPr>
        <w:t>ascribed trust</w:t>
      </w:r>
      <w:r w:rsidR="0091519C">
        <w:t xml:space="preserve"> based on mutual </w:t>
      </w:r>
      <w:r w:rsidR="00482AB0">
        <w:t>endeavours</w:t>
      </w:r>
      <w:r w:rsidR="003C1458">
        <w:t>, showing again another viable application of one of Sunderland’s forms of trust</w:t>
      </w:r>
      <w:r w:rsidR="00482AB0">
        <w:t xml:space="preserve">. </w:t>
      </w:r>
      <w:bookmarkStart w:id="124" w:name="_Hlk170469065"/>
      <w:r w:rsidR="004C3267" w:rsidRPr="00562549">
        <w:rPr>
          <w:color w:val="000000" w:themeColor="text1"/>
        </w:rPr>
        <w:t xml:space="preserve">This relationship provided a mutually beneficial relationship to all the kinship groups as it united them enterprise as Escher and Kennedy formed a business alliance to make machinery in Austria. It also allowed markets in Switzerland and Austria to be more easily navigated by McConnel &amp; Kennedy in Manchester. </w:t>
      </w:r>
    </w:p>
    <w:bookmarkEnd w:id="124"/>
    <w:p w14:paraId="0840C3A3" w14:textId="3A83A689" w:rsidR="00E86EE2" w:rsidRDefault="0001135F" w:rsidP="005A05DF">
      <w:r>
        <w:t xml:space="preserve">From the McConnel, Kennedy and Escher </w:t>
      </w:r>
      <w:r w:rsidR="003F312F">
        <w:t>inner network, a</w:t>
      </w:r>
      <w:r w:rsidR="005A05DF" w:rsidRPr="005A05DF">
        <w:t xml:space="preserve"> complicated web of connections formed with the wider kinship group of the Kennedy family, which the Escher family utilised to get Johann’s son Albert (Gustavus) Escher into an apprenticeship with their kin at Fairbairn &amp; Lillie in Manchester.</w:t>
      </w:r>
      <w:r w:rsidR="00E86EE2">
        <w:rPr>
          <w:rStyle w:val="FootnoteReference"/>
        </w:rPr>
        <w:footnoteReference w:id="381"/>
      </w:r>
      <w:r w:rsidR="005A05DF" w:rsidRPr="005A05DF">
        <w:t xml:space="preserve"> Sir William Fairbairn was the brother-in-law of Margaret Kennedy, the niece of John Kennedy.</w:t>
      </w:r>
      <w:r w:rsidR="000263BC">
        <w:rPr>
          <w:rStyle w:val="FootnoteReference"/>
        </w:rPr>
        <w:footnoteReference w:id="382"/>
      </w:r>
      <w:r w:rsidR="000A79E6">
        <w:t xml:space="preserve"> The social interactions and social capital that Hans Escher cultivated</w:t>
      </w:r>
      <w:r w:rsidR="00754311">
        <w:t xml:space="preserve"> enabled</w:t>
      </w:r>
      <w:r w:rsidR="005A05DF" w:rsidRPr="005A05DF">
        <w:t xml:space="preserve"> Albert Escher to</w:t>
      </w:r>
      <w:r w:rsidR="00754311">
        <w:t xml:space="preserve"> </w:t>
      </w:r>
      <w:r w:rsidR="009C080F">
        <w:t>utilise</w:t>
      </w:r>
      <w:r w:rsidR="00754311">
        <w:t xml:space="preserve"> the apprenticeship platform and</w:t>
      </w:r>
      <w:r w:rsidR="005A05DF" w:rsidRPr="005A05DF">
        <w:t xml:space="preserve"> build a substantial reputation as an engineer and entrepreneur</w:t>
      </w:r>
      <w:r w:rsidR="00754311">
        <w:t xml:space="preserve">. </w:t>
      </w:r>
      <w:r w:rsidR="009C080F">
        <w:t>Going forward from his apprenticeship, h</w:t>
      </w:r>
      <w:r w:rsidR="005A05DF" w:rsidRPr="005A05DF">
        <w:t xml:space="preserve">e </w:t>
      </w:r>
      <w:r w:rsidR="002F6FF6">
        <w:t>could</w:t>
      </w:r>
      <w:r w:rsidR="005A05DF" w:rsidRPr="005A05DF">
        <w:t xml:space="preserve"> take the education that he learnt with Fairbairn and Lillie back to Z</w:t>
      </w:r>
      <w:r w:rsidR="005A05DF" w:rsidRPr="005A05DF">
        <w:rPr>
          <w:rFonts w:cstheme="minorHAnsi"/>
        </w:rPr>
        <w:t>ü</w:t>
      </w:r>
      <w:r w:rsidR="005A05DF" w:rsidRPr="005A05DF">
        <w:t>rich and establish himself in spinning mills near Vienna and Salerno in Italy.</w:t>
      </w:r>
      <w:r w:rsidR="00FC7796">
        <w:rPr>
          <w:rStyle w:val="FootnoteReference"/>
        </w:rPr>
        <w:footnoteReference w:id="383"/>
      </w:r>
      <w:r w:rsidR="005A05DF" w:rsidRPr="005A05DF">
        <w:t xml:space="preserve"> The </w:t>
      </w:r>
      <w:r w:rsidR="00181E4E">
        <w:t xml:space="preserve">business </w:t>
      </w:r>
      <w:r w:rsidR="005A05DF" w:rsidRPr="005A05DF">
        <w:t>connections forged by these men were cemented by later marriage alliances when Albert Escher married Anne Kennedy, the daughter of John</w:t>
      </w:r>
      <w:r w:rsidR="002F6FF6">
        <w:t>—repeating</w:t>
      </w:r>
      <w:r w:rsidR="00181E4E">
        <w:t xml:space="preserve"> a similar pattern of community ties being </w:t>
      </w:r>
      <w:r w:rsidR="00031C95">
        <w:t>strengthened by marital and legal ties</w:t>
      </w:r>
      <w:r w:rsidR="002F6FF6">
        <w:t>.</w:t>
      </w:r>
      <w:r w:rsidR="00AE6ACF">
        <w:t xml:space="preserve"> </w:t>
      </w:r>
      <w:r w:rsidR="002F6FF6">
        <w:t>This</w:t>
      </w:r>
      <w:r w:rsidR="00031C95">
        <w:t xml:space="preserve"> ensur</w:t>
      </w:r>
      <w:r w:rsidR="002F6FF6">
        <w:t>ed</w:t>
      </w:r>
      <w:r w:rsidR="00031C95">
        <w:t xml:space="preserve"> a </w:t>
      </w:r>
      <w:r w:rsidR="00AE10A9">
        <w:t>continuation</w:t>
      </w:r>
      <w:r w:rsidR="00031C95">
        <w:t xml:space="preserve"> of mutual endeavour</w:t>
      </w:r>
      <w:r w:rsidR="00AE10A9">
        <w:t>, bound by strong bonds that now traversed national boundaries.</w:t>
      </w:r>
      <w:r w:rsidR="004C3267">
        <w:t xml:space="preserve"> </w:t>
      </w:r>
      <w:bookmarkStart w:id="126" w:name="_Hlk170469038"/>
      <w:r w:rsidR="004C3267" w:rsidRPr="00562549">
        <w:rPr>
          <w:color w:val="000000" w:themeColor="text1"/>
        </w:rPr>
        <w:t>This firms while in competition with each other also operated on a co-operative footing and were mutually beneficial to each other.</w:t>
      </w:r>
      <w:r w:rsidR="00AE10A9" w:rsidRPr="00562549">
        <w:rPr>
          <w:color w:val="000000" w:themeColor="text1"/>
        </w:rPr>
        <w:t xml:space="preserve"> </w:t>
      </w:r>
      <w:bookmarkEnd w:id="126"/>
      <w:r w:rsidR="005A05DF" w:rsidRPr="005A05DF">
        <w:t xml:space="preserve">These events show that Albert Escher was a key network member in the </w:t>
      </w:r>
      <w:r w:rsidR="008E7A42">
        <w:t xml:space="preserve">British and </w:t>
      </w:r>
      <w:r w:rsidR="005A05DF" w:rsidRPr="005A05DF">
        <w:t>European cotton networks.</w:t>
      </w:r>
      <w:r w:rsidR="000263BC">
        <w:t xml:space="preserve"> They also show how the boundaries of the </w:t>
      </w:r>
      <w:r w:rsidR="00F056E0">
        <w:t xml:space="preserve">closed business </w:t>
      </w:r>
      <w:r w:rsidR="000263BC">
        <w:t>networks were</w:t>
      </w:r>
      <w:r w:rsidR="00F056E0">
        <w:t xml:space="preserve"> regulated by the trust and reputation system</w:t>
      </w:r>
      <w:r w:rsidR="00DE55EE">
        <w:t xml:space="preserve">. </w:t>
      </w:r>
      <w:r w:rsidR="00AE6ACF">
        <w:t xml:space="preserve">By exploring the way these network ties were made within the business community and strengthened by marriage and business ties – it further demonstrates the depth and scale of these bonding mechanisms within the expanding networks. </w:t>
      </w:r>
      <w:r w:rsidR="00F056E0">
        <w:t xml:space="preserve"> </w:t>
      </w:r>
      <w:r w:rsidR="000263BC">
        <w:t xml:space="preserve"> </w:t>
      </w:r>
      <w:r w:rsidR="005A05DF" w:rsidRPr="005A05DF">
        <w:t xml:space="preserve"> </w:t>
      </w:r>
    </w:p>
    <w:p w14:paraId="417EBF6A" w14:textId="75E303FA" w:rsidR="005A05DF" w:rsidRPr="005A05DF" w:rsidRDefault="005A05DF" w:rsidP="005A05DF">
      <w:r w:rsidRPr="005A05DF">
        <w:t>These complicated webs became further entwined when Peter Kennedy, John’s nephew</w:t>
      </w:r>
      <w:r w:rsidR="00655925">
        <w:t xml:space="preserve"> via his brother Robert</w:t>
      </w:r>
      <w:r w:rsidRPr="005A05DF">
        <w:t xml:space="preserve">, set up his cotton spinning firm </w:t>
      </w:r>
      <w:r w:rsidR="00DE55EE">
        <w:t xml:space="preserve">near </w:t>
      </w:r>
      <w:r w:rsidRPr="005A05DF">
        <w:t>Feldkirch</w:t>
      </w:r>
      <w:r w:rsidR="00DE55EE">
        <w:t xml:space="preserve"> in</w:t>
      </w:r>
      <w:r w:rsidRPr="005A05DF">
        <w:t xml:space="preserve"> Austria</w:t>
      </w:r>
      <w:r w:rsidR="0047075A">
        <w:t>.</w:t>
      </w:r>
      <w:r w:rsidR="00DE55EE">
        <w:t xml:space="preserve"> In the nearby village of Thuringia</w:t>
      </w:r>
      <w:r w:rsidR="009B3374">
        <w:t xml:space="preserve"> in the </w:t>
      </w:r>
      <w:proofErr w:type="spellStart"/>
      <w:r w:rsidR="009B3374">
        <w:t>Walgau</w:t>
      </w:r>
      <w:proofErr w:type="spellEnd"/>
      <w:r w:rsidR="009B3374">
        <w:t xml:space="preserve"> region, the industrialisation of the village </w:t>
      </w:r>
      <w:r w:rsidR="00F77A59">
        <w:t xml:space="preserve">was said to have been enacted by </w:t>
      </w:r>
      <w:r w:rsidR="002577C3">
        <w:t>Peter Kennedy, Hans Casper and Albert Escher</w:t>
      </w:r>
      <w:r w:rsidR="00F35440">
        <w:t>,</w:t>
      </w:r>
      <w:r w:rsidR="002577C3">
        <w:t xml:space="preserve"> and the Scottish</w:t>
      </w:r>
      <w:r w:rsidR="00F35440">
        <w:t>-</w:t>
      </w:r>
      <w:r w:rsidR="002577C3">
        <w:t>born aristocrat John Douglass.</w:t>
      </w:r>
      <w:r w:rsidR="00E101D5">
        <w:rPr>
          <w:rStyle w:val="FootnoteReference"/>
        </w:rPr>
        <w:footnoteReference w:id="384"/>
      </w:r>
      <w:r w:rsidR="002577C3">
        <w:t xml:space="preserve"> </w:t>
      </w:r>
      <w:r w:rsidR="00655925">
        <w:t>John Douglass was the</w:t>
      </w:r>
      <w:r w:rsidR="002F6FF6">
        <w:t xml:space="preserve"> husband of John Kennedy’s niece</w:t>
      </w:r>
      <w:r w:rsidR="00F35440">
        <w:t>,</w:t>
      </w:r>
      <w:r w:rsidR="002F6FF6">
        <w:t xml:space="preserve"> Jane Kennedy</w:t>
      </w:r>
      <w:r w:rsidR="00F35440">
        <w:t>,</w:t>
      </w:r>
      <w:r w:rsidR="00E101D5">
        <w:t xml:space="preserve"> and</w:t>
      </w:r>
      <w:r w:rsidR="00F35440">
        <w:t>,</w:t>
      </w:r>
      <w:r w:rsidR="00E101D5">
        <w:t xml:space="preserve"> therefore</w:t>
      </w:r>
      <w:r w:rsidR="00F35440">
        <w:t>,</w:t>
      </w:r>
      <w:r w:rsidR="00E101D5">
        <w:t xml:space="preserve"> a key member of the wider Kennedy family kinship group.</w:t>
      </w:r>
      <w:r w:rsidR="00815398">
        <w:t xml:space="preserve"> </w:t>
      </w:r>
      <w:r w:rsidR="00E26829">
        <w:t xml:space="preserve">One of the insights that can be gained from these </w:t>
      </w:r>
      <w:r w:rsidR="00815398">
        <w:t xml:space="preserve">connections is </w:t>
      </w:r>
      <w:r w:rsidR="006F3B56">
        <w:t>that</w:t>
      </w:r>
      <w:r w:rsidR="00815398">
        <w:t xml:space="preserve"> trust was built </w:t>
      </w:r>
      <w:r w:rsidR="004B0EFC">
        <w:t>between those whose interests aligned</w:t>
      </w:r>
      <w:r w:rsidR="006F3B56">
        <w:t>,</w:t>
      </w:r>
      <w:r w:rsidR="004B0EFC">
        <w:t xml:space="preserve"> and this initial trust was converted into </w:t>
      </w:r>
      <w:r w:rsidR="004549BE">
        <w:t xml:space="preserve">meaningful connectivity to share knowledge and resources for the mutual benefit of </w:t>
      </w:r>
      <w:r w:rsidR="006F3B56">
        <w:t xml:space="preserve">all those interacting. </w:t>
      </w:r>
      <w:r w:rsidR="000A484D">
        <w:t>The members of these networks promoted the advancement of the indus</w:t>
      </w:r>
      <w:r w:rsidR="00CD182E">
        <w:t xml:space="preserve">trialising of many trades particularly the cotton trade. </w:t>
      </w:r>
      <w:r w:rsidR="004E3118">
        <w:t xml:space="preserve">This advancement was aided by the trust and reputation system of </w:t>
      </w:r>
      <w:r w:rsidR="004200D3">
        <w:t>ensuring the right people entered the inner circle of the networks</w:t>
      </w:r>
      <w:r w:rsidR="00075A42">
        <w:t>, particularly if they came from other nations</w:t>
      </w:r>
      <w:r w:rsidR="004200D3">
        <w:t xml:space="preserve">. </w:t>
      </w:r>
      <w:r w:rsidRPr="005A05DF">
        <w:t xml:space="preserve">The main finding </w:t>
      </w:r>
      <w:r w:rsidR="007F72F7">
        <w:t xml:space="preserve">of this research </w:t>
      </w:r>
      <w:r w:rsidR="006F3B56">
        <w:t>r</w:t>
      </w:r>
      <w:r w:rsidRPr="005A05DF">
        <w:t xml:space="preserve">egarding the building of distant trusted connections is that, despite poor communications and difficult travel conditions, </w:t>
      </w:r>
      <w:r w:rsidRPr="005A05DF">
        <w:lastRenderedPageBreak/>
        <w:t xml:space="preserve">the most trusted connections were made with those who had travelled to new markets or by those who had received travellers and visitors. </w:t>
      </w:r>
    </w:p>
    <w:p w14:paraId="36821A07" w14:textId="2855ABFF" w:rsidR="005A05DF" w:rsidRPr="00817B40" w:rsidRDefault="005A05DF" w:rsidP="00817B40">
      <w:pPr>
        <w:pStyle w:val="Heading2"/>
        <w:rPr>
          <w:rFonts w:asciiTheme="minorHAnsi" w:hAnsiTheme="minorHAnsi" w:cstheme="minorHAnsi"/>
          <w:b/>
          <w:bCs/>
          <w:color w:val="auto"/>
          <w:sz w:val="24"/>
          <w:szCs w:val="24"/>
        </w:rPr>
      </w:pPr>
      <w:bookmarkStart w:id="127" w:name="_Toc170825683"/>
      <w:r w:rsidRPr="00817B40">
        <w:rPr>
          <w:rFonts w:asciiTheme="minorHAnsi" w:hAnsiTheme="minorHAnsi" w:cstheme="minorHAnsi"/>
          <w:b/>
          <w:bCs/>
          <w:color w:val="auto"/>
          <w:sz w:val="24"/>
          <w:szCs w:val="24"/>
        </w:rPr>
        <w:t xml:space="preserve">The </w:t>
      </w:r>
      <w:r w:rsidR="00F13FFE" w:rsidRPr="00817B40">
        <w:rPr>
          <w:rFonts w:asciiTheme="minorHAnsi" w:hAnsiTheme="minorHAnsi" w:cstheme="minorHAnsi"/>
          <w:b/>
          <w:bCs/>
          <w:color w:val="auto"/>
          <w:sz w:val="24"/>
          <w:szCs w:val="24"/>
        </w:rPr>
        <w:t>Maintenance</w:t>
      </w:r>
      <w:r w:rsidRPr="00817B40">
        <w:rPr>
          <w:rFonts w:asciiTheme="minorHAnsi" w:hAnsiTheme="minorHAnsi" w:cstheme="minorHAnsi"/>
          <w:b/>
          <w:bCs/>
          <w:color w:val="auto"/>
          <w:sz w:val="24"/>
          <w:szCs w:val="24"/>
        </w:rPr>
        <w:t xml:space="preserve"> of </w:t>
      </w:r>
      <w:r w:rsidR="00F13FFE" w:rsidRPr="00817B40">
        <w:rPr>
          <w:rFonts w:asciiTheme="minorHAnsi" w:hAnsiTheme="minorHAnsi" w:cstheme="minorHAnsi"/>
          <w:b/>
          <w:bCs/>
          <w:color w:val="auto"/>
          <w:sz w:val="24"/>
          <w:szCs w:val="24"/>
        </w:rPr>
        <w:t>the B</w:t>
      </w:r>
      <w:r w:rsidRPr="00817B40">
        <w:rPr>
          <w:rFonts w:asciiTheme="minorHAnsi" w:hAnsiTheme="minorHAnsi" w:cstheme="minorHAnsi"/>
          <w:b/>
          <w:bCs/>
          <w:color w:val="auto"/>
          <w:sz w:val="24"/>
          <w:szCs w:val="24"/>
        </w:rPr>
        <w:t xml:space="preserve">usiness </w:t>
      </w:r>
      <w:r w:rsidR="00F13FFE" w:rsidRPr="00817B40">
        <w:rPr>
          <w:rFonts w:asciiTheme="minorHAnsi" w:hAnsiTheme="minorHAnsi" w:cstheme="minorHAnsi"/>
          <w:b/>
          <w:bCs/>
          <w:color w:val="auto"/>
          <w:sz w:val="24"/>
          <w:szCs w:val="24"/>
        </w:rPr>
        <w:t>N</w:t>
      </w:r>
      <w:r w:rsidRPr="00817B40">
        <w:rPr>
          <w:rFonts w:asciiTheme="minorHAnsi" w:hAnsiTheme="minorHAnsi" w:cstheme="minorHAnsi"/>
          <w:b/>
          <w:bCs/>
          <w:color w:val="auto"/>
          <w:sz w:val="24"/>
          <w:szCs w:val="24"/>
        </w:rPr>
        <w:t>etworks</w:t>
      </w:r>
      <w:bookmarkEnd w:id="127"/>
      <w:r w:rsidRPr="00817B40">
        <w:rPr>
          <w:rFonts w:asciiTheme="minorHAnsi" w:hAnsiTheme="minorHAnsi" w:cstheme="minorHAnsi"/>
          <w:b/>
          <w:bCs/>
          <w:color w:val="auto"/>
          <w:sz w:val="24"/>
          <w:szCs w:val="24"/>
        </w:rPr>
        <w:t xml:space="preserve"> </w:t>
      </w:r>
    </w:p>
    <w:p w14:paraId="382D5430" w14:textId="0E9163E3" w:rsidR="005A05DF" w:rsidRPr="005A05DF" w:rsidRDefault="005A05DF" w:rsidP="005A05DF">
      <w:pPr>
        <w:rPr>
          <w:i/>
          <w:iCs/>
        </w:rPr>
      </w:pPr>
      <w:r w:rsidRPr="005A05DF">
        <w:rPr>
          <w:i/>
          <w:iCs/>
        </w:rPr>
        <w:t xml:space="preserve">Frequency of </w:t>
      </w:r>
      <w:r w:rsidR="00F13FFE">
        <w:rPr>
          <w:i/>
          <w:iCs/>
        </w:rPr>
        <w:t>C</w:t>
      </w:r>
      <w:r w:rsidRPr="005A05DF">
        <w:rPr>
          <w:i/>
          <w:iCs/>
        </w:rPr>
        <w:t>ontact</w:t>
      </w:r>
    </w:p>
    <w:p w14:paraId="3E038084" w14:textId="5F3A0DCC" w:rsidR="005A05DF" w:rsidRPr="005A05DF" w:rsidRDefault="005A05DF" w:rsidP="003D0617">
      <w:r w:rsidRPr="005A05DF">
        <w:t>A</w:t>
      </w:r>
      <w:r w:rsidR="000E020D">
        <w:t xml:space="preserve"> successful</w:t>
      </w:r>
      <w:r w:rsidRPr="005A05DF">
        <w:t xml:space="preserve"> method of trust generation was the building of long-term business relationships</w:t>
      </w:r>
      <w:r w:rsidR="000E020D">
        <w:t xml:space="preserve"> that were maintained by frequent contact</w:t>
      </w:r>
      <w:r w:rsidRPr="005A05DF">
        <w:t>. Unlike personal or social trust, business trust does not always require forming a long-term trusting relationship</w:t>
      </w:r>
      <w:r w:rsidR="000E020D">
        <w:t xml:space="preserve"> but any relationships that are formed on this basis were often beneficial to the firms</w:t>
      </w:r>
      <w:r w:rsidRPr="005A05DF">
        <w:t xml:space="preserve">. There </w:t>
      </w:r>
      <w:r w:rsidR="000E020D">
        <w:t>were</w:t>
      </w:r>
      <w:r w:rsidRPr="005A05DF">
        <w:t xml:space="preserve"> many occasions when </w:t>
      </w:r>
      <w:r w:rsidR="000E020D">
        <w:t>the</w:t>
      </w:r>
      <w:r w:rsidRPr="005A05DF">
        <w:t xml:space="preserve"> firm</w:t>
      </w:r>
      <w:r w:rsidR="000E020D">
        <w:t>s</w:t>
      </w:r>
      <w:r w:rsidRPr="005A05DF">
        <w:t xml:space="preserve"> ma</w:t>
      </w:r>
      <w:r w:rsidR="000E020D">
        <w:t>d</w:t>
      </w:r>
      <w:r w:rsidRPr="005A05DF">
        <w:t>e one-off order</w:t>
      </w:r>
      <w:r w:rsidR="000E020D">
        <w:t>s</w:t>
      </w:r>
      <w:r w:rsidRPr="005A05DF">
        <w:t xml:space="preserve"> with a firm based on the quality and price of an order or simply a specific need that differed from the norm. </w:t>
      </w:r>
      <w:r w:rsidR="000E020D">
        <w:t>For example, in the receipt books of McConnel &amp; Kennedy there were forty-four occasions where they purchased raw cotton from a one-time supplier between 1795 and 1809.</w:t>
      </w:r>
      <w:r w:rsidR="000E020D">
        <w:rPr>
          <w:rStyle w:val="FootnoteReference"/>
        </w:rPr>
        <w:footnoteReference w:id="385"/>
      </w:r>
      <w:r w:rsidR="000E020D">
        <w:t xml:space="preserve"> </w:t>
      </w:r>
      <w:bookmarkStart w:id="128" w:name="_Hlk170470807"/>
      <w:r w:rsidR="003D0617" w:rsidRPr="00562549">
        <w:rPr>
          <w:color w:val="000000" w:themeColor="text1"/>
        </w:rPr>
        <w:t>The equates to 36.71% of their overall known cotton acquisition transactions during this period.</w:t>
      </w:r>
      <w:bookmarkEnd w:id="128"/>
      <w:r w:rsidR="003D0617" w:rsidRPr="00562549">
        <w:rPr>
          <w:color w:val="000000" w:themeColor="text1"/>
        </w:rPr>
        <w:t xml:space="preserve"> </w:t>
      </w:r>
      <w:r w:rsidR="00FD02FB" w:rsidRPr="005A05DF">
        <w:t>Some short-term business relationships were caused by distrust and bad reputations,</w:t>
      </w:r>
      <w:r w:rsidR="00FD02FB">
        <w:t xml:space="preserve"> </w:t>
      </w:r>
      <w:r w:rsidR="00FD02FB" w:rsidRPr="005A05DF">
        <w:t>others reflected a change in circumstances,</w:t>
      </w:r>
      <w:r w:rsidR="00FD02FB">
        <w:t xml:space="preserve"> and some were simply a fleeting convenience</w:t>
      </w:r>
      <w:r w:rsidR="00FD02FB" w:rsidRPr="005A05DF">
        <w:t>.</w:t>
      </w:r>
      <w:r w:rsidR="00FD02FB">
        <w:t xml:space="preserve"> </w:t>
      </w:r>
      <w:r w:rsidR="000E020D">
        <w:t>Alternatively, they used Robert Spear as their supplier on forty-nine occasions</w:t>
      </w:r>
      <w:r w:rsidR="000A4D1F">
        <w:t xml:space="preserve"> and Thomas &amp; William Bateman on thirty-four occasions</w:t>
      </w:r>
      <w:r w:rsidR="000E020D">
        <w:t xml:space="preserve"> throughout the same period</w:t>
      </w:r>
      <w:r w:rsidR="00FD02FB">
        <w:t xml:space="preserve"> suggesting </w:t>
      </w:r>
      <w:r w:rsidRPr="005A05DF">
        <w:t>there was a general trend to build long-term, lasting relationships</w:t>
      </w:r>
      <w:r w:rsidR="00FD02FB">
        <w:t>.</w:t>
      </w:r>
      <w:r w:rsidR="00FD02FB">
        <w:rPr>
          <w:rStyle w:val="FootnoteReference"/>
        </w:rPr>
        <w:footnoteReference w:id="386"/>
      </w:r>
      <w:r w:rsidR="00FD02FB">
        <w:t xml:space="preserve"> These lasting relationships </w:t>
      </w:r>
      <w:r w:rsidRPr="005A05DF">
        <w:t>had flourished based on high levels of mutual trust generated from repeated fulfilment of expectations and obligations</w:t>
      </w:r>
      <w:r w:rsidR="00FD02FB">
        <w:t xml:space="preserve"> which was only achieved through repeated frequent contact</w:t>
      </w:r>
      <w:r w:rsidRPr="005A05DF">
        <w:t>.</w:t>
      </w:r>
      <w:r w:rsidR="00D2785D">
        <w:t xml:space="preserve"> This was reflected </w:t>
      </w:r>
      <w:r w:rsidR="000A4D1F">
        <w:t xml:space="preserve">in the buying practices of the Evans family too. They used a core set of raw cotton brokers with </w:t>
      </w:r>
      <w:r w:rsidR="00FD02FB">
        <w:t xml:space="preserve">from William Purdy of Tower Street in London, who supplied the firm eighteenth times between 1787 and 1789, Samuel Wagstaff of 27 Cannon Street London, who supplied raw cotton nineteen times between 1792 and his death in 1796, and </w:t>
      </w:r>
      <w:r w:rsidR="000A4D1F">
        <w:t xml:space="preserve">George Greaves of 12 </w:t>
      </w:r>
      <w:proofErr w:type="spellStart"/>
      <w:r w:rsidR="000A4D1F">
        <w:t>Lothbury</w:t>
      </w:r>
      <w:proofErr w:type="spellEnd"/>
      <w:r w:rsidR="000A4D1F">
        <w:t xml:space="preserve"> London, supplying the firm on ninety-eight occasions between 1796 and 1810.</w:t>
      </w:r>
      <w:r w:rsidR="00095DE1">
        <w:rPr>
          <w:rStyle w:val="FootnoteReference"/>
        </w:rPr>
        <w:footnoteReference w:id="387"/>
      </w:r>
      <w:r w:rsidR="000A4D1F">
        <w:t xml:space="preserve"> </w:t>
      </w:r>
      <w:r w:rsidR="00CA3EDA">
        <w:t>Building these trusted networks and using these trusted connections was o</w:t>
      </w:r>
      <w:r w:rsidRPr="005A05DF">
        <w:t xml:space="preserve">ne method of managing </w:t>
      </w:r>
      <w:r w:rsidR="00CA3EDA">
        <w:t xml:space="preserve">the risks losing either stock, business connections or their reputation. By </w:t>
      </w:r>
      <w:r w:rsidRPr="005A05DF">
        <w:t>repeatedly plac</w:t>
      </w:r>
      <w:r w:rsidR="00CA3EDA">
        <w:t>ing</w:t>
      </w:r>
      <w:r w:rsidRPr="005A05DF">
        <w:t xml:space="preserve"> trust in the hands of men of known character and trustworthy reputation</w:t>
      </w:r>
      <w:r w:rsidR="00CA3EDA">
        <w:t xml:space="preserve"> it reduced the likelihood of negative occurrences that could jeopardise their success in the trade</w:t>
      </w:r>
      <w:r w:rsidRPr="005A05DF">
        <w:t xml:space="preserve">. Both case studies followed this risk management strategy. </w:t>
      </w:r>
    </w:p>
    <w:p w14:paraId="276621F2" w14:textId="1050348C" w:rsidR="005A05DF" w:rsidRPr="005A05DF" w:rsidRDefault="005A05DF" w:rsidP="005A05DF">
      <w:r w:rsidRPr="005A05DF">
        <w:t>Each firm had a core set of connections that served them over longer periods of time. Although these changed throughout each firm's life, significant, trusted business relationships were infused with mutual trust, respect, and ‘business’ friendship. Once these relationships were established, they were utilised regularly until personal or market forces required a change. The frequency of the contact kept the relationship fresh and allowed the depth of the connection to grow over time. When connections were not made with kin, these relationships would most likely be formed with the local communities' middlemen, agents, and logistics companies. Those whose services were a staple part of the firm’s day-to-day operations and who had proven their trustworthiness and solid business reputation could enjoy patronage as the business allowed. Of the many examples of the Evans family’s trusted connections, the documents show that between 1787 and 1791, their carrier, James Oakes, was trusted with the logistics of carrying the manufactured goods to the firm’s sales agents in Manchester.</w:t>
      </w:r>
      <w:r w:rsidR="004C2271">
        <w:rPr>
          <w:rStyle w:val="FootnoteReference"/>
        </w:rPr>
        <w:footnoteReference w:id="388"/>
      </w:r>
      <w:r w:rsidRPr="005A05DF">
        <w:t xml:space="preserve"> There were one-hundred-and-twenty instructions to James Oakes to deliver the cotton twist to Manchester; without exception, Messrs. Whitfield was a recipient of each delivery.</w:t>
      </w:r>
      <w:r w:rsidR="000E7247">
        <w:rPr>
          <w:rStyle w:val="FootnoteReference"/>
        </w:rPr>
        <w:footnoteReference w:id="389"/>
      </w:r>
      <w:r w:rsidRPr="005A05DF">
        <w:t xml:space="preserve"> Some </w:t>
      </w:r>
      <w:r w:rsidRPr="005A05DF">
        <w:lastRenderedPageBreak/>
        <w:t>deliveries also went to other Manchester firms such as Peels, Ainsworth &amp; Co.</w:t>
      </w:r>
      <w:r w:rsidR="008A478B">
        <w:rPr>
          <w:rStyle w:val="FootnoteReference"/>
        </w:rPr>
        <w:footnoteReference w:id="390"/>
      </w:r>
      <w:r w:rsidRPr="005A05DF">
        <w:t xml:space="preserve"> The correspondence suggests that James Oakes and Whitfield &amp; Co. were strong, trusted connections of the Evans family. Although there are very few words between James Oakes and W. Evans &amp; Co. beyond the instructions to be carried out, the frequency and length of the relationship logically imply that the trust levels between the two firms were high. </w:t>
      </w:r>
      <w:r w:rsidR="00791B26">
        <w:t xml:space="preserve">The reputations of both W. Evans &amp; Co. and James Oakes’ carrier company </w:t>
      </w:r>
      <w:r w:rsidR="00AD74D1">
        <w:t>would have been boosted by their enduring connectivity and reliability</w:t>
      </w:r>
      <w:r w:rsidR="000E7247">
        <w:t xml:space="preserve"> within the wider business and community networks. </w:t>
      </w:r>
      <w:r w:rsidRPr="005A05DF">
        <w:t xml:space="preserve"> </w:t>
      </w:r>
    </w:p>
    <w:p w14:paraId="1430FA2A" w14:textId="0F8D8EB7" w:rsidR="005A05DF" w:rsidRPr="005A05DF" w:rsidRDefault="005A05DF" w:rsidP="005A05DF">
      <w:pPr>
        <w:rPr>
          <w:i/>
          <w:iCs/>
        </w:rPr>
      </w:pPr>
      <w:r w:rsidRPr="005A05DF">
        <w:rPr>
          <w:i/>
          <w:iCs/>
        </w:rPr>
        <w:t xml:space="preserve">Nurturing </w:t>
      </w:r>
      <w:r w:rsidR="00F13FFE">
        <w:rPr>
          <w:i/>
          <w:iCs/>
        </w:rPr>
        <w:t>E</w:t>
      </w:r>
      <w:r w:rsidRPr="005A05DF">
        <w:rPr>
          <w:i/>
          <w:iCs/>
        </w:rPr>
        <w:t xml:space="preserve">xisting </w:t>
      </w:r>
      <w:r w:rsidR="00F13FFE">
        <w:rPr>
          <w:i/>
          <w:iCs/>
        </w:rPr>
        <w:t>C</w:t>
      </w:r>
      <w:r w:rsidRPr="005A05DF">
        <w:rPr>
          <w:i/>
          <w:iCs/>
        </w:rPr>
        <w:t>onnections</w:t>
      </w:r>
    </w:p>
    <w:p w14:paraId="35F9C80B" w14:textId="03DEC8AE" w:rsidR="005A05DF" w:rsidRPr="005A05DF" w:rsidRDefault="005A05DF" w:rsidP="005A05DF">
      <w:r w:rsidRPr="005A05DF">
        <w:t>McConnel &amp; Kennedy were keen to ensure that the existing trusted connections they had opened in their markets remained loyal and kept their interests at the fore of their business activities. The trusted networks relied on a mutual reciprocal nurturing of the relationships.</w:t>
      </w:r>
      <w:r w:rsidR="008461C9">
        <w:t xml:space="preserve"> A good example of this can be found in</w:t>
      </w:r>
      <w:r w:rsidRPr="005A05DF">
        <w:t xml:space="preserve"> </w:t>
      </w:r>
      <w:r w:rsidR="008461C9">
        <w:t>a</w:t>
      </w:r>
      <w:r w:rsidRPr="005A05DF">
        <w:t xml:space="preserve"> key relationship they had in the Irish market </w:t>
      </w:r>
      <w:r w:rsidR="000E7247">
        <w:t>with</w:t>
      </w:r>
      <w:r w:rsidRPr="005A05DF">
        <w:t xml:space="preserve"> Hill Hamilton of Belfast. This firm could offer an advantageous position for McConnel &amp; Kennedy, and it would be significantly beneficial if this connection were maintained. A letter sent to the </w:t>
      </w:r>
      <w:r w:rsidR="003D0617">
        <w:t xml:space="preserve">Hill Hamilton at Belfast </w:t>
      </w:r>
      <w:r w:rsidRPr="005A05DF">
        <w:t>on the 10</w:t>
      </w:r>
      <w:r w:rsidRPr="005A05DF">
        <w:rPr>
          <w:vertAlign w:val="superscript"/>
        </w:rPr>
        <w:t>th</w:t>
      </w:r>
      <w:r w:rsidRPr="005A05DF">
        <w:t xml:space="preserve"> of October 1812 highlights the importance to which Hill Hamilton was to McConnel &amp; Kennedy’s success in Belfast.</w:t>
      </w:r>
      <w:r w:rsidR="000E7247">
        <w:rPr>
          <w:rStyle w:val="FootnoteReference"/>
        </w:rPr>
        <w:footnoteReference w:id="391"/>
      </w:r>
      <w:r w:rsidRPr="005A05DF">
        <w:t xml:space="preserve"> The letter reads:   </w:t>
      </w:r>
    </w:p>
    <w:p w14:paraId="4A7C1CF8" w14:textId="50144B9E" w:rsidR="005A05DF" w:rsidRPr="005A05DF" w:rsidRDefault="005A05DF" w:rsidP="008A478B">
      <w:pPr>
        <w:ind w:left="720"/>
      </w:pPr>
      <w:r w:rsidRPr="005A05DF">
        <w:t xml:space="preserve">As we have been long in the habit of supplying the greatest part of fine yarn sent from this to your market. We regret to observe that a great deal has been introduced </w:t>
      </w:r>
      <w:proofErr w:type="gramStart"/>
      <w:r w:rsidRPr="005A05DF">
        <w:t>in the course of</w:t>
      </w:r>
      <w:proofErr w:type="gramEnd"/>
      <w:r w:rsidRPr="005A05DF">
        <w:t xml:space="preserve"> the last year from hence by other houses…</w:t>
      </w:r>
      <w:r w:rsidR="00BB1267">
        <w:rPr>
          <w:rStyle w:val="FootnoteReference"/>
        </w:rPr>
        <w:footnoteReference w:id="392"/>
      </w:r>
    </w:p>
    <w:p w14:paraId="1670412B" w14:textId="0043299E" w:rsidR="005A05DF" w:rsidRPr="005A05DF" w:rsidRDefault="005A05DF" w:rsidP="005A05DF">
      <w:r w:rsidRPr="005A05DF">
        <w:t xml:space="preserve">This letter </w:t>
      </w:r>
      <w:r w:rsidR="003D0617">
        <w:t xml:space="preserve">shows that </w:t>
      </w:r>
      <w:r w:rsidRPr="005A05DF">
        <w:t xml:space="preserve">Hill Hamilton of Belfast </w:t>
      </w:r>
      <w:r w:rsidR="003D0617">
        <w:t>were in a powerful position to assist</w:t>
      </w:r>
      <w:r w:rsidRPr="005A05DF">
        <w:t xml:space="preserve"> </w:t>
      </w:r>
      <w:r w:rsidR="003D0617">
        <w:t>McConnel &amp; Kennedy</w:t>
      </w:r>
      <w:r w:rsidRPr="005A05DF">
        <w:t xml:space="preserve"> in keeping</w:t>
      </w:r>
      <w:r w:rsidR="003D0617">
        <w:t xml:space="preserve"> their</w:t>
      </w:r>
      <w:r w:rsidRPr="005A05DF">
        <w:t xml:space="preserve"> connections within the Belfast market open. The letter requested Hill Hamilton to see if he could employ someone to work on their behalf to nurture the existing connections within the market and even gain greater custom for their house if possible. The letter not only shows that McConnel &amp; Kennedy had trusted and relied on the connection of Hill Hamilton but also that</w:t>
      </w:r>
      <w:r w:rsidR="000E7247">
        <w:t>,</w:t>
      </w:r>
      <w:r w:rsidRPr="005A05DF">
        <w:t xml:space="preserve"> however strong a weak</w:t>
      </w:r>
      <w:r w:rsidR="000E7247">
        <w:t xml:space="preserve"> but</w:t>
      </w:r>
      <w:r w:rsidRPr="005A05DF">
        <w:t xml:space="preserve"> trusted </w:t>
      </w:r>
      <w:r w:rsidR="000E7247">
        <w:t>tie</w:t>
      </w:r>
      <w:r w:rsidRPr="005A05DF">
        <w:t xml:space="preserve"> was, it needed to be nurtured and maintained</w:t>
      </w:r>
      <w:r w:rsidR="000E7247">
        <w:t>. This is because</w:t>
      </w:r>
      <w:r w:rsidRPr="005A05DF">
        <w:t xml:space="preserve"> another more attractive offer could induce a firm to seek a more beneficial relationship elsewhere. Compared with a kinship relationship bound by greater ties, the business exchange relationship between non-kin members could be more fragile and vulnerable. Therefore, this research's findings partially correlate with business management professor Peter</w:t>
      </w:r>
      <w:r w:rsidR="000E7247" w:rsidRPr="005A05DF">
        <w:t xml:space="preserve"> </w:t>
      </w:r>
      <w:r w:rsidRPr="005A05DF">
        <w:t>Smith</w:t>
      </w:r>
      <w:r w:rsidR="000E7247">
        <w:t xml:space="preserve"> Rings</w:t>
      </w:r>
      <w:r w:rsidRPr="005A05DF">
        <w:t>’s suggestion of two distinct forms of trust being observed in economic exchange: fragile and resilient.</w:t>
      </w:r>
      <w:r w:rsidRPr="005A05DF">
        <w:rPr>
          <w:vertAlign w:val="superscript"/>
        </w:rPr>
        <w:footnoteReference w:id="393"/>
      </w:r>
      <w:r w:rsidRPr="005A05DF">
        <w:t xml:space="preserve"> </w:t>
      </w:r>
      <w:r w:rsidR="000E7247">
        <w:t xml:space="preserve">They also align well with </w:t>
      </w:r>
      <w:proofErr w:type="spellStart"/>
      <w:r w:rsidR="000E7247">
        <w:t>Granovetter’s</w:t>
      </w:r>
      <w:proofErr w:type="spellEnd"/>
      <w:r w:rsidR="000E7247">
        <w:t xml:space="preserve"> theory of strong and weak ties.</w:t>
      </w:r>
      <w:r w:rsidR="000E7247">
        <w:rPr>
          <w:rStyle w:val="FootnoteReference"/>
        </w:rPr>
        <w:footnoteReference w:id="394"/>
      </w:r>
      <w:r w:rsidR="000E7247">
        <w:t xml:space="preserve"> </w:t>
      </w:r>
      <w:r w:rsidRPr="005A05DF">
        <w:t xml:space="preserve">However, this letter shows that this process can be dynamic and fluid as a once resilient trusted relationship can become fragile if not nurtured. McConnel &amp; Kennedy had viewed the trust between Hill Hamilton and themselves as resilient but were beginning to see that it might be more fragile than anticipated.   </w:t>
      </w:r>
    </w:p>
    <w:p w14:paraId="185DF1FB" w14:textId="3B287EB0" w:rsidR="005A05DF" w:rsidRPr="005A05DF" w:rsidRDefault="005A05DF" w:rsidP="005A05DF">
      <w:r w:rsidRPr="005A05DF">
        <w:t>John Thornton was</w:t>
      </w:r>
      <w:r w:rsidRPr="00562549">
        <w:rPr>
          <w:color w:val="000000" w:themeColor="text1"/>
        </w:rPr>
        <w:t xml:space="preserve"> an</w:t>
      </w:r>
      <w:r w:rsidR="00D467B3" w:rsidRPr="00562549">
        <w:rPr>
          <w:color w:val="000000" w:themeColor="text1"/>
        </w:rPr>
        <w:t>other</w:t>
      </w:r>
      <w:r w:rsidRPr="00562549">
        <w:rPr>
          <w:color w:val="000000" w:themeColor="text1"/>
        </w:rPr>
        <w:t xml:space="preserve"> </w:t>
      </w:r>
      <w:r w:rsidRPr="005A05DF">
        <w:t>existing connection of McConnel &amp; Kennedy when he was an apprentice and employee of the Chorlton Twist Company near Manchester before 1802.</w:t>
      </w:r>
      <w:r w:rsidR="009D01C8">
        <w:rPr>
          <w:rStyle w:val="FootnoteReference"/>
        </w:rPr>
        <w:footnoteReference w:id="395"/>
      </w:r>
      <w:r w:rsidRPr="005A05DF">
        <w:t xml:space="preserve"> After his apprenticeship had ended, he left Britain and travelled to Vienna to set up </w:t>
      </w:r>
      <w:r w:rsidR="009D01C8">
        <w:t xml:space="preserve">in </w:t>
      </w:r>
      <w:r w:rsidRPr="005A05DF">
        <w:t>the cotton trade there. In his letter to McConnel &amp; Kennedy dated the 21</w:t>
      </w:r>
      <w:r w:rsidRPr="005A05DF">
        <w:rPr>
          <w:vertAlign w:val="superscript"/>
        </w:rPr>
        <w:t>st</w:t>
      </w:r>
      <w:r w:rsidRPr="005A05DF">
        <w:t xml:space="preserve"> of March 1802, Thornton describes how he sent a letter to his father and wanted to ensure that his father back in Lancashire would not go without </w:t>
      </w:r>
      <w:r w:rsidRPr="005A05DF">
        <w:lastRenderedPageBreak/>
        <w:t>money.</w:t>
      </w:r>
      <w:r w:rsidR="00EC4160">
        <w:rPr>
          <w:rStyle w:val="FootnoteReference"/>
        </w:rPr>
        <w:footnoteReference w:id="396"/>
      </w:r>
      <w:r w:rsidRPr="005A05DF">
        <w:t xml:space="preserve"> He was looking for local community members to step in and care for him in his absence while he could not. The personal tone of the letter indicates that the connection was close and that there was a high level of trust and respect between the two parties. </w:t>
      </w:r>
      <w:r w:rsidRPr="00440303">
        <w:t>By asking McConnel &amp; Kennedy to look after his father, John Thornton</w:t>
      </w:r>
      <w:r w:rsidR="00440303">
        <w:t xml:space="preserve"> was utilising his social capital with </w:t>
      </w:r>
      <w:r w:rsidR="00F86AEC">
        <w:t xml:space="preserve">James and John back in Manchester and expecting a reciprocal </w:t>
      </w:r>
      <w:r w:rsidR="000B4450">
        <w:t xml:space="preserve">social agreement to exchange their care and consideration of his father with business contacts </w:t>
      </w:r>
      <w:r w:rsidR="00575B79">
        <w:t xml:space="preserve">and potential monetary benefit going to the Manchester firm from his Austrian connections. </w:t>
      </w:r>
      <w:r w:rsidRPr="005A05DF">
        <w:t>The letter</w:t>
      </w:r>
      <w:r w:rsidR="00575B79">
        <w:t xml:space="preserve"> also</w:t>
      </w:r>
      <w:r w:rsidRPr="005A05DF">
        <w:t xml:space="preserve"> indicates a few notable aspects of society and business during the early nineteenth century. </w:t>
      </w:r>
      <w:r w:rsidRPr="00AA4C4D">
        <w:t xml:space="preserve">It shows that in 1802 a British man </w:t>
      </w:r>
      <w:r w:rsidR="00575B79" w:rsidRPr="00AA4C4D">
        <w:t xml:space="preserve">could </w:t>
      </w:r>
      <w:r w:rsidR="009D1141" w:rsidRPr="00AA4C4D">
        <w:t xml:space="preserve">connect himself into the European business networks. It also highlights the willingness of </w:t>
      </w:r>
      <w:r w:rsidR="004E3BDD" w:rsidRPr="00AA4C4D">
        <w:t xml:space="preserve">network members back in Manchester to care for those who were left behind by members seeking to expand the reach of the </w:t>
      </w:r>
      <w:r w:rsidR="008E5E31" w:rsidRPr="00AA4C4D">
        <w:t>networks</w:t>
      </w:r>
      <w:r w:rsidR="004E3BDD" w:rsidRPr="00AA4C4D">
        <w:t xml:space="preserve">. </w:t>
      </w:r>
      <w:r w:rsidRPr="00AA4C4D">
        <w:t xml:space="preserve">   </w:t>
      </w:r>
    </w:p>
    <w:p w14:paraId="6718F88E" w14:textId="515EF731" w:rsidR="005A05DF" w:rsidRPr="005A05DF" w:rsidRDefault="005A05DF" w:rsidP="005A05DF">
      <w:pPr>
        <w:rPr>
          <w:i/>
          <w:iCs/>
        </w:rPr>
      </w:pPr>
      <w:r w:rsidRPr="005A05DF">
        <w:rPr>
          <w:i/>
          <w:iCs/>
        </w:rPr>
        <w:t xml:space="preserve">Reaching </w:t>
      </w:r>
      <w:r w:rsidR="00F13FFE">
        <w:rPr>
          <w:i/>
          <w:iCs/>
        </w:rPr>
        <w:t>O</w:t>
      </w:r>
      <w:r w:rsidRPr="005A05DF">
        <w:rPr>
          <w:i/>
          <w:iCs/>
        </w:rPr>
        <w:t xml:space="preserve">ut to </w:t>
      </w:r>
      <w:r w:rsidR="00F13FFE">
        <w:rPr>
          <w:i/>
          <w:iCs/>
        </w:rPr>
        <w:t>O</w:t>
      </w:r>
      <w:r w:rsidRPr="005A05DF">
        <w:rPr>
          <w:i/>
          <w:iCs/>
        </w:rPr>
        <w:t xml:space="preserve">lder </w:t>
      </w:r>
      <w:r w:rsidR="00F13FFE">
        <w:rPr>
          <w:i/>
          <w:iCs/>
        </w:rPr>
        <w:t>C</w:t>
      </w:r>
      <w:r w:rsidRPr="005A05DF">
        <w:rPr>
          <w:i/>
          <w:iCs/>
        </w:rPr>
        <w:t>onnections</w:t>
      </w:r>
    </w:p>
    <w:p w14:paraId="44045FA3" w14:textId="7EE2CB91" w:rsidR="005A05DF" w:rsidRPr="005A05DF" w:rsidRDefault="00E5749F" w:rsidP="005A05DF">
      <w:r w:rsidRPr="00296810">
        <w:t>The Evans family also adopted th</w:t>
      </w:r>
      <w:r w:rsidR="00AA602D">
        <w:t>e</w:t>
      </w:r>
      <w:r w:rsidRPr="00296810">
        <w:t xml:space="preserve"> business strategy</w:t>
      </w:r>
      <w:r w:rsidR="00296810">
        <w:t xml:space="preserve"> of</w:t>
      </w:r>
      <w:r w:rsidR="00AA602D">
        <w:t xml:space="preserve"> reaching</w:t>
      </w:r>
      <w:r w:rsidR="00296810">
        <w:t xml:space="preserve"> out to </w:t>
      </w:r>
      <w:r w:rsidR="00C0681E">
        <w:t>trusted long standing</w:t>
      </w:r>
      <w:r w:rsidR="00296810">
        <w:t xml:space="preserve"> existing connections to keep their client base strong</w:t>
      </w:r>
      <w:r w:rsidR="00AA602D">
        <w:t>. T</w:t>
      </w:r>
      <w:r w:rsidRPr="00296810">
        <w:t>hey were keen to keep in touch with clients who had not been in touch for a while. On the 5</w:t>
      </w:r>
      <w:r w:rsidRPr="00296810">
        <w:rPr>
          <w:vertAlign w:val="superscript"/>
        </w:rPr>
        <w:t>th</w:t>
      </w:r>
      <w:r w:rsidRPr="00296810">
        <w:t xml:space="preserve"> of March 1808, the firm wrote to Messrs. Brownfield</w:t>
      </w:r>
      <w:r w:rsidR="000E7247">
        <w:t xml:space="preserve"> &amp;</w:t>
      </w:r>
      <w:r w:rsidRPr="00296810">
        <w:t xml:space="preserve"> Roe of Norwich to express their hopes that soon the firm would desire a mutually advantageous connection to be resumed between the two firms.</w:t>
      </w:r>
      <w:r w:rsidR="009114BB">
        <w:rPr>
          <w:rStyle w:val="FootnoteReference"/>
        </w:rPr>
        <w:footnoteReference w:id="397"/>
      </w:r>
      <w:r w:rsidRPr="00296810">
        <w:t xml:space="preserve"> </w:t>
      </w:r>
      <w:r w:rsidR="005A05DF" w:rsidRPr="005A05DF">
        <w:t>There are</w:t>
      </w:r>
      <w:r>
        <w:t xml:space="preserve"> also</w:t>
      </w:r>
      <w:r w:rsidR="005A05DF" w:rsidRPr="005A05DF">
        <w:t xml:space="preserve"> many examples of </w:t>
      </w:r>
      <w:r>
        <w:t xml:space="preserve">this </w:t>
      </w:r>
      <w:r w:rsidR="008A459D">
        <w:t>practice being used by McConnel &amp; Kenne</w:t>
      </w:r>
      <w:r w:rsidR="00F85560">
        <w:t xml:space="preserve">dy. </w:t>
      </w:r>
      <w:r w:rsidR="002814FF">
        <w:t xml:space="preserve">Many of these </w:t>
      </w:r>
      <w:r w:rsidR="005F7273">
        <w:t>were from when</w:t>
      </w:r>
      <w:r w:rsidR="005A05DF" w:rsidRPr="005A05DF">
        <w:t xml:space="preserve"> McConnel &amp; Kennedy left the partnership with the Sandford brothers</w:t>
      </w:r>
      <w:r w:rsidR="00296810">
        <w:t>,</w:t>
      </w:r>
      <w:r w:rsidR="005A05DF" w:rsidRPr="005A05DF">
        <w:t xml:space="preserve"> </w:t>
      </w:r>
      <w:r w:rsidR="00F85560">
        <w:t>and</w:t>
      </w:r>
      <w:r w:rsidR="005A05DF" w:rsidRPr="005A05DF">
        <w:t xml:space="preserve"> they reached out to former clients of this business partnership in Glasgow and Paisley</w:t>
      </w:r>
      <w:r w:rsidR="00296810">
        <w:t>.</w:t>
      </w:r>
      <w:r w:rsidR="00510048">
        <w:rPr>
          <w:rStyle w:val="FootnoteReference"/>
        </w:rPr>
        <w:footnoteReference w:id="398"/>
      </w:r>
      <w:r w:rsidR="00296810">
        <w:t xml:space="preserve"> This was</w:t>
      </w:r>
      <w:r w:rsidR="005A05DF" w:rsidRPr="005A05DF">
        <w:t xml:space="preserve"> to build their new client base </w:t>
      </w:r>
      <w:r w:rsidR="00296810">
        <w:t>for</w:t>
      </w:r>
      <w:r w:rsidR="005A05DF" w:rsidRPr="005A05DF">
        <w:t xml:space="preserve"> the McConnel &amp; Kennedy partnership. They wrote to Nelson and Handler of Paisley in May 1795 based on their previous transactions with the earlier firm.</w:t>
      </w:r>
      <w:r w:rsidR="00510048">
        <w:rPr>
          <w:rStyle w:val="FootnoteReference"/>
        </w:rPr>
        <w:footnoteReference w:id="399"/>
      </w:r>
      <w:r w:rsidR="005A05DF" w:rsidRPr="005A05DF">
        <w:t xml:space="preserve"> They hope their previous connection's reputation and trustworthiness will transfer into their new venture. </w:t>
      </w:r>
    </w:p>
    <w:p w14:paraId="76D5DA4F" w14:textId="726867CF" w:rsidR="005A05DF" w:rsidRPr="005A05DF" w:rsidRDefault="005A05DF" w:rsidP="005A05DF">
      <w:pPr>
        <w:ind w:left="720"/>
        <w:rPr>
          <w:sz w:val="20"/>
          <w:szCs w:val="20"/>
        </w:rPr>
      </w:pPr>
      <w:r w:rsidRPr="005A05DF">
        <w:rPr>
          <w:sz w:val="20"/>
          <w:szCs w:val="20"/>
        </w:rPr>
        <w:t>Our former transactions with you under the firm of S. Mc &amp; K induces us to take the liberty of soliciting you again in the same line…</w:t>
      </w:r>
      <w:r w:rsidRPr="005A05DF">
        <w:rPr>
          <w:sz w:val="20"/>
          <w:szCs w:val="20"/>
          <w:vertAlign w:val="superscript"/>
        </w:rPr>
        <w:footnoteReference w:id="400"/>
      </w:r>
      <w:r w:rsidRPr="005A05DF">
        <w:rPr>
          <w:sz w:val="20"/>
          <w:szCs w:val="20"/>
        </w:rPr>
        <w:t xml:space="preserve"> </w:t>
      </w:r>
    </w:p>
    <w:p w14:paraId="052510B3" w14:textId="0714AF1A" w:rsidR="005A05DF" w:rsidRPr="005A05DF" w:rsidRDefault="005A05DF" w:rsidP="005A05DF">
      <w:r w:rsidRPr="005A05DF">
        <w:t>John Sinclair of Glasgow, 1</w:t>
      </w:r>
      <w:r w:rsidRPr="005A05DF">
        <w:rPr>
          <w:vertAlign w:val="superscript"/>
        </w:rPr>
        <w:t>st</w:t>
      </w:r>
      <w:r w:rsidRPr="005A05DF">
        <w:t xml:space="preserve"> of August 1795 – </w:t>
      </w:r>
      <w:r w:rsidR="00F603FE">
        <w:t xml:space="preserve">was </w:t>
      </w:r>
      <w:r w:rsidRPr="005A05DF">
        <w:t>an</w:t>
      </w:r>
      <w:r w:rsidR="00F603FE">
        <w:t>other</w:t>
      </w:r>
      <w:r w:rsidRPr="005A05DF">
        <w:t xml:space="preserve"> old customer of the Sandford partnership was contacted by McConnel &amp; Kennedy hoping to renew their connectivity and rebuild a trusting relationship based upon their firm’s new identity.</w:t>
      </w:r>
      <w:r w:rsidR="00510048">
        <w:rPr>
          <w:rStyle w:val="FootnoteReference"/>
        </w:rPr>
        <w:footnoteReference w:id="401"/>
      </w:r>
      <w:r w:rsidRPr="005A05DF">
        <w:t xml:space="preserve"> They write to the firm, ‘You will be a little surprised at my freedom of writing to you now after the present neglect to your last, and perhaps this is a disappointment to you.’</w:t>
      </w:r>
      <w:r w:rsidR="00912CC7">
        <w:rPr>
          <w:rStyle w:val="FootnoteReference"/>
        </w:rPr>
        <w:footnoteReference w:id="402"/>
      </w:r>
      <w:r w:rsidRPr="005A05DF">
        <w:t xml:space="preserve"> This letter shows that trust levels c</w:t>
      </w:r>
      <w:r w:rsidR="00912CC7">
        <w:t>ould</w:t>
      </w:r>
      <w:r w:rsidRPr="005A05DF">
        <w:t xml:space="preserve"> decline</w:t>
      </w:r>
      <w:r w:rsidR="00F42653">
        <w:t>,</w:t>
      </w:r>
      <w:r w:rsidRPr="005A05DF">
        <w:t xml:space="preserve"> and connectivity c</w:t>
      </w:r>
      <w:r w:rsidR="00912CC7">
        <w:t>ould</w:t>
      </w:r>
      <w:r w:rsidRPr="005A05DF">
        <w:t xml:space="preserve"> be lost if a firm d</w:t>
      </w:r>
      <w:r w:rsidR="00912CC7">
        <w:t>id</w:t>
      </w:r>
      <w:r w:rsidRPr="005A05DF">
        <w:t xml:space="preserve"> not continually cultivate the relationship.</w:t>
      </w:r>
      <w:r w:rsidR="00326FF5">
        <w:t xml:space="preserve"> To ensure the maintenance of the business networks</w:t>
      </w:r>
      <w:r w:rsidR="00F42653">
        <w:t>, and the upkeep of trust the firms had to be in regular contact with their business exchange partners</w:t>
      </w:r>
      <w:r w:rsidR="00E87D78">
        <w:t xml:space="preserve">. </w:t>
      </w:r>
    </w:p>
    <w:p w14:paraId="79FE4A36" w14:textId="63889471" w:rsidR="005A05DF" w:rsidRPr="005A05DF" w:rsidRDefault="005A05DF" w:rsidP="005A05DF">
      <w:r w:rsidRPr="005A05DF">
        <w:t>In June 1814, McConnel &amp; Kennedy initiated correspondence with Mr. John Fisher &amp; Co. in Hamburg, expressing their sincere pleasure in rekindling their relationship with this established trading house.</w:t>
      </w:r>
      <w:r w:rsidR="00A931BF">
        <w:rPr>
          <w:rStyle w:val="FootnoteReference"/>
        </w:rPr>
        <w:footnoteReference w:id="403"/>
      </w:r>
      <w:r w:rsidRPr="005A05DF">
        <w:t xml:space="preserve"> This action was not a mere formality but held significant strategic importance. By renewing this connection, McConnel &amp; Kennedy sought to capitalise on the changing economic landscape following the end of the Napoleonic embargo, which had previously constrained international trade. With the restraints of trade restrictions removed, the Hull-based firm Blaydes, Loft, Gee &amp; Co. </w:t>
      </w:r>
      <w:r w:rsidRPr="005A05DF">
        <w:lastRenderedPageBreak/>
        <w:t>became one of their preferred, known, and trusted connections that McConnel &amp; Kennedy saw as the safest option to re-enter the European marketplace.</w:t>
      </w:r>
      <w:r w:rsidR="00510048">
        <w:rPr>
          <w:rStyle w:val="FootnoteReference"/>
        </w:rPr>
        <w:footnoteReference w:id="404"/>
      </w:r>
      <w:r w:rsidRPr="005A05DF">
        <w:t xml:space="preserve"> Notably, in July 1814, McConnel &amp; Kennedy wrote to Blaydes, Loft, Gee &amp; Co., acknowledging that some time had passed since their last correspondence.</w:t>
      </w:r>
      <w:r w:rsidR="00EA1BD5">
        <w:rPr>
          <w:rStyle w:val="FootnoteReference"/>
        </w:rPr>
        <w:footnoteReference w:id="405"/>
      </w:r>
      <w:r w:rsidRPr="005A05DF">
        <w:t xml:space="preserve"> In doing so, they inquired about continuing goods forwarding services between Hull and mainland Europe. This proactive engagement highlighted the pivotal role played by Blaydes, Loft, Gee &amp; Co. in McConnel &amp; Kennedy's trade networks. Before the Napoleonic trade embargo, Blaydes, Loft, Gee &amp; Co. had been a critical link in McConnel &amp; Kennedy's supply chain. Their reliability and trustworthiness were indispensable for McConnel &amp; Kennedy, particularly in international commerce. Furthermore, the expertise of Blaydes, Loft, Gee &amp; Co. in shipping logistics and insurance was of paramount importance. These capabilities ensured the seamless distribution of British manufactured cotton goods into European markets. Moreover, Blaydes, Loft, Gee &amp; Co. had functioned as intermediaries connecting McConnel &amp; Kennedy with their network of sales agents, including Alexander Barclay in Hamburg, Heligoland, and Gothenburg.</w:t>
      </w:r>
      <w:r w:rsidR="00510048">
        <w:rPr>
          <w:rStyle w:val="FootnoteReference"/>
        </w:rPr>
        <w:footnoteReference w:id="406"/>
      </w:r>
      <w:r w:rsidRPr="005A05DF">
        <w:t xml:space="preserve"> This network of agents was instrumental in expanding the reach of McConnel &amp; Kennedy's products across Europe, demonstrating the intricate web of relationships and expertise that underpinned their success in the evolving post-Napoleonic trade landscape.</w:t>
      </w:r>
    </w:p>
    <w:p w14:paraId="2B71F9BF" w14:textId="51D48707" w:rsidR="005A05DF" w:rsidRPr="005A05DF" w:rsidRDefault="005A05DF" w:rsidP="005A05DF">
      <w:r w:rsidRPr="005A05DF">
        <w:t>Interestingly, these letters underscore the significance of re-connecting with trusted business contacts and shed light on the value that McConnel &amp; Kennedy attributed to their manufactured goods—in two separate letters addressed to Mr. John Fisher, and Mr. Richard McNab, McConnel &amp; Kennedy sought information and solutions concerning the missing six bales of yarn that had been consigned to McNab &amp; McNiven at Heligoland in May 1809.</w:t>
      </w:r>
      <w:r w:rsidR="00DE4721">
        <w:rPr>
          <w:rStyle w:val="FootnoteReference"/>
        </w:rPr>
        <w:footnoteReference w:id="407"/>
      </w:r>
      <w:r w:rsidRPr="005A05DF">
        <w:t xml:space="preserve"> These bales had been seized, presumably as part of the trade restrictions on British goods, but McConnel &amp; Kennedy were eager to recover them for potential profit.</w:t>
      </w:r>
      <w:r w:rsidR="00976655">
        <w:rPr>
          <w:rStyle w:val="FootnoteReference"/>
        </w:rPr>
        <w:footnoteReference w:id="408"/>
      </w:r>
      <w:r w:rsidRPr="005A05DF">
        <w:t xml:space="preserve"> Remarkably, the fact that five years had passed since the incident, and yet McConnel &amp; Kennedy remained concerned about the bales' whereabouts, underscores the significant value placed on these goods. Furthermore, it highlights McConnel &amp; Kennedy's enduring optimism, faith, and trust in their continental agents, as they believed these agents might be able to facilitate the recovery of the goods and potentially hold McNab &amp; McNiven accountable for their loss.</w:t>
      </w:r>
    </w:p>
    <w:p w14:paraId="4E86DF3D" w14:textId="51B1794E" w:rsidR="005A05DF" w:rsidRPr="005A05DF" w:rsidRDefault="005A05DF" w:rsidP="005A05DF">
      <w:r w:rsidRPr="005A05DF">
        <w:t>The ending of the trade embargo and the ceasing of hostilities of the Napoleonic wars was a pivotal moment in reconnecting and building new connections between McConnel &amp; Kennedy and their European markets. Their 1814 correspondence to their previously known and trusted connections in mainland European markets sheds light on how their European connectivity was built on trust and trustworthiness. It also shows that being known by the network actors within these markets made the connection and later reconnection process more effective and quicker. It suggests that the trust levels within these networks were high. Casson’s work has suggested that low trust levels impact performance by raising transaction costs in line with a perceived rise in the likelihood of others acting opportunistically.</w:t>
      </w:r>
      <w:r w:rsidR="0044212F">
        <w:rPr>
          <w:rStyle w:val="FootnoteReference"/>
        </w:rPr>
        <w:footnoteReference w:id="409"/>
      </w:r>
      <w:r w:rsidRPr="005A05DF">
        <w:t xml:space="preserve"> It is likely that McConnel &amp; Kennedy were keen to reconnect with those connections that had previously proven themselves to be trustworthy to keep costs low.   </w:t>
      </w:r>
    </w:p>
    <w:p w14:paraId="4902AF0F" w14:textId="77777777" w:rsidR="00D467B3" w:rsidRDefault="00D467B3" w:rsidP="005A05DF">
      <w:pPr>
        <w:rPr>
          <w:i/>
          <w:iCs/>
        </w:rPr>
      </w:pPr>
    </w:p>
    <w:p w14:paraId="0D6FFADC" w14:textId="77777777" w:rsidR="00D467B3" w:rsidRDefault="00D467B3" w:rsidP="005A05DF">
      <w:pPr>
        <w:rPr>
          <w:i/>
          <w:iCs/>
        </w:rPr>
      </w:pPr>
    </w:p>
    <w:p w14:paraId="471C8A2E" w14:textId="0702B1E9" w:rsidR="005A05DF" w:rsidRPr="005A05DF" w:rsidRDefault="005A05DF" w:rsidP="005A05DF">
      <w:pPr>
        <w:rPr>
          <w:i/>
          <w:iCs/>
        </w:rPr>
      </w:pPr>
      <w:r w:rsidRPr="005A05DF">
        <w:rPr>
          <w:i/>
          <w:iCs/>
        </w:rPr>
        <w:lastRenderedPageBreak/>
        <w:t>The Personal Connection</w:t>
      </w:r>
    </w:p>
    <w:p w14:paraId="2CEDE040" w14:textId="76CFF511" w:rsidR="005A05DF" w:rsidRPr="0044212F" w:rsidRDefault="005A05DF" w:rsidP="00A21470">
      <w:pPr>
        <w:rPr>
          <w:color w:val="FF0000"/>
        </w:rPr>
      </w:pPr>
      <w:r w:rsidRPr="005A05DF">
        <w:t>The trusted networks were maintained by the circulation of network members travelling between markets and meeting their connections in person. This was often the case for the most important connections. The middlemen, employees of the firms and even the owners themselves travelled to meet and nurture</w:t>
      </w:r>
      <w:r w:rsidR="00F35813">
        <w:t xml:space="preserve"> their most beneficial connections</w:t>
      </w:r>
      <w:r w:rsidRPr="005A05DF">
        <w:t>. An interesting letter to the Hon.</w:t>
      </w:r>
      <w:r w:rsidR="00A21470">
        <w:t xml:space="preserve"> </w:t>
      </w:r>
      <w:r w:rsidRPr="005A05DF">
        <w:t>Col</w:t>
      </w:r>
      <w:r w:rsidR="00A21470">
        <w:t>onel</w:t>
      </w:r>
      <w:r w:rsidRPr="005A05DF">
        <w:t xml:space="preserve"> Ward of Bangor in Ireland</w:t>
      </w:r>
      <w:r w:rsidR="00FD02FB">
        <w:t xml:space="preserve"> from McConnel &amp; Kennedy details the visit of their mutual connection – Mr Ward of Belfast.</w:t>
      </w:r>
      <w:r w:rsidR="00976655">
        <w:rPr>
          <w:rStyle w:val="FootnoteReference"/>
        </w:rPr>
        <w:footnoteReference w:id="410"/>
      </w:r>
      <w:r w:rsidR="00FD02FB">
        <w:t xml:space="preserve"> The letter shows that Mr Ward had visited the premises of McConnel &amp; Kennedy in Manchester and as a good will gesture to the firm was delivering a</w:t>
      </w:r>
      <w:r w:rsidR="00A21470">
        <w:t xml:space="preserve"> return</w:t>
      </w:r>
      <w:r w:rsidR="00FD02FB">
        <w:t xml:space="preserve"> letter on their behalf to the Hon. Col</w:t>
      </w:r>
      <w:r w:rsidR="00A21470">
        <w:t>onel</w:t>
      </w:r>
      <w:r w:rsidR="00FD02FB">
        <w:t xml:space="preserve"> Ward</w:t>
      </w:r>
      <w:r w:rsidR="00A21470">
        <w:t xml:space="preserve"> in person.</w:t>
      </w:r>
      <w:r w:rsidR="00A21470">
        <w:rPr>
          <w:rStyle w:val="FootnoteReference"/>
        </w:rPr>
        <w:footnoteReference w:id="411"/>
      </w:r>
      <w:r w:rsidR="00A21470">
        <w:t xml:space="preserve"> McConnel &amp; Kennedy</w:t>
      </w:r>
      <w:r w:rsidRPr="005A05DF">
        <w:t xml:space="preserve"> were pleased to have received </w:t>
      </w:r>
      <w:r w:rsidR="00A21470">
        <w:t>the Colonel’s</w:t>
      </w:r>
      <w:r w:rsidRPr="005A05DF">
        <w:t xml:space="preserve"> favours and were sorry they missed him when he was in Manchester. The letter offered an invitation to meet when he was once again in the country. </w:t>
      </w:r>
      <w:r w:rsidR="00A21470">
        <w:t>T</w:t>
      </w:r>
      <w:r w:rsidRPr="005A05DF">
        <w:t xml:space="preserve">his letter shows that face-to-face interaction was </w:t>
      </w:r>
      <w:r w:rsidR="00A21470">
        <w:t xml:space="preserve">important in a </w:t>
      </w:r>
      <w:r w:rsidR="00D467B3">
        <w:t>variety</w:t>
      </w:r>
      <w:r w:rsidR="00A21470">
        <w:t xml:space="preserve"> of ways. Firstly, this letter highlights the views of network members in the value of utilising Mr Ward’s presence to offer a personal touch to their business service by hand delivering correspondence. Secondly, the disappointment expressed in the letter about missing him when he was in the country highlights the awareness that McConnel &amp; Kenney has that face-to-face interactions were more profitable and ab</w:t>
      </w:r>
      <w:r w:rsidRPr="005A05DF">
        <w:t xml:space="preserve">le to generate </w:t>
      </w:r>
      <w:r w:rsidR="007D5750">
        <w:t xml:space="preserve">stronger </w:t>
      </w:r>
      <w:r w:rsidRPr="005A05DF">
        <w:t>trust levels</w:t>
      </w:r>
      <w:r w:rsidR="00A21470">
        <w:t xml:space="preserve"> with connections than with</w:t>
      </w:r>
      <w:r w:rsidR="007D5750">
        <w:t xml:space="preserve"> those without this level of connectivity. </w:t>
      </w:r>
      <w:r w:rsidR="00A21470">
        <w:t xml:space="preserve">Written correspondence was useful in building trust and networks of trustworthy people, however there was no substitute for human interaction which could build trust on a different and more effective level. </w:t>
      </w:r>
      <w:r w:rsidRPr="005A05DF">
        <w:t xml:space="preserve"> </w:t>
      </w:r>
    </w:p>
    <w:p w14:paraId="3CC0D36A" w14:textId="3768329F" w:rsidR="005A05DF" w:rsidRPr="005A05DF" w:rsidRDefault="007D5939" w:rsidP="005A05DF">
      <w:r>
        <w:t>In the late eighteenth and early nineteenth centuries communications were often slow and letter writing and in person communications were the only methods at hand.</w:t>
      </w:r>
      <w:r w:rsidRPr="005A05DF">
        <w:t xml:space="preserve"> </w:t>
      </w:r>
      <w:r w:rsidR="005A05DF" w:rsidRPr="005A05DF">
        <w:t>The network members actively visiting their business connections aided the efforts to build connectivity with markets beyond the immediate community.</w:t>
      </w:r>
      <w:r>
        <w:t xml:space="preserve"> </w:t>
      </w:r>
      <w:r w:rsidR="005A05DF" w:rsidRPr="005A05DF">
        <w:t xml:space="preserve">On some occasions, this resulted in them receiving preferential treatment as the face-to-face contact generated a stronger and more personal connection than with those members who were relationally distant, geographically distant </w:t>
      </w:r>
      <w:r w:rsidR="00790A5C">
        <w:t>or</w:t>
      </w:r>
      <w:r w:rsidR="005A05DF" w:rsidRPr="005A05DF">
        <w:t xml:space="preserve"> personally unknown. An example of this can be seen when Henry Jones of Mold in Flintshire secured an order to provide McConnel &amp; Kennedy with ten dozen ‘good skins’ of leather</w:t>
      </w:r>
      <w:r>
        <w:t xml:space="preserve"> as a result of visiting the firm in person</w:t>
      </w:r>
      <w:r w:rsidR="005A05DF" w:rsidRPr="005A05DF">
        <w:t>.</w:t>
      </w:r>
      <w:r w:rsidR="00976655">
        <w:rPr>
          <w:rStyle w:val="FootnoteReference"/>
        </w:rPr>
        <w:footnoteReference w:id="412"/>
      </w:r>
      <w:r w:rsidR="005A05DF" w:rsidRPr="005A05DF">
        <w:t xml:space="preserve"> A letter dated the 12</w:t>
      </w:r>
      <w:r w:rsidR="005A05DF" w:rsidRPr="005A05DF">
        <w:rPr>
          <w:vertAlign w:val="superscript"/>
        </w:rPr>
        <w:t>th</w:t>
      </w:r>
      <w:r w:rsidR="005A05DF" w:rsidRPr="005A05DF">
        <w:t xml:space="preserve"> of January 1803 details that McConnel &amp; Kennedy did not seek alternative suppliers for their leather because of a visit from Henry Jones to see them in Manchester back in November.</w:t>
      </w:r>
      <w:r>
        <w:rPr>
          <w:rStyle w:val="FootnoteReference"/>
        </w:rPr>
        <w:footnoteReference w:id="413"/>
      </w:r>
      <w:r w:rsidR="005A05DF" w:rsidRPr="005A05DF">
        <w:t xml:space="preserve"> They write that if he could send them immediately this would fulfil his obligations to them following their previous in-person conversations. </w:t>
      </w:r>
      <w:r>
        <w:t>The fact that McConnel &amp; Kennedy were prepared to hold the agreement made in person suggests that they had viewed Henry Jones as trustworthy from his personal demeanour and were willing to give him the chance to prove his trustworthiness and build a trusting relationship with him. The future correspondence and orders from his firm suggests that he was able to fulfil their expectations of him, as there were a further seven occasions between 1803 and 1805 when they ordered leather from his firm.</w:t>
      </w:r>
      <w:r w:rsidR="001643E7">
        <w:rPr>
          <w:rStyle w:val="FootnoteReference"/>
        </w:rPr>
        <w:footnoteReference w:id="414"/>
      </w:r>
      <w:r>
        <w:t xml:space="preserve"> </w:t>
      </w:r>
    </w:p>
    <w:p w14:paraId="4C7B4D05" w14:textId="2C3C5065" w:rsidR="005A05DF" w:rsidRPr="005A05DF" w:rsidRDefault="005A05DF" w:rsidP="005A05DF">
      <w:pPr>
        <w:rPr>
          <w:i/>
          <w:iCs/>
        </w:rPr>
      </w:pPr>
      <w:r w:rsidRPr="005A05DF">
        <w:rPr>
          <w:i/>
          <w:iCs/>
        </w:rPr>
        <w:t xml:space="preserve">Reciprocal </w:t>
      </w:r>
      <w:r w:rsidR="00F13FFE">
        <w:rPr>
          <w:i/>
          <w:iCs/>
        </w:rPr>
        <w:t>T</w:t>
      </w:r>
      <w:r w:rsidRPr="005A05DF">
        <w:rPr>
          <w:i/>
          <w:iCs/>
        </w:rPr>
        <w:t xml:space="preserve">rustworthiness for </w:t>
      </w:r>
      <w:r w:rsidR="00F13FFE">
        <w:rPr>
          <w:i/>
          <w:iCs/>
        </w:rPr>
        <w:t>M</w:t>
      </w:r>
      <w:r w:rsidRPr="005A05DF">
        <w:rPr>
          <w:i/>
          <w:iCs/>
        </w:rPr>
        <w:t xml:space="preserve">utual </w:t>
      </w:r>
      <w:r w:rsidR="00F13FFE">
        <w:rPr>
          <w:i/>
          <w:iCs/>
        </w:rPr>
        <w:t>B</w:t>
      </w:r>
      <w:r w:rsidRPr="005A05DF">
        <w:rPr>
          <w:i/>
          <w:iCs/>
        </w:rPr>
        <w:t>enefit</w:t>
      </w:r>
    </w:p>
    <w:p w14:paraId="3146858B" w14:textId="7FF97FE8" w:rsidR="005A05DF" w:rsidRPr="005A05DF" w:rsidRDefault="005A05DF" w:rsidP="005A05DF">
      <w:r w:rsidRPr="005A05DF">
        <w:t xml:space="preserve">The McConnel &amp; Kennedy firm showed a positive example of the </w:t>
      </w:r>
      <w:r w:rsidR="008E5E31">
        <w:t xml:space="preserve">implementation of the </w:t>
      </w:r>
      <w:r w:rsidRPr="005A05DF">
        <w:t xml:space="preserve">factory masters' system of good conduct when they wrote to Taylor &amp; Haywood of Duffield on the 18th of April 1795 regarding the movement of staff between the cotton mills. McConnel &amp; Kennedy acted as </w:t>
      </w:r>
      <w:r w:rsidRPr="005A05DF">
        <w:lastRenderedPageBreak/>
        <w:t>negotiators for a young man Taylor &amp; Haywood sought to employ.</w:t>
      </w:r>
      <w:r w:rsidR="001643E7">
        <w:rPr>
          <w:rStyle w:val="FootnoteReference"/>
        </w:rPr>
        <w:footnoteReference w:id="415"/>
      </w:r>
      <w:r w:rsidRPr="005A05DF">
        <w:t xml:space="preserve"> They offered reassurances and recommendations of his conduct and abilities and sought to ensure their prospective new employers had amply recompensed the man in question. </w:t>
      </w:r>
      <w:r w:rsidR="007D7745">
        <w:t xml:space="preserve">The system rewarded those who conformed to the expectations placed upon them by the system. It was the mutual benefit of all parties concerned that all network members adhered to the reciprocal system built upon trustworthiness and trust. The conduct of the young man had built up social credit with McConnel &amp; Kennedy and therefore had earned the man a positive reputation as a cotton spinner. The letter shows that McConnel &amp; Kennedy valued their employee as a result of his conduct. </w:t>
      </w:r>
    </w:p>
    <w:p w14:paraId="797DFF55" w14:textId="56C3813F" w:rsidR="005A05DF" w:rsidRPr="005A05DF" w:rsidRDefault="005A05DF" w:rsidP="005A05DF">
      <w:pPr>
        <w:ind w:left="720"/>
        <w:rPr>
          <w:sz w:val="20"/>
          <w:szCs w:val="20"/>
        </w:rPr>
      </w:pPr>
      <w:r w:rsidRPr="005A05DF">
        <w:rPr>
          <w:sz w:val="20"/>
          <w:szCs w:val="20"/>
        </w:rPr>
        <w:t xml:space="preserve">The young man we spoke to you for wishes to know what wages you would be willing to give… He has spun with us about a year and is one that we can with confidence recommend for </w:t>
      </w:r>
      <w:proofErr w:type="gramStart"/>
      <w:r w:rsidRPr="005A05DF">
        <w:rPr>
          <w:sz w:val="20"/>
          <w:szCs w:val="20"/>
        </w:rPr>
        <w:t>a spinners</w:t>
      </w:r>
      <w:proofErr w:type="gramEnd"/>
      <w:r w:rsidRPr="005A05DF">
        <w:rPr>
          <w:sz w:val="20"/>
          <w:szCs w:val="20"/>
        </w:rPr>
        <w:t xml:space="preserve"> conduct and ability’s that will intitle [sic] him to a place of trust if necessary.</w:t>
      </w:r>
      <w:r w:rsidRPr="005A05DF">
        <w:rPr>
          <w:sz w:val="20"/>
          <w:szCs w:val="20"/>
          <w:vertAlign w:val="superscript"/>
        </w:rPr>
        <w:footnoteReference w:id="416"/>
      </w:r>
      <w:r w:rsidRPr="005A05DF">
        <w:rPr>
          <w:sz w:val="20"/>
          <w:szCs w:val="20"/>
        </w:rPr>
        <w:t xml:space="preserve">  </w:t>
      </w:r>
    </w:p>
    <w:p w14:paraId="71B957E9" w14:textId="3974DE6A" w:rsidR="005A05DF" w:rsidRPr="005A05DF" w:rsidRDefault="005A05DF" w:rsidP="005A05DF">
      <w:r w:rsidRPr="005A05DF">
        <w:t>This letter</w:t>
      </w:r>
      <w:r w:rsidR="007D7745">
        <w:t xml:space="preserve"> also </w:t>
      </w:r>
      <w:r w:rsidRPr="005A05DF">
        <w:t xml:space="preserve">demonstrates that McConnel &amp; Kennedy and Taylor &amp; Haywood had built a strong business relationship, and there was reciprocal trust between the two firms. McConnel &amp; Kennedy were willing to share their experienced, trusted and, therefore, valuable workers with a firm in another county, Derbyshire, that worked as outsourced spinners for them.   </w:t>
      </w:r>
    </w:p>
    <w:p w14:paraId="71578CB4" w14:textId="77777777" w:rsidR="002D63A8" w:rsidRPr="00817B40" w:rsidRDefault="002D63A8" w:rsidP="00817B40">
      <w:pPr>
        <w:pStyle w:val="Heading2"/>
        <w:rPr>
          <w:rFonts w:asciiTheme="minorHAnsi" w:hAnsiTheme="minorHAnsi" w:cstheme="minorHAnsi"/>
          <w:b/>
          <w:bCs/>
          <w:color w:val="auto"/>
          <w:sz w:val="24"/>
          <w:szCs w:val="24"/>
        </w:rPr>
      </w:pPr>
      <w:bookmarkStart w:id="134" w:name="_Toc170825684"/>
      <w:r w:rsidRPr="00817B40">
        <w:rPr>
          <w:rFonts w:asciiTheme="minorHAnsi" w:hAnsiTheme="minorHAnsi" w:cstheme="minorHAnsi"/>
          <w:b/>
          <w:bCs/>
          <w:color w:val="auto"/>
          <w:sz w:val="24"/>
          <w:szCs w:val="24"/>
        </w:rPr>
        <w:t>The Role of Trust and Reputation in the Knowledge Networks</w:t>
      </w:r>
      <w:bookmarkEnd w:id="134"/>
    </w:p>
    <w:p w14:paraId="56972E53" w14:textId="79E72805" w:rsidR="00CE361C" w:rsidRPr="00AD2970" w:rsidRDefault="002B06E1" w:rsidP="00290F01">
      <w:r w:rsidRPr="00AD2970">
        <w:t xml:space="preserve">Knowledge </w:t>
      </w:r>
      <w:r w:rsidR="002E127A" w:rsidRPr="00AD2970">
        <w:t>acquisition</w:t>
      </w:r>
      <w:r w:rsidR="004A3D5F">
        <w:t xml:space="preserve"> within social and commercial</w:t>
      </w:r>
      <w:r w:rsidRPr="00AD2970">
        <w:t xml:space="preserve"> </w:t>
      </w:r>
      <w:r w:rsidR="00025101">
        <w:t xml:space="preserve">networks </w:t>
      </w:r>
      <w:r w:rsidRPr="00AD2970">
        <w:t>has been</w:t>
      </w:r>
      <w:r w:rsidR="002E127A" w:rsidRPr="00AD2970">
        <w:t xml:space="preserve"> understood to be a direct benefit of social capital.</w:t>
      </w:r>
      <w:r w:rsidR="002E127A" w:rsidRPr="00AD2970">
        <w:rPr>
          <w:rStyle w:val="FootnoteReference"/>
        </w:rPr>
        <w:footnoteReference w:id="417"/>
      </w:r>
      <w:r w:rsidR="00AD2970">
        <w:t xml:space="preserve"> </w:t>
      </w:r>
      <w:r w:rsidR="00CE361C" w:rsidRPr="00AD2970">
        <w:t>The theoretical understanding of how social capital</w:t>
      </w:r>
      <w:r w:rsidR="004C6965" w:rsidRPr="00AD2970">
        <w:t xml:space="preserve"> is beneficial to </w:t>
      </w:r>
      <w:r w:rsidR="002E127A" w:rsidRPr="00AD2970">
        <w:t>acquiring</w:t>
      </w:r>
      <w:r w:rsidR="004C6965" w:rsidRPr="00AD2970">
        <w:t xml:space="preserve"> knowledge </w:t>
      </w:r>
      <w:r w:rsidR="00214DE2" w:rsidRPr="00AD2970">
        <w:t xml:space="preserve">and </w:t>
      </w:r>
      <w:r w:rsidR="004C6965" w:rsidRPr="00AD2970">
        <w:t>how it enables the transference of knowledge through social interactions of the business network</w:t>
      </w:r>
      <w:r w:rsidR="004C720D" w:rsidRPr="00AD2970">
        <w:t xml:space="preserve"> has been </w:t>
      </w:r>
      <w:r w:rsidR="007E5E98" w:rsidRPr="00AD2970">
        <w:t>studied by Andrew Inkpen and Eric Ts</w:t>
      </w:r>
      <w:r w:rsidR="00BB096C" w:rsidRPr="00AD2970">
        <w:t>ang. Their stud</w:t>
      </w:r>
      <w:r w:rsidR="00A001E0" w:rsidRPr="00AD2970">
        <w:t xml:space="preserve">y concluded there were different </w:t>
      </w:r>
      <w:r w:rsidR="003A7BD4">
        <w:t>conceptualisations of the knowledge transfer process dependent upon the type of network</w:t>
      </w:r>
      <w:r w:rsidR="00127BC5">
        <w:t>.</w:t>
      </w:r>
      <w:r w:rsidR="000D65E4">
        <w:rPr>
          <w:rStyle w:val="FootnoteReference"/>
        </w:rPr>
        <w:footnoteReference w:id="418"/>
      </w:r>
      <w:r w:rsidR="00290F01" w:rsidRPr="00290F01">
        <w:t xml:space="preserve"> </w:t>
      </w:r>
      <w:r w:rsidR="004E350E">
        <w:t xml:space="preserve">They determined three </w:t>
      </w:r>
      <w:r w:rsidR="00691AE8">
        <w:t>distinct</w:t>
      </w:r>
      <w:r w:rsidR="004E350E">
        <w:t xml:space="preserve"> type</w:t>
      </w:r>
      <w:r w:rsidR="00B02079">
        <w:t>s</w:t>
      </w:r>
      <w:r w:rsidR="004E350E">
        <w:t xml:space="preserve"> of business </w:t>
      </w:r>
      <w:r w:rsidR="006A2C06">
        <w:t>networks</w:t>
      </w:r>
      <w:r w:rsidR="00B53EC0">
        <w:t>:</w:t>
      </w:r>
      <w:r w:rsidR="00691AE8">
        <w:t xml:space="preserve"> 1) </w:t>
      </w:r>
      <w:r w:rsidR="00301E2A">
        <w:t>intracorporate networks</w:t>
      </w:r>
      <w:r w:rsidR="006A2C06">
        <w:t>, 2) strategic alliances, and 3) industrial districts.</w:t>
      </w:r>
      <w:r w:rsidR="000D65E4">
        <w:rPr>
          <w:rStyle w:val="FootnoteReference"/>
        </w:rPr>
        <w:footnoteReference w:id="419"/>
      </w:r>
      <w:r w:rsidR="008B6EC9">
        <w:t xml:space="preserve"> The cotton mills in this study </w:t>
      </w:r>
      <w:r w:rsidR="00703A53">
        <w:t>connected to each type of business network and</w:t>
      </w:r>
      <w:r w:rsidR="00767EB5">
        <w:t>,</w:t>
      </w:r>
      <w:r w:rsidR="00703A53">
        <w:t xml:space="preserve"> therefore</w:t>
      </w:r>
      <w:r w:rsidR="004A53AB">
        <w:t>,</w:t>
      </w:r>
      <w:r w:rsidR="00703A53">
        <w:t xml:space="preserve"> would have acquired their knowledge through multiple sources and methods</w:t>
      </w:r>
      <w:r w:rsidR="005C67CE">
        <w:t xml:space="preserve">. </w:t>
      </w:r>
      <w:proofErr w:type="spellStart"/>
      <w:r w:rsidR="005C67CE">
        <w:t>Yli</w:t>
      </w:r>
      <w:proofErr w:type="spellEnd"/>
      <w:r w:rsidR="005C67CE">
        <w:t xml:space="preserve">-Renko </w:t>
      </w:r>
      <w:r w:rsidR="005C67CE" w:rsidRPr="005C67CE">
        <w:rPr>
          <w:i/>
          <w:iCs/>
        </w:rPr>
        <w:t>et al</w:t>
      </w:r>
      <w:r w:rsidR="005C67CE">
        <w:t xml:space="preserve"> have shown that </w:t>
      </w:r>
      <w:r w:rsidR="004A3D5F">
        <w:t>intensive social interactions among organisational actors facilitate knowledge transfer</w:t>
      </w:r>
      <w:r w:rsidR="00767EB5">
        <w:t>.</w:t>
      </w:r>
      <w:r w:rsidR="002B4E7B">
        <w:rPr>
          <w:rStyle w:val="FootnoteReference"/>
        </w:rPr>
        <w:footnoteReference w:id="420"/>
      </w:r>
      <w:r w:rsidR="004C2BA3">
        <w:t xml:space="preserve"> I would</w:t>
      </w:r>
      <w:r w:rsidR="00924465">
        <w:t xml:space="preserve"> suggest</w:t>
      </w:r>
      <w:r w:rsidR="00497A7F">
        <w:t xml:space="preserve"> from the evidence of the mill documents</w:t>
      </w:r>
      <w:r w:rsidR="004C2BA3">
        <w:t xml:space="preserve"> that </w:t>
      </w:r>
      <w:r w:rsidR="005C6A5C">
        <w:t xml:space="preserve">in the late eighteenth and early </w:t>
      </w:r>
      <w:r w:rsidR="00650E65">
        <w:t>nineteenth-century</w:t>
      </w:r>
      <w:r w:rsidR="005C6A5C">
        <w:t xml:space="preserve"> industrialising cotton trade networks</w:t>
      </w:r>
      <w:r w:rsidR="00D7342C">
        <w:t>,</w:t>
      </w:r>
      <w:r w:rsidR="00650E65">
        <w:t xml:space="preserve"> knowledge transfer</w:t>
      </w:r>
      <w:r w:rsidR="00497A7F">
        <w:t>,</w:t>
      </w:r>
      <w:r w:rsidR="00650E65">
        <w:t xml:space="preserve"> and acquisition required </w:t>
      </w:r>
      <w:r w:rsidR="00D7342C">
        <w:t>trust between network actors</w:t>
      </w:r>
      <w:r w:rsidR="00497A7F">
        <w:t>. This</w:t>
      </w:r>
      <w:r w:rsidR="00D7342C">
        <w:t xml:space="preserve"> en</w:t>
      </w:r>
      <w:r w:rsidR="008E00BB">
        <w:t xml:space="preserve">abled the network actors to more </w:t>
      </w:r>
      <w:r w:rsidR="00D7342C">
        <w:t>reliabl</w:t>
      </w:r>
      <w:r w:rsidR="008E00BB">
        <w:t xml:space="preserve">y differentiate between </w:t>
      </w:r>
      <w:r w:rsidR="009072B5">
        <w:t>useful, honest</w:t>
      </w:r>
      <w:r w:rsidR="00025101">
        <w:t>,</w:t>
      </w:r>
      <w:r w:rsidR="009072B5">
        <w:t xml:space="preserve"> and reliable </w:t>
      </w:r>
      <w:r w:rsidR="00D7342C">
        <w:t xml:space="preserve">information </w:t>
      </w:r>
      <w:r w:rsidR="009072B5">
        <w:t>and erroneous information. It also</w:t>
      </w:r>
      <w:r w:rsidR="00D7342C">
        <w:t xml:space="preserve"> </w:t>
      </w:r>
      <w:r w:rsidR="00497A7F">
        <w:t>provided</w:t>
      </w:r>
      <w:r w:rsidR="00D7342C">
        <w:t xml:space="preserve"> the willingness to share</w:t>
      </w:r>
      <w:r w:rsidR="0085384E">
        <w:t xml:space="preserve"> the information across the networks. </w:t>
      </w:r>
    </w:p>
    <w:p w14:paraId="21062819" w14:textId="77777777" w:rsidR="005A05DF" w:rsidRPr="005A05DF" w:rsidRDefault="005A05DF" w:rsidP="005A05DF">
      <w:pPr>
        <w:rPr>
          <w:i/>
          <w:iCs/>
        </w:rPr>
      </w:pPr>
      <w:r w:rsidRPr="005A05DF">
        <w:rPr>
          <w:i/>
          <w:iCs/>
        </w:rPr>
        <w:t>Reputational Knowledge of Potential Network Actors</w:t>
      </w:r>
    </w:p>
    <w:p w14:paraId="043D11A4" w14:textId="1D660FAB" w:rsidR="005A05DF" w:rsidRPr="005A05DF" w:rsidRDefault="005A05DF" w:rsidP="005A05DF">
      <w:r w:rsidRPr="005A05DF">
        <w:t>The knowledge networks could be found within the business, social, religious, community</w:t>
      </w:r>
      <w:r w:rsidR="0085384E">
        <w:t>,</w:t>
      </w:r>
      <w:r w:rsidRPr="005A05DF">
        <w:t xml:space="preserve"> and supply chain networks. The knowledgeable network actor could be found in many places depending on the knowledge sought at the time. Again, useful knowledge was an ever-evolving entity. One of the more static pieces of useful information included knowing the respectability of future business exchange partners.</w:t>
      </w:r>
      <w:r w:rsidR="001643E7">
        <w:t xml:space="preserve"> Though of course this could change with circumstances or deviations from the codes of conduct.</w:t>
      </w:r>
      <w:r w:rsidRPr="005A05DF">
        <w:t xml:space="preserve"> McConnel &amp; Kennedy used their past reputation with their previous connection, </w:t>
      </w:r>
      <w:r w:rsidRPr="005A05DF">
        <w:lastRenderedPageBreak/>
        <w:t>Mr</w:t>
      </w:r>
      <w:r w:rsidR="001024C9">
        <w:t>.</w:t>
      </w:r>
      <w:r w:rsidRPr="005A05DF">
        <w:t xml:space="preserve"> Stuart &amp; Co., in April 1795 </w:t>
      </w:r>
      <w:r w:rsidR="004A222C">
        <w:t xml:space="preserve">aimed </w:t>
      </w:r>
      <w:r w:rsidRPr="005A05DF">
        <w:t>to learn about the respectability of a potential mutual connection in the Irish market, George Hannay of Bangor.</w:t>
      </w:r>
      <w:r w:rsidR="00D15EA7">
        <w:rPr>
          <w:rStyle w:val="FootnoteReference"/>
        </w:rPr>
        <w:footnoteReference w:id="421"/>
      </w:r>
      <w:r w:rsidRPr="005A05DF">
        <w:t xml:space="preserve"> Mr. Stuart &amp; Co., as a client of their previous partnership with the Sandford brothers, allowed McConnel &amp; Kennedy the freedom to approach the firm for this information.</w:t>
      </w:r>
      <w:r w:rsidR="00860279">
        <w:rPr>
          <w:rStyle w:val="FootnoteReference"/>
        </w:rPr>
        <w:footnoteReference w:id="422"/>
      </w:r>
      <w:r w:rsidRPr="005A05DF">
        <w:t xml:space="preserve"> </w:t>
      </w:r>
      <w:r w:rsidR="00AD6801">
        <w:t>It also stemmed from a</w:t>
      </w:r>
      <w:r w:rsidR="00DA1942">
        <w:t xml:space="preserve">n existing connection that had built a strong level of trust so that the information provided by Mr. Stuart &amp; Co., was deemed more reliable than other connections might have been able to offer. </w:t>
      </w:r>
      <w:r w:rsidRPr="005A05DF">
        <w:t xml:space="preserve">Often, other firms, providing a trustworthy connection between the network members, were a useful source of reputational information regarding other network actors. </w:t>
      </w:r>
    </w:p>
    <w:p w14:paraId="35DA69CA" w14:textId="77777777" w:rsidR="005A05DF" w:rsidRPr="005A05DF" w:rsidRDefault="005A05DF" w:rsidP="005A05DF">
      <w:pPr>
        <w:rPr>
          <w:i/>
          <w:iCs/>
        </w:rPr>
      </w:pPr>
      <w:r w:rsidRPr="005A05DF">
        <w:rPr>
          <w:i/>
          <w:iCs/>
        </w:rPr>
        <w:t>Market Knowledge</w:t>
      </w:r>
    </w:p>
    <w:p w14:paraId="1719407A" w14:textId="6BA63BD5" w:rsidR="005A05DF" w:rsidRPr="005A05DF" w:rsidRDefault="005A05DF" w:rsidP="005A05DF">
      <w:r w:rsidRPr="005A05DF">
        <w:t>Market knowledge to understand purchases and sales prices, the likelihood of demand, and the best place to buy and sell. The firms were hubs of market knowledge and were regularly approached by other firms for information – some specific to them, and other information was general market knowledge. Joseph Sykes of Stockport wrote to McConnel &amp; Kennedy</w:t>
      </w:r>
      <w:r w:rsidR="000550C9">
        <w:t xml:space="preserve"> in 1796</w:t>
      </w:r>
      <w:r w:rsidRPr="005A05DF">
        <w:t xml:space="preserve"> requesting to know the prices of their goods</w:t>
      </w:r>
      <w:r w:rsidR="00512103">
        <w:t>.</w:t>
      </w:r>
      <w:r w:rsidR="00512103">
        <w:rPr>
          <w:rStyle w:val="FootnoteReference"/>
        </w:rPr>
        <w:footnoteReference w:id="423"/>
      </w:r>
      <w:r w:rsidR="00512103">
        <w:t xml:space="preserve"> </w:t>
      </w:r>
      <w:r w:rsidR="00984720">
        <w:t>The letter was an initial enquiry to the firm regarding the market value of the products</w:t>
      </w:r>
      <w:r w:rsidR="00EF22F4">
        <w:t>. Joseph Sykes chose McConnel &amp; Kennedy for their market information as the deemed the firm</w:t>
      </w:r>
      <w:r w:rsidR="00321C62">
        <w:t xml:space="preserve"> reputable and reliable to offer fair and accurate prices for their products. </w:t>
      </w:r>
      <w:r w:rsidR="00637689">
        <w:t>The letter indicated that Sykes trusted the information and would therefore</w:t>
      </w:r>
      <w:r w:rsidR="00843FD1">
        <w:t xml:space="preserve"> trust the word of McConnel &amp; Kennedy. </w:t>
      </w:r>
      <w:r w:rsidRPr="005A05DF">
        <w:t xml:space="preserve">The exchange of price lists sheds light on the scale and depth of the firms' business networks and shows market fluctuations. The circulation of this knowledge made most firms useful in disseminating vital information to aid the trade flow. The cotton brokers and sales agents were key nodes of the networks in disseminating information and market knowledge but even the smaller firms could hold vital knowledge. </w:t>
      </w:r>
    </w:p>
    <w:p w14:paraId="3ECB56D8" w14:textId="033F42C8" w:rsidR="005A05DF" w:rsidRPr="005A05DF" w:rsidRDefault="005A05DF" w:rsidP="005A05DF">
      <w:r w:rsidRPr="005A05DF">
        <w:t>McConnel &amp; Kennedy used their market knowledge to offer the best service to their trusted connections wherever possible. Their connection Messrs. John Knox &amp; Sons of Glasgow were the potential beneficiaries of McConnel &amp; Kennedy sharing their knowledge of the Manchester market when in August 1801, they wrote offering the firm a three per cent discount for the same count numbers as they had previously ordered from them.</w:t>
      </w:r>
      <w:r w:rsidR="00DE2357">
        <w:rPr>
          <w:rStyle w:val="FootnoteReference"/>
        </w:rPr>
        <w:footnoteReference w:id="424"/>
      </w:r>
      <w:r w:rsidRPr="005A05DF">
        <w:t xml:space="preserve"> This was considering the current slump in the market. Rather than cashing in on the potential that the Glasgow firm might not have had this knowledge, McConnel &amp; Kennedy sought to be trustworthy and honest and pass on this knowledge and its implications to their trusted business connections. This example highlights that market knowledge was pivotal in making sound and ethical business decisions that would benefit long-term business relationships. McConnel &amp; Kennedy could have tried to make a quick profit, hoping that John Knox and Sons were not as well informed in the current state of the Manchester market. Still, if they were and McConnel &amp; Kennedy had tried to capitalise on this – they might risk losing the trust of their connection and gain a reputation of being opportunistic and self-serving. </w:t>
      </w:r>
    </w:p>
    <w:p w14:paraId="468B1AC2" w14:textId="2140089E" w:rsidR="00297D76" w:rsidRPr="00CD0B81" w:rsidRDefault="00297D76" w:rsidP="00297D76">
      <w:r w:rsidRPr="005A05DF">
        <w:t xml:space="preserve">McConnel &amp; Kennedy also offered their potential customers market knowledge of cotton prices and the state of the markets. In November 1812, at the request of their agent in Glasgow, Messrs. Robert McGavin, they approached William &amp; John Orr of </w:t>
      </w:r>
      <w:r w:rsidR="00A638B9">
        <w:t>Paisley</w:t>
      </w:r>
      <w:r w:rsidRPr="005A05DF">
        <w:t>.</w:t>
      </w:r>
      <w:r w:rsidR="00920420">
        <w:rPr>
          <w:rStyle w:val="FootnoteReference"/>
        </w:rPr>
        <w:footnoteReference w:id="425"/>
      </w:r>
      <w:r w:rsidRPr="005A05DF">
        <w:t xml:space="preserve"> They offered them a discount as new potential customers if they became regular customers. As part of the deal, the letter offers them market knowledge regarding the current prices of Sea Island cotton. </w:t>
      </w:r>
      <w:r w:rsidR="00A61FDA">
        <w:t xml:space="preserve">Glasgow was a key market for McConnel &amp; </w:t>
      </w:r>
      <w:r w:rsidR="004A222C">
        <w:t>Kennedy,</w:t>
      </w:r>
      <w:r w:rsidR="00A61FDA">
        <w:t xml:space="preserve"> but it was Liverpool where the </w:t>
      </w:r>
      <w:r w:rsidR="001F6404">
        <w:t xml:space="preserve">market knowledge of the cotton trade was </w:t>
      </w:r>
      <w:r w:rsidR="001F6404">
        <w:lastRenderedPageBreak/>
        <w:t xml:space="preserve">paramount. For information on this market </w:t>
      </w:r>
      <w:r w:rsidRPr="00CD0B81">
        <w:t>McConnel &amp; Kennedy regularly wrote to George Marsden in Liverpool for information regarding the general state of the Liverpool cotton market.</w:t>
      </w:r>
      <w:r w:rsidR="004A222C">
        <w:rPr>
          <w:rStyle w:val="FootnoteReference"/>
        </w:rPr>
        <w:footnoteReference w:id="426"/>
      </w:r>
      <w:r w:rsidRPr="00CD0B81">
        <w:t xml:space="preserve"> George Marsden was a pivotal figure in the Liverpool market and was important in the progress of both Evans &amp; Co. and McConnel &amp; Kennedy</w:t>
      </w:r>
      <w:r w:rsidR="00F45634" w:rsidRPr="00CD0B81">
        <w:t>.</w:t>
      </w:r>
      <w:r w:rsidR="00F45634" w:rsidRPr="00CD0B81">
        <w:rPr>
          <w:rStyle w:val="FootnoteReference"/>
        </w:rPr>
        <w:footnoteReference w:id="427"/>
      </w:r>
    </w:p>
    <w:p w14:paraId="19CF8419" w14:textId="46E3FD03" w:rsidR="005A05DF" w:rsidRPr="005A05DF" w:rsidRDefault="005A05DF" w:rsidP="005A05DF">
      <w:r w:rsidRPr="005A05DF">
        <w:t>An interesting exchange between McConnel &amp; Kennedy and Walter Evans &amp; Co. occurred on the 16</w:t>
      </w:r>
      <w:r w:rsidRPr="005A05DF">
        <w:rPr>
          <w:vertAlign w:val="superscript"/>
        </w:rPr>
        <w:t>th</w:t>
      </w:r>
      <w:r w:rsidRPr="005A05DF">
        <w:t xml:space="preserve"> of May 1812 when Walter Evans &amp; Co. appeared to have bought some cotton yarn or twist from McConnel &amp; Kennedy, and the shipment is being confirmed.</w:t>
      </w:r>
      <w:r w:rsidR="006F3A62">
        <w:rPr>
          <w:rStyle w:val="FootnoteReference"/>
        </w:rPr>
        <w:footnoteReference w:id="428"/>
      </w:r>
      <w:r w:rsidRPr="005A05DF">
        <w:t xml:space="preserve"> The letter explains a delay might occur due to their being the </w:t>
      </w:r>
      <w:r w:rsidR="00814607">
        <w:t>r</w:t>
      </w:r>
      <w:r w:rsidRPr="005A05DF">
        <w:t>aces held in Manchester the following week. However, the firm is sharing market knowledge with the Evans family firm in relation to an American Embargo being placed on Sea Island cotton, which has raised its prices. This letter is interesting for a variety of reasons –</w:t>
      </w:r>
      <w:r w:rsidR="008F0412">
        <w:t xml:space="preserve"> firstly</w:t>
      </w:r>
      <w:r w:rsidRPr="005A05DF">
        <w:t xml:space="preserve"> it shows how a local sporting event could alter the output of the cotton mills – albeit only for a week. </w:t>
      </w:r>
      <w:r w:rsidR="008F0412">
        <w:t>Secondly, it</w:t>
      </w:r>
      <w:r w:rsidRPr="005A05DF">
        <w:t xml:space="preserve"> shows how global events, such as an Embargo placed on raw materials in America, can alter the operations of the British cotton mills by altering the prices at which they can be bought and ultimately sold. </w:t>
      </w:r>
      <w:r w:rsidR="003F2003">
        <w:t xml:space="preserve">Finally, as the </w:t>
      </w:r>
      <w:r w:rsidR="00146014">
        <w:t>surviving records</w:t>
      </w:r>
      <w:r w:rsidR="003F2003">
        <w:t xml:space="preserve"> </w:t>
      </w:r>
      <w:r w:rsidR="00146014">
        <w:t xml:space="preserve">of </w:t>
      </w:r>
      <w:r w:rsidR="003F2003">
        <w:t>Walter Evans &amp; Co. in Derby</w:t>
      </w:r>
      <w:r w:rsidR="00146014">
        <w:t xml:space="preserve"> do not indicate that they bought any Sea Island cotton directly from brokers</w:t>
      </w:r>
      <w:r w:rsidR="0024480A">
        <w:t xml:space="preserve">, the fact that McConnel &amp; Kennedy thought they would benefit from this knowledge is interesting. It </w:t>
      </w:r>
      <w:r w:rsidR="008C1926">
        <w:t xml:space="preserve">suggests that </w:t>
      </w:r>
      <w:r w:rsidR="00047AB8">
        <w:t>a</w:t>
      </w:r>
      <w:r w:rsidR="008C1926">
        <w:t xml:space="preserve"> significant portion of information </w:t>
      </w:r>
      <w:r w:rsidR="00047AB8">
        <w:t xml:space="preserve">has been </w:t>
      </w:r>
      <w:r w:rsidR="008C1926">
        <w:t>lost from the Evans archive</w:t>
      </w:r>
      <w:r w:rsidR="00944FAF">
        <w:t>, which ebbs away after 1810</w:t>
      </w:r>
      <w:r w:rsidR="00047AB8">
        <w:t xml:space="preserve"> and that this missing portion might have shown that they did in fact spin some Sea Island Cotton. However, this is not shown directly in their surviving records</w:t>
      </w:r>
      <w:r w:rsidR="00944FAF">
        <w:t xml:space="preserve">. It also shows the connectivity and </w:t>
      </w:r>
      <w:r w:rsidR="00297D76">
        <w:t xml:space="preserve">closeness of the two case study firms chosen for this study. </w:t>
      </w:r>
      <w:r w:rsidR="003F2003">
        <w:t xml:space="preserve"> </w:t>
      </w:r>
      <w:r w:rsidRPr="005A05DF">
        <w:t xml:space="preserve"> </w:t>
      </w:r>
    </w:p>
    <w:p w14:paraId="7A64896A" w14:textId="77777777" w:rsidR="00D467B3" w:rsidRDefault="002D63A8" w:rsidP="00817B40">
      <w:pPr>
        <w:pStyle w:val="Heading2"/>
        <w:rPr>
          <w:rFonts w:asciiTheme="minorHAnsi" w:hAnsiTheme="minorHAnsi" w:cstheme="minorHAnsi"/>
          <w:b/>
          <w:bCs/>
          <w:color w:val="auto"/>
          <w:sz w:val="24"/>
          <w:szCs w:val="24"/>
        </w:rPr>
      </w:pPr>
      <w:bookmarkStart w:id="135" w:name="_Toc170825685"/>
      <w:r w:rsidRPr="00817B40">
        <w:rPr>
          <w:rFonts w:asciiTheme="minorHAnsi" w:hAnsiTheme="minorHAnsi" w:cstheme="minorHAnsi"/>
          <w:b/>
          <w:bCs/>
          <w:color w:val="auto"/>
          <w:sz w:val="24"/>
          <w:szCs w:val="24"/>
        </w:rPr>
        <w:t xml:space="preserve">The Role of </w:t>
      </w:r>
      <w:r w:rsidR="005A05DF" w:rsidRPr="00817B40">
        <w:rPr>
          <w:rFonts w:asciiTheme="minorHAnsi" w:hAnsiTheme="minorHAnsi" w:cstheme="minorHAnsi"/>
          <w:b/>
          <w:bCs/>
          <w:color w:val="auto"/>
          <w:sz w:val="24"/>
          <w:szCs w:val="24"/>
        </w:rPr>
        <w:t>Trust</w:t>
      </w:r>
      <w:r w:rsidRPr="00817B40">
        <w:rPr>
          <w:rFonts w:asciiTheme="minorHAnsi" w:hAnsiTheme="minorHAnsi" w:cstheme="minorHAnsi"/>
          <w:b/>
          <w:bCs/>
          <w:color w:val="auto"/>
          <w:sz w:val="24"/>
          <w:szCs w:val="24"/>
        </w:rPr>
        <w:t xml:space="preserve"> and R</w:t>
      </w:r>
      <w:r w:rsidR="005A05DF" w:rsidRPr="00817B40">
        <w:rPr>
          <w:rFonts w:asciiTheme="minorHAnsi" w:hAnsiTheme="minorHAnsi" w:cstheme="minorHAnsi"/>
          <w:b/>
          <w:bCs/>
          <w:color w:val="auto"/>
          <w:sz w:val="24"/>
          <w:szCs w:val="24"/>
        </w:rPr>
        <w:t>eputation</w:t>
      </w:r>
      <w:r w:rsidRPr="00817B40">
        <w:rPr>
          <w:rFonts w:asciiTheme="minorHAnsi" w:hAnsiTheme="minorHAnsi" w:cstheme="minorHAnsi"/>
          <w:b/>
          <w:bCs/>
          <w:color w:val="auto"/>
          <w:sz w:val="24"/>
          <w:szCs w:val="24"/>
        </w:rPr>
        <w:t xml:space="preserve"> in</w:t>
      </w:r>
      <w:r w:rsidR="005A05DF" w:rsidRPr="00817B40">
        <w:rPr>
          <w:rFonts w:asciiTheme="minorHAnsi" w:hAnsiTheme="minorHAnsi" w:cstheme="minorHAnsi"/>
          <w:b/>
          <w:bCs/>
          <w:color w:val="auto"/>
          <w:sz w:val="24"/>
          <w:szCs w:val="24"/>
        </w:rPr>
        <w:t xml:space="preserve"> the </w:t>
      </w:r>
      <w:r w:rsidRPr="00817B40">
        <w:rPr>
          <w:rFonts w:asciiTheme="minorHAnsi" w:hAnsiTheme="minorHAnsi" w:cstheme="minorHAnsi"/>
          <w:b/>
          <w:bCs/>
          <w:color w:val="auto"/>
          <w:sz w:val="24"/>
          <w:szCs w:val="24"/>
        </w:rPr>
        <w:t>C</w:t>
      </w:r>
      <w:r w:rsidR="005A05DF" w:rsidRPr="00817B40">
        <w:rPr>
          <w:rFonts w:asciiTheme="minorHAnsi" w:hAnsiTheme="minorHAnsi" w:cstheme="minorHAnsi"/>
          <w:b/>
          <w:bCs/>
          <w:color w:val="auto"/>
          <w:sz w:val="24"/>
          <w:szCs w:val="24"/>
        </w:rPr>
        <w:t xml:space="preserve">apital and </w:t>
      </w:r>
      <w:r w:rsidRPr="00817B40">
        <w:rPr>
          <w:rFonts w:asciiTheme="minorHAnsi" w:hAnsiTheme="minorHAnsi" w:cstheme="minorHAnsi"/>
          <w:b/>
          <w:bCs/>
          <w:color w:val="auto"/>
          <w:sz w:val="24"/>
          <w:szCs w:val="24"/>
        </w:rPr>
        <w:t>C</w:t>
      </w:r>
      <w:r w:rsidR="005A05DF" w:rsidRPr="00817B40">
        <w:rPr>
          <w:rFonts w:asciiTheme="minorHAnsi" w:hAnsiTheme="minorHAnsi" w:cstheme="minorHAnsi"/>
          <w:b/>
          <w:bCs/>
          <w:color w:val="auto"/>
          <w:sz w:val="24"/>
          <w:szCs w:val="24"/>
        </w:rPr>
        <w:t xml:space="preserve">redit </w:t>
      </w:r>
      <w:r w:rsidRPr="00817B40">
        <w:rPr>
          <w:rFonts w:asciiTheme="minorHAnsi" w:hAnsiTheme="minorHAnsi" w:cstheme="minorHAnsi"/>
          <w:b/>
          <w:bCs/>
          <w:color w:val="auto"/>
          <w:sz w:val="24"/>
          <w:szCs w:val="24"/>
        </w:rPr>
        <w:t>N</w:t>
      </w:r>
      <w:r w:rsidR="005A05DF" w:rsidRPr="00817B40">
        <w:rPr>
          <w:rFonts w:asciiTheme="minorHAnsi" w:hAnsiTheme="minorHAnsi" w:cstheme="minorHAnsi"/>
          <w:b/>
          <w:bCs/>
          <w:color w:val="auto"/>
          <w:sz w:val="24"/>
          <w:szCs w:val="24"/>
        </w:rPr>
        <w:t>etworks</w:t>
      </w:r>
      <w:bookmarkEnd w:id="135"/>
      <w:r w:rsidR="005A05DF" w:rsidRPr="00817B40">
        <w:rPr>
          <w:rFonts w:asciiTheme="minorHAnsi" w:hAnsiTheme="minorHAnsi" w:cstheme="minorHAnsi"/>
          <w:b/>
          <w:bCs/>
          <w:color w:val="auto"/>
          <w:sz w:val="24"/>
          <w:szCs w:val="24"/>
        </w:rPr>
        <w:t xml:space="preserve"> </w:t>
      </w:r>
    </w:p>
    <w:p w14:paraId="59C4E799" w14:textId="6B91C6C3" w:rsidR="005A05DF" w:rsidRPr="005A05DF" w:rsidRDefault="005A05DF" w:rsidP="005A05DF">
      <w:r w:rsidRPr="005A05DF">
        <w:t xml:space="preserve">Julian </w:t>
      </w:r>
      <w:proofErr w:type="spellStart"/>
      <w:r w:rsidRPr="005A05DF">
        <w:t>Hoppit</w:t>
      </w:r>
      <w:proofErr w:type="spellEnd"/>
      <w:r w:rsidRPr="005A05DF">
        <w:t xml:space="preserve"> has suggested that finance was a key factor in Britain’s industrialisation process.</w:t>
      </w:r>
      <w:r w:rsidRPr="005A05DF">
        <w:rPr>
          <w:vertAlign w:val="superscript"/>
        </w:rPr>
        <w:footnoteReference w:id="429"/>
      </w:r>
      <w:r w:rsidRPr="005A05DF">
        <w:t xml:space="preserve"> The financial systems in which the industrialising cotton industry operated included capital and credit networks, and they evolved and became increasingly more sophisticated during the period. The capital networks of these case studies included the financial and investment connections of the cotton mills and the flow of capital through the supply chains, of which the mills were a central integral part. Start-up capital was a requirement in the set-up of the mills, and the Evans family, as bankers of the town of Derby, were in a particularly advantageous position to access the start-up capital required. The fixed capital of the Boar’s Head </w:t>
      </w:r>
      <w:r w:rsidR="00100A7A">
        <w:t xml:space="preserve">Cotton </w:t>
      </w:r>
      <w:r w:rsidRPr="005A05DF">
        <w:t xml:space="preserve">Mills was acquired from multiple sources. The intellectual property of the innovative technology patented by Arkwright was operated with the agreement of Richard Arkwright himself, as he was a set-up partner in the semi-franchised formation of the cotton mills. The land where the mills were built was acquired by the Evans family via their banking business and was ideal land on which to situate a water-powered cotton spinning mill adjacent to the river Derwent. The land improvements, factory and warehouse buildings were either new builds or repurposed from other trades in which the Evans family were involved. The Evans family's investments in the fixed capital of their firm were underpinned by their ability to access and bring together the required resources to build the business. Their ability to access these resources depended on their social capital levels and reputation. Their levels of fixed capital also impacted their circulating capital that was required to purchase the raw cotton, which </w:t>
      </w:r>
      <w:r w:rsidR="00047AB8" w:rsidRPr="005A05DF">
        <w:t>was</w:t>
      </w:r>
      <w:r w:rsidRPr="005A05DF">
        <w:t xml:space="preserve"> part of the </w:t>
      </w:r>
      <w:r w:rsidR="00D247A3" w:rsidRPr="005A05DF">
        <w:t>family’s</w:t>
      </w:r>
      <w:r w:rsidRPr="005A05DF">
        <w:t xml:space="preserve"> circulating wealth</w:t>
      </w:r>
      <w:r w:rsidR="00D247A3">
        <w:t>.</w:t>
      </w:r>
      <w:r w:rsidRPr="005A05DF">
        <w:t xml:space="preserve"> </w:t>
      </w:r>
    </w:p>
    <w:p w14:paraId="509025DD" w14:textId="5AD212E4" w:rsidR="00817B40" w:rsidRPr="00817B40" w:rsidRDefault="00817B40" w:rsidP="00541500">
      <w:pPr>
        <w:rPr>
          <w:b/>
          <w:bCs/>
        </w:rPr>
      </w:pPr>
      <w:r w:rsidRPr="00817B40">
        <w:rPr>
          <w:b/>
          <w:bCs/>
        </w:rPr>
        <w:lastRenderedPageBreak/>
        <w:t>Trust, Reputation, and Capital Networks</w:t>
      </w:r>
    </w:p>
    <w:p w14:paraId="06659DDE" w14:textId="57B8BC7F" w:rsidR="00541500" w:rsidRPr="002F415D" w:rsidRDefault="00541500" w:rsidP="00541500">
      <w:pPr>
        <w:rPr>
          <w:i/>
          <w:iCs/>
        </w:rPr>
      </w:pPr>
      <w:bookmarkStart w:id="136" w:name="_Hlk156300513"/>
      <w:r w:rsidRPr="002F415D">
        <w:rPr>
          <w:i/>
          <w:iCs/>
        </w:rPr>
        <w:t>Access to Capital and Capital Networks</w:t>
      </w:r>
    </w:p>
    <w:p w14:paraId="3798E8FC" w14:textId="480A0FF6" w:rsidR="00A673B5" w:rsidRDefault="00047AB8" w:rsidP="00A673B5">
      <w:r w:rsidRPr="00047AB8">
        <w:t>While there are many types of capital, this section refers to capital as monetary, or fixed or circulating capital as understood by David Ricardo.</w:t>
      </w:r>
      <w:r w:rsidRPr="00047AB8">
        <w:rPr>
          <w:rStyle w:val="FootnoteReference"/>
          <w:rFonts w:cstheme="minorHAnsi"/>
        </w:rPr>
        <w:footnoteReference w:id="430"/>
      </w:r>
      <w:r>
        <w:t xml:space="preserve"> </w:t>
      </w:r>
      <w:r w:rsidR="00A673B5">
        <w:t>The capital required to enter the cotton trade was easily accessible to the Evans family. Additionally, the Evans family notably assisted other local industrialising cotton entrepreneurs and industrialists in the trade. The Evans family held this advantageous position from wealth gained from many sources. These included various metal trades, landed money, the paper trade, and the brewing trade in Burton. The vast industrial portfolio of the Evans kinship group enabled Thomas Evans to establish a bank in Derby in 1771.</w:t>
      </w:r>
      <w:r w:rsidR="00084435">
        <w:rPr>
          <w:rStyle w:val="FootnoteReference"/>
        </w:rPr>
        <w:footnoteReference w:id="431"/>
      </w:r>
      <w:r w:rsidR="00A673B5">
        <w:t xml:space="preserve"> The bank operated out of number 3 St. Mary’s Gate, in the street where Thomas Evans lived, holding some of his warehouses and counting house.</w:t>
      </w:r>
      <w:r w:rsidR="00A673B5">
        <w:rPr>
          <w:rStyle w:val="FootnoteReference"/>
        </w:rPr>
        <w:footnoteReference w:id="432"/>
      </w:r>
      <w:r w:rsidR="00084435">
        <w:t xml:space="preserve"> </w:t>
      </w:r>
      <w:r w:rsidR="00A673B5">
        <w:t>By 1780, the bank had become Thomas Evans &amp; Sons, adding William and Walter Evans into the partnership.</w:t>
      </w:r>
      <w:r w:rsidR="00084435">
        <w:rPr>
          <w:rStyle w:val="FootnoteReference"/>
        </w:rPr>
        <w:footnoteReference w:id="433"/>
      </w:r>
      <w:r w:rsidR="00A673B5">
        <w:t xml:space="preserve"> On the death of William Evans in 1796, his widow Elizabeth Evans (née Strutt) also became a partner, and so did their son William Evans (1788-1856).</w:t>
      </w:r>
      <w:r w:rsidR="00A673B5">
        <w:rPr>
          <w:rStyle w:val="FootnoteReference"/>
        </w:rPr>
        <w:footnoteReference w:id="434"/>
      </w:r>
      <w:r w:rsidR="00A673B5">
        <w:t xml:space="preserve"> Few records are surviving regarding the bank and its business; however, in a letter to Samuel Oldknow from Thomas Evans &amp; Sons, in the capacity of Derby bankers, dated December 1786, some insights can be drawn from their words to their fellow cotton manufacturer.</w:t>
      </w:r>
      <w:r w:rsidR="00084435">
        <w:rPr>
          <w:rStyle w:val="FootnoteReference"/>
        </w:rPr>
        <w:footnoteReference w:id="435"/>
      </w:r>
      <w:r w:rsidR="00A673B5">
        <w:t xml:space="preserve"> The letter describes the service they offered to Samuel Oldknow and reads, </w:t>
      </w:r>
    </w:p>
    <w:p w14:paraId="002ECD1D" w14:textId="45F67212" w:rsidR="00A673B5" w:rsidRDefault="00A673B5" w:rsidP="00A673B5">
      <w:pPr>
        <w:ind w:left="720"/>
      </w:pPr>
      <w:r w:rsidRPr="00A673B5">
        <w:rPr>
          <w:sz w:val="18"/>
          <w:szCs w:val="18"/>
        </w:rPr>
        <w:t>Bill at two months on a good House in London, either your own drawings or endorsements… We believe we can supply you with £500 every fortnight, at some time probably we could spare more… We apprehend you will have no cause of complaint… as Messrs. Arkwright have had cash from us some years and we never received complaint nor had a guinea returned.</w:t>
      </w:r>
      <w:r w:rsidRPr="00A673B5">
        <w:rPr>
          <w:rStyle w:val="FootnoteReference"/>
          <w:sz w:val="18"/>
          <w:szCs w:val="18"/>
        </w:rPr>
        <w:t xml:space="preserve"> </w:t>
      </w:r>
      <w:r w:rsidRPr="00B23B9D">
        <w:rPr>
          <w:rStyle w:val="FootnoteReference"/>
          <w:sz w:val="18"/>
          <w:szCs w:val="18"/>
        </w:rPr>
        <w:footnoteReference w:id="436"/>
      </w:r>
      <w:r>
        <w:t xml:space="preserve"> </w:t>
      </w:r>
    </w:p>
    <w:p w14:paraId="036612D9" w14:textId="590262C2" w:rsidR="00A673B5" w:rsidRDefault="00A673B5" w:rsidP="00A673B5">
      <w:r>
        <w:t xml:space="preserve">This letter shows that the Evans family supplied cash as circulating capital to the </w:t>
      </w:r>
      <w:proofErr w:type="spellStart"/>
      <w:r>
        <w:t>Arkwrights</w:t>
      </w:r>
      <w:proofErr w:type="spellEnd"/>
      <w:r>
        <w:t xml:space="preserve"> and Samuel Oldknow. The Evans family used the </w:t>
      </w:r>
      <w:proofErr w:type="spellStart"/>
      <w:r>
        <w:t>Arkwrights</w:t>
      </w:r>
      <w:proofErr w:type="spellEnd"/>
      <w:r>
        <w:t xml:space="preserve"> as references and evidence of their respectable character and reputation as reliable, consistent, and in a position to provide the service Oldknow required. Fitton and Wadsworth have also cited the Evans family as one of the bankers that supplied the Strutt family with their cash, and by 1794, they received a weekly amount of money, which grew to £400 per week in March 1796.</w:t>
      </w:r>
      <w:r>
        <w:rPr>
          <w:rStyle w:val="FootnoteReference"/>
        </w:rPr>
        <w:footnoteReference w:id="437"/>
      </w:r>
      <w:r>
        <w:t xml:space="preserve"> This indicates the importance of the Evans family, their access to capital, and their position as leaders within the financial networks that supported the industrialising cotton trade. The Arkwright’s success must have been partly due to the support and resources of the Evans family – which, as we have seen</w:t>
      </w:r>
      <w:r w:rsidR="0028180F" w:rsidRPr="0028180F">
        <w:t xml:space="preserve"> </w:t>
      </w:r>
      <w:r w:rsidR="0028180F">
        <w:t>in Chapter One</w:t>
      </w:r>
      <w:r>
        <w:t xml:space="preserve">, was initially boosted by Anthony Evans’ advantageous marriage to Hannah Ferne of Bonsall in 1688, an heiress of lands with lead deposits, and the boom in the lead industry of the early eighteenth century. </w:t>
      </w:r>
      <w:r w:rsidR="0028180F">
        <w:t xml:space="preserve">This shows the complex nature of capital accumulation and investment in the cotton trade. </w:t>
      </w:r>
    </w:p>
    <w:p w14:paraId="5CC6C0C2" w14:textId="33D796F7" w:rsidR="00DF4483" w:rsidRDefault="006155D9" w:rsidP="00DF4483">
      <w:r>
        <w:t xml:space="preserve">Geoffrey M. Hodgson </w:t>
      </w:r>
      <w:r w:rsidRPr="00562549">
        <w:rPr>
          <w:color w:val="000000" w:themeColor="text1"/>
        </w:rPr>
        <w:t xml:space="preserve">has </w:t>
      </w:r>
      <w:r w:rsidR="00D467B3" w:rsidRPr="00562549">
        <w:rPr>
          <w:color w:val="000000" w:themeColor="text1"/>
        </w:rPr>
        <w:t>questioned</w:t>
      </w:r>
      <w:r w:rsidRPr="00562549">
        <w:rPr>
          <w:color w:val="000000" w:themeColor="text1"/>
        </w:rPr>
        <w:t xml:space="preserve"> </w:t>
      </w:r>
      <w:r w:rsidR="00D467B3">
        <w:t>the</w:t>
      </w:r>
      <w:r>
        <w:t xml:space="preserve"> conventional wisdom such as that stated by Michael Postan and Herbert Heaton</w:t>
      </w:r>
      <w:r w:rsidR="00D467B3">
        <w:t xml:space="preserve">, </w:t>
      </w:r>
      <w:r w:rsidR="00D467B3" w:rsidRPr="00562549">
        <w:rPr>
          <w:color w:val="000000" w:themeColor="text1"/>
        </w:rPr>
        <w:t xml:space="preserve">that the </w:t>
      </w:r>
      <w:r>
        <w:t>pioneers of the factory system had to draw almost entirely on their private savings or on the assistance of friends to fund their industrial ventures.</w:t>
      </w:r>
      <w:r w:rsidR="003A06BF">
        <w:rPr>
          <w:rStyle w:val="FootnoteReference"/>
        </w:rPr>
        <w:footnoteReference w:id="438"/>
      </w:r>
      <w:r>
        <w:t xml:space="preserve"> Hodgson has suggested that the under development of financial institutions might have </w:t>
      </w:r>
      <w:r w:rsidR="00D2663D">
        <w:t>held</w:t>
      </w:r>
      <w:r>
        <w:t xml:space="preserve"> back growth at this </w:t>
      </w:r>
      <w:r>
        <w:lastRenderedPageBreak/>
        <w:t>time.</w:t>
      </w:r>
      <w:r w:rsidR="0028180F">
        <w:rPr>
          <w:rStyle w:val="FootnoteReference"/>
        </w:rPr>
        <w:footnoteReference w:id="439"/>
      </w:r>
      <w:r>
        <w:t xml:space="preserve"> It would be difficult to genera</w:t>
      </w:r>
      <w:r w:rsidR="00D2663D">
        <w:t>l</w:t>
      </w:r>
      <w:r>
        <w:t>ise</w:t>
      </w:r>
      <w:r w:rsidR="00D2663D">
        <w:t xml:space="preserve"> and draw conclusions on this specific </w:t>
      </w:r>
      <w:r w:rsidR="003A06BF">
        <w:t xml:space="preserve">macroeconomic </w:t>
      </w:r>
      <w:r w:rsidR="00D2663D">
        <w:t>issue</w:t>
      </w:r>
      <w:r>
        <w:t xml:space="preserve"> based upon the</w:t>
      </w:r>
      <w:r w:rsidR="003A06BF">
        <w:t xml:space="preserve"> microeconomics of these</w:t>
      </w:r>
      <w:r>
        <w:t xml:space="preserve"> case studies </w:t>
      </w:r>
      <w:r w:rsidR="00D2663D">
        <w:t>alone</w:t>
      </w:r>
      <w:r w:rsidR="003A06BF">
        <w:t xml:space="preserve">. However, </w:t>
      </w:r>
      <w:r>
        <w:t xml:space="preserve">the Evans family again show that the situation was not always as straightforward as it might first appear. As bankers and financiers of other industrial </w:t>
      </w:r>
      <w:r w:rsidR="00D2663D">
        <w:t>endeavours</w:t>
      </w:r>
      <w:r>
        <w:t xml:space="preserve"> would they be doing so in the </w:t>
      </w:r>
      <w:r w:rsidR="00D2663D">
        <w:t>capacity</w:t>
      </w:r>
      <w:r>
        <w:t xml:space="preserve"> as bankers or as friends</w:t>
      </w:r>
      <w:r w:rsidR="00D2663D">
        <w:t xml:space="preserve">? The reality might be a combination of the two. When compared to the case study of McConnel &amp; Kennedy </w:t>
      </w:r>
      <w:r w:rsidR="003A06BF">
        <w:t>initially</w:t>
      </w:r>
      <w:r w:rsidR="00D2663D">
        <w:t xml:space="preserve"> both the assistance of friends or rather business associates and then later a reliance of banks would explain how they funded their business ventures. </w:t>
      </w:r>
      <w:r w:rsidR="00DF4483">
        <w:t xml:space="preserve">James McConnel and John Kennedy did not have such easy access to capital and capital networks when they started their enterprises in 1795. </w:t>
      </w:r>
      <w:r w:rsidR="002315F4">
        <w:t xml:space="preserve">The </w:t>
      </w:r>
      <w:r w:rsidR="0095259E">
        <w:t>start-up capital of</w:t>
      </w:r>
      <w:r w:rsidR="00ED1ADC">
        <w:t xml:space="preserve"> </w:t>
      </w:r>
      <w:r w:rsidR="0095259E">
        <w:t xml:space="preserve">the McConnel &amp; Kennedy partnership </w:t>
      </w:r>
      <w:r w:rsidR="004269E8">
        <w:t>in 1795 was £1,700. 13. 1</w:t>
      </w:r>
      <w:r w:rsidR="004269E8">
        <w:rPr>
          <w:rFonts w:cstheme="minorHAnsi"/>
        </w:rPr>
        <w:t>½</w:t>
      </w:r>
      <w:r w:rsidR="002110E2">
        <w:t xml:space="preserve"> of which £1,632. 12. 1 came from the profits of their previous partnership, £105. 40.</w:t>
      </w:r>
      <w:r w:rsidR="008D3040">
        <w:t xml:space="preserve"> 0. was brought by James McConnel and £32. 17. 0</w:t>
      </w:r>
      <w:r w:rsidR="008D3040">
        <w:rPr>
          <w:rFonts w:cstheme="minorHAnsi"/>
        </w:rPr>
        <w:t>½</w:t>
      </w:r>
      <w:r w:rsidR="008D3040">
        <w:t xml:space="preserve"> came from John Kennedy.</w:t>
      </w:r>
      <w:r w:rsidR="0028180F">
        <w:rPr>
          <w:rStyle w:val="FootnoteReference"/>
        </w:rPr>
        <w:footnoteReference w:id="440"/>
      </w:r>
      <w:r w:rsidR="008D3040">
        <w:t xml:space="preserve"> </w:t>
      </w:r>
      <w:r w:rsidR="00D220B1">
        <w:t>The Sandford brothers brought the initial capital invested in their first partnership upon leaving the apprenticeship, which laid the foundations for this amount of profit.</w:t>
      </w:r>
      <w:r w:rsidR="0028180F">
        <w:rPr>
          <w:rStyle w:val="FootnoteReference"/>
        </w:rPr>
        <w:footnoteReference w:id="441"/>
      </w:r>
      <w:r w:rsidR="00D220B1">
        <w:t xml:space="preserve"> </w:t>
      </w:r>
      <w:r w:rsidR="00ED1ADC">
        <w:t>The firm then built upon these financial foundations</w:t>
      </w:r>
      <w:r w:rsidR="00C9054B">
        <w:t xml:space="preserve"> </w:t>
      </w:r>
      <w:r w:rsidR="00E21846">
        <w:t>by</w:t>
      </w:r>
      <w:r w:rsidR="0095678C">
        <w:t xml:space="preserve"> </w:t>
      </w:r>
      <w:r w:rsidR="00C9054B">
        <w:t xml:space="preserve">renting factory space until 1797 and </w:t>
      </w:r>
      <w:r w:rsidR="00390683">
        <w:t>investing in fixed capital assets by using the profits</w:t>
      </w:r>
      <w:r w:rsidR="00FC1B38">
        <w:t xml:space="preserve"> </w:t>
      </w:r>
      <w:r w:rsidR="0095678C">
        <w:t>gained</w:t>
      </w:r>
      <w:r w:rsidR="00FC1B38">
        <w:t xml:space="preserve"> from their </w:t>
      </w:r>
      <w:r w:rsidR="0095678C">
        <w:t>machine-making</w:t>
      </w:r>
      <w:r w:rsidR="00FC1B38">
        <w:t xml:space="preserve"> business.</w:t>
      </w:r>
      <w:r w:rsidR="00AA2A48">
        <w:rPr>
          <w:rStyle w:val="FootnoteReference"/>
        </w:rPr>
        <w:footnoteReference w:id="442"/>
      </w:r>
      <w:r w:rsidR="00FC1B38">
        <w:t xml:space="preserve"> The maximising of their resources was</w:t>
      </w:r>
      <w:r w:rsidR="0027659C">
        <w:t xml:space="preserve"> paramount to their success as the</w:t>
      </w:r>
      <w:r w:rsidR="00CB6C4C">
        <w:t>y</w:t>
      </w:r>
      <w:r w:rsidR="0027659C">
        <w:t xml:space="preserve"> approached their finances with caution and used the longest credit terms they could</w:t>
      </w:r>
      <w:r w:rsidR="00CB6C4C">
        <w:t>.</w:t>
      </w:r>
      <w:r w:rsidR="0095259E">
        <w:t xml:space="preserve"> </w:t>
      </w:r>
      <w:r w:rsidR="002315F4">
        <w:t xml:space="preserve"> </w:t>
      </w:r>
    </w:p>
    <w:p w14:paraId="5CAE868A" w14:textId="2A7CB987" w:rsidR="008B56B6" w:rsidRDefault="003313EE" w:rsidP="00FC34E6">
      <w:r>
        <w:t xml:space="preserve">The mill documents of the McConnel &amp; Kennedy </w:t>
      </w:r>
      <w:r w:rsidR="00BA1E1F">
        <w:t>M</w:t>
      </w:r>
      <w:r>
        <w:t>ills show that the firm banked with Benjamin Heywood</w:t>
      </w:r>
      <w:r w:rsidR="0037080D">
        <w:t>, Sons &amp; Co.</w:t>
      </w:r>
      <w:r w:rsidR="00320D6D">
        <w:t xml:space="preserve"> </w:t>
      </w:r>
      <w:r w:rsidR="0037080D">
        <w:t>(from 1801</w:t>
      </w:r>
      <w:r w:rsidR="00986753">
        <w:t>,</w:t>
      </w:r>
      <w:r w:rsidR="0037080D">
        <w:t xml:space="preserve"> known as Heywood Bros. &amp; Co.</w:t>
      </w:r>
      <w:r w:rsidR="00497555">
        <w:t>)</w:t>
      </w:r>
      <w:r w:rsidR="00801A3D">
        <w:t xml:space="preserve"> between 1795 and 1819</w:t>
      </w:r>
      <w:r w:rsidR="00C0121F">
        <w:t>.</w:t>
      </w:r>
      <w:r w:rsidR="00AA2A48">
        <w:rPr>
          <w:rStyle w:val="FootnoteReference"/>
        </w:rPr>
        <w:footnoteReference w:id="443"/>
      </w:r>
      <w:r w:rsidR="00C0121F">
        <w:t xml:space="preserve"> </w:t>
      </w:r>
      <w:r w:rsidR="004B1823">
        <w:t xml:space="preserve">The </w:t>
      </w:r>
      <w:r w:rsidR="00986753">
        <w:t>account books of McConnel &amp; Kennedy show that in 1802</w:t>
      </w:r>
      <w:r w:rsidR="00DC0A08">
        <w:t>,</w:t>
      </w:r>
      <w:r w:rsidR="00911A7F">
        <w:t xml:space="preserve"> there were eighty-one entries in the credit side of the book</w:t>
      </w:r>
      <w:r w:rsidR="00DC0A08">
        <w:t>,</w:t>
      </w:r>
      <w:r w:rsidR="00A62D9F">
        <w:t xml:space="preserve"> of which eighty were for banker’s drafts</w:t>
      </w:r>
      <w:r w:rsidR="00DC0A08">
        <w:t>,</w:t>
      </w:r>
      <w:r w:rsidR="00A62D9F">
        <w:t xml:space="preserve"> and only one was for a </w:t>
      </w:r>
      <w:r w:rsidR="00D626AE">
        <w:t>b</w:t>
      </w:r>
      <w:r w:rsidR="00A62D9F" w:rsidRPr="00BA1E1F">
        <w:t xml:space="preserve">ill of </w:t>
      </w:r>
      <w:r w:rsidR="00D626AE">
        <w:t>e</w:t>
      </w:r>
      <w:r w:rsidR="00A62D9F" w:rsidRPr="00BA1E1F">
        <w:t>xchange</w:t>
      </w:r>
      <w:r w:rsidR="00A62D9F">
        <w:t>.</w:t>
      </w:r>
      <w:r w:rsidR="00377DC9">
        <w:rPr>
          <w:rStyle w:val="FootnoteReference"/>
        </w:rPr>
        <w:footnoteReference w:id="444"/>
      </w:r>
      <w:r w:rsidR="00A62D9F">
        <w:t xml:space="preserve"> </w:t>
      </w:r>
      <w:bookmarkStart w:id="138" w:name="_Hlk170471998"/>
      <w:r w:rsidR="00D467B3" w:rsidRPr="00562549">
        <w:rPr>
          <w:color w:val="000000" w:themeColor="text1"/>
        </w:rPr>
        <w:t>A banker’s draft was a financial instrument that was issued by a bank and guaranteed by the bank. It</w:t>
      </w:r>
      <w:r w:rsidR="00FC34E6" w:rsidRPr="00562549">
        <w:rPr>
          <w:color w:val="000000" w:themeColor="text1"/>
        </w:rPr>
        <w:t xml:space="preserve"> involved the bank and the payee. However, a bill of exchange was a financial instrument that was issued by an individual or company that required acceptance by another (or the bank), which heavily relied on trustworthiness and solid reputation of the individual or company. </w:t>
      </w:r>
      <w:bookmarkEnd w:id="138"/>
      <w:r w:rsidR="00154BFC">
        <w:t xml:space="preserve">The books show a trend of </w:t>
      </w:r>
      <w:r w:rsidR="00105BB6">
        <w:t xml:space="preserve">the banker’s </w:t>
      </w:r>
      <w:r w:rsidR="00154BFC">
        <w:t xml:space="preserve">draft being dominant until 1809 when </w:t>
      </w:r>
      <w:r w:rsidR="00105BB6">
        <w:t>this dominance was</w:t>
      </w:r>
      <w:r w:rsidR="00DC0A08">
        <w:t xml:space="preserve"> switched to the</w:t>
      </w:r>
      <w:r w:rsidR="00154BFC">
        <w:t xml:space="preserve"> </w:t>
      </w:r>
      <w:r w:rsidR="00D626AE">
        <w:t>b</w:t>
      </w:r>
      <w:r w:rsidR="00154BFC">
        <w:t xml:space="preserve">ill of </w:t>
      </w:r>
      <w:r w:rsidR="00D626AE">
        <w:t>e</w:t>
      </w:r>
      <w:r w:rsidR="00154BFC">
        <w:t>xchange</w:t>
      </w:r>
      <w:r w:rsidR="00DC0A08">
        <w:t>.</w:t>
      </w:r>
      <w:r w:rsidR="00377DC9">
        <w:rPr>
          <w:rStyle w:val="FootnoteReference"/>
        </w:rPr>
        <w:footnoteReference w:id="445"/>
      </w:r>
      <w:r w:rsidR="00DC0A08">
        <w:t xml:space="preserve"> </w:t>
      </w:r>
      <w:r w:rsidR="00D94168">
        <w:t xml:space="preserve">T. S. Ashton has explained this change </w:t>
      </w:r>
      <w:r w:rsidR="0027584F">
        <w:t>by the increase in Stamp Duty placed upon the banker's draft in the corresponding period.</w:t>
      </w:r>
      <w:r w:rsidR="006879C6">
        <w:rPr>
          <w:rStyle w:val="FootnoteReference"/>
        </w:rPr>
        <w:footnoteReference w:id="446"/>
      </w:r>
      <w:r w:rsidR="0027584F">
        <w:t xml:space="preserve"> </w:t>
      </w:r>
      <w:r w:rsidR="009C5131">
        <w:t>I would argue that it could also reflect an increase in the trust level within the credit system as firm</w:t>
      </w:r>
      <w:r w:rsidR="00BD62B6">
        <w:t>s began to establish themselves in trusted business exchange partnerships</w:t>
      </w:r>
      <w:r w:rsidR="00FE0042">
        <w:t>. However</w:t>
      </w:r>
      <w:r w:rsidR="00ED7B40">
        <w:t>,</w:t>
      </w:r>
      <w:r w:rsidR="00AC56D5">
        <w:t xml:space="preserve"> this would be difficult to</w:t>
      </w:r>
      <w:r w:rsidR="00ED7B40">
        <w:t xml:space="preserve"> know</w:t>
      </w:r>
      <w:r w:rsidR="006879C6">
        <w:t xml:space="preserve"> and the increase in the Stamp Duty </w:t>
      </w:r>
      <w:r w:rsidR="00657070">
        <w:t>would likely have contributed</w:t>
      </w:r>
      <w:r w:rsidR="00ED7B40">
        <w:t xml:space="preserve">. </w:t>
      </w:r>
      <w:r w:rsidR="00FE0042">
        <w:t xml:space="preserve">What is clear is that </w:t>
      </w:r>
      <w:r w:rsidR="006879C6">
        <w:t>the Heywood family bank in Liverpool provided the cash element of the firm’s circulating capital</w:t>
      </w:r>
      <w:r w:rsidR="00C0121F">
        <w:t xml:space="preserve">. </w:t>
      </w:r>
      <w:r w:rsidR="003172B9">
        <w:t xml:space="preserve">As the Evans family </w:t>
      </w:r>
      <w:r w:rsidR="0017495D">
        <w:t>was</w:t>
      </w:r>
      <w:r w:rsidR="003172B9">
        <w:t xml:space="preserve"> at the </w:t>
      </w:r>
      <w:r w:rsidR="0017495D">
        <w:t>pinnacle</w:t>
      </w:r>
      <w:r w:rsidR="003172B9">
        <w:t xml:space="preserve"> of the financial </w:t>
      </w:r>
      <w:r w:rsidR="0017495D">
        <w:t xml:space="preserve">and </w:t>
      </w:r>
      <w:r w:rsidR="003172B9">
        <w:t>capital networks</w:t>
      </w:r>
      <w:r w:rsidR="0017495D">
        <w:t xml:space="preserve"> of the Derwent Valley</w:t>
      </w:r>
      <w:r w:rsidR="00231CAF">
        <w:t xml:space="preserve">, the </w:t>
      </w:r>
      <w:proofErr w:type="spellStart"/>
      <w:r w:rsidR="00231CAF">
        <w:t>Heywoods</w:t>
      </w:r>
      <w:proofErr w:type="spellEnd"/>
      <w:r w:rsidR="00231CAF">
        <w:t xml:space="preserve"> performed a similar role in the networks of McConnel &amp; Kennedy. While the Evans family had acquired resources from their </w:t>
      </w:r>
      <w:r w:rsidR="00B044D5">
        <w:t xml:space="preserve">industrial portfolio and the lead industry – the Heywood family acquired </w:t>
      </w:r>
      <w:r w:rsidR="008B56B6">
        <w:t>a significant portion of their wealth from colonial interests.</w:t>
      </w:r>
      <w:r w:rsidR="00D242D9">
        <w:t xml:space="preserve"> Matthew Stallard</w:t>
      </w:r>
      <w:r w:rsidR="00EE05F9">
        <w:t>, a research fellow at U</w:t>
      </w:r>
      <w:r w:rsidR="00AA2A48">
        <w:t xml:space="preserve">niversity </w:t>
      </w:r>
      <w:r w:rsidR="00EE05F9">
        <w:t>C</w:t>
      </w:r>
      <w:r w:rsidR="00AA2A48">
        <w:t xml:space="preserve">ollege </w:t>
      </w:r>
      <w:r w:rsidR="00EE05F9">
        <w:t>L</w:t>
      </w:r>
      <w:r w:rsidR="00AA2A48">
        <w:t>ondon</w:t>
      </w:r>
      <w:r w:rsidR="005F5389">
        <w:t>,</w:t>
      </w:r>
      <w:r w:rsidR="00EE05F9">
        <w:t xml:space="preserve"> stated that</w:t>
      </w:r>
      <w:r w:rsidR="008B56B6">
        <w:t xml:space="preserve"> </w:t>
      </w:r>
      <w:r w:rsidR="008B56B6" w:rsidRPr="005A05DF">
        <w:t xml:space="preserve">Manchester’s key financial institution in the 1790s, Heywood’s bank, was funded by the profits of </w:t>
      </w:r>
      <w:r w:rsidR="00403E2E">
        <w:t xml:space="preserve">the </w:t>
      </w:r>
      <w:r w:rsidR="008B56B6" w:rsidRPr="005A05DF">
        <w:t>Heywood</w:t>
      </w:r>
      <w:r w:rsidR="00403E2E">
        <w:t xml:space="preserve"> family’s</w:t>
      </w:r>
      <w:r w:rsidR="008B56B6" w:rsidRPr="005A05DF">
        <w:t xml:space="preserve"> slave trading activities.</w:t>
      </w:r>
      <w:r w:rsidR="008B56B6" w:rsidRPr="005A05DF">
        <w:rPr>
          <w:vertAlign w:val="superscript"/>
        </w:rPr>
        <w:footnoteReference w:id="447"/>
      </w:r>
      <w:r w:rsidR="00AA2A48">
        <w:t xml:space="preserve"> </w:t>
      </w:r>
      <w:bookmarkStart w:id="139" w:name="_Hlk170472271"/>
      <w:r w:rsidR="00FC34E6" w:rsidRPr="00562549">
        <w:rPr>
          <w:color w:val="000000" w:themeColor="text1"/>
          <w:sz w:val="21"/>
          <w:szCs w:val="21"/>
        </w:rPr>
        <w:t xml:space="preserve">The Heywood’s bank partially funded </w:t>
      </w:r>
      <w:r w:rsidR="00FC34E6" w:rsidRPr="00562549">
        <w:rPr>
          <w:color w:val="000000" w:themeColor="text1"/>
          <w:sz w:val="21"/>
          <w:szCs w:val="21"/>
        </w:rPr>
        <w:lastRenderedPageBreak/>
        <w:t xml:space="preserve">McConnel &amp; Kennedy in their daily activities. </w:t>
      </w:r>
      <w:bookmarkEnd w:id="139"/>
      <w:r w:rsidR="00AA2A48">
        <w:t xml:space="preserve">This shows that the two firms were funded from diverse and distinct sources. </w:t>
      </w:r>
    </w:p>
    <w:p w14:paraId="6661A773" w14:textId="77777777" w:rsidR="006B3CA5" w:rsidRDefault="006B3CA5" w:rsidP="006B3CA5">
      <w:pPr>
        <w:rPr>
          <w:i/>
          <w:iCs/>
        </w:rPr>
      </w:pPr>
      <w:r w:rsidRPr="00CA745C">
        <w:rPr>
          <w:i/>
          <w:iCs/>
        </w:rPr>
        <w:t>The Local Ownership of Banks</w:t>
      </w:r>
    </w:p>
    <w:p w14:paraId="21D755C7" w14:textId="4A79C4EE" w:rsidR="00FE7642" w:rsidRDefault="00D30A04" w:rsidP="00FE7642">
      <w:r>
        <w:t>These t</w:t>
      </w:r>
      <w:r w:rsidR="00FE7642">
        <w:t xml:space="preserve">wo case studies offer valuable insights into the </w:t>
      </w:r>
      <w:r w:rsidR="008904F8">
        <w:t>fundamental</w:t>
      </w:r>
      <w:r w:rsidR="00FE7642">
        <w:t xml:space="preserve"> role and functions of county banks and their networks during the industriali</w:t>
      </w:r>
      <w:r w:rsidR="008904F8">
        <w:t>s</w:t>
      </w:r>
      <w:r w:rsidR="00FE7642">
        <w:t xml:space="preserve">ation phase of the cotton industry. The networks </w:t>
      </w:r>
      <w:r w:rsidR="008904F8">
        <w:t>centred</w:t>
      </w:r>
      <w:r w:rsidR="00FE7642">
        <w:t xml:space="preserve"> around the Evans bank in Derby played a crucial role in the establishment of Boar's Head Cotton </w:t>
      </w:r>
      <w:r w:rsidR="00100A7A">
        <w:t>M</w:t>
      </w:r>
      <w:r w:rsidR="00FE7642">
        <w:t>ills. Notably, key figures like Arkwright and Strutt were among their customers. This close connection between local banks and industrial pioneers, including the Evans' bank, played a pivotal role in financing cotton mills. Likewise, the Heywood brothers' Liverpool-based bank supported mills in Manchester. These examples illustrate the essential role that the capital and credit networks of the Evans and Heywood families played in bolstering the local cotton industries, with additional support from other local, regional, and London-based banks.</w:t>
      </w:r>
      <w:r w:rsidR="00B41932" w:rsidRPr="00017B9E">
        <w:rPr>
          <w:rStyle w:val="FootnoteReference"/>
        </w:rPr>
        <w:footnoteReference w:id="448"/>
      </w:r>
      <w:r w:rsidR="00AA2A48">
        <w:t xml:space="preserve"> </w:t>
      </w:r>
      <w:r w:rsidR="00FE7642">
        <w:t>This fledgling banking system was underpinned by trust and reputation, facilitating vital connections between the local manufacturing, merchant, and international communities. During the 1770s in Lancashire, the principal function of county banks was the discounting of bills of exchange, marking their essential contribution to finance and international trade.</w:t>
      </w:r>
      <w:r w:rsidR="00AA2A48">
        <w:rPr>
          <w:rStyle w:val="FootnoteReference"/>
        </w:rPr>
        <w:footnoteReference w:id="449"/>
      </w:r>
      <w:r w:rsidR="00AA2A48">
        <w:t xml:space="preserve"> </w:t>
      </w:r>
      <w:r w:rsidR="00FE7642">
        <w:t xml:space="preserve"> However, it is worth noting that the Evans family, operating as both bankers and merchants in a private partnership in Derby, likely operated in a largely unregulated environment. This lack of regulation contributed to financial instability, highlighting the need for ongoing reform and oversight in the banking sector.</w:t>
      </w:r>
      <w:r w:rsidR="00B41932" w:rsidRPr="00017B9E">
        <w:rPr>
          <w:rStyle w:val="FootnoteReference"/>
        </w:rPr>
        <w:footnoteReference w:id="450"/>
      </w:r>
    </w:p>
    <w:p w14:paraId="34AE716D" w14:textId="210F9A6A" w:rsidR="005A05DF" w:rsidRPr="00F15833" w:rsidRDefault="005A05DF" w:rsidP="00F15833">
      <w:pPr>
        <w:pStyle w:val="Heading2"/>
        <w:rPr>
          <w:rFonts w:asciiTheme="minorHAnsi" w:hAnsiTheme="minorHAnsi" w:cstheme="minorHAnsi"/>
          <w:b/>
          <w:bCs/>
          <w:color w:val="auto"/>
          <w:sz w:val="24"/>
          <w:szCs w:val="24"/>
        </w:rPr>
      </w:pPr>
      <w:bookmarkStart w:id="140" w:name="_Toc170825686"/>
      <w:bookmarkEnd w:id="136"/>
      <w:r w:rsidRPr="00F15833">
        <w:rPr>
          <w:rFonts w:asciiTheme="minorHAnsi" w:hAnsiTheme="minorHAnsi" w:cstheme="minorHAnsi"/>
          <w:b/>
          <w:bCs/>
          <w:color w:val="auto"/>
          <w:sz w:val="24"/>
          <w:szCs w:val="24"/>
        </w:rPr>
        <w:t xml:space="preserve">Trust, </w:t>
      </w:r>
      <w:r w:rsidR="00EB2B63" w:rsidRPr="00F15833">
        <w:rPr>
          <w:rFonts w:asciiTheme="minorHAnsi" w:hAnsiTheme="minorHAnsi" w:cstheme="minorHAnsi"/>
          <w:b/>
          <w:bCs/>
          <w:color w:val="auto"/>
          <w:sz w:val="24"/>
          <w:szCs w:val="24"/>
        </w:rPr>
        <w:t>R</w:t>
      </w:r>
      <w:r w:rsidRPr="00F15833">
        <w:rPr>
          <w:rFonts w:asciiTheme="minorHAnsi" w:hAnsiTheme="minorHAnsi" w:cstheme="minorHAnsi"/>
          <w:b/>
          <w:bCs/>
          <w:color w:val="auto"/>
          <w:sz w:val="24"/>
          <w:szCs w:val="24"/>
        </w:rPr>
        <w:t xml:space="preserve">eputation, and </w:t>
      </w:r>
      <w:r w:rsidR="00EB2B63" w:rsidRPr="00F15833">
        <w:rPr>
          <w:rFonts w:asciiTheme="minorHAnsi" w:hAnsiTheme="minorHAnsi" w:cstheme="minorHAnsi"/>
          <w:b/>
          <w:bCs/>
          <w:color w:val="auto"/>
          <w:sz w:val="24"/>
          <w:szCs w:val="24"/>
        </w:rPr>
        <w:t>C</w:t>
      </w:r>
      <w:r w:rsidRPr="00F15833">
        <w:rPr>
          <w:rFonts w:asciiTheme="minorHAnsi" w:hAnsiTheme="minorHAnsi" w:cstheme="minorHAnsi"/>
          <w:b/>
          <w:bCs/>
          <w:color w:val="auto"/>
          <w:sz w:val="24"/>
          <w:szCs w:val="24"/>
        </w:rPr>
        <w:t xml:space="preserve">redit </w:t>
      </w:r>
      <w:r w:rsidR="00EB2B63" w:rsidRPr="00F15833">
        <w:rPr>
          <w:rFonts w:asciiTheme="minorHAnsi" w:hAnsiTheme="minorHAnsi" w:cstheme="minorHAnsi"/>
          <w:b/>
          <w:bCs/>
          <w:color w:val="auto"/>
          <w:sz w:val="24"/>
          <w:szCs w:val="24"/>
        </w:rPr>
        <w:t>Networks</w:t>
      </w:r>
      <w:bookmarkEnd w:id="140"/>
    </w:p>
    <w:p w14:paraId="234240B6" w14:textId="76F9D231" w:rsidR="005A05DF" w:rsidRPr="0044212F" w:rsidRDefault="005A05DF" w:rsidP="005A05DF">
      <w:pPr>
        <w:rPr>
          <w:color w:val="FF0000"/>
        </w:rPr>
      </w:pPr>
      <w:r w:rsidRPr="005A05DF">
        <w:t>The financial organisation of late eighteenth and early nineteenth-century trade operated a system of credit that facilitated trade and commerce predicated on the trust and reputation system. This system required reciprocal trust, which was more than an ideal to aspire to but a necessity. The business culture of the time was preoccupied with fiscal safety and the honest behaviours of the network members. The mill documents show many examples of firms asking their trusted connections to vouch for the safety of potential business exchange partners, specifically requesting how much credit would be a safe prospect to risk. In 1812, McConnel &amp; Kennedy wrote to Messrs. G. &amp; J. Strutt requesting their opinion regarding the reputation of Mr. George Lowe of Cheapside, London.</w:t>
      </w:r>
      <w:r w:rsidR="00AA2A48">
        <w:rPr>
          <w:rStyle w:val="FootnoteReference"/>
        </w:rPr>
        <w:footnoteReference w:id="451"/>
      </w:r>
      <w:r w:rsidRPr="005A05DF">
        <w:t xml:space="preserve"> The letter specifically asks the </w:t>
      </w:r>
      <w:proofErr w:type="spellStart"/>
      <w:r w:rsidRPr="005A05DF">
        <w:t>Strutts</w:t>
      </w:r>
      <w:proofErr w:type="spellEnd"/>
      <w:r w:rsidRPr="005A05DF">
        <w:t xml:space="preserve"> how large an amount would be prudent to offer him in credit for a term of four months. This is one example of the trust required to back up the credit system. </w:t>
      </w:r>
      <w:r w:rsidR="00AA2A48">
        <w:t xml:space="preserve">This trust was found within a weak tie formed between the firms. On this occasion, this weak tie enabled the flow of information between the firms, an application of trust between McConnel &amp; Kennedy and the </w:t>
      </w:r>
      <w:proofErr w:type="spellStart"/>
      <w:r w:rsidR="00AA2A48">
        <w:t>Strutts</w:t>
      </w:r>
      <w:proofErr w:type="spellEnd"/>
      <w:r w:rsidR="00AA2A48">
        <w:t xml:space="preserve"> and a reputation</w:t>
      </w:r>
      <w:r w:rsidR="009F5172">
        <w:t xml:space="preserve"> being questioned as to the type of credit that McConnel &amp; Kennedy could risk based upon Mr. Lowe’s previous behaviours. </w:t>
      </w:r>
    </w:p>
    <w:p w14:paraId="11FDC559" w14:textId="06C0750B" w:rsidR="005A05DF" w:rsidRDefault="005A05DF" w:rsidP="005A05DF">
      <w:r w:rsidRPr="005A05DF">
        <w:t xml:space="preserve">The McConnel &amp; Kennedy receipt books documenting the purchase of raw cotton give useful insights into how inter-firm trust was built, which worked towards securing the firm’s reputation within the cotton markets. As the documents show the credit terms offered to McConnel &amp; Kennedy, this aspect only shows the reputational perceptions that other firms held of McConnel &amp; Kennedy, but this is interesting information. The incompleteness of the archive makes generalising difficult and unreliable, but individual relationships can be seen to evolve. There is no discernible pattern as some firms took a more cautious approach than others. Still, the relationship between McConnel &amp; Kennedy and Messrs. </w:t>
      </w:r>
      <w:r w:rsidRPr="006E02A4">
        <w:t xml:space="preserve">Thomas &amp; William Bateman </w:t>
      </w:r>
      <w:r w:rsidRPr="005A05DF">
        <w:t xml:space="preserve">formed a long-standing and frequent trusted </w:t>
      </w:r>
      <w:r w:rsidRPr="005A05DF">
        <w:lastRenderedPageBreak/>
        <w:t>connection. Thirty-four receipts for cotton were purchased from this broker between 1796 and 1809.</w:t>
      </w:r>
      <w:r w:rsidR="00091B3F">
        <w:rPr>
          <w:rStyle w:val="FootnoteReference"/>
        </w:rPr>
        <w:footnoteReference w:id="452"/>
      </w:r>
      <w:r w:rsidRPr="005A05DF">
        <w:t xml:space="preserve"> The first transaction for one bag of cotton in 1796 was offered at two months of credit and covered the value of £34. 2. 11.</w:t>
      </w:r>
      <w:r w:rsidR="00091B3F">
        <w:rPr>
          <w:rStyle w:val="FootnoteReference"/>
        </w:rPr>
        <w:footnoteReference w:id="453"/>
      </w:r>
      <w:r w:rsidRPr="005A05DF">
        <w:t xml:space="preserve"> By 1805, the trust built in the relationship through McConnel &amp; Kennedy’s previous fulfilment of payment obligations and their reputational standing enabled the Batemans to risk an order worth £3549. 2. 11. </w:t>
      </w:r>
      <w:r w:rsidR="009F5172">
        <w:t>with</w:t>
      </w:r>
      <w:r w:rsidRPr="005A05DF">
        <w:t xml:space="preserve"> a credit term of seven and nine months if paid in cash.</w:t>
      </w:r>
      <w:r w:rsidR="00335BB5">
        <w:rPr>
          <w:rStyle w:val="FootnoteReference"/>
        </w:rPr>
        <w:footnoteReference w:id="454"/>
      </w:r>
      <w:r w:rsidRPr="005A05DF">
        <w:t xml:space="preserve"> It is possible that the Batemans had factors relating to their business position, which also influenced this decision. Still, I would argue that much shorter credit terms would have been offered without the long-standing trust that had been built between the two firms. Of the one-off transactions in the receipt book, the longest term of credit offered to McConnel &amp; Kennedy was ten days at four months</w:t>
      </w:r>
      <w:r w:rsidRPr="00562549">
        <w:rPr>
          <w:color w:val="000000" w:themeColor="text1"/>
        </w:rPr>
        <w:t>.</w:t>
      </w:r>
      <w:r w:rsidR="009F5172" w:rsidRPr="00562549">
        <w:rPr>
          <w:rStyle w:val="FootnoteReference"/>
          <w:color w:val="000000" w:themeColor="text1"/>
        </w:rPr>
        <w:footnoteReference w:id="455"/>
      </w:r>
      <w:r w:rsidRPr="00562549">
        <w:rPr>
          <w:color w:val="000000" w:themeColor="text1"/>
        </w:rPr>
        <w:t xml:space="preserve"> </w:t>
      </w:r>
      <w:bookmarkStart w:id="141" w:name="_Hlk170472518"/>
      <w:r w:rsidR="00FC34E6" w:rsidRPr="00562549">
        <w:rPr>
          <w:color w:val="000000" w:themeColor="text1"/>
        </w:rPr>
        <w:t xml:space="preserve">This means that the payer has four months in which to pay the bill in full and ten days </w:t>
      </w:r>
      <w:r w:rsidR="005708B6" w:rsidRPr="00562549">
        <w:rPr>
          <w:color w:val="000000" w:themeColor="text1"/>
        </w:rPr>
        <w:t xml:space="preserve">grace period at the terms agreed in the original credit agreement. </w:t>
      </w:r>
      <w:r w:rsidRPr="00562549">
        <w:rPr>
          <w:color w:val="000000" w:themeColor="text1"/>
        </w:rPr>
        <w:t xml:space="preserve"> </w:t>
      </w:r>
    </w:p>
    <w:bookmarkEnd w:id="141"/>
    <w:p w14:paraId="696D569D" w14:textId="6E92A547" w:rsidR="008E5E31" w:rsidRPr="008E5E31" w:rsidRDefault="008E5E31" w:rsidP="008E5E31">
      <w:pPr>
        <w:rPr>
          <w:i/>
          <w:iCs/>
        </w:rPr>
      </w:pPr>
      <w:r w:rsidRPr="008E5E31">
        <w:rPr>
          <w:i/>
          <w:iCs/>
        </w:rPr>
        <w:t xml:space="preserve">Trust and Credit: </w:t>
      </w:r>
      <w:proofErr w:type="gramStart"/>
      <w:r w:rsidRPr="008E5E31">
        <w:rPr>
          <w:i/>
          <w:iCs/>
        </w:rPr>
        <w:t>the</w:t>
      </w:r>
      <w:proofErr w:type="gramEnd"/>
      <w:r w:rsidRPr="008E5E31">
        <w:rPr>
          <w:i/>
          <w:iCs/>
        </w:rPr>
        <w:t xml:space="preserve"> </w:t>
      </w:r>
      <w:r w:rsidR="00BA1E1F">
        <w:rPr>
          <w:i/>
          <w:iCs/>
        </w:rPr>
        <w:t>B</w:t>
      </w:r>
      <w:r w:rsidRPr="008E5E31">
        <w:rPr>
          <w:i/>
          <w:iCs/>
        </w:rPr>
        <w:t xml:space="preserve">ill of </w:t>
      </w:r>
      <w:r w:rsidR="00BA1E1F">
        <w:rPr>
          <w:i/>
          <w:iCs/>
        </w:rPr>
        <w:t>E</w:t>
      </w:r>
      <w:r w:rsidRPr="008E5E31">
        <w:rPr>
          <w:i/>
          <w:iCs/>
        </w:rPr>
        <w:t xml:space="preserve">xchange and the </w:t>
      </w:r>
      <w:r w:rsidR="00BA1E1F">
        <w:rPr>
          <w:i/>
          <w:iCs/>
        </w:rPr>
        <w:t>B</w:t>
      </w:r>
      <w:r w:rsidRPr="008E5E31">
        <w:rPr>
          <w:i/>
          <w:iCs/>
        </w:rPr>
        <w:t xml:space="preserve">anker’s </w:t>
      </w:r>
      <w:r w:rsidR="00BA1E1F">
        <w:rPr>
          <w:i/>
          <w:iCs/>
        </w:rPr>
        <w:t>D</w:t>
      </w:r>
      <w:r w:rsidRPr="008E5E31">
        <w:rPr>
          <w:i/>
          <w:iCs/>
        </w:rPr>
        <w:t>raft</w:t>
      </w:r>
    </w:p>
    <w:p w14:paraId="22A0A1E0" w14:textId="3F6DD2DC" w:rsidR="008E5E31" w:rsidRPr="008E5E31" w:rsidRDefault="008E5E31" w:rsidP="008E5E31">
      <w:r w:rsidRPr="008E5E31">
        <w:t xml:space="preserve">In eighteenth-century Britain, the banking system employed the banker’s draft and the </w:t>
      </w:r>
      <w:r w:rsidR="00D626AE">
        <w:t>b</w:t>
      </w:r>
      <w:r w:rsidRPr="008E5E31">
        <w:t xml:space="preserve">ill of </w:t>
      </w:r>
      <w:r w:rsidR="00D626AE">
        <w:t>e</w:t>
      </w:r>
      <w:r w:rsidRPr="008E5E31">
        <w:t xml:space="preserve">xchange as negotiable financial instruments. While both instruments were negotiable, the banker’s draft held an added layer of security as the bank backed it. In contrast, the </w:t>
      </w:r>
      <w:r w:rsidR="00D626AE">
        <w:t>b</w:t>
      </w:r>
      <w:r w:rsidRPr="008E5E31">
        <w:t xml:space="preserve">ill of </w:t>
      </w:r>
      <w:r w:rsidR="00D626AE">
        <w:t>e</w:t>
      </w:r>
      <w:r w:rsidRPr="008E5E31">
        <w:t xml:space="preserve">xchange could be initiated by individuals or firms without the support of a financial institution, making it perceived as less secure. A </w:t>
      </w:r>
      <w:r w:rsidR="00D626AE">
        <w:t>b</w:t>
      </w:r>
      <w:r w:rsidRPr="008E5E31">
        <w:t xml:space="preserve">ill of </w:t>
      </w:r>
      <w:r w:rsidR="00D626AE">
        <w:t>e</w:t>
      </w:r>
      <w:r w:rsidRPr="008E5E31">
        <w:t xml:space="preserve">xchange typically constituted a written instruction detailing a debt to be paid to a creditor with specific terms of the agreement. On the other hand, a banker's draft, similar in nature, was issued by a bank, instilling greater confidence in its reliability. The </w:t>
      </w:r>
      <w:r w:rsidR="00D626AE">
        <w:t>b</w:t>
      </w:r>
      <w:r w:rsidRPr="008E5E31">
        <w:t xml:space="preserve">ill of </w:t>
      </w:r>
      <w:r w:rsidR="00D626AE">
        <w:t>e</w:t>
      </w:r>
      <w:r w:rsidRPr="008E5E31">
        <w:t>xchange had its roots in England, dating back to the mid-fifteenth century, but it gained prominence during the mid-seventeenth century, particularly during the Atlantic trade.</w:t>
      </w:r>
      <w:r w:rsidR="005708B6">
        <w:rPr>
          <w:rStyle w:val="FootnoteReference"/>
        </w:rPr>
        <w:footnoteReference w:id="456"/>
      </w:r>
      <w:r w:rsidRPr="008E5E31">
        <w:t xml:space="preserve"> One potential reason the </w:t>
      </w:r>
      <w:r w:rsidR="00D626AE">
        <w:t>b</w:t>
      </w:r>
      <w:r w:rsidRPr="008E5E31">
        <w:t xml:space="preserve">ill of </w:t>
      </w:r>
      <w:r w:rsidR="00D626AE">
        <w:t>e</w:t>
      </w:r>
      <w:r w:rsidRPr="008E5E31">
        <w:t xml:space="preserve">xchange became more relied upon than the banker's draft, particularly within the cotton trade, was that it offered flexibility in trading beyond Britain and could consider different currencies, exchange rates, legal jurisdictions, and economic customs. This was crucial for a trade that relied on raw materials sourced on global markets. Notably, the English system of handling Bills of Exchange differed from that of other countries, such as France, leading to the development of unique customs and legal structures. This divergence contributed to its widespread usage, especially in regions like Lancashire, a county with strong links to the Atlantic trade networks. The Atlantic trade networks also saw the </w:t>
      </w:r>
      <w:r w:rsidR="00D626AE">
        <w:t>b</w:t>
      </w:r>
      <w:r w:rsidRPr="008E5E31">
        <w:t xml:space="preserve">ill of </w:t>
      </w:r>
      <w:r w:rsidR="00D626AE">
        <w:t>e</w:t>
      </w:r>
      <w:r w:rsidRPr="008E5E31">
        <w:t xml:space="preserve">xchange as a valuable tool to mitigate the risks of transporting large sums of money across long distances. The </w:t>
      </w:r>
      <w:r w:rsidR="00D626AE">
        <w:t>b</w:t>
      </w:r>
      <w:r w:rsidRPr="008E5E31">
        <w:t xml:space="preserve">ill of </w:t>
      </w:r>
      <w:r w:rsidR="00D626AE">
        <w:t>e</w:t>
      </w:r>
      <w:r w:rsidRPr="008E5E31">
        <w:t xml:space="preserve">xchange could guard against the loss of currency by theft or the dangers of shipping when dealing with merchants across the Atlantic. Therefore, the </w:t>
      </w:r>
      <w:r w:rsidR="00D626AE">
        <w:t>b</w:t>
      </w:r>
      <w:r w:rsidRPr="008E5E31">
        <w:t xml:space="preserve">ill of </w:t>
      </w:r>
      <w:r w:rsidR="00D626AE">
        <w:t>e</w:t>
      </w:r>
      <w:r w:rsidRPr="008E5E31">
        <w:t xml:space="preserve">xchange offered merchants and industrialists flexible options to conduct their business exchanges and promoted trust between merchants on both sides of the Atlantic.  </w:t>
      </w:r>
    </w:p>
    <w:p w14:paraId="076EC3E1" w14:textId="5FCD38BF" w:rsidR="008E5E31" w:rsidRPr="008E5E31" w:rsidRDefault="008E5E31" w:rsidP="008E5E31">
      <w:r w:rsidRPr="008E5E31">
        <w:t xml:space="preserve">The bill of exchange relied on the trustworthiness and, therefore, the debtor's creditworthiness in the system to pay their dues when the due date arrived. Mary B. Rose argues that the </w:t>
      </w:r>
      <w:r w:rsidR="00D626AE">
        <w:t>b</w:t>
      </w:r>
      <w:r w:rsidRPr="008E5E31">
        <w:t xml:space="preserve">ill of </w:t>
      </w:r>
      <w:r w:rsidR="00D626AE">
        <w:t>e</w:t>
      </w:r>
      <w:r w:rsidRPr="008E5E31">
        <w:t>xchange oiled the wheels of commerce in the eighteenth century, was inseparable from the networks of middlemen, was open to abuse, and thus, was a source of business anxiety.</w:t>
      </w:r>
      <w:r w:rsidR="009F5172">
        <w:rPr>
          <w:rStyle w:val="FootnoteReference"/>
        </w:rPr>
        <w:footnoteReference w:id="457"/>
      </w:r>
      <w:r w:rsidRPr="008E5E31">
        <w:t xml:space="preserve"> The credit system that backed up the cotton trade was, therefore, one that relied on the man of business to act in a trustworthy manner, and his reputation was built by conforming to the expectations and codes of conduct that this required. Without trust, the credit system would have failed. Although Mary B. Rose highlights the imperfections and vulnerabilities of the system in her work, the fact their usage </w:t>
      </w:r>
      <w:r w:rsidRPr="008E5E31">
        <w:lastRenderedPageBreak/>
        <w:t>became so widespread suggests that their benefits were perceived to outweigh their risks</w:t>
      </w:r>
      <w:r>
        <w:t>.</w:t>
      </w:r>
      <w:r w:rsidRPr="008F6270">
        <w:rPr>
          <w:vertAlign w:val="superscript"/>
        </w:rPr>
        <w:footnoteReference w:id="458"/>
      </w:r>
      <w:r w:rsidRPr="008E5E31">
        <w:t xml:space="preserve"> The banking system, which facilitated the growth of the cotton industry, grew and developed alongside the mills, and the bill of exchange was an enabler for industrialists and merchants to establish and operate their businesses. Banks and bill brokers could supply merchants and industrialists with immediate funds if the firm required cash. This system benefitted the banks and brokers as they would buy the bills at a discount, thereby making a profit. </w:t>
      </w:r>
    </w:p>
    <w:p w14:paraId="3CDCBCE2" w14:textId="43EF9F40" w:rsidR="005A05DF" w:rsidRPr="00F15833" w:rsidRDefault="005A05DF" w:rsidP="00F15833">
      <w:pPr>
        <w:pStyle w:val="Heading2"/>
        <w:rPr>
          <w:rFonts w:asciiTheme="minorHAnsi" w:hAnsiTheme="minorHAnsi" w:cstheme="minorHAnsi"/>
          <w:b/>
          <w:bCs/>
          <w:color w:val="auto"/>
          <w:sz w:val="24"/>
          <w:szCs w:val="24"/>
        </w:rPr>
      </w:pPr>
      <w:bookmarkStart w:id="143" w:name="_Toc170825687"/>
      <w:r w:rsidRPr="00F15833">
        <w:rPr>
          <w:rFonts w:asciiTheme="minorHAnsi" w:hAnsiTheme="minorHAnsi" w:cstheme="minorHAnsi"/>
          <w:b/>
          <w:bCs/>
          <w:color w:val="auto"/>
          <w:sz w:val="24"/>
          <w:szCs w:val="24"/>
        </w:rPr>
        <w:t>Conclu</w:t>
      </w:r>
      <w:r w:rsidR="00EF7195" w:rsidRPr="00F15833">
        <w:rPr>
          <w:rFonts w:asciiTheme="minorHAnsi" w:hAnsiTheme="minorHAnsi" w:cstheme="minorHAnsi"/>
          <w:b/>
          <w:bCs/>
          <w:color w:val="auto"/>
          <w:sz w:val="24"/>
          <w:szCs w:val="24"/>
        </w:rPr>
        <w:t>sions</w:t>
      </w:r>
      <w:bookmarkEnd w:id="143"/>
    </w:p>
    <w:p w14:paraId="7B46F301" w14:textId="3CA7824E" w:rsidR="005A05DF" w:rsidRDefault="005A05DF" w:rsidP="005A05DF">
      <w:r w:rsidRPr="005A05DF">
        <w:t xml:space="preserve">This chapter has shown the complexities of generating trust and positive reputations within business networks. </w:t>
      </w:r>
      <w:r w:rsidR="002300DD">
        <w:t>Scholars such as Popp and Sunderland believe that industrial districts and business cultures within Britain saw a general fall in social capital derived from the economic setting and considerable distrust in their business environments in the late eighteenth and early nineteenth centuries.</w:t>
      </w:r>
      <w:r w:rsidR="00E44575">
        <w:rPr>
          <w:rStyle w:val="FootnoteReference"/>
        </w:rPr>
        <w:footnoteReference w:id="459"/>
      </w:r>
      <w:r w:rsidR="002300DD">
        <w:t xml:space="preserve"> However, there was certainly a desire by some manufacturers to build and maintain as high a level of trust in the networks as possible. </w:t>
      </w:r>
      <w:r w:rsidRPr="005A05DF">
        <w:t>The findings of this chapter are that trust was vital to the</w:t>
      </w:r>
      <w:r w:rsidR="00A451CA">
        <w:t xml:space="preserve"> business</w:t>
      </w:r>
      <w:r w:rsidRPr="005A05DF">
        <w:t xml:space="preserve"> networks, and without any, the cotton trade would have ground to a halt. Reputations were crucial in giving new exchange partners the confidence to trade with someone. Trust underpinned this. </w:t>
      </w:r>
      <w:r w:rsidR="00AB68D3" w:rsidRPr="00AB68D3">
        <w:t xml:space="preserve">The business networks, </w:t>
      </w:r>
      <w:r w:rsidR="00A07651" w:rsidRPr="00AB68D3">
        <w:t>like</w:t>
      </w:r>
      <w:r w:rsidR="00AB68D3" w:rsidRPr="00AB68D3">
        <w:t xml:space="preserve"> social and community networks, had multiple inner cores consisting of individuals whose connectivity was reinforced by the scale and quality of their social interactions.</w:t>
      </w:r>
      <w:r w:rsidR="00747661">
        <w:t xml:space="preserve"> </w:t>
      </w:r>
      <w:r w:rsidR="00101814">
        <w:t>The trusted business networks were comprised of a hierarchical structure with the business partnership sitting at the pinnacle of the inner network structure</w:t>
      </w:r>
      <w:r w:rsidR="00BB1E1F">
        <w:t xml:space="preserve"> of each firm. Some firms then took a leadership role within the wider business network system</w:t>
      </w:r>
      <w:r w:rsidR="0086301B">
        <w:t xml:space="preserve"> – of which McConnel &amp; Kennedy and the Evans family were two firms th</w:t>
      </w:r>
      <w:r w:rsidR="00007FA3">
        <w:t xml:space="preserve">at demonstrated this. The networks then branched out to other </w:t>
      </w:r>
      <w:r w:rsidR="006F74E9">
        <w:t>inner cores and businesses within the network</w:t>
      </w:r>
      <w:r w:rsidR="00064817">
        <w:t>,</w:t>
      </w:r>
      <w:r w:rsidR="006F74E9">
        <w:t xml:space="preserve"> and those who conformed closest to the ideal norms of the networks</w:t>
      </w:r>
      <w:r w:rsidR="00425107">
        <w:t xml:space="preserve"> became frequently contacted to </w:t>
      </w:r>
      <w:r w:rsidR="00064817">
        <w:t>join</w:t>
      </w:r>
      <w:r w:rsidR="00425107">
        <w:t xml:space="preserve"> the firms in </w:t>
      </w:r>
      <w:r w:rsidR="00064817">
        <w:t>exchange</w:t>
      </w:r>
      <w:r w:rsidR="00274E92">
        <w:t xml:space="preserve"> </w:t>
      </w:r>
      <w:r w:rsidR="00064817">
        <w:t>for</w:t>
      </w:r>
      <w:r w:rsidR="00274E92">
        <w:t xml:space="preserve"> resources for mutual benefits. These connections became the core of the trusted business connections of each firm. These </w:t>
      </w:r>
      <w:r w:rsidR="00E94A73">
        <w:t>connections were often the carriers of the goods, the suppliers of raw materials</w:t>
      </w:r>
      <w:r w:rsidR="00064817">
        <w:t>,</w:t>
      </w:r>
      <w:r w:rsidR="00E94A73">
        <w:t xml:space="preserve"> or the most frequently supplied buyers of the manufactured goods. </w:t>
      </w:r>
      <w:r w:rsidR="00274E92">
        <w:t xml:space="preserve"> </w:t>
      </w:r>
      <w:r w:rsidRPr="005A05DF">
        <w:t xml:space="preserve">   </w:t>
      </w:r>
    </w:p>
    <w:p w14:paraId="45B307D2" w14:textId="77777777" w:rsidR="00F86EB5" w:rsidRDefault="0052642A" w:rsidP="005A05DF">
      <w:pPr>
        <w:sectPr w:rsidR="00F86EB5">
          <w:footnotePr>
            <w:numRestart w:val="eachSect"/>
          </w:footnotePr>
          <w:pgSz w:w="11906" w:h="16838"/>
          <w:pgMar w:top="1440" w:right="1440" w:bottom="1440" w:left="1440" w:header="708" w:footer="708" w:gutter="0"/>
          <w:cols w:space="708"/>
          <w:docGrid w:linePitch="360"/>
        </w:sectPr>
      </w:pPr>
      <w:r w:rsidRPr="00805C77">
        <w:t xml:space="preserve">The chapter has also demonstrated </w:t>
      </w:r>
      <w:r w:rsidR="00D56166" w:rsidRPr="00805C77">
        <w:t xml:space="preserve">that trust </w:t>
      </w:r>
      <w:r w:rsidR="00133181" w:rsidRPr="00805C77">
        <w:t>was</w:t>
      </w:r>
      <w:r w:rsidR="00D56166" w:rsidRPr="00805C77">
        <w:t xml:space="preserve"> fundamental in </w:t>
      </w:r>
      <w:r w:rsidR="00133181" w:rsidRPr="00805C77">
        <w:t>disseminating</w:t>
      </w:r>
      <w:r w:rsidR="00D56166" w:rsidRPr="00805C77">
        <w:t xml:space="preserve"> information and knowledge through </w:t>
      </w:r>
      <w:r w:rsidR="009F6473" w:rsidRPr="00805C77">
        <w:t xml:space="preserve">industrialising </w:t>
      </w:r>
      <w:r w:rsidR="00D56166" w:rsidRPr="00805C77">
        <w:t xml:space="preserve">business networks. </w:t>
      </w:r>
      <w:r w:rsidR="009F6473" w:rsidRPr="00805C77">
        <w:t xml:space="preserve">It was important in allowing the sharing of </w:t>
      </w:r>
      <w:r w:rsidR="00064817" w:rsidRPr="00805C77">
        <w:t xml:space="preserve">information and knowledge but also to aid the network members in distinguishing between reliable and honest information and erroneous and untrustworthy information. </w:t>
      </w:r>
      <w:r w:rsidR="008F2A68" w:rsidRPr="00805C77">
        <w:t>The ideal level of trust within the networks</w:t>
      </w:r>
      <w:r w:rsidR="001D17C2" w:rsidRPr="00805C77">
        <w:t>,</w:t>
      </w:r>
      <w:r w:rsidR="008F2A68" w:rsidRPr="00805C77">
        <w:t xml:space="preserve"> however</w:t>
      </w:r>
      <w:r w:rsidR="001D17C2" w:rsidRPr="00805C77">
        <w:t>,</w:t>
      </w:r>
      <w:r w:rsidR="008F2A68" w:rsidRPr="00805C77">
        <w:t xml:space="preserve"> did not match up to the</w:t>
      </w:r>
      <w:r w:rsidR="00866B68" w:rsidRPr="00805C77">
        <w:t xml:space="preserve"> actual</w:t>
      </w:r>
      <w:r w:rsidR="008F2A68" w:rsidRPr="00805C77">
        <w:t xml:space="preserve"> </w:t>
      </w:r>
      <w:r w:rsidR="000C5FB8" w:rsidRPr="00805C77">
        <w:t>levels. The following chapter explores</w:t>
      </w:r>
      <w:r w:rsidR="001D17C2" w:rsidRPr="00805C77">
        <w:t xml:space="preserve"> the untrustworthy actions and characteristics displayed by some of the network actors. </w:t>
      </w:r>
      <w:r w:rsidR="00E55D58" w:rsidRPr="00805C77">
        <w:t xml:space="preserve">The study will </w:t>
      </w:r>
      <w:r w:rsidR="00E54B1A" w:rsidRPr="00805C77">
        <w:t xml:space="preserve">investigate some of the strategies that were employed to overcome the moral hazards experienced by the cotton-spinning firms. </w:t>
      </w:r>
      <w:r w:rsidR="00B03A11" w:rsidRPr="00805C77">
        <w:t xml:space="preserve">The chapter will also explore the other risks and hazards </w:t>
      </w:r>
      <w:r w:rsidR="006E28FE" w:rsidRPr="00805C77">
        <w:t>experienced</w:t>
      </w:r>
      <w:r w:rsidR="00B03A11" w:rsidRPr="00805C77">
        <w:t xml:space="preserve"> by the network members to gain insights into how </w:t>
      </w:r>
      <w:r w:rsidR="006E28FE" w:rsidRPr="00805C77">
        <w:t>the networks approached these</w:t>
      </w:r>
      <w:r w:rsidR="00B03A11" w:rsidRPr="00805C77">
        <w:t xml:space="preserve"> and what this can </w:t>
      </w:r>
      <w:r w:rsidR="006E28FE" w:rsidRPr="00805C77">
        <w:t xml:space="preserve">show about the </w:t>
      </w:r>
      <w:r w:rsidR="00FE0C4F" w:rsidRPr="00805C77">
        <w:t>nature of the networks</w:t>
      </w:r>
      <w:r w:rsidR="001F39D0" w:rsidRPr="00805C77">
        <w:t xml:space="preserve"> beyond the inner circle. </w:t>
      </w:r>
    </w:p>
    <w:p w14:paraId="629179A1" w14:textId="64563734" w:rsidR="005A05DF" w:rsidRPr="00F15833" w:rsidRDefault="005A05DF" w:rsidP="00F15833">
      <w:pPr>
        <w:pStyle w:val="Heading1"/>
        <w:rPr>
          <w:rFonts w:asciiTheme="minorHAnsi" w:hAnsiTheme="minorHAnsi" w:cstheme="minorHAnsi"/>
          <w:b/>
          <w:bCs/>
          <w:color w:val="auto"/>
          <w:sz w:val="28"/>
          <w:szCs w:val="28"/>
        </w:rPr>
      </w:pPr>
      <w:bookmarkStart w:id="144" w:name="_Toc170825688"/>
      <w:r w:rsidRPr="00F15833">
        <w:rPr>
          <w:rFonts w:asciiTheme="minorHAnsi" w:hAnsiTheme="minorHAnsi" w:cstheme="minorHAnsi"/>
          <w:b/>
          <w:bCs/>
          <w:color w:val="auto"/>
          <w:sz w:val="28"/>
          <w:szCs w:val="28"/>
        </w:rPr>
        <w:lastRenderedPageBreak/>
        <w:t>Chapter Five: Managing Risk: The Untrustworthy Connection and Damage Limitation</w:t>
      </w:r>
      <w:bookmarkEnd w:id="144"/>
    </w:p>
    <w:p w14:paraId="01F3FFAA" w14:textId="77777777" w:rsidR="005A05DF" w:rsidRPr="00F15833" w:rsidRDefault="005A05DF" w:rsidP="00F15833">
      <w:pPr>
        <w:pStyle w:val="Heading2"/>
        <w:rPr>
          <w:rFonts w:asciiTheme="minorHAnsi" w:hAnsiTheme="minorHAnsi" w:cstheme="minorHAnsi"/>
          <w:b/>
          <w:bCs/>
          <w:color w:val="auto"/>
          <w:sz w:val="24"/>
          <w:szCs w:val="24"/>
        </w:rPr>
      </w:pPr>
      <w:bookmarkStart w:id="145" w:name="_Toc170825689"/>
      <w:r w:rsidRPr="00F15833">
        <w:rPr>
          <w:rFonts w:asciiTheme="minorHAnsi" w:hAnsiTheme="minorHAnsi" w:cstheme="minorHAnsi"/>
          <w:b/>
          <w:bCs/>
          <w:color w:val="auto"/>
          <w:sz w:val="24"/>
          <w:szCs w:val="24"/>
        </w:rPr>
        <w:t>Introduction</w:t>
      </w:r>
      <w:bookmarkEnd w:id="145"/>
    </w:p>
    <w:p w14:paraId="11AEA5FF" w14:textId="6DB5C848" w:rsidR="005A05DF" w:rsidRPr="004A3F5F" w:rsidRDefault="005A05DF" w:rsidP="005A05DF">
      <w:pPr>
        <w:pStyle w:val="NoSpacing"/>
      </w:pPr>
      <w:r w:rsidRPr="004A3F5F">
        <w:t>The trustworthy network member was the ideal candidate to take up roles in business. However, it was not always the case that network members displayed all the requisite characteristics and appropriate levels of trustworthiness. The</w:t>
      </w:r>
      <w:r>
        <w:t xml:space="preserve"> </w:t>
      </w:r>
      <w:r w:rsidRPr="004A3F5F">
        <w:t>document</w:t>
      </w:r>
      <w:r>
        <w:t>s of both case study firms</w:t>
      </w:r>
      <w:r w:rsidRPr="004A3F5F">
        <w:t xml:space="preserve"> </w:t>
      </w:r>
      <w:r>
        <w:t>show</w:t>
      </w:r>
      <w:r w:rsidRPr="004A3F5F">
        <w:t xml:space="preserve"> many occasions when network actors failed to meet the expectations and obligations placed upon them. This chapter explores some untrustworthy actions displayed by the actors within the business networks. These actions resulted in various consequences depending on the severity of the deviation from the expectation or obligation. This chapter will argue two main strands of my overall thesis. They are firstly that while networks expected high codes of conduct and worked optimally when high trust levels could be relied upon, there were many occasions when people did not always find it easy to live up to these expectations, and many fell short.</w:t>
      </w:r>
      <w:r>
        <w:t xml:space="preserve"> The norms of the networks consisted of a set of idealised goals that each member should seek to achieve and the reality in which they operated. I would argue that between the set of goals and reality was a space in which negotiation took place, where certain network members took a proactive leadership role in attempting to guide others toward the ideal.</w:t>
      </w:r>
      <w:r w:rsidR="0085205A">
        <w:t xml:space="preserve"> </w:t>
      </w:r>
      <w:bookmarkStart w:id="146" w:name="_Hlk170473137"/>
      <w:r w:rsidR="0085205A" w:rsidRPr="00562549">
        <w:rPr>
          <w:color w:val="000000" w:themeColor="text1"/>
        </w:rPr>
        <w:t>This argument stems from the</w:t>
      </w:r>
      <w:r w:rsidR="00575452" w:rsidRPr="00562549">
        <w:rPr>
          <w:color w:val="000000" w:themeColor="text1"/>
        </w:rPr>
        <w:t xml:space="preserve"> understanding that the goals or </w:t>
      </w:r>
      <w:r w:rsidRPr="00562549">
        <w:rPr>
          <w:color w:val="000000" w:themeColor="text1"/>
        </w:rPr>
        <w:t xml:space="preserve">ideals were flexible, fluid, and emergent, adapting to the circumstances of the present situation but built around a core model of acting in a trustworthy manner and fulfilling agreed obligations. </w:t>
      </w:r>
      <w:bookmarkEnd w:id="146"/>
      <w:r w:rsidRPr="004A3F5F">
        <w:t xml:space="preserve">The networks operated mechanisms to control and manage risk to avoid the consequences of failure and bankruptcy – ever-present hazards in the eighteenth-century world of commerce. The idealised norm did not always meet reality, but the norm of the network was the strive for the ideal. </w:t>
      </w:r>
    </w:p>
    <w:p w14:paraId="7422EB6F" w14:textId="77777777" w:rsidR="005A05DF" w:rsidRDefault="005A05DF" w:rsidP="005A05DF">
      <w:pPr>
        <w:pStyle w:val="NoSpacing"/>
      </w:pPr>
    </w:p>
    <w:p w14:paraId="7AAF0109" w14:textId="77777777" w:rsidR="005A05DF" w:rsidRPr="002F6684" w:rsidRDefault="005A05DF" w:rsidP="005A05DF">
      <w:pPr>
        <w:pStyle w:val="NoSpacing"/>
        <w:rPr>
          <w:b/>
          <w:bCs/>
          <w:i/>
          <w:iCs/>
        </w:rPr>
      </w:pPr>
      <w:r w:rsidRPr="002F6684">
        <w:rPr>
          <w:b/>
          <w:bCs/>
          <w:i/>
          <w:iCs/>
        </w:rPr>
        <w:t>Untrustworthiness</w:t>
      </w:r>
    </w:p>
    <w:p w14:paraId="7F3F67DF" w14:textId="4A3548AB" w:rsidR="004B7CE2" w:rsidRDefault="005A05DF" w:rsidP="005A05DF">
      <w:pPr>
        <w:pStyle w:val="NoSpacing"/>
      </w:pPr>
      <w:r>
        <w:t xml:space="preserve">This chapter will explore the </w:t>
      </w:r>
      <w:r w:rsidRPr="004A3F5F">
        <w:t xml:space="preserve">issue of untrustworthiness among </w:t>
      </w:r>
      <w:r w:rsidR="00575452" w:rsidRPr="00562549">
        <w:rPr>
          <w:color w:val="000000" w:themeColor="text1"/>
        </w:rPr>
        <w:t>network</w:t>
      </w:r>
      <w:r w:rsidRPr="00562549">
        <w:rPr>
          <w:color w:val="000000" w:themeColor="text1"/>
        </w:rPr>
        <w:t xml:space="preserve"> </w:t>
      </w:r>
      <w:r w:rsidRPr="004A3F5F">
        <w:t xml:space="preserve">members and </w:t>
      </w:r>
      <w:r>
        <w:t>address</w:t>
      </w:r>
      <w:r w:rsidRPr="004A3F5F">
        <w:t xml:space="preserve"> instances of damaged trust and reputations. I will explore the ripple effects these deviations from the ideal norm triggered.</w:t>
      </w:r>
      <w:r w:rsidRPr="00511981">
        <w:t xml:space="preserve"> </w:t>
      </w:r>
      <w:r w:rsidRPr="004A3F5F">
        <w:t xml:space="preserve">Carolyn Downs and </w:t>
      </w:r>
      <w:proofErr w:type="spellStart"/>
      <w:r w:rsidRPr="004A3F5F">
        <w:t>Sherylynne</w:t>
      </w:r>
      <w:proofErr w:type="spellEnd"/>
      <w:r w:rsidRPr="004A3F5F">
        <w:t xml:space="preserve"> Haggerty have noted that although trust was pivotal in creating and maintaining business networks, the loss of trust within the networks caused emotional and business angst among the network actors.</w:t>
      </w:r>
      <w:r w:rsidRPr="004A3F5F">
        <w:rPr>
          <w:rStyle w:val="FootnoteReference"/>
        </w:rPr>
        <w:footnoteReference w:id="460"/>
      </w:r>
      <w:r>
        <w:t xml:space="preserve"> </w:t>
      </w:r>
      <w:r w:rsidRPr="004A3F5F">
        <w:t xml:space="preserve">There are </w:t>
      </w:r>
      <w:r w:rsidR="00426604">
        <w:t>many</w:t>
      </w:r>
      <w:r w:rsidRPr="004A3F5F">
        <w:t xml:space="preserve"> examples of untrustworthy behaviour conducted by the network actors of the business networks that supplied and customed the </w:t>
      </w:r>
      <w:r w:rsidR="00426604">
        <w:t xml:space="preserve">two </w:t>
      </w:r>
      <w:r w:rsidRPr="004A3F5F">
        <w:t>cotton mills.</w:t>
      </w:r>
      <w:r w:rsidR="00275153">
        <w:t xml:space="preserve"> There </w:t>
      </w:r>
      <w:r w:rsidR="00F91D8E">
        <w:t>were</w:t>
      </w:r>
      <w:r w:rsidR="009B4170">
        <w:t xml:space="preserve"> also</w:t>
      </w:r>
      <w:r w:rsidR="00275153">
        <w:t xml:space="preserve"> occasions when the network actors re</w:t>
      </w:r>
      <w:r w:rsidR="004D1330">
        <w:t xml:space="preserve">primanded other members for misplacing their trust in the wrong network actors. </w:t>
      </w:r>
      <w:r w:rsidR="009B4170">
        <w:t xml:space="preserve">An example of this was seen in August 1808 when Walter Evans &amp; Co. wrote to </w:t>
      </w:r>
      <w:r w:rsidR="00E623AF">
        <w:t>their customer</w:t>
      </w:r>
      <w:r w:rsidR="004A216A">
        <w:t>,</w:t>
      </w:r>
      <w:r w:rsidR="00E623AF">
        <w:t xml:space="preserve"> Mr</w:t>
      </w:r>
      <w:r w:rsidR="004435CC">
        <w:t>.</w:t>
      </w:r>
      <w:r w:rsidR="00E623AF">
        <w:t xml:space="preserve"> Skipwith</w:t>
      </w:r>
      <w:r w:rsidR="00C96B2A">
        <w:t>,</w:t>
      </w:r>
      <w:r w:rsidR="00E623AF">
        <w:t xml:space="preserve"> who was having </w:t>
      </w:r>
      <w:r w:rsidR="00C96B2A">
        <w:t xml:space="preserve">a </w:t>
      </w:r>
      <w:r w:rsidR="00E623AF">
        <w:t xml:space="preserve">problem with a mutual </w:t>
      </w:r>
      <w:r w:rsidR="001169F3">
        <w:t>connection</w:t>
      </w:r>
      <w:r w:rsidR="0012154E">
        <w:t>,</w:t>
      </w:r>
      <w:r w:rsidR="001169F3">
        <w:t xml:space="preserve"> Mr</w:t>
      </w:r>
      <w:r w:rsidR="004435CC">
        <w:t>.</w:t>
      </w:r>
      <w:r w:rsidR="001169F3">
        <w:t xml:space="preserve"> Wood</w:t>
      </w:r>
      <w:r w:rsidR="00F21DF4">
        <w:t>(</w:t>
      </w:r>
      <w:r w:rsidR="001169F3">
        <w:t>s</w:t>
      </w:r>
      <w:r w:rsidR="00F21DF4">
        <w:t>)</w:t>
      </w:r>
      <w:r w:rsidR="001169F3">
        <w:t>.</w:t>
      </w:r>
      <w:r w:rsidR="00C7574B">
        <w:rPr>
          <w:rStyle w:val="FootnoteReference"/>
        </w:rPr>
        <w:footnoteReference w:id="461"/>
      </w:r>
      <w:r w:rsidR="004A216A">
        <w:t xml:space="preserve"> Before offering advice on how best to proceed in resolving the issue, the letter takes a </w:t>
      </w:r>
      <w:r w:rsidR="004B7CE2">
        <w:t>very stern tone by statin</w:t>
      </w:r>
      <w:r w:rsidR="00A45AC4">
        <w:t>g that Mr</w:t>
      </w:r>
      <w:r w:rsidR="004435CC">
        <w:t>.</w:t>
      </w:r>
      <w:r w:rsidR="00A45AC4">
        <w:t xml:space="preserve"> Skipwith was unwise to place his trust and</w:t>
      </w:r>
      <w:r w:rsidR="00426604">
        <w:t xml:space="preserve"> a large amount of</w:t>
      </w:r>
      <w:r w:rsidR="00A45AC4">
        <w:t xml:space="preserve"> capital in the hands of someone who was widely known to be untrustworthy. </w:t>
      </w:r>
      <w:r w:rsidR="00426604">
        <w:t>The Evans family were therefore expressing their views on the lack of Mr</w:t>
      </w:r>
      <w:r w:rsidR="004435CC">
        <w:t>.</w:t>
      </w:r>
      <w:r w:rsidR="00426604">
        <w:t xml:space="preserve"> Skipwith’s engagement with the reputation system, as Mr Wood(s) was known to be untrustworthy. </w:t>
      </w:r>
    </w:p>
    <w:p w14:paraId="71C33569" w14:textId="77777777" w:rsidR="004B7CE2" w:rsidRDefault="004B7CE2" w:rsidP="005A05DF">
      <w:pPr>
        <w:pStyle w:val="NoSpacing"/>
      </w:pPr>
    </w:p>
    <w:p w14:paraId="6E4A2946" w14:textId="2D51EDB2" w:rsidR="00BD36E6" w:rsidRDefault="004B7CE2" w:rsidP="00A45AC4">
      <w:pPr>
        <w:pStyle w:val="NoSpacing"/>
        <w:ind w:left="720"/>
      </w:pPr>
      <w:r>
        <w:t xml:space="preserve">You were very wrong to trust such a man with such an amount… we believe he is not deserving of any </w:t>
      </w:r>
      <w:proofErr w:type="gramStart"/>
      <w:r>
        <w:t>credit</w:t>
      </w:r>
      <w:proofErr w:type="gramEnd"/>
      <w:r>
        <w:t xml:space="preserve"> and we think this should be well known by everybody</w:t>
      </w:r>
      <w:r w:rsidR="00A45AC4">
        <w:t>.</w:t>
      </w:r>
      <w:r w:rsidR="00A45AC4">
        <w:rPr>
          <w:rStyle w:val="FootnoteReference"/>
        </w:rPr>
        <w:footnoteReference w:id="462"/>
      </w:r>
      <w:r w:rsidR="00A45AC4">
        <w:t xml:space="preserve"> </w:t>
      </w:r>
      <w:r w:rsidR="001169F3">
        <w:t xml:space="preserve"> </w:t>
      </w:r>
    </w:p>
    <w:p w14:paraId="5AE67EC6" w14:textId="77777777" w:rsidR="00BD36E6" w:rsidRDefault="00BD36E6" w:rsidP="00A45AC4">
      <w:pPr>
        <w:pStyle w:val="NoSpacing"/>
        <w:ind w:left="720"/>
      </w:pPr>
    </w:p>
    <w:p w14:paraId="5B0B30A0" w14:textId="3374DB7C" w:rsidR="005A05DF" w:rsidRPr="004A3F5F" w:rsidRDefault="00BD36E6" w:rsidP="00426604">
      <w:pPr>
        <w:pStyle w:val="NoSpacing"/>
      </w:pPr>
      <w:r>
        <w:t>This example illustrate</w:t>
      </w:r>
      <w:r w:rsidR="003953D5">
        <w:t>s</w:t>
      </w:r>
      <w:r>
        <w:t xml:space="preserve"> the </w:t>
      </w:r>
      <w:r w:rsidR="00F21DF4">
        <w:t>consequences and financial loss that Mr</w:t>
      </w:r>
      <w:r w:rsidR="00C50771">
        <w:t>.</w:t>
      </w:r>
      <w:r w:rsidR="00F21DF4">
        <w:t xml:space="preserve"> Skipwith ha</w:t>
      </w:r>
      <w:r w:rsidR="009E2262">
        <w:t>d</w:t>
      </w:r>
      <w:r w:rsidR="00F21DF4">
        <w:t xml:space="preserve"> suffered by placing his trust in Mr</w:t>
      </w:r>
      <w:r w:rsidR="00C50771">
        <w:t>.</w:t>
      </w:r>
      <w:r w:rsidR="00F21DF4">
        <w:t xml:space="preserve"> Wood(s)</w:t>
      </w:r>
      <w:r w:rsidR="005A05DF" w:rsidRPr="004A3F5F">
        <w:t xml:space="preserve"> </w:t>
      </w:r>
      <w:r w:rsidR="009E2262">
        <w:t xml:space="preserve">but that the Evans family were in some part questioning the judgement of </w:t>
      </w:r>
      <w:r w:rsidR="009E2262">
        <w:lastRenderedPageBreak/>
        <w:t>Skipwith</w:t>
      </w:r>
      <w:r w:rsidR="003E5F3C">
        <w:t xml:space="preserve">. </w:t>
      </w:r>
      <w:r w:rsidR="00426604">
        <w:t>The ripple effect of Mr</w:t>
      </w:r>
      <w:r w:rsidR="00C50771">
        <w:t>.</w:t>
      </w:r>
      <w:r w:rsidR="00426604">
        <w:t xml:space="preserve"> Skipwith’s lack of judgement and Mr</w:t>
      </w:r>
      <w:r w:rsidR="00C50771">
        <w:t>.</w:t>
      </w:r>
      <w:r w:rsidR="00426604">
        <w:t xml:space="preserve"> Wood(s) dishonesty was that the close connections of the men were negatively affected both financially and the Evans family were impacted by needing to devote their time and energies in supporting Mr</w:t>
      </w:r>
      <w:r w:rsidR="00C50771">
        <w:t>.</w:t>
      </w:r>
      <w:r w:rsidR="00426604">
        <w:t xml:space="preserve"> Skipwith with his predicament. The actions of these men were therefore felt throughout the wider network. </w:t>
      </w:r>
      <w:r w:rsidR="00BA5CC7">
        <w:t xml:space="preserve">This is one of many examples where the network members fell short of </w:t>
      </w:r>
      <w:r w:rsidR="00E371E2">
        <w:t>conforming to the codes of conduct required of them and highlights the</w:t>
      </w:r>
      <w:r w:rsidR="00231BE0">
        <w:t xml:space="preserve"> disadvantage of not approaching </w:t>
      </w:r>
      <w:r w:rsidR="008711CD">
        <w:t xml:space="preserve">business exchange relationships with care and caution. </w:t>
      </w:r>
      <w:r w:rsidR="009E2262">
        <w:t xml:space="preserve"> </w:t>
      </w:r>
    </w:p>
    <w:p w14:paraId="3DB0DD3E" w14:textId="77777777" w:rsidR="001E6861" w:rsidRDefault="001E6861" w:rsidP="005A05DF">
      <w:pPr>
        <w:pStyle w:val="NoSpacing"/>
        <w:rPr>
          <w:b/>
          <w:bCs/>
          <w:i/>
          <w:iCs/>
        </w:rPr>
      </w:pPr>
    </w:p>
    <w:p w14:paraId="0A7E3928" w14:textId="698F68B5" w:rsidR="005A05DF" w:rsidRPr="002F6684" w:rsidRDefault="005A05DF" w:rsidP="005A05DF">
      <w:pPr>
        <w:pStyle w:val="NoSpacing"/>
        <w:rPr>
          <w:b/>
          <w:bCs/>
          <w:i/>
          <w:iCs/>
        </w:rPr>
      </w:pPr>
      <w:r w:rsidRPr="002F6684">
        <w:rPr>
          <w:b/>
          <w:bCs/>
          <w:i/>
          <w:iCs/>
        </w:rPr>
        <w:t>Risk</w:t>
      </w:r>
    </w:p>
    <w:p w14:paraId="292CA461" w14:textId="2215CC3C" w:rsidR="00C0678D" w:rsidRDefault="009F31B6" w:rsidP="007D1EF8">
      <w:pPr>
        <w:pStyle w:val="NoSpacing"/>
      </w:pPr>
      <w:r>
        <w:t>What the example of the situation regarding Mr</w:t>
      </w:r>
      <w:r w:rsidR="00C50771">
        <w:t>.</w:t>
      </w:r>
      <w:r>
        <w:t xml:space="preserve"> Skipwith and Mr</w:t>
      </w:r>
      <w:r w:rsidR="00C50771">
        <w:t>.</w:t>
      </w:r>
      <w:r>
        <w:t xml:space="preserve"> Wood(s) highlights is that each firm within the network w</w:t>
      </w:r>
      <w:r w:rsidR="007D1EF8">
        <w:t>as</w:t>
      </w:r>
      <w:r>
        <w:t xml:space="preserve"> responsible </w:t>
      </w:r>
      <w:r w:rsidR="0012154E" w:rsidRPr="00562549">
        <w:rPr>
          <w:color w:val="000000" w:themeColor="text1"/>
        </w:rPr>
        <w:t>for</w:t>
      </w:r>
      <w:r w:rsidRPr="00C62FE1">
        <w:rPr>
          <w:color w:val="FF0000"/>
        </w:rPr>
        <w:t xml:space="preserve"> </w:t>
      </w:r>
      <w:r>
        <w:t>assessing the potential risks that were posed to their firms and the network as a whole. It was not simply the dishonesty of network actors such as Mr</w:t>
      </w:r>
      <w:r w:rsidR="00C50771">
        <w:t>.</w:t>
      </w:r>
      <w:r>
        <w:t xml:space="preserve"> Wood(s) or the lack of quality risk assessment of moral hazards by actors like Mr</w:t>
      </w:r>
      <w:r w:rsidR="00C50771">
        <w:t>.</w:t>
      </w:r>
      <w:r>
        <w:t xml:space="preserve"> Skipwith that threatened the smooth operation and potential growth of cotton factories within Derbyshire and Lancashire – natural hazards were also a risk to the firms. Peter Mathias has highlighted three core risk types present during early modern enterprise: moral hazard, natural hazard, and technical hazard.</w:t>
      </w:r>
      <w:r>
        <w:rPr>
          <w:rStyle w:val="FootnoteReference"/>
        </w:rPr>
        <w:footnoteReference w:id="463"/>
      </w:r>
      <w:r w:rsidR="007D1EF8">
        <w:t xml:space="preserve"> </w:t>
      </w:r>
      <w:r>
        <w:t xml:space="preserve">Firms within the networks </w:t>
      </w:r>
      <w:r w:rsidR="005A05DF" w:rsidRPr="004A3F5F">
        <w:t>encountered such issues, including</w:t>
      </w:r>
      <w:r>
        <w:t xml:space="preserve"> dishonesty, incompetence,</w:t>
      </w:r>
      <w:r w:rsidR="005A05DF" w:rsidRPr="004A3F5F">
        <w:t xml:space="preserve"> bankruptcy</w:t>
      </w:r>
      <w:r>
        <w:t>,</w:t>
      </w:r>
      <w:r w:rsidR="005A05DF" w:rsidRPr="004A3F5F">
        <w:t xml:space="preserve"> legal disputes, which, while not the norm, were not uncommon</w:t>
      </w:r>
      <w:r w:rsidR="005A05DF">
        <w:t xml:space="preserve">. The chapter will focus </w:t>
      </w:r>
      <w:r w:rsidR="005A05DF" w:rsidRPr="004A3F5F">
        <w:t>on</w:t>
      </w:r>
      <w:r>
        <w:t xml:space="preserve"> how the networks dealt with untrustworthiness, and how they approached </w:t>
      </w:r>
      <w:r w:rsidR="005A05DF" w:rsidRPr="004A3F5F">
        <w:t xml:space="preserve">dispute </w:t>
      </w:r>
      <w:r w:rsidR="005A05DF">
        <w:t>resolution</w:t>
      </w:r>
      <w:r>
        <w:t>s</w:t>
      </w:r>
      <w:r w:rsidR="005A05DF">
        <w:t xml:space="preserve">, arbitration, and </w:t>
      </w:r>
      <w:r>
        <w:t xml:space="preserve">explore what the </w:t>
      </w:r>
      <w:r w:rsidR="005A05DF">
        <w:t>firms' risk management strategies</w:t>
      </w:r>
      <w:r>
        <w:t xml:space="preserve"> were</w:t>
      </w:r>
      <w:r w:rsidR="005A05DF">
        <w:t>.</w:t>
      </w:r>
      <w:r w:rsidR="005A05DF" w:rsidRPr="00135C50">
        <w:t xml:space="preserve"> </w:t>
      </w:r>
      <w:r w:rsidR="005A05DF" w:rsidRPr="004A3F5F">
        <w:t>Haggerty has suggested that by the middle of the eighteenth century, the notion of risk management was a concept that was understood well.</w:t>
      </w:r>
      <w:r w:rsidR="00681866">
        <w:rPr>
          <w:rStyle w:val="FootnoteReference"/>
        </w:rPr>
        <w:footnoteReference w:id="464"/>
      </w:r>
      <w:r w:rsidR="005A05DF" w:rsidRPr="004A3F5F">
        <w:t xml:space="preserve"> Like trust, she sees risk and risk management as an emotive process immersed in the specific network's culture.</w:t>
      </w:r>
      <w:r w:rsidR="005A05DF">
        <w:t xml:space="preserve"> I will ask whether this understanding reflects the findings of this chapter. </w:t>
      </w:r>
      <w:r w:rsidR="009551CD">
        <w:t>The chapter will consider what types of risks, including the moral hazards and behaviours of the network members</w:t>
      </w:r>
      <w:r w:rsidR="0012154E">
        <w:t xml:space="preserve"> </w:t>
      </w:r>
      <w:r w:rsidR="009551CD">
        <w:t>faced and</w:t>
      </w:r>
      <w:r w:rsidR="009551CD" w:rsidRPr="004A3F5F">
        <w:t xml:space="preserve"> how the networks</w:t>
      </w:r>
      <w:r w:rsidR="009551CD">
        <w:t xml:space="preserve"> and management structures</w:t>
      </w:r>
      <w:r w:rsidR="009551CD" w:rsidRPr="004A3F5F">
        <w:t xml:space="preserve"> effectively managed</w:t>
      </w:r>
      <w:r w:rsidR="009551CD">
        <w:t xml:space="preserve"> these hazards. </w:t>
      </w:r>
      <w:r w:rsidR="005A05DF">
        <w:t xml:space="preserve">I will then reflect upon natural and technical hazards, which all combined to make the cotton industry a risky enterprise at the end of the eighteenth and beginning of the nineteenth century. </w:t>
      </w:r>
    </w:p>
    <w:p w14:paraId="23F27EF1" w14:textId="77777777" w:rsidR="00C50771" w:rsidRDefault="00C50771" w:rsidP="007D1EF8">
      <w:pPr>
        <w:pStyle w:val="NoSpacing"/>
      </w:pPr>
    </w:p>
    <w:p w14:paraId="2026D5DE" w14:textId="78DFBA50" w:rsidR="005A05DF" w:rsidRPr="00F15833" w:rsidRDefault="005A05DF" w:rsidP="00F15833">
      <w:pPr>
        <w:pStyle w:val="Heading2"/>
        <w:rPr>
          <w:rFonts w:asciiTheme="minorHAnsi" w:hAnsiTheme="minorHAnsi" w:cstheme="minorHAnsi"/>
          <w:b/>
          <w:bCs/>
          <w:color w:val="auto"/>
          <w:sz w:val="24"/>
          <w:szCs w:val="24"/>
        </w:rPr>
      </w:pPr>
      <w:bookmarkStart w:id="147" w:name="_Toc170825690"/>
      <w:r w:rsidRPr="00F15833">
        <w:rPr>
          <w:rFonts w:asciiTheme="minorHAnsi" w:hAnsiTheme="minorHAnsi" w:cstheme="minorHAnsi"/>
          <w:b/>
          <w:bCs/>
          <w:color w:val="auto"/>
          <w:sz w:val="24"/>
          <w:szCs w:val="24"/>
        </w:rPr>
        <w:t>Managing the Untrustworthy Network Members</w:t>
      </w:r>
      <w:r w:rsidR="009551CD">
        <w:rPr>
          <w:rFonts w:asciiTheme="minorHAnsi" w:hAnsiTheme="minorHAnsi" w:cstheme="minorHAnsi"/>
          <w:b/>
          <w:bCs/>
          <w:color w:val="auto"/>
          <w:sz w:val="24"/>
          <w:szCs w:val="24"/>
        </w:rPr>
        <w:t>: Moral Hazards</w:t>
      </w:r>
      <w:bookmarkEnd w:id="147"/>
      <w:r w:rsidRPr="00F15833">
        <w:rPr>
          <w:rFonts w:asciiTheme="minorHAnsi" w:hAnsiTheme="minorHAnsi" w:cstheme="minorHAnsi"/>
          <w:b/>
          <w:bCs/>
          <w:color w:val="auto"/>
          <w:sz w:val="24"/>
          <w:szCs w:val="24"/>
        </w:rPr>
        <w:t xml:space="preserve"> </w:t>
      </w:r>
    </w:p>
    <w:p w14:paraId="06F1449A" w14:textId="77777777" w:rsidR="005A05DF" w:rsidRDefault="005A05DF" w:rsidP="005A05DF">
      <w:pPr>
        <w:pStyle w:val="NoSpacing"/>
        <w:rPr>
          <w:b/>
          <w:bCs/>
          <w:i/>
          <w:iCs/>
        </w:rPr>
      </w:pPr>
      <w:r w:rsidRPr="009551CD">
        <w:rPr>
          <w:b/>
          <w:bCs/>
          <w:i/>
          <w:iCs/>
        </w:rPr>
        <w:t>Reproaching Deviations in Conduct</w:t>
      </w:r>
    </w:p>
    <w:p w14:paraId="7EDE73F7" w14:textId="77777777" w:rsidR="00C50771" w:rsidRPr="009551CD" w:rsidRDefault="00C50771" w:rsidP="005A05DF">
      <w:pPr>
        <w:pStyle w:val="NoSpacing"/>
        <w:rPr>
          <w:b/>
          <w:bCs/>
          <w:i/>
          <w:iCs/>
        </w:rPr>
      </w:pPr>
    </w:p>
    <w:p w14:paraId="16AA4001" w14:textId="71DD78DF" w:rsidR="005A05DF" w:rsidRDefault="005A05DF" w:rsidP="005A05DF">
      <w:pPr>
        <w:pStyle w:val="NoSpacing"/>
      </w:pPr>
      <w:r>
        <w:t xml:space="preserve">Many members and potential members of </w:t>
      </w:r>
      <w:r w:rsidR="0012154E" w:rsidRPr="00562549">
        <w:rPr>
          <w:color w:val="000000" w:themeColor="text1"/>
        </w:rPr>
        <w:t xml:space="preserve">cotton-spinning </w:t>
      </w:r>
      <w:r>
        <w:t xml:space="preserve">networks found it difficult to live up to the expectations placed upon them, and some acted in opportunistic and self-benefiting ways rather than for the good of the collective. Some network members took it upon themselves to define the collective duties of network members and offer corrective solutions to those who had deviated too far from the ideal code of conduct. Sometimes, the threat of legal action was enough to prompt an appropriate response in the business exchange partner to correct a situation that broke the network’s code of conduct. </w:t>
      </w:r>
      <w:bookmarkStart w:id="148" w:name="_Hlk170473253"/>
      <w:r w:rsidRPr="00562549">
        <w:rPr>
          <w:color w:val="000000" w:themeColor="text1"/>
        </w:rPr>
        <w:t>In April 1788, W. Evans &amp; Co. wrote to</w:t>
      </w:r>
      <w:r w:rsidR="00A155DF" w:rsidRPr="00562549">
        <w:rPr>
          <w:color w:val="000000" w:themeColor="text1"/>
        </w:rPr>
        <w:t xml:space="preserve"> </w:t>
      </w:r>
      <w:r w:rsidRPr="00562549">
        <w:rPr>
          <w:color w:val="000000" w:themeColor="text1"/>
        </w:rPr>
        <w:t xml:space="preserve">Mr. Robert Norris of Manchester </w:t>
      </w:r>
      <w:r w:rsidR="00A40540" w:rsidRPr="00562549">
        <w:rPr>
          <w:color w:val="000000" w:themeColor="text1"/>
        </w:rPr>
        <w:t>on behalf of their agent John Pendlebury. The letter r</w:t>
      </w:r>
      <w:r w:rsidRPr="00562549">
        <w:rPr>
          <w:color w:val="000000" w:themeColor="text1"/>
        </w:rPr>
        <w:t>eject</w:t>
      </w:r>
      <w:r w:rsidR="00A40540" w:rsidRPr="00562549">
        <w:rPr>
          <w:color w:val="000000" w:themeColor="text1"/>
        </w:rPr>
        <w:t>ed</w:t>
      </w:r>
      <w:r w:rsidR="00B41C41" w:rsidRPr="00562549">
        <w:rPr>
          <w:color w:val="000000" w:themeColor="text1"/>
        </w:rPr>
        <w:t xml:space="preserve"> </w:t>
      </w:r>
      <w:r w:rsidR="00A40540" w:rsidRPr="00562549">
        <w:rPr>
          <w:color w:val="000000" w:themeColor="text1"/>
        </w:rPr>
        <w:t>Norris’</w:t>
      </w:r>
      <w:r w:rsidRPr="00562549">
        <w:rPr>
          <w:color w:val="000000" w:themeColor="text1"/>
        </w:rPr>
        <w:t xml:space="preserve"> offer of payment that </w:t>
      </w:r>
      <w:r w:rsidR="00A40540" w:rsidRPr="00562549">
        <w:rPr>
          <w:color w:val="000000" w:themeColor="text1"/>
        </w:rPr>
        <w:t>included</w:t>
      </w:r>
      <w:r w:rsidRPr="00562549">
        <w:rPr>
          <w:color w:val="000000" w:themeColor="text1"/>
        </w:rPr>
        <w:t xml:space="preserve"> a</w:t>
      </w:r>
      <w:r w:rsidR="00A40540" w:rsidRPr="00562549">
        <w:rPr>
          <w:color w:val="000000" w:themeColor="text1"/>
        </w:rPr>
        <w:t xml:space="preserve"> self-applied</w:t>
      </w:r>
      <w:r w:rsidRPr="00562549">
        <w:rPr>
          <w:color w:val="000000" w:themeColor="text1"/>
        </w:rPr>
        <w:t xml:space="preserve"> discount to the actual amount</w:t>
      </w:r>
      <w:r w:rsidR="00A40540" w:rsidRPr="00562549">
        <w:rPr>
          <w:color w:val="000000" w:themeColor="text1"/>
        </w:rPr>
        <w:t xml:space="preserve"> owed</w:t>
      </w:r>
      <w:r w:rsidRPr="00562549">
        <w:rPr>
          <w:color w:val="000000" w:themeColor="text1"/>
        </w:rPr>
        <w:t xml:space="preserve"> to Pendlebury.</w:t>
      </w:r>
      <w:r w:rsidR="00D46041" w:rsidRPr="00562549">
        <w:rPr>
          <w:rStyle w:val="FootnoteReference"/>
          <w:color w:val="000000" w:themeColor="text1"/>
        </w:rPr>
        <w:footnoteReference w:id="465"/>
      </w:r>
      <w:r w:rsidRPr="00562549">
        <w:rPr>
          <w:color w:val="000000" w:themeColor="text1"/>
        </w:rPr>
        <w:t xml:space="preserve"> </w:t>
      </w:r>
      <w:r w:rsidR="00A40540" w:rsidRPr="00562549">
        <w:rPr>
          <w:color w:val="000000" w:themeColor="text1"/>
        </w:rPr>
        <w:t>W. Evans &amp; Co.</w:t>
      </w:r>
      <w:r w:rsidRPr="00562549">
        <w:rPr>
          <w:color w:val="000000" w:themeColor="text1"/>
        </w:rPr>
        <w:t xml:space="preserve"> returned the bill and clarified that if </w:t>
      </w:r>
      <w:r w:rsidR="00A40540" w:rsidRPr="00562549">
        <w:rPr>
          <w:color w:val="000000" w:themeColor="text1"/>
        </w:rPr>
        <w:t xml:space="preserve">full </w:t>
      </w:r>
      <w:r w:rsidRPr="00562549">
        <w:rPr>
          <w:color w:val="000000" w:themeColor="text1"/>
        </w:rPr>
        <w:t xml:space="preserve">payment was not received </w:t>
      </w:r>
      <w:r w:rsidR="00A40540" w:rsidRPr="00562549">
        <w:rPr>
          <w:color w:val="000000" w:themeColor="text1"/>
        </w:rPr>
        <w:t xml:space="preserve">by themselves or Pendlebury by the next </w:t>
      </w:r>
      <w:r w:rsidRPr="00562549">
        <w:rPr>
          <w:color w:val="000000" w:themeColor="text1"/>
        </w:rPr>
        <w:t>few posts, the matter would be referred to their attorney</w:t>
      </w:r>
      <w:r w:rsidR="00A40540" w:rsidRPr="00562549">
        <w:rPr>
          <w:color w:val="000000" w:themeColor="text1"/>
        </w:rPr>
        <w:t>.</w:t>
      </w:r>
      <w:r w:rsidRPr="00562549">
        <w:rPr>
          <w:color w:val="000000" w:themeColor="text1"/>
        </w:rPr>
        <w:t xml:space="preserve"> </w:t>
      </w:r>
      <w:r w:rsidR="00A40540" w:rsidRPr="00562549">
        <w:rPr>
          <w:color w:val="000000" w:themeColor="text1"/>
        </w:rPr>
        <w:t>If this was necessary then,</w:t>
      </w:r>
      <w:r w:rsidRPr="00562549">
        <w:rPr>
          <w:color w:val="000000" w:themeColor="text1"/>
        </w:rPr>
        <w:t xml:space="preserve"> legal proceedings would be brought against Robert Norris.</w:t>
      </w:r>
      <w:r w:rsidR="00BF4FC7" w:rsidRPr="00562549">
        <w:rPr>
          <w:rStyle w:val="FootnoteReference"/>
          <w:color w:val="000000" w:themeColor="text1"/>
        </w:rPr>
        <w:footnoteReference w:id="466"/>
      </w:r>
      <w:r w:rsidR="00A155DF" w:rsidRPr="00562549">
        <w:rPr>
          <w:color w:val="000000" w:themeColor="text1"/>
        </w:rPr>
        <w:t xml:space="preserve"> </w:t>
      </w:r>
      <w:bookmarkEnd w:id="148"/>
      <w:r>
        <w:t xml:space="preserve">Ultimately, this was unnecessary, and the matter was resolved without legal resolution. This example highlights that the Evans family was keen to exercise their authority within the network and that Robert Norris was expected to comply with his obligations. There is a suggestion within the tone of this letter, combined with the fact that the Evans family </w:t>
      </w:r>
      <w:r>
        <w:lastRenderedPageBreak/>
        <w:t xml:space="preserve">appear to be acting on behalf of John Pendlebury, that the Evans family held a significant amount of power and control to ensure that Robert Norris did not deviate far from the expected conduct. </w:t>
      </w:r>
    </w:p>
    <w:p w14:paraId="1C66114D" w14:textId="77777777" w:rsidR="005A05DF" w:rsidRDefault="005A05DF" w:rsidP="005A05DF">
      <w:pPr>
        <w:pStyle w:val="NoSpacing"/>
      </w:pPr>
    </w:p>
    <w:p w14:paraId="12B26D86" w14:textId="2B2749BB" w:rsidR="005A05DF" w:rsidRDefault="005A05DF" w:rsidP="005A05DF">
      <w:pPr>
        <w:pStyle w:val="NoSpacing"/>
      </w:pPr>
      <w:r>
        <w:t>This was not the only occasion where the Evans family firm acted to resolve a minor situation before it became a major problem. Some situations and emerging issues stemmed from honest mistakes, which could easily be resolved through swift correction. In contrast, other situations warranted more in-depth scrutiny, uncovering deviations that occasionally arose from genuine errors. However, there were instances when these errors were concealed by deceptive actions, escalating the severity of the matter. For more significant issues, it became imperative for network members to be held accountable for their questionable conduct</w:t>
      </w:r>
      <w:r w:rsidR="007D1EF8">
        <w:t>, as this would minimise the ripple effects across the network.</w:t>
      </w:r>
      <w:r>
        <w:t xml:space="preserve"> The network needed to prioritise trustworthiness and maintain a reputation of integrity among its members. In this context, Samuel Wagstaff, representing the Evans family, composed a letter addressed to</w:t>
      </w:r>
      <w:r w:rsidR="00A155DF">
        <w:t xml:space="preserve"> one of W. Evans &amp; Co.’s </w:t>
      </w:r>
      <w:r w:rsidR="007D1EF8">
        <w:t xml:space="preserve">sales </w:t>
      </w:r>
      <w:r w:rsidR="00A155DF">
        <w:t>agent</w:t>
      </w:r>
      <w:r w:rsidR="007D1EF8">
        <w:t>s</w:t>
      </w:r>
      <w:r w:rsidR="00A155DF">
        <w:t xml:space="preserve"> in Manchester,</w:t>
      </w:r>
      <w:r w:rsidR="007D1EF8">
        <w:t xml:space="preserve"> the firm of</w:t>
      </w:r>
      <w:r>
        <w:t xml:space="preserve"> Messrs. Whitfield &amp; Co. in Manchester</w:t>
      </w:r>
      <w:r w:rsidR="007D1EF8">
        <w:t>.</w:t>
      </w:r>
      <w:r w:rsidR="009C5321">
        <w:rPr>
          <w:rStyle w:val="FootnoteReference"/>
        </w:rPr>
        <w:footnoteReference w:id="467"/>
      </w:r>
      <w:r w:rsidR="007D1EF8">
        <w:t xml:space="preserve"> Th</w:t>
      </w:r>
      <w:r w:rsidR="009C5321">
        <w:t>is</w:t>
      </w:r>
      <w:r w:rsidR="007D1EF8">
        <w:t xml:space="preserve"> letter</w:t>
      </w:r>
      <w:r w:rsidR="009C5321">
        <w:t xml:space="preserve">, penned in May 1788, </w:t>
      </w:r>
      <w:r>
        <w:t>focus</w:t>
      </w:r>
      <w:r w:rsidR="007D1EF8">
        <w:t>ed</w:t>
      </w:r>
      <w:r>
        <w:t xml:space="preserve"> on Mr. Pemberton's behaviour and an unresolved dispute over cotton twist payment.</w:t>
      </w:r>
      <w:r w:rsidR="00BF2CB4">
        <w:rPr>
          <w:rStyle w:val="FootnoteReference"/>
        </w:rPr>
        <w:footnoteReference w:id="468"/>
      </w:r>
      <w:r>
        <w:t xml:space="preserve"> Wagstaff conveyed that Mr. Evans had previously attempted direct communication with Pemberton. Consequently, he urged Whitfield to demand an explanation from Pemberton regarding the lingering matter and outstanding payments owed. The resulting explanation would, therefore, determine how questionable Mr. Pemberton’s conduct had been and clarify whether there was a need to pursue the matter further. This letter shows that on this occasion, the trusted relationship between Whitfield and Evans enabled their mutual trust to be transferred into action for the mutual benefit of the whole network. The Evans family placed their faith in Messrs. Whitfield to resolve the situation</w:t>
      </w:r>
      <w:r w:rsidR="007D1EF8">
        <w:t>, showing that the high level of trust in their sales agent remained strong</w:t>
      </w:r>
      <w:r>
        <w:t xml:space="preserve">. </w:t>
      </w:r>
    </w:p>
    <w:p w14:paraId="62206A25" w14:textId="77777777" w:rsidR="005A05DF" w:rsidRDefault="005A05DF" w:rsidP="005A05DF">
      <w:pPr>
        <w:pStyle w:val="NoSpacing"/>
      </w:pPr>
    </w:p>
    <w:p w14:paraId="1094FDB0" w14:textId="43D6A943" w:rsidR="005A05DF" w:rsidRDefault="005A05DF" w:rsidP="005A05DF">
      <w:pPr>
        <w:pStyle w:val="NoSpacing"/>
      </w:pPr>
      <w:r>
        <w:t xml:space="preserve">The Evans family also took it upon themselves to reproach other mill owners when their conduct fell short of their expectations. Owners and managers were responsible for maintaining their firm’s positive reputation and building trust with other cotton-spinning firms regardless of size and location. This built goodwill and potential cooperation for future business dealings should any arise. The employment of mill workers was a potential area of dispute if workers left with their expertise and joined other firms. The factory masters network established a working code of conduct for employers wanting to employ another mill’s workers. A potential employer was expected to contact a previous or existing employer of the workers seeking employment to check that they were properly skilled and possessed good character. Also, they were to establish that the workers were contractually free to seek new employment. </w:t>
      </w:r>
      <w:r w:rsidRPr="00562549">
        <w:rPr>
          <w:color w:val="000000" w:themeColor="text1"/>
        </w:rPr>
        <w:t>A 1787 correspondence between W. Evans &amp; Co. and Messrs. Bott &amp; Co. of Tutbury discusses the proper conduct required of cotton masters, as employers, concerning their recruitment of mill hands.</w:t>
      </w:r>
      <w:r w:rsidR="005B4563" w:rsidRPr="00562549">
        <w:rPr>
          <w:rStyle w:val="FootnoteReference"/>
          <w:color w:val="000000" w:themeColor="text1"/>
        </w:rPr>
        <w:footnoteReference w:id="469"/>
      </w:r>
      <w:r w:rsidRPr="00562549">
        <w:rPr>
          <w:color w:val="000000" w:themeColor="text1"/>
        </w:rPr>
        <w:t xml:space="preserve"> </w:t>
      </w:r>
      <w:r>
        <w:t>No employee moving between cotton mills should be employed without a written character reference from the previous employer. In June 1795, W. Evans &amp; Co. felt obliged to write to both John and James Robinson at their mills in Bulwell and Papplewick, enquiring about their intentions regarding the poaching of their staff.</w:t>
      </w:r>
      <w:r w:rsidR="00E260B4">
        <w:rPr>
          <w:rStyle w:val="FootnoteReference"/>
        </w:rPr>
        <w:footnoteReference w:id="470"/>
      </w:r>
      <w:r>
        <w:t xml:space="preserve"> This letter followed the actions of a widow, Margaret Holmes, removing her children from the Boar’s Head</w:t>
      </w:r>
      <w:r w:rsidR="00BA1E1F">
        <w:t xml:space="preserve"> Cotton</w:t>
      </w:r>
      <w:r>
        <w:t xml:space="preserve"> Mills employment and applying for work at the Bulwell and Papplewick mills owned by the Robinsons.</w:t>
      </w:r>
      <w:r w:rsidR="007D1EF8">
        <w:rPr>
          <w:rStyle w:val="FootnoteReference"/>
        </w:rPr>
        <w:footnoteReference w:id="471"/>
      </w:r>
      <w:r>
        <w:t xml:space="preserve"> The letter states that the Evans family mill owners were not concerned about Margaret Holmes and her children specifically but that if this became a trend and they lost more workers that they had taken the trouble and expense to train, they would be unhappy with Robinson’s conduct.</w:t>
      </w:r>
    </w:p>
    <w:p w14:paraId="3ED50029" w14:textId="77777777" w:rsidR="005A05DF" w:rsidRDefault="005A05DF" w:rsidP="005A05DF">
      <w:pPr>
        <w:pStyle w:val="NoSpacing"/>
      </w:pPr>
    </w:p>
    <w:p w14:paraId="0C73F9B8" w14:textId="61476CC7" w:rsidR="005A05DF" w:rsidRDefault="005A05DF" w:rsidP="005A05DF">
      <w:pPr>
        <w:pStyle w:val="NoSpacing"/>
        <w:rPr>
          <w:b/>
          <w:bCs/>
          <w:i/>
          <w:iCs/>
        </w:rPr>
      </w:pPr>
      <w:r w:rsidRPr="009551CD">
        <w:rPr>
          <w:b/>
          <w:bCs/>
          <w:i/>
          <w:iCs/>
        </w:rPr>
        <w:lastRenderedPageBreak/>
        <w:t xml:space="preserve">Managing </w:t>
      </w:r>
      <w:r w:rsidR="00D9155F" w:rsidRPr="009551CD">
        <w:rPr>
          <w:b/>
          <w:bCs/>
          <w:i/>
          <w:iCs/>
        </w:rPr>
        <w:t>U</w:t>
      </w:r>
      <w:r w:rsidRPr="009551CD">
        <w:rPr>
          <w:b/>
          <w:bCs/>
          <w:i/>
          <w:iCs/>
        </w:rPr>
        <w:t xml:space="preserve">ntrustworthy </w:t>
      </w:r>
      <w:r w:rsidR="00D9155F" w:rsidRPr="009551CD">
        <w:rPr>
          <w:b/>
          <w:bCs/>
          <w:i/>
          <w:iCs/>
        </w:rPr>
        <w:t>B</w:t>
      </w:r>
      <w:r w:rsidRPr="009551CD">
        <w:rPr>
          <w:b/>
          <w:bCs/>
          <w:i/>
          <w:iCs/>
        </w:rPr>
        <w:t xml:space="preserve">usiness </w:t>
      </w:r>
      <w:r w:rsidR="00D9155F" w:rsidRPr="009551CD">
        <w:rPr>
          <w:b/>
          <w:bCs/>
          <w:i/>
          <w:iCs/>
        </w:rPr>
        <w:t>E</w:t>
      </w:r>
      <w:r w:rsidRPr="009551CD">
        <w:rPr>
          <w:b/>
          <w:bCs/>
          <w:i/>
          <w:iCs/>
        </w:rPr>
        <w:t xml:space="preserve">xchange </w:t>
      </w:r>
      <w:r w:rsidR="00D9155F" w:rsidRPr="009551CD">
        <w:rPr>
          <w:b/>
          <w:bCs/>
          <w:i/>
          <w:iCs/>
        </w:rPr>
        <w:t>P</w:t>
      </w:r>
      <w:r w:rsidRPr="009551CD">
        <w:rPr>
          <w:b/>
          <w:bCs/>
          <w:i/>
          <w:iCs/>
        </w:rPr>
        <w:t>artners</w:t>
      </w:r>
    </w:p>
    <w:p w14:paraId="1E32FEA9" w14:textId="77777777" w:rsidR="007A49DB" w:rsidRPr="009551CD" w:rsidRDefault="007A49DB" w:rsidP="005A05DF">
      <w:pPr>
        <w:pStyle w:val="NoSpacing"/>
        <w:rPr>
          <w:b/>
          <w:bCs/>
          <w:i/>
          <w:iCs/>
        </w:rPr>
      </w:pPr>
    </w:p>
    <w:p w14:paraId="1DCEA3D0" w14:textId="5B0967AB" w:rsidR="005A05DF" w:rsidRDefault="005A05DF" w:rsidP="005A05DF">
      <w:pPr>
        <w:pStyle w:val="NoSpacing"/>
      </w:pPr>
      <w:r>
        <w:t xml:space="preserve">The cotton-spinning firms had to manage untrustworthy individuals and firms as their business exchange partners. Each firm adopted similar managing strategies for this type of moral hazard. In 1795, McConnel &amp; Kennedy had a challenging business relationship with </w:t>
      </w:r>
      <w:proofErr w:type="spellStart"/>
      <w:r>
        <w:t>Brundred</w:t>
      </w:r>
      <w:proofErr w:type="spellEnd"/>
      <w:r>
        <w:t xml:space="preserve">, Berisford &amp; Co. of </w:t>
      </w:r>
      <w:proofErr w:type="spellStart"/>
      <w:r>
        <w:t>Winkhill</w:t>
      </w:r>
      <w:proofErr w:type="spellEnd"/>
      <w:r>
        <w:t xml:space="preserve"> in Staffordshire.</w:t>
      </w:r>
      <w:r w:rsidR="00800B41">
        <w:rPr>
          <w:rStyle w:val="FootnoteReference"/>
        </w:rPr>
        <w:footnoteReference w:id="472"/>
      </w:r>
      <w:r>
        <w:t xml:space="preserve"> In March of that year, the firm had placed an order with James </w:t>
      </w:r>
      <w:proofErr w:type="spellStart"/>
      <w:r>
        <w:t>Brundred</w:t>
      </w:r>
      <w:proofErr w:type="spellEnd"/>
      <w:r>
        <w:t xml:space="preserve"> for mules equipped with rollers for their cotton spinning machinery. However, their optimism quickly turned to disappointment when, on the 10th of April</w:t>
      </w:r>
      <w:r w:rsidR="00DA2EC1">
        <w:t xml:space="preserve"> 1795</w:t>
      </w:r>
      <w:r>
        <w:t>, McConnel &amp; Kennedy penned a letter expressing their dissatisfaction.</w:t>
      </w:r>
      <w:r w:rsidR="007A49DB">
        <w:rPr>
          <w:rStyle w:val="FootnoteReference"/>
        </w:rPr>
        <w:footnoteReference w:id="473"/>
      </w:r>
      <w:r>
        <w:t xml:space="preserve"> The communication conveyed their profound disappointment in receiving mules without rollers and expressed their frustration with </w:t>
      </w:r>
      <w:proofErr w:type="spellStart"/>
      <w:r>
        <w:t>Brundred</w:t>
      </w:r>
      <w:proofErr w:type="spellEnd"/>
      <w:r>
        <w:t xml:space="preserve"> &amp; Co.'s failure to meet their obligations, falling significantly short of their expectations</w:t>
      </w:r>
      <w:r w:rsidRPr="00562549">
        <w:rPr>
          <w:color w:val="000000" w:themeColor="text1"/>
        </w:rPr>
        <w:t xml:space="preserve">. </w:t>
      </w:r>
      <w:bookmarkStart w:id="151" w:name="_Hlk170473441"/>
      <w:r w:rsidR="004435CC" w:rsidRPr="00562549">
        <w:rPr>
          <w:color w:val="000000" w:themeColor="text1"/>
        </w:rPr>
        <w:t>M</w:t>
      </w:r>
      <w:r w:rsidR="00C62FE1" w:rsidRPr="00562549">
        <w:rPr>
          <w:color w:val="000000" w:themeColor="text1"/>
        </w:rPr>
        <w:t>c</w:t>
      </w:r>
      <w:r w:rsidR="004435CC" w:rsidRPr="00562549">
        <w:rPr>
          <w:color w:val="000000" w:themeColor="text1"/>
        </w:rPr>
        <w:t xml:space="preserve">Connel &amp; Kennedy had expected </w:t>
      </w:r>
      <w:proofErr w:type="spellStart"/>
      <w:r w:rsidR="004435CC" w:rsidRPr="00562549">
        <w:rPr>
          <w:color w:val="000000" w:themeColor="text1"/>
        </w:rPr>
        <w:t>Brundred</w:t>
      </w:r>
      <w:proofErr w:type="spellEnd"/>
      <w:r w:rsidR="004435CC" w:rsidRPr="00562549">
        <w:rPr>
          <w:color w:val="000000" w:themeColor="text1"/>
        </w:rPr>
        <w:t xml:space="preserve"> &amp; Berisford to supply the rollers </w:t>
      </w:r>
      <w:bookmarkEnd w:id="151"/>
      <w:r w:rsidR="004435CC">
        <w:t xml:space="preserve">but due to a miscommunication, this did not occur. </w:t>
      </w:r>
      <w:r>
        <w:t xml:space="preserve">The letter read: </w:t>
      </w:r>
      <w:r w:rsidR="007C075C">
        <w:t>‘</w:t>
      </w:r>
      <w:r>
        <w:t>We find ourselves exceedingly badly used by your manner,</w:t>
      </w:r>
      <w:r w:rsidR="007C075C">
        <w:t>’</w:t>
      </w:r>
      <w:r>
        <w:t xml:space="preserve"> concluding with the remark, </w:t>
      </w:r>
      <w:r w:rsidR="007C075C">
        <w:t>‘</w:t>
      </w:r>
      <w:r>
        <w:t>P. S. We would have sent you a bill had you deserved one.</w:t>
      </w:r>
      <w:r w:rsidR="007C075C">
        <w:t>’</w:t>
      </w:r>
      <w:r w:rsidR="00E26D74">
        <w:rPr>
          <w:rStyle w:val="FootnoteReference"/>
        </w:rPr>
        <w:footnoteReference w:id="474"/>
      </w:r>
      <w:r>
        <w:t xml:space="preserve"> It </w:t>
      </w:r>
      <w:r w:rsidR="0068672C">
        <w:t>is</w:t>
      </w:r>
      <w:r>
        <w:t xml:space="preserve"> unmistakable from the letter that </w:t>
      </w:r>
      <w:proofErr w:type="spellStart"/>
      <w:r>
        <w:t>Brundred</w:t>
      </w:r>
      <w:proofErr w:type="spellEnd"/>
      <w:r>
        <w:t xml:space="preserve"> had failed to meet McConnel &amp; Kennedy's expectations. James </w:t>
      </w:r>
      <w:proofErr w:type="spellStart"/>
      <w:r>
        <w:t>Brundred</w:t>
      </w:r>
      <w:proofErr w:type="spellEnd"/>
      <w:r>
        <w:t xml:space="preserve"> had projected an untrustworthy image by failing to </w:t>
      </w:r>
      <w:proofErr w:type="spellStart"/>
      <w:r>
        <w:t>fulfill</w:t>
      </w:r>
      <w:proofErr w:type="spellEnd"/>
      <w:r>
        <w:t xml:space="preserve"> his firm’s promises, leaving their business partners feeling exploited. As the days passed, the business relationship became increasingly strained. Subsequent correspondence on the first of May revealed McConnel &amp; Kennedy's growing frustration as they sought answers about the status and whereabouts of their order and unfulfilled promises, which remained unresolved. To defuse the situation, McConnel &amp; Kennedy even offered to expedite payment if that was the cause of the continued delay in their order. They wrote, ‘We suppose by your indifference about our order is from fear of not being </w:t>
      </w:r>
      <w:proofErr w:type="spellStart"/>
      <w:r>
        <w:t>payed</w:t>
      </w:r>
      <w:proofErr w:type="spellEnd"/>
      <w:r>
        <w:t xml:space="preserve"> [sic]. But to make you easy in that respect… you shall have a bill.’</w:t>
      </w:r>
      <w:r w:rsidR="007C075C">
        <w:rPr>
          <w:rStyle w:val="FootnoteReference"/>
        </w:rPr>
        <w:footnoteReference w:id="475"/>
      </w:r>
      <w:r>
        <w:t xml:space="preserve"> In the business relationship between the two firms, McConnel &amp; Kennedy encountered a firm they perceived was untrustworthy, and they sought to manage this by expressing their disappointment to convey to </w:t>
      </w:r>
      <w:proofErr w:type="spellStart"/>
      <w:r>
        <w:t>Brundred</w:t>
      </w:r>
      <w:proofErr w:type="spellEnd"/>
      <w:r>
        <w:t xml:space="preserve"> the consequences of not fulfilling expectations. Then they offered payment, previously denied through frustration and disappointment, showing a relenting and conciliatory move on behalf of McConnel &amp; Kennedy to resolve the situation. The situation must have been resolved to both party's satisfaction as the two firms continued to be exchange partners throughout the rest of 1795 and into 1796.</w:t>
      </w:r>
      <w:r w:rsidR="007A49DB">
        <w:rPr>
          <w:rStyle w:val="FootnoteReference"/>
        </w:rPr>
        <w:footnoteReference w:id="476"/>
      </w:r>
      <w:r>
        <w:t xml:space="preserve"> </w:t>
      </w:r>
    </w:p>
    <w:p w14:paraId="1B6F17B0" w14:textId="77777777" w:rsidR="005A05DF" w:rsidRDefault="005A05DF" w:rsidP="005A05DF">
      <w:pPr>
        <w:pStyle w:val="NoSpacing"/>
      </w:pPr>
    </w:p>
    <w:p w14:paraId="0FEC8C76" w14:textId="57B44B13" w:rsidR="005A05DF" w:rsidRDefault="005A05DF" w:rsidP="005A05DF">
      <w:pPr>
        <w:pStyle w:val="NoSpacing"/>
      </w:pPr>
      <w:r w:rsidRPr="00AC214E">
        <w:t xml:space="preserve">The conduct expectations included delivering quality goods within a reasonable timeframe. However, some business network members failed to meet these expectations. The firms acted by addressing the issue with the wrongdoer. In March 1791, W. Evans &amp; Co. expressed their frustration with the quality of cards received from Thomas </w:t>
      </w:r>
      <w:proofErr w:type="spellStart"/>
      <w:r w:rsidRPr="00AC214E">
        <w:t>Howbrook</w:t>
      </w:r>
      <w:proofErr w:type="spellEnd"/>
      <w:r w:rsidRPr="00AC214E">
        <w:t>, a card maker in Halifax.</w:t>
      </w:r>
      <w:r w:rsidR="007A23ED">
        <w:rPr>
          <w:rStyle w:val="FootnoteReference"/>
        </w:rPr>
        <w:footnoteReference w:id="477"/>
      </w:r>
      <w:r w:rsidRPr="00AC214E">
        <w:t xml:space="preserve"> They wrote a series of letters to Thomas stating their dissatisfaction with his work and emphasising that it did not meet the required standards.</w:t>
      </w:r>
      <w:r w:rsidR="001663E6">
        <w:t xml:space="preserve"> </w:t>
      </w:r>
      <w:proofErr w:type="spellStart"/>
      <w:r w:rsidRPr="00AC214E">
        <w:t>Howbrook's</w:t>
      </w:r>
      <w:proofErr w:type="spellEnd"/>
      <w:r w:rsidRPr="00AC214E">
        <w:t xml:space="preserve"> response did not rectify the situation or address the concerns raised, leading W. Evans &amp; Co. to conclude that his business practices fell below their expectations and obligations. Despite this, W. Evans &amp; Co. continued to purchase cards from </w:t>
      </w:r>
      <w:proofErr w:type="spellStart"/>
      <w:r w:rsidRPr="00AC214E">
        <w:t>Howbrook's</w:t>
      </w:r>
      <w:proofErr w:type="spellEnd"/>
      <w:r w:rsidRPr="00AC214E">
        <w:t xml:space="preserve"> firm until December 1791. Unfortunately, </w:t>
      </w:r>
      <w:proofErr w:type="spellStart"/>
      <w:r w:rsidRPr="00AC214E">
        <w:t>Howbrook's</w:t>
      </w:r>
      <w:proofErr w:type="spellEnd"/>
      <w:r w:rsidRPr="00AC214E">
        <w:t xml:space="preserve"> conduct repeatedly failed to meet Evans' expectations, particularly regarding the quality of his products and the timely fulfilment of orders. Evans expressed disappointment in the letters, stating that </w:t>
      </w:r>
      <w:proofErr w:type="spellStart"/>
      <w:r w:rsidRPr="00AC214E">
        <w:t>Howbrook</w:t>
      </w:r>
      <w:proofErr w:type="spellEnd"/>
      <w:r w:rsidRPr="00AC214E">
        <w:t xml:space="preserve"> had promised to send the cards but ultimately disappointed them. In the last correspondence between W. Evans &amp; Co. and Thomas </w:t>
      </w:r>
      <w:proofErr w:type="spellStart"/>
      <w:r w:rsidRPr="00AC214E">
        <w:t>Howbrook</w:t>
      </w:r>
      <w:proofErr w:type="spellEnd"/>
      <w:r w:rsidRPr="00AC214E">
        <w:t xml:space="preserve">, </w:t>
      </w:r>
      <w:r>
        <w:t xml:space="preserve">it becomes clear that </w:t>
      </w:r>
      <w:proofErr w:type="spellStart"/>
      <w:r w:rsidRPr="00AC214E">
        <w:t>Howbrook's</w:t>
      </w:r>
      <w:proofErr w:type="spellEnd"/>
      <w:r w:rsidRPr="00AC214E">
        <w:t xml:space="preserve"> consistent poor workmanship and business conduct tarnished his reputation with W. Evans &amp; Co., eroding trust and preventing the establishment of a trustworthy </w:t>
      </w:r>
      <w:r w:rsidRPr="00AC214E">
        <w:lastRenderedPageBreak/>
        <w:t>business network relationship</w:t>
      </w:r>
      <w:r>
        <w:t xml:space="preserve"> between the two firms.</w:t>
      </w:r>
      <w:r w:rsidR="00E109F6">
        <w:rPr>
          <w:rStyle w:val="FootnoteReference"/>
        </w:rPr>
        <w:footnoteReference w:id="478"/>
      </w:r>
      <w:r>
        <w:t xml:space="preserve"> On this occasion, the Evans family acted to protect their network from an actor who had proved untrustworthy, showing that they held significant power within this network. </w:t>
      </w:r>
    </w:p>
    <w:p w14:paraId="00D55653" w14:textId="77777777" w:rsidR="005A05DF" w:rsidRDefault="005A05DF" w:rsidP="005A05DF">
      <w:pPr>
        <w:pStyle w:val="NoSpacing"/>
      </w:pPr>
    </w:p>
    <w:p w14:paraId="135D5E42" w14:textId="618153A0" w:rsidR="005A05DF" w:rsidRDefault="005A05DF" w:rsidP="005A05DF">
      <w:pPr>
        <w:pStyle w:val="NoSpacing"/>
      </w:pPr>
      <w:r>
        <w:t xml:space="preserve">The owners and managers of the mills took it upon themselves to manage the conduct of their employees and servants, expecting the same code of conduct from other firms they interacted with during business transactions. In an 1807 letter, Walter Evans &amp; Co. provided instructions to Mr. J. W. </w:t>
      </w:r>
      <w:proofErr w:type="spellStart"/>
      <w:r>
        <w:t>Killingley</w:t>
      </w:r>
      <w:proofErr w:type="spellEnd"/>
      <w:r>
        <w:t>, a Nottingham-based business network member who owned a bleaching firm, regarding his responsibilities to ensure that his employees did not steal or pilfer the supplied stock.</w:t>
      </w:r>
      <w:r w:rsidR="00AB141C">
        <w:rPr>
          <w:rStyle w:val="FootnoteReference"/>
        </w:rPr>
        <w:footnoteReference w:id="479"/>
      </w:r>
      <w:r>
        <w:t xml:space="preserve"> Walter Evans &amp; Co. had received a complaint about an order they had sent, which was found to be short of stock. When Mr. </w:t>
      </w:r>
      <w:proofErr w:type="spellStart"/>
      <w:r>
        <w:t>Killingley</w:t>
      </w:r>
      <w:proofErr w:type="spellEnd"/>
      <w:r>
        <w:t xml:space="preserve"> returned the order, Walter Evans &amp; Co. suspected that the incomplete order resulted from a deviation from the code of conduct at Mr. </w:t>
      </w:r>
      <w:proofErr w:type="spellStart"/>
      <w:r>
        <w:t>Killingley’s</w:t>
      </w:r>
      <w:proofErr w:type="spellEnd"/>
      <w:r>
        <w:t xml:space="preserve"> firm. Their letter conveyed their expectations of how Mr. </w:t>
      </w:r>
      <w:proofErr w:type="spellStart"/>
      <w:r>
        <w:t>Killingley's</w:t>
      </w:r>
      <w:proofErr w:type="spellEnd"/>
      <w:r>
        <w:t xml:space="preserve"> firm should handle disputes. Walter Evans &amp; Co. expected Mr. </w:t>
      </w:r>
      <w:proofErr w:type="spellStart"/>
      <w:r>
        <w:t>Killingley</w:t>
      </w:r>
      <w:proofErr w:type="spellEnd"/>
      <w:r>
        <w:t xml:space="preserve"> to inform them immediately upon receiving the goods rather than after a delay. This raised suspicions of theft among the servants of the bleaching firm and led to criticism of Mr. </w:t>
      </w:r>
      <w:proofErr w:type="spellStart"/>
      <w:r>
        <w:t>Killingley</w:t>
      </w:r>
      <w:proofErr w:type="spellEnd"/>
      <w:r>
        <w:t xml:space="preserve"> for defending their actions.</w:t>
      </w:r>
      <w:r w:rsidR="003E2211">
        <w:rPr>
          <w:rStyle w:val="FootnoteReference"/>
        </w:rPr>
        <w:footnoteReference w:id="480"/>
      </w:r>
    </w:p>
    <w:p w14:paraId="7FF5D4FA" w14:textId="77777777" w:rsidR="005A05DF" w:rsidRDefault="005A05DF" w:rsidP="005A05DF">
      <w:pPr>
        <w:pStyle w:val="NoSpacing"/>
      </w:pPr>
    </w:p>
    <w:p w14:paraId="14F87FB5" w14:textId="5D437DA4" w:rsidR="005A05DF" w:rsidRDefault="005A05DF" w:rsidP="005A05DF">
      <w:pPr>
        <w:pStyle w:val="NoSpacing"/>
        <w:ind w:left="720"/>
      </w:pPr>
      <w:r>
        <w:t>You will not say your men had no design in making up every bundle short, but if masters will defend such conduct in their servants, we are not surprised at goods being pillaged. We conclude this was not explained to you, or surely you would not have defended them.</w:t>
      </w:r>
      <w:r w:rsidR="00E260B4">
        <w:rPr>
          <w:rStyle w:val="FootnoteReference"/>
        </w:rPr>
        <w:footnoteReference w:id="481"/>
      </w:r>
      <w:r>
        <w:t xml:space="preserve"> </w:t>
      </w:r>
    </w:p>
    <w:p w14:paraId="1C480ECF" w14:textId="77777777" w:rsidR="005A05DF" w:rsidRDefault="005A05DF" w:rsidP="005A05DF">
      <w:pPr>
        <w:pStyle w:val="NoSpacing"/>
      </w:pPr>
    </w:p>
    <w:p w14:paraId="136CDCB1" w14:textId="77777777" w:rsidR="005A05DF" w:rsidRDefault="005A05DF" w:rsidP="005A05DF">
      <w:pPr>
        <w:pStyle w:val="NoSpacing"/>
      </w:pPr>
      <w:r>
        <w:t>Walter Evans &amp; Co. evidenced their conclusions based on their reputation with other bleaching firms, demonstrating their commitment to meeting obligations and maintaining standards that prohibited them from deceiving network members. Their obligations to the business network compelled them to address the behaviour of those who fell short of expectations and outline the responsibilities of masters within the network.</w:t>
      </w:r>
    </w:p>
    <w:p w14:paraId="525B1C56" w14:textId="77777777" w:rsidR="005A05DF" w:rsidRDefault="005A05DF" w:rsidP="005A05DF">
      <w:pPr>
        <w:pStyle w:val="NoSpacing"/>
      </w:pPr>
    </w:p>
    <w:p w14:paraId="0C5AE543" w14:textId="77777777" w:rsidR="005A05DF" w:rsidRDefault="005A05DF" w:rsidP="005A05DF">
      <w:pPr>
        <w:pStyle w:val="NoSpacing"/>
        <w:rPr>
          <w:b/>
          <w:bCs/>
          <w:i/>
          <w:iCs/>
        </w:rPr>
      </w:pPr>
      <w:r w:rsidRPr="009551CD">
        <w:rPr>
          <w:b/>
          <w:bCs/>
          <w:i/>
          <w:iCs/>
        </w:rPr>
        <w:t>Exceptions Were Made</w:t>
      </w:r>
    </w:p>
    <w:p w14:paraId="4AD57A20" w14:textId="77777777" w:rsidR="003E2211" w:rsidRPr="009551CD" w:rsidRDefault="003E2211" w:rsidP="005A05DF">
      <w:pPr>
        <w:pStyle w:val="NoSpacing"/>
        <w:rPr>
          <w:b/>
          <w:bCs/>
          <w:i/>
          <w:iCs/>
        </w:rPr>
      </w:pPr>
    </w:p>
    <w:p w14:paraId="7EEDF6EF" w14:textId="42058577" w:rsidR="005A05DF" w:rsidRDefault="005A05DF" w:rsidP="005A05DF">
      <w:pPr>
        <w:pStyle w:val="NoSpacing"/>
      </w:pPr>
      <w:r>
        <w:t>Interestingly, the firms sought to manage their untrustworthy exchange partners by expressing dissatisfaction and offering corrective advice. If these recourses were ineffective, legal proceedings or network removal were possible. However, occasionally, untrustworthiness was tolerated, and exceptions were made. Even more curiously, this occurred with the same firm by both McConnel &amp; Kennedy and W. Evans &amp; Co.</w:t>
      </w:r>
      <w:r w:rsidR="003E2211">
        <w:rPr>
          <w:rStyle w:val="FootnoteReference"/>
        </w:rPr>
        <w:footnoteReference w:id="482"/>
      </w:r>
      <w:r>
        <w:t xml:space="preserve"> During McConnel &amp; Kennedy's dealings with card makers from Halifax, a similar situation arose in 1795. A series of correspondences between George Armytage of Halifax and McConnel &amp; Kennedy revealed a deterioration in the business relationship between the two firms.</w:t>
      </w:r>
      <w:r w:rsidR="000C5B19">
        <w:rPr>
          <w:rStyle w:val="FootnoteReference"/>
        </w:rPr>
        <w:footnoteReference w:id="483"/>
      </w:r>
      <w:r>
        <w:t xml:space="preserve"> Following an order for George Armytage to supply McConnel &amp; Kennedy with a set of cards, a letter was sent to them on March 17th; the firm expressed disappointment at the lack of response regarding the whereabouts and progress of their order.</w:t>
      </w:r>
      <w:r w:rsidR="003E2211">
        <w:rPr>
          <w:rStyle w:val="FootnoteReference"/>
        </w:rPr>
        <w:footnoteReference w:id="484"/>
      </w:r>
      <w:r>
        <w:t xml:space="preserve"> The correspondence suggests that the customer service of the Halifax-based firm did not meet the expectations that McConnel &amp; Kennedy desired. Feeling the need for reassurance, they sent another letter on March 27th, seeking confirmation that the firm would deliver their order within the agreed timeframe.</w:t>
      </w:r>
      <w:r w:rsidR="00D31B50">
        <w:rPr>
          <w:rStyle w:val="FootnoteReference"/>
        </w:rPr>
        <w:footnoteReference w:id="485"/>
      </w:r>
      <w:r>
        <w:t xml:space="preserve"> Their letter, sent on May 21st, suggests this timeframe was not adhered to, and their expectations were again </w:t>
      </w:r>
      <w:r>
        <w:lastRenderedPageBreak/>
        <w:t>unmet.</w:t>
      </w:r>
      <w:r w:rsidR="00D31B50">
        <w:rPr>
          <w:rStyle w:val="FootnoteReference"/>
        </w:rPr>
        <w:footnoteReference w:id="486"/>
      </w:r>
      <w:r>
        <w:t xml:space="preserve"> McConnel &amp; Kennedy expressed surprise at the order not being completed to their specified requirements. Interestingly, W. Evans &amp; Co. placed an order with George Armytage on September 26, 1804.</w:t>
      </w:r>
      <w:r w:rsidR="00AF16CA">
        <w:rPr>
          <w:rStyle w:val="FootnoteReference"/>
        </w:rPr>
        <w:footnoteReference w:id="487"/>
      </w:r>
      <w:r>
        <w:t xml:space="preserve"> Notably, their order included a note stating, </w:t>
      </w:r>
      <w:r w:rsidR="005E7BE6">
        <w:t>‘</w:t>
      </w:r>
      <w:r>
        <w:t>to be returned if not approved of.</w:t>
      </w:r>
      <w:r w:rsidR="005E7BE6">
        <w:t>’</w:t>
      </w:r>
      <w:r w:rsidR="005E7BE6">
        <w:rPr>
          <w:rStyle w:val="FootnoteReference"/>
        </w:rPr>
        <w:footnoteReference w:id="488"/>
      </w:r>
      <w:r>
        <w:t xml:space="preserve"> This notation suggests they foresaw that the cards might not meet their expectations. It could be inferred that they either had prior experience with the firm that led to issues or were aware of its reputation. Curiously, neither firm ended their business transaction relationships with George and his son William Armytage. McConnel &amp; Kennedy corresponded with the firm another sixteen times until 1810, and W. Evans &amp; Co. purchased cards from William Armytage on future occasions.</w:t>
      </w:r>
      <w:r w:rsidR="00AF16CA">
        <w:rPr>
          <w:rStyle w:val="FootnoteReference"/>
        </w:rPr>
        <w:footnoteReference w:id="489"/>
      </w:r>
      <w:r>
        <w:t xml:space="preserve"> It is possible that the firm was able to address the issues raised with them during these interactions, or if this was not the case, then perhaps there was another reason – such as shared loyalty, lack of other options, or a view that the deviation was tolerable that induced the firms to continue with these relationships.  </w:t>
      </w:r>
    </w:p>
    <w:p w14:paraId="0A2736AC" w14:textId="77777777" w:rsidR="005A05DF" w:rsidRDefault="005A05DF" w:rsidP="005A05DF">
      <w:pPr>
        <w:pStyle w:val="NoSpacing"/>
        <w:rPr>
          <w:i/>
          <w:iCs/>
        </w:rPr>
      </w:pPr>
    </w:p>
    <w:p w14:paraId="1D69241A" w14:textId="77777777" w:rsidR="005A05DF" w:rsidRDefault="005A05DF" w:rsidP="005A05DF">
      <w:pPr>
        <w:pStyle w:val="NoSpacing"/>
        <w:rPr>
          <w:b/>
          <w:bCs/>
          <w:i/>
          <w:iCs/>
        </w:rPr>
      </w:pPr>
      <w:r w:rsidRPr="009551CD">
        <w:rPr>
          <w:b/>
          <w:bCs/>
          <w:i/>
          <w:iCs/>
        </w:rPr>
        <w:t>Moderating Reactions to Untrustworthy Conduct</w:t>
      </w:r>
    </w:p>
    <w:p w14:paraId="19B4E222" w14:textId="77777777" w:rsidR="00AF16CA" w:rsidRPr="009551CD" w:rsidRDefault="00AF16CA" w:rsidP="005A05DF">
      <w:pPr>
        <w:pStyle w:val="NoSpacing"/>
        <w:rPr>
          <w:b/>
          <w:bCs/>
          <w:i/>
          <w:iCs/>
        </w:rPr>
      </w:pPr>
    </w:p>
    <w:p w14:paraId="7B21FD4E" w14:textId="65260C98" w:rsidR="005A05DF" w:rsidRPr="00133387" w:rsidRDefault="005A05DF" w:rsidP="005A05DF">
      <w:pPr>
        <w:pStyle w:val="NoSpacing"/>
      </w:pPr>
      <w:r>
        <w:t xml:space="preserve">Sometimes a moderate response to untrustworthy behaviour was the best course of action for the greater good of the business relationship. Many minor deviations could have stemmed from genuine oversights or errors. A good example of this scenario can be seen in the correspondence of McConnel &amp; Kennedy regarding a credit agreement. </w:t>
      </w:r>
      <w:r w:rsidRPr="00133387">
        <w:t>A credit agreement was a sign of trust and a method of generating inter-firm trust. However, the credit agreement was a risky and vulnerable part of the business exchange partnership where trust could also be lost by not complying with the terms of an agreement. An interesting correspondence between McConnel &amp; Kennedy and their customer, Robert McGavin of Paisley</w:t>
      </w:r>
      <w:r w:rsidR="002A353D">
        <w:t xml:space="preserve"> in 1796</w:t>
      </w:r>
      <w:r w:rsidRPr="00133387">
        <w:t>, shows an example of a trusted connection taking advantage of another.</w:t>
      </w:r>
      <w:r w:rsidR="00164542" w:rsidRPr="00164542">
        <w:rPr>
          <w:rStyle w:val="FootnoteReference"/>
        </w:rPr>
        <w:t xml:space="preserve"> </w:t>
      </w:r>
      <w:r w:rsidR="00164542">
        <w:rPr>
          <w:rStyle w:val="FootnoteReference"/>
        </w:rPr>
        <w:footnoteReference w:id="490"/>
      </w:r>
      <w:r w:rsidR="00164542" w:rsidRPr="00133387">
        <w:t xml:space="preserve"> </w:t>
      </w:r>
      <w:r w:rsidRPr="00133387">
        <w:t>McConnel &amp; Kennedy expressed their disappointment with Robert McGavin when his firm took an unearned discount that was offered if they fulfilled certain credit expectations. They had three months to present a bill to the firm to cover their order. If these terms of credit were adhered to, McConnel and Kennedy would honour the ten percent discount on the goods. Unfortunately, on this occasion, Robert McGavin was late in making a payment but failed to adjust the costs to remove the discount required in these circumstances. McConnel &amp; Kennedy, though annoyed, expressed their disappointment but moderated their response because the firm was a long-standing client, and they ended the letter by indicating that they hoped they would be good customers in the future.</w:t>
      </w:r>
      <w:r w:rsidR="00AA5CD6">
        <w:rPr>
          <w:rStyle w:val="FootnoteReference"/>
        </w:rPr>
        <w:footnoteReference w:id="491"/>
      </w:r>
      <w:r w:rsidRPr="00133387">
        <w:t xml:space="preserve"> The correspondence</w:t>
      </w:r>
      <w:r w:rsidR="00AA5CD6">
        <w:t xml:space="preserve"> exchanged between the two firms</w:t>
      </w:r>
      <w:r w:rsidRPr="00133387">
        <w:t xml:space="preserve"> suggests that Robert McGavin and McConnel &amp; Kennedy shared a </w:t>
      </w:r>
      <w:r w:rsidR="00AA5CD6">
        <w:t xml:space="preserve">high </w:t>
      </w:r>
      <w:r w:rsidRPr="00133387">
        <w:t>trust relationship</w:t>
      </w:r>
      <w:r>
        <w:t>. Although</w:t>
      </w:r>
      <w:r w:rsidRPr="00133387">
        <w:t xml:space="preserve"> there had been a slight breach </w:t>
      </w:r>
      <w:r>
        <w:t>of</w:t>
      </w:r>
      <w:r w:rsidRPr="00133387">
        <w:t xml:space="preserve"> trust, their previous good conduct had built a level of trust and </w:t>
      </w:r>
      <w:r>
        <w:t>goodwill</w:t>
      </w:r>
      <w:r w:rsidRPr="00133387">
        <w:t xml:space="preserve"> between the firms that enabled this indiscretion, if not repeated</w:t>
      </w:r>
      <w:r>
        <w:t>,</w:t>
      </w:r>
      <w:r w:rsidRPr="00133387">
        <w:t xml:space="preserve"> to be overlooked for the mutual benefit of the networks and their trade.  </w:t>
      </w:r>
    </w:p>
    <w:p w14:paraId="61FFA440" w14:textId="77777777" w:rsidR="005A05DF" w:rsidRDefault="005A05DF" w:rsidP="005A05DF">
      <w:pPr>
        <w:pStyle w:val="NoSpacing"/>
      </w:pPr>
    </w:p>
    <w:p w14:paraId="274D2276" w14:textId="3732E742" w:rsidR="005A05DF" w:rsidRDefault="005A05DF" w:rsidP="005A05DF">
      <w:pPr>
        <w:pStyle w:val="NoSpacing"/>
      </w:pPr>
      <w:r w:rsidRPr="00AC214E">
        <w:t>Not only did the firms' clients occasionally fall short of the network's expectations, but the firms themselves could also disappoint other network members. In December 1802, McConnel &amp; Kennedy failed to fulfil their obligations to promptly meet an order from John &amp; Thomas How of Green Castle</w:t>
      </w:r>
      <w:r w:rsidR="00AA5CD6">
        <w:t>,</w:t>
      </w:r>
      <w:r w:rsidRPr="00AC214E">
        <w:t xml:space="preserve"> Belfast, resulting in the loss of a potential regular order.</w:t>
      </w:r>
      <w:r w:rsidR="00164542">
        <w:rPr>
          <w:rStyle w:val="FootnoteReference"/>
        </w:rPr>
        <w:footnoteReference w:id="492"/>
      </w:r>
      <w:r w:rsidRPr="00AC214E">
        <w:t xml:space="preserve"> Earlier that year, in June 1802, George Hannay of Bangor, Ireland</w:t>
      </w:r>
      <w:r>
        <w:t>,</w:t>
      </w:r>
      <w:r w:rsidRPr="00AC214E">
        <w:t xml:space="preserve"> expressed his disappointment to his suppliers, McConnel &amp; Kennedy, upon discovering that other firms in Ireland were paying less for number 100 yarn.</w:t>
      </w:r>
      <w:r w:rsidR="0038230A">
        <w:rPr>
          <w:rStyle w:val="FootnoteReference"/>
        </w:rPr>
        <w:footnoteReference w:id="493"/>
      </w:r>
      <w:r w:rsidRPr="00AC214E">
        <w:t xml:space="preserve"> He accused McConnel &amp; Kennedy of inconsistency. However, there is no evidence of McConnel &amp; Kennedy's </w:t>
      </w:r>
      <w:r w:rsidRPr="00AC214E">
        <w:lastRenderedPageBreak/>
        <w:t>response to Hannay's complaint in their papers; a satisfactory response was likely provided, as it did</w:t>
      </w:r>
      <w:r>
        <w:t xml:space="preserve"> </w:t>
      </w:r>
      <w:r w:rsidRPr="00AC214E">
        <w:t>n</w:t>
      </w:r>
      <w:r>
        <w:t>o</w:t>
      </w:r>
      <w:r w:rsidRPr="00AC214E">
        <w:t>t prevent Hannay from recommending McConnel &amp; Kennedy to Messrs. William Byer's &amp; Co. of Belfast, just a month later.</w:t>
      </w:r>
      <w:r w:rsidR="006C06D8">
        <w:rPr>
          <w:rStyle w:val="FootnoteReference"/>
        </w:rPr>
        <w:footnoteReference w:id="494"/>
      </w:r>
      <w:r>
        <w:t xml:space="preserve"> McConnel &amp; Kennedy were keen to regulate and adjust their behaviours if required. They were also keen to manage the expectations of their transaction partners to avoid later disappointments. </w:t>
      </w:r>
      <w:r w:rsidR="00973358">
        <w:t>In c</w:t>
      </w:r>
      <w:r>
        <w:t>orrespondence to Mr. Thomas Lowe on the 5</w:t>
      </w:r>
      <w:r w:rsidRPr="006051A5">
        <w:rPr>
          <w:vertAlign w:val="superscript"/>
        </w:rPr>
        <w:t>th</w:t>
      </w:r>
      <w:r>
        <w:t xml:space="preserve"> of October 1798</w:t>
      </w:r>
      <w:r w:rsidR="00973358">
        <w:t xml:space="preserve"> there</w:t>
      </w:r>
      <w:r>
        <w:t xml:space="preserve"> is a great example of the firm proactively addressing a situation caused by no longer requiring a previously ordered engine beam.</w:t>
      </w:r>
      <w:r w:rsidR="00BA3A4F">
        <w:rPr>
          <w:rStyle w:val="FootnoteReference"/>
        </w:rPr>
        <w:footnoteReference w:id="495"/>
      </w:r>
      <w:r>
        <w:t xml:space="preserve"> Their letter starts with an apology for their behaviour. Although they no longer needed the beam, rather than lose the goodwill of the exchange partner, they suggested they would accept it as agreed if there was no other alternative for Lowe in selling the beam to somebody else. The tone of their letter was conciliatory, and an effort was made by McConnel &amp; Kennedy to minimise the difficulties for Lowe because of their actions. McConnel &amp; Kennedy, therefore, took their network responsibilities very seriously and took accountability for the consequences of their actions and how they would affect others. </w:t>
      </w:r>
      <w:r w:rsidR="0044288F">
        <w:t>I</w:t>
      </w:r>
      <w:r>
        <w:t xml:space="preserve">t is possible that they could </w:t>
      </w:r>
      <w:r w:rsidR="00A616A6">
        <w:t xml:space="preserve">have </w:t>
      </w:r>
      <w:r>
        <w:t>atone</w:t>
      </w:r>
      <w:r w:rsidR="00A616A6">
        <w:t>d</w:t>
      </w:r>
      <w:r>
        <w:t xml:space="preserve"> for their actions that disappointed Messrs. William Byers. </w:t>
      </w:r>
    </w:p>
    <w:p w14:paraId="552FE255" w14:textId="77777777" w:rsidR="005A05DF" w:rsidRDefault="005A05DF" w:rsidP="005A05DF">
      <w:pPr>
        <w:pStyle w:val="NoSpacing"/>
      </w:pPr>
    </w:p>
    <w:p w14:paraId="290AAC13" w14:textId="01499B20" w:rsidR="005A05DF" w:rsidRPr="00F15833" w:rsidRDefault="005A05DF" w:rsidP="00F15833">
      <w:pPr>
        <w:pStyle w:val="Heading2"/>
        <w:rPr>
          <w:rFonts w:asciiTheme="minorHAnsi" w:hAnsiTheme="minorHAnsi" w:cstheme="minorHAnsi"/>
          <w:b/>
          <w:bCs/>
          <w:color w:val="auto"/>
          <w:sz w:val="24"/>
          <w:szCs w:val="24"/>
        </w:rPr>
      </w:pPr>
      <w:bookmarkStart w:id="158" w:name="_Toc170825691"/>
      <w:r w:rsidRPr="00F15833">
        <w:rPr>
          <w:rFonts w:asciiTheme="minorHAnsi" w:hAnsiTheme="minorHAnsi" w:cstheme="minorHAnsi"/>
          <w:b/>
          <w:bCs/>
          <w:color w:val="auto"/>
          <w:sz w:val="24"/>
          <w:szCs w:val="24"/>
        </w:rPr>
        <w:t>Dispute Resolution</w:t>
      </w:r>
      <w:bookmarkEnd w:id="158"/>
      <w:r w:rsidRPr="00F15833">
        <w:rPr>
          <w:rFonts w:asciiTheme="minorHAnsi" w:hAnsiTheme="minorHAnsi" w:cstheme="minorHAnsi"/>
          <w:b/>
          <w:bCs/>
          <w:color w:val="auto"/>
          <w:sz w:val="24"/>
          <w:szCs w:val="24"/>
        </w:rPr>
        <w:t xml:space="preserve"> </w:t>
      </w:r>
    </w:p>
    <w:p w14:paraId="2FEB801F" w14:textId="77777777" w:rsidR="005A05DF" w:rsidRDefault="005A05DF" w:rsidP="005A05DF">
      <w:pPr>
        <w:pStyle w:val="NoSpacing"/>
        <w:rPr>
          <w:b/>
          <w:bCs/>
          <w:i/>
          <w:iCs/>
        </w:rPr>
      </w:pPr>
      <w:r w:rsidRPr="009551CD">
        <w:rPr>
          <w:b/>
          <w:bCs/>
          <w:i/>
          <w:iCs/>
        </w:rPr>
        <w:t>Routine dispute resolution</w:t>
      </w:r>
    </w:p>
    <w:p w14:paraId="64A0DF21" w14:textId="77777777" w:rsidR="00515CC5" w:rsidRPr="009551CD" w:rsidRDefault="00515CC5" w:rsidP="005A05DF">
      <w:pPr>
        <w:pStyle w:val="NoSpacing"/>
        <w:rPr>
          <w:b/>
          <w:bCs/>
          <w:i/>
          <w:iCs/>
        </w:rPr>
      </w:pPr>
    </w:p>
    <w:p w14:paraId="0734740B" w14:textId="2E4E8D39" w:rsidR="005A05DF" w:rsidRDefault="005A05DF" w:rsidP="005A05DF">
      <w:pPr>
        <w:pStyle w:val="NoSpacing"/>
      </w:pPr>
      <w:r>
        <w:t>Most breaches of trust were rectified quickly by letters that questioned the whereabouts of goods or requested explanations of why delays or omissions in goods or services had occurred. McConnel &amp; Kennedy received such a letter from their business exchange partners</w:t>
      </w:r>
      <w:r w:rsidRPr="006C0C26">
        <w:t xml:space="preserve"> </w:t>
      </w:r>
      <w:r>
        <w:t xml:space="preserve">W. G. &amp; J. Strutt of Derby, which led to a minor dispute between the two firms. The firm received the letter in September 1807 when the </w:t>
      </w:r>
      <w:proofErr w:type="spellStart"/>
      <w:r>
        <w:t>Strutts</w:t>
      </w:r>
      <w:proofErr w:type="spellEnd"/>
      <w:r>
        <w:t xml:space="preserve"> felt compelled to write to the Manchester firm and highlight a discrepancy in the prices they had been charged for the cotton twist they had purchased.</w:t>
      </w:r>
      <w:r w:rsidR="00AB4B85">
        <w:rPr>
          <w:rStyle w:val="FootnoteReference"/>
        </w:rPr>
        <w:footnoteReference w:id="496"/>
      </w:r>
      <w:r>
        <w:t xml:space="preserve"> The action they took to express their dissatisfaction and resolve the matter consisted of a letter suggesting a mistake had occurred </w:t>
      </w:r>
      <w:r w:rsidR="00C50771">
        <w:t>or</w:t>
      </w:r>
      <w:r>
        <w:t xml:space="preserve"> that if no mistake had been made and this was the new price structure, then in the future, it would be best practice to inform them of such an occurrence. There is no further evidence in the firm’s papers that the </w:t>
      </w:r>
      <w:proofErr w:type="spellStart"/>
      <w:r>
        <w:t>Strutts</w:t>
      </w:r>
      <w:proofErr w:type="spellEnd"/>
      <w:r>
        <w:t xml:space="preserve"> required or received any follow-up on this matter, and the minor dispute was seemingly resolved. Many other examples of minor disputes like this required little rectification beyond being more thoughtful and considerate of them in the future. This letter shows a contemporary understanding of the concept of best practice and that the expectations held by Strutt had not been met on this occasion. The existing trust between the two firms enabled the resolution of the matter to be swift.  </w:t>
      </w:r>
    </w:p>
    <w:p w14:paraId="02547B3A" w14:textId="77777777" w:rsidR="005A05DF" w:rsidRDefault="005A05DF" w:rsidP="005A05DF">
      <w:pPr>
        <w:pStyle w:val="NoSpacing"/>
      </w:pPr>
    </w:p>
    <w:p w14:paraId="7E082081" w14:textId="672524B9" w:rsidR="005A05DF" w:rsidRDefault="005A05DF" w:rsidP="005A05DF">
      <w:pPr>
        <w:pStyle w:val="NoSpacing"/>
      </w:pPr>
      <w:r>
        <w:t>Many of the disputes in the early years of the firms were with card makers from Halifax regarding the quality of their service or goods. However, poor service was sometimes tolerated if the merchandise's quality was high. W. Evans &amp; Co. sought to resolve a minor dispute regarding the quality of service offered by Robert Walsh, a card maker in Halifax, as the quality of his products met their expectations.</w:t>
      </w:r>
      <w:r w:rsidR="00515CC5">
        <w:rPr>
          <w:rStyle w:val="FootnoteReference"/>
        </w:rPr>
        <w:footnoteReference w:id="497"/>
      </w:r>
      <w:r>
        <w:t xml:space="preserve"> The letter sent at the beginning of 1792 by W. Evans &amp; Co. detailed their feelings regarding Robert Walsh’s behaviour towards them regarding an order of cards. The letter states that they thought his behaviour towards them during the last year had not been civil.</w:t>
      </w:r>
      <w:r w:rsidR="00515CC5">
        <w:rPr>
          <w:rStyle w:val="FootnoteReference"/>
        </w:rPr>
        <w:footnoteReference w:id="498"/>
      </w:r>
      <w:r>
        <w:t xml:space="preserve"> They described sending a letter of receipt of a partial order of cards and requested they send the following cards.</w:t>
      </w:r>
      <w:r w:rsidR="00D65390">
        <w:rPr>
          <w:rStyle w:val="FootnoteReference"/>
        </w:rPr>
        <w:footnoteReference w:id="499"/>
      </w:r>
      <w:r>
        <w:t xml:space="preserve"> After four months of silence and no delivery of cards, the silence was only broken when they wrote to follow up on the order. Their surprise and disappointment arose from Robert Walsh’s response, which nonchalantly responded that he would send the order soon. Walsh wrote, ‘I hope all is well, I </w:t>
      </w:r>
      <w:r>
        <w:lastRenderedPageBreak/>
        <w:t>shall send you two sets of cards this day fortnight.’</w:t>
      </w:r>
      <w:r w:rsidR="00D311CB">
        <w:rPr>
          <w:rStyle w:val="FootnoteReference"/>
        </w:rPr>
        <w:footnoteReference w:id="500"/>
      </w:r>
      <w:r>
        <w:t xml:space="preserve"> W. Evans &amp; Co. offered the firm an alternative response that they perceived would be more suitable for the circumstances. They stated it would have been more ‘proper’ to have been honest with what they could or would have honoured.</w:t>
      </w:r>
      <w:r w:rsidR="009E60E9">
        <w:rPr>
          <w:rStyle w:val="FootnoteReference"/>
        </w:rPr>
        <w:footnoteReference w:id="501"/>
      </w:r>
      <w:r>
        <w:t xml:space="preserve"> The quality of the products induced W. Evans &amp; Co. to persevere with the relationship and advised them not to repeat the same actions again. The letter expressed their hope that they could continue the business exchange partnership as they liked the cards made by his firm.</w:t>
      </w:r>
      <w:r w:rsidR="00546CE1">
        <w:rPr>
          <w:rStyle w:val="FootnoteReference"/>
        </w:rPr>
        <w:footnoteReference w:id="502"/>
      </w:r>
      <w:r>
        <w:t xml:space="preserve"> These actions reduced the trust levels between the firms and earned Robert Walsh a reputation for being difficult with the Evans family firm. However, their difficulties appear to have been consistent with other card makers – a sector which appears to have been problematic to the cotton-spinners in these early years of industrialisation. </w:t>
      </w:r>
    </w:p>
    <w:p w14:paraId="18D3FD2A" w14:textId="77777777" w:rsidR="005A05DF" w:rsidRDefault="005A05DF" w:rsidP="005A05DF">
      <w:pPr>
        <w:pStyle w:val="NoSpacing"/>
      </w:pPr>
    </w:p>
    <w:p w14:paraId="17A3E7E3" w14:textId="0D9FFFBF" w:rsidR="005A05DF" w:rsidRDefault="005A05DF" w:rsidP="005A05DF">
      <w:pPr>
        <w:pStyle w:val="NoSpacing"/>
      </w:pPr>
      <w:r>
        <w:t>McConnel &amp; Kennedy dealt with many minor issues and went to great lengths to prevent them from becoming major ones. In 1797, they felt disappointed with the service they received from Mr. Barber of Bolton. A series of letters was sent to the Barbers in Bolton detailing issues with payment and the lack of attention paid to delivering their order on time.</w:t>
      </w:r>
      <w:r w:rsidR="009E60E9">
        <w:rPr>
          <w:rStyle w:val="FootnoteReference"/>
        </w:rPr>
        <w:footnoteReference w:id="503"/>
      </w:r>
      <w:r>
        <w:t xml:space="preserve"> McConnel &amp; Kennedy wrote to Betty Barber of Bolton on the 25th of </w:t>
      </w:r>
      <w:r w:rsidR="00C50771">
        <w:t>April</w:t>
      </w:r>
      <w:r>
        <w:t xml:space="preserve"> 1797, seeking to resolve a matter of payment.</w:t>
      </w:r>
      <w:r w:rsidR="009E60E9">
        <w:rPr>
          <w:rStyle w:val="FootnoteReference"/>
        </w:rPr>
        <w:footnoteReference w:id="504"/>
      </w:r>
      <w:r>
        <w:t xml:space="preserve"> </w:t>
      </w:r>
    </w:p>
    <w:p w14:paraId="0603A8B7" w14:textId="77777777" w:rsidR="005A05DF" w:rsidRDefault="005A05DF" w:rsidP="005A05DF">
      <w:pPr>
        <w:pStyle w:val="NoSpacing"/>
      </w:pPr>
    </w:p>
    <w:p w14:paraId="556C1F43" w14:textId="42FD2096" w:rsidR="005A05DF" w:rsidRDefault="005A05DF" w:rsidP="005A05DF">
      <w:pPr>
        <w:pStyle w:val="NoSpacing"/>
        <w:ind w:left="720"/>
      </w:pPr>
      <w:r>
        <w:t>Miss your man has repeatedly promised to settle the balance of your account and had often disappointed us. This is therefore to request you will remit a bill for the balance £33. 12. 0. without giving either party further trouble.</w:t>
      </w:r>
      <w:r>
        <w:rPr>
          <w:rStyle w:val="FootnoteReference"/>
        </w:rPr>
        <w:footnoteReference w:id="505"/>
      </w:r>
      <w:r>
        <w:t xml:space="preserve"> </w:t>
      </w:r>
    </w:p>
    <w:p w14:paraId="2FF842AE" w14:textId="77777777" w:rsidR="005A05DF" w:rsidRDefault="005A05DF" w:rsidP="005A05DF">
      <w:pPr>
        <w:pStyle w:val="NoSpacing"/>
      </w:pPr>
    </w:p>
    <w:p w14:paraId="6222D1EB" w14:textId="3CC58031" w:rsidR="005A05DF" w:rsidRDefault="005A05DF" w:rsidP="005A05DF">
      <w:pPr>
        <w:pStyle w:val="NoSpacing"/>
      </w:pPr>
      <w:r>
        <w:t>This letter shows that this business exchange relationship was proving untrustworthy for McConnel &amp; Kennedy, and the conduct of the Barbers fell short of their expectations. Their trouble did not stop there, as they felt compelled to write again on the 23rd of May 1797; this time, they were enquiring about the status of their order.</w:t>
      </w:r>
      <w:r w:rsidR="009E60E9">
        <w:rPr>
          <w:rStyle w:val="FootnoteReference"/>
        </w:rPr>
        <w:footnoteReference w:id="506"/>
      </w:r>
      <w:r>
        <w:t xml:space="preserve"> They were surprised that their order for the planks of wood they had bought from his house had not arrived yet. Their previous difficulties with the firm had ensured their uneasiness was heightened on this subsequent occasion as the Barbers had begun to get themselves a reputation for being untrustworthy network actors. There are no further letters sent to the firm after this one, so it is likely that their conduct prevented a mutually trusting relationship and that they were ejected from the inner networks of McConnel &amp; Kennedy.  </w:t>
      </w:r>
    </w:p>
    <w:p w14:paraId="6CDC13DD" w14:textId="77777777" w:rsidR="005A05DF" w:rsidRDefault="005A05DF" w:rsidP="005A05DF">
      <w:pPr>
        <w:pStyle w:val="NoSpacing"/>
      </w:pPr>
    </w:p>
    <w:p w14:paraId="51F2E9EA" w14:textId="77777777" w:rsidR="005A05DF" w:rsidRDefault="005A05DF" w:rsidP="005A05DF">
      <w:pPr>
        <w:pStyle w:val="NoSpacing"/>
        <w:rPr>
          <w:b/>
          <w:bCs/>
          <w:i/>
          <w:iCs/>
        </w:rPr>
      </w:pPr>
      <w:r w:rsidRPr="009551CD">
        <w:rPr>
          <w:b/>
          <w:bCs/>
          <w:i/>
          <w:iCs/>
        </w:rPr>
        <w:t>Exceptional circumstances</w:t>
      </w:r>
    </w:p>
    <w:p w14:paraId="4F03C643" w14:textId="77777777" w:rsidR="00F77E70" w:rsidRPr="009551CD" w:rsidRDefault="00F77E70" w:rsidP="005A05DF">
      <w:pPr>
        <w:pStyle w:val="NoSpacing"/>
        <w:rPr>
          <w:b/>
          <w:bCs/>
          <w:i/>
          <w:iCs/>
        </w:rPr>
      </w:pPr>
    </w:p>
    <w:p w14:paraId="1CBECD21" w14:textId="2522A559" w:rsidR="005A05DF" w:rsidRDefault="005A05DF" w:rsidP="005A05DF">
      <w:pPr>
        <w:pStyle w:val="NoSpacing"/>
      </w:pPr>
      <w:r w:rsidRPr="00CA36DC">
        <w:t xml:space="preserve">At times, business disputes arose that necessitated more than just a reproachful letter or the exchange of goods. In such cases, arbitration was </w:t>
      </w:r>
      <w:r>
        <w:t>one route open to resolving</w:t>
      </w:r>
      <w:r w:rsidRPr="00CA36DC">
        <w:t xml:space="preserve"> disagreements on terms and obligations. Although the precise nature of the dispute remains somewhat obscured due to incomplete correspondence records, we know of a business dispute within the Evans family's network in March 1788.</w:t>
      </w:r>
      <w:r>
        <w:t xml:space="preserve"> </w:t>
      </w:r>
      <w:r w:rsidRPr="00CA36DC">
        <w:t>W. Evans &amp; Co. dispatched a letter to Fellows &amp; Sons, addressing a dispute involving Mr. Swift and Fellows &amp; Sons.</w:t>
      </w:r>
      <w:r>
        <w:rPr>
          <w:rStyle w:val="FootnoteReference"/>
        </w:rPr>
        <w:footnoteReference w:id="507"/>
      </w:r>
      <w:r w:rsidRPr="00CA36DC">
        <w:t xml:space="preserve"> Regrettably, the original letter cited in this correspondence is missing from </w:t>
      </w:r>
      <w:r>
        <w:t>the</w:t>
      </w:r>
      <w:r w:rsidRPr="00CA36DC">
        <w:t xml:space="preserve"> archives.</w:t>
      </w:r>
      <w:r>
        <w:t xml:space="preserve"> </w:t>
      </w:r>
      <w:r w:rsidRPr="00CA36DC">
        <w:t>However, a letter dated March 8th</w:t>
      </w:r>
      <w:r>
        <w:t>,</w:t>
      </w:r>
      <w:r w:rsidRPr="00CA36DC">
        <w:t xml:space="preserve"> received by the Evans family, </w:t>
      </w:r>
      <w:r>
        <w:t>was highlighted in this response letter, and they implied</w:t>
      </w:r>
      <w:r w:rsidRPr="00CA36DC">
        <w:t xml:space="preserve"> </w:t>
      </w:r>
      <w:r>
        <w:t>the original</w:t>
      </w:r>
      <w:r w:rsidRPr="00CA36DC">
        <w:t xml:space="preserve"> contained a record of a grievance or question.</w:t>
      </w:r>
      <w:r w:rsidR="00F77E70">
        <w:rPr>
          <w:rStyle w:val="FootnoteReference"/>
        </w:rPr>
        <w:footnoteReference w:id="508"/>
      </w:r>
      <w:r>
        <w:t xml:space="preserve"> </w:t>
      </w:r>
      <w:r w:rsidRPr="00CA36DC">
        <w:t xml:space="preserve">In response, the Evans family conveyed Mr. Swift's stance, indicating that he did not consider the question posed by Fellows &amp; Sons worthy of an answer. Nevertheless, should the need arise for further pursuit of the matter, Mr. Swift expressed no objection to leaving the resolution to </w:t>
      </w:r>
      <w:r w:rsidRPr="00CA36DC">
        <w:lastRenderedPageBreak/>
        <w:t>be settled by each party selecting a man of established character.</w:t>
      </w:r>
      <w:r>
        <w:t xml:space="preserve"> </w:t>
      </w:r>
      <w:r w:rsidRPr="00CA36DC">
        <w:t>Furthermore, the Evans family requested that any demands Fellows &amp; Sons believed they had against them be conveyed in a subsequent letter. Until such time, they opted to abstain from further correspondence on the matter.</w:t>
      </w:r>
      <w:r w:rsidR="00ED12C1">
        <w:rPr>
          <w:rStyle w:val="FootnoteReference"/>
        </w:rPr>
        <w:footnoteReference w:id="509"/>
      </w:r>
      <w:r>
        <w:t xml:space="preserve"> Again, it is not clear how this matter was eventually resolved, but the method proposed for resolving this dispute can be known from this letter. </w:t>
      </w:r>
    </w:p>
    <w:p w14:paraId="5ED01E76" w14:textId="77777777" w:rsidR="005A05DF" w:rsidRDefault="005A05DF" w:rsidP="005A05DF">
      <w:pPr>
        <w:pStyle w:val="NoSpacing"/>
      </w:pPr>
    </w:p>
    <w:p w14:paraId="712D8CE6" w14:textId="3CA8AF0D" w:rsidR="005A05DF" w:rsidRDefault="005A05DF" w:rsidP="005A05DF">
      <w:pPr>
        <w:pStyle w:val="NoSpacing"/>
      </w:pPr>
      <w:r>
        <w:t xml:space="preserve">A similar method was adopted by the McConnel &amp; Kennedy network when a dispute between them and Fletcher and Harrison of </w:t>
      </w:r>
      <w:proofErr w:type="spellStart"/>
      <w:r>
        <w:t>Edale</w:t>
      </w:r>
      <w:proofErr w:type="spellEnd"/>
      <w:r>
        <w:t xml:space="preserve"> near Castleton in Derbyshire arose in September of 1795.</w:t>
      </w:r>
      <w:r w:rsidR="00ED12C1">
        <w:rPr>
          <w:rStyle w:val="FootnoteReference"/>
        </w:rPr>
        <w:footnoteReference w:id="510"/>
      </w:r>
      <w:r>
        <w:t xml:space="preserve"> A letter dated the 9</w:t>
      </w:r>
      <w:r w:rsidRPr="0010033B">
        <w:rPr>
          <w:vertAlign w:val="superscript"/>
        </w:rPr>
        <w:t>th</w:t>
      </w:r>
      <w:r>
        <w:t xml:space="preserve"> of September from McConnel &amp; Kennedy expressed the firm’s surprise at the attempt to deviate from the agreement between them and Mr. Fletcher.</w:t>
      </w:r>
      <w:r>
        <w:rPr>
          <w:rStyle w:val="FootnoteReference"/>
        </w:rPr>
        <w:footnoteReference w:id="511"/>
      </w:r>
      <w:r>
        <w:t xml:space="preserve"> The letter details a misunderstanding that has left McConnel &amp; Kennedy set to lose a substantial amount of money without the anticipated reward or compensation they expected for doing so. While it is not fully clear as to the exact misunderstanding between McConnel &amp; Kennedy and Fletcher &amp; Harrison, a breach of the agreement occurred beyond the usual remedy mechanisms. The remedy proposed was that each party select someone to hear the cases brought forward by both sides. </w:t>
      </w:r>
    </w:p>
    <w:p w14:paraId="7B83534E" w14:textId="77777777" w:rsidR="005A05DF" w:rsidRDefault="005A05DF" w:rsidP="005A05DF">
      <w:pPr>
        <w:pStyle w:val="NoSpacing"/>
      </w:pPr>
      <w:r>
        <w:t xml:space="preserve"> </w:t>
      </w:r>
    </w:p>
    <w:p w14:paraId="781FCBFF" w14:textId="2A76A1B1" w:rsidR="005A05DF" w:rsidRPr="00B60E50" w:rsidRDefault="005A05DF" w:rsidP="005A05DF">
      <w:pPr>
        <w:pStyle w:val="NoSpacing"/>
        <w:ind w:left="720"/>
        <w:rPr>
          <w:sz w:val="18"/>
          <w:szCs w:val="18"/>
        </w:rPr>
      </w:pPr>
      <w:r w:rsidRPr="00B60E50">
        <w:rPr>
          <w:sz w:val="18"/>
          <w:szCs w:val="18"/>
        </w:rPr>
        <w:t xml:space="preserve">We are equally as much surprised as you are that you should attempt to deviate from the bargain that was made with Mr. Fletcher. But as it is somehow a misunderstanding [has occurred]. What reason may convince you that we had had the least idea that any misunderstanding could be in our agreement we should not have laid out so much money… We are willing that you choose one </w:t>
      </w:r>
      <w:proofErr w:type="gramStart"/>
      <w:r w:rsidRPr="00B60E50">
        <w:rPr>
          <w:sz w:val="18"/>
          <w:szCs w:val="18"/>
        </w:rPr>
        <w:t>man</w:t>
      </w:r>
      <w:proofErr w:type="gramEnd"/>
      <w:r w:rsidRPr="00B60E50">
        <w:rPr>
          <w:sz w:val="18"/>
          <w:szCs w:val="18"/>
        </w:rPr>
        <w:t xml:space="preserve"> and we choose another, and when they have heard the gentleman that was present when the bargain was made we shall be bound to abide their decision and if they cannot decide the matter in dispute they shall nominate a third.</w:t>
      </w:r>
      <w:r>
        <w:rPr>
          <w:rStyle w:val="FootnoteReference"/>
          <w:sz w:val="18"/>
          <w:szCs w:val="18"/>
        </w:rPr>
        <w:footnoteReference w:id="512"/>
      </w:r>
    </w:p>
    <w:p w14:paraId="76E1EECB" w14:textId="77777777" w:rsidR="005A05DF" w:rsidRDefault="005A05DF" w:rsidP="005A05DF">
      <w:pPr>
        <w:pStyle w:val="NoSpacing"/>
      </w:pPr>
    </w:p>
    <w:p w14:paraId="5492D702" w14:textId="5DBC9B93" w:rsidR="005A05DF" w:rsidRDefault="005A05DF" w:rsidP="005A05DF">
      <w:pPr>
        <w:pStyle w:val="NoSpacing"/>
      </w:pPr>
      <w:r>
        <w:t>A further letter to the firm from McConnel &amp; Kennedy sheds more light on the nature of the business when it discusses the lease of a room in a factory but suggests the alteration in the factory could be done with more propriety when the agreement with Mr. Fletcher is fulfilled.</w:t>
      </w:r>
      <w:r w:rsidR="001319C7">
        <w:rPr>
          <w:rStyle w:val="FootnoteReference"/>
        </w:rPr>
        <w:footnoteReference w:id="513"/>
      </w:r>
      <w:r>
        <w:t xml:space="preserve"> This subsequent correspondence suggests that an agreement had been made and that Mr. Fletcher was then expected to fulfil, showing a progression in the dispute and that Mr. Fletcher had potentially been called to account</w:t>
      </w:r>
      <w:r w:rsidR="006A2EB1">
        <w:t xml:space="preserve"> for his failure to fulfil the expectation placed upon him by the network actors</w:t>
      </w:r>
      <w:r>
        <w:t xml:space="preserve">.  </w:t>
      </w:r>
    </w:p>
    <w:p w14:paraId="204F4BE8" w14:textId="77777777" w:rsidR="005A05DF" w:rsidRDefault="005A05DF" w:rsidP="005A05DF">
      <w:pPr>
        <w:pStyle w:val="NoSpacing"/>
      </w:pPr>
    </w:p>
    <w:p w14:paraId="1D1FD781" w14:textId="6362D2BD" w:rsidR="005A05DF" w:rsidRDefault="005A05DF" w:rsidP="005A05DF">
      <w:pPr>
        <w:pStyle w:val="NoSpacing"/>
      </w:pPr>
      <w:r>
        <w:t>A challenging situation unfolded, placing McConnel &amp; Kennedy at its centre. On the 24th of September 1795, they wrote a letter addressed to Gordon &amp; Cairns of Glasgow, expressing their deep regret upon learning about the misconduct of another firm in their network, John Scott &amp; Co.</w:t>
      </w:r>
      <w:r w:rsidR="006A2EB1">
        <w:rPr>
          <w:rStyle w:val="FootnoteReference"/>
        </w:rPr>
        <w:footnoteReference w:id="514"/>
      </w:r>
      <w:r>
        <w:t xml:space="preserve"> The letter indicated that this firm had disappointed Gordon &amp; Cairns and deceived McConnel &amp; Kennedy, causing financial loss.</w:t>
      </w:r>
      <w:r>
        <w:rPr>
          <w:rStyle w:val="FootnoteReference"/>
        </w:rPr>
        <w:footnoteReference w:id="515"/>
      </w:r>
      <w:r>
        <w:t xml:space="preserve"> A subsequent letter in October requested information on the actions taken by Gordon &amp; Cairns in response. By the 26th of November, McConnel &amp; Kennedy had concluded that Mr. Scott had misled them. The letter to Gordon &amp; Cairns stated, </w:t>
      </w:r>
    </w:p>
    <w:p w14:paraId="699B29A1" w14:textId="77777777" w:rsidR="005A05DF" w:rsidRDefault="005A05DF" w:rsidP="005A05DF">
      <w:pPr>
        <w:pStyle w:val="NoSpacing"/>
      </w:pPr>
    </w:p>
    <w:p w14:paraId="0099076B" w14:textId="2425BA13" w:rsidR="005A05DF" w:rsidRPr="00481C94" w:rsidRDefault="005A05DF" w:rsidP="005A05DF">
      <w:pPr>
        <w:pStyle w:val="NoSpacing"/>
        <w:ind w:left="720"/>
        <w:rPr>
          <w:sz w:val="18"/>
          <w:szCs w:val="18"/>
        </w:rPr>
      </w:pPr>
      <w:r w:rsidRPr="00481C94">
        <w:rPr>
          <w:sz w:val="18"/>
          <w:szCs w:val="18"/>
        </w:rPr>
        <w:t xml:space="preserve">It no doubt seems strange to you that we should think that you received pay for the twist from </w:t>
      </w:r>
      <w:proofErr w:type="spellStart"/>
      <w:r w:rsidRPr="00481C94">
        <w:rPr>
          <w:sz w:val="18"/>
          <w:szCs w:val="18"/>
        </w:rPr>
        <w:t>Tassie</w:t>
      </w:r>
      <w:proofErr w:type="spellEnd"/>
      <w:r w:rsidRPr="00481C94">
        <w:rPr>
          <w:sz w:val="18"/>
          <w:szCs w:val="18"/>
        </w:rPr>
        <w:t>, Gordon &amp; Co. but be assured that Mr. Scott particularly told our J McC what we said respecting that</w:t>
      </w:r>
      <w:r w:rsidR="00395AF4">
        <w:rPr>
          <w:sz w:val="18"/>
          <w:szCs w:val="18"/>
        </w:rPr>
        <w:t>.</w:t>
      </w:r>
      <w:r w:rsidRPr="00481C94">
        <w:rPr>
          <w:sz w:val="18"/>
          <w:szCs w:val="18"/>
        </w:rPr>
        <w:t xml:space="preserve"> But we are </w:t>
      </w:r>
    </w:p>
    <w:p w14:paraId="09BE4600" w14:textId="56603C46" w:rsidR="005A05DF" w:rsidRPr="00481C94" w:rsidRDefault="005A05DF" w:rsidP="005A05DF">
      <w:pPr>
        <w:pStyle w:val="NoSpacing"/>
        <w:ind w:left="720"/>
        <w:rPr>
          <w:sz w:val="18"/>
          <w:szCs w:val="18"/>
        </w:rPr>
      </w:pPr>
      <w:r>
        <w:rPr>
          <w:sz w:val="18"/>
          <w:szCs w:val="18"/>
        </w:rPr>
        <w:t>w</w:t>
      </w:r>
      <w:r w:rsidRPr="00481C94">
        <w:rPr>
          <w:sz w:val="18"/>
          <w:szCs w:val="18"/>
        </w:rPr>
        <w:t>ell assured no</w:t>
      </w:r>
      <w:r>
        <w:rPr>
          <w:sz w:val="18"/>
          <w:szCs w:val="18"/>
        </w:rPr>
        <w:t>w</w:t>
      </w:r>
      <w:r w:rsidRPr="00481C94">
        <w:rPr>
          <w:sz w:val="18"/>
          <w:szCs w:val="18"/>
        </w:rPr>
        <w:t xml:space="preserve"> that he said so just to shuffle it off him, as we asked him why he did not get it settled.</w:t>
      </w:r>
      <w:r>
        <w:rPr>
          <w:rStyle w:val="FootnoteReference"/>
          <w:sz w:val="18"/>
          <w:szCs w:val="18"/>
        </w:rPr>
        <w:footnoteReference w:id="516"/>
      </w:r>
      <w:r w:rsidRPr="00481C94">
        <w:rPr>
          <w:sz w:val="18"/>
          <w:szCs w:val="18"/>
        </w:rPr>
        <w:t xml:space="preserve"> </w:t>
      </w:r>
    </w:p>
    <w:p w14:paraId="63903555" w14:textId="77777777" w:rsidR="005A05DF" w:rsidRDefault="005A05DF" w:rsidP="005A05DF">
      <w:pPr>
        <w:pStyle w:val="NoSpacing"/>
      </w:pPr>
    </w:p>
    <w:p w14:paraId="2E5AE039" w14:textId="1DA14D59" w:rsidR="005A05DF" w:rsidRDefault="005A05DF" w:rsidP="005A05DF">
      <w:pPr>
        <w:pStyle w:val="NoSpacing"/>
      </w:pPr>
      <w:r>
        <w:t xml:space="preserve">This correspondence makes it evident that Mr. Scott was behaving dishonestly and in an untrustworthy manner. McConnel &amp; Kennedy perceived Gordon &amp; Cairns as the aggrieved party in this situation and pledged to do everything in their power to minimise the harm caused by the unscrupulous actions of another. They adopted a stern stance towards Mr. Scott, suggesting that </w:t>
      </w:r>
      <w:r>
        <w:lastRenderedPageBreak/>
        <w:t>arbitration was necessary for resolution. Meanwhile, they extended conciliatory terms to Gordon &amp; Cairns as a goodwill gesture, aiming to safeguard their business relationship from the damage inflicted by the untrustworthy party. The resolution of the matter seemed to be a protracted affair, extending into 1797, as letters dated January 31st and February 24th of 1797 refer to an ongoing issue involving a delivery error by Mr. John Scott &amp; Co. involving 125 units of India weft.</w:t>
      </w:r>
      <w:r w:rsidR="00ED12C1">
        <w:rPr>
          <w:rStyle w:val="FootnoteReference"/>
        </w:rPr>
        <w:footnoteReference w:id="517"/>
      </w:r>
      <w:r>
        <w:t xml:space="preserve"> This matter had yet to be fully resolved. McConnel &amp; Kennedy sought assistance from Robert Kennedy, based in Glasgow, in their quest for resolution.</w:t>
      </w:r>
      <w:r w:rsidR="007244D4">
        <w:rPr>
          <w:rStyle w:val="FootnoteReference"/>
        </w:rPr>
        <w:footnoteReference w:id="518"/>
      </w:r>
      <w:r>
        <w:t xml:space="preserve"> This situation shows that the networks were vulnerable to dishonest people and that the initial mistake in the delivery was not the </w:t>
      </w:r>
      <w:r w:rsidR="00C50771">
        <w:t xml:space="preserve">only </w:t>
      </w:r>
      <w:r>
        <w:t xml:space="preserve">action that caused distress. It was rather the dishonest way in which John Scott &amp; Co. sought to deceive the parties concerned regarding settling the matter. It took members of the trusted kinship network based in Glasgow to manage the matter miles away from the business hub in Manchester. </w:t>
      </w:r>
      <w:r w:rsidR="00A155DF">
        <w:t xml:space="preserve">What this example highlights </w:t>
      </w:r>
      <w:r w:rsidR="00E55EBE">
        <w:t>are</w:t>
      </w:r>
      <w:r w:rsidR="00A155DF">
        <w:t xml:space="preserve"> the value of weak ties within the networks, another example of </w:t>
      </w:r>
      <w:proofErr w:type="spellStart"/>
      <w:r w:rsidR="00A155DF">
        <w:t>Granovetter’s</w:t>
      </w:r>
      <w:proofErr w:type="spellEnd"/>
      <w:r w:rsidR="00A155DF">
        <w:t xml:space="preserve"> theory of strong and weak ties being applicable to the business networks that enabled the cotton trade.</w:t>
      </w:r>
      <w:r w:rsidR="00A155DF">
        <w:rPr>
          <w:rStyle w:val="FootnoteReference"/>
        </w:rPr>
        <w:footnoteReference w:id="519"/>
      </w:r>
      <w:r w:rsidR="00A155DF">
        <w:t xml:space="preserve"> </w:t>
      </w:r>
    </w:p>
    <w:p w14:paraId="6F58C0DF" w14:textId="77777777" w:rsidR="005A05DF" w:rsidRDefault="005A05DF" w:rsidP="005A05DF">
      <w:pPr>
        <w:pStyle w:val="NoSpacing"/>
      </w:pPr>
    </w:p>
    <w:p w14:paraId="6DC23C66" w14:textId="77777777" w:rsidR="005A05DF" w:rsidRPr="00F15833" w:rsidRDefault="005A05DF" w:rsidP="00F15833">
      <w:pPr>
        <w:pStyle w:val="Heading2"/>
        <w:rPr>
          <w:rFonts w:asciiTheme="minorHAnsi" w:hAnsiTheme="minorHAnsi" w:cstheme="minorHAnsi"/>
          <w:b/>
          <w:bCs/>
          <w:color w:val="auto"/>
          <w:sz w:val="24"/>
          <w:szCs w:val="24"/>
        </w:rPr>
      </w:pPr>
      <w:bookmarkStart w:id="164" w:name="_Toc170825692"/>
      <w:r w:rsidRPr="00F15833">
        <w:rPr>
          <w:rFonts w:asciiTheme="minorHAnsi" w:hAnsiTheme="minorHAnsi" w:cstheme="minorHAnsi"/>
          <w:b/>
          <w:bCs/>
          <w:color w:val="auto"/>
          <w:sz w:val="24"/>
          <w:szCs w:val="24"/>
        </w:rPr>
        <w:t>Damage Limitation</w:t>
      </w:r>
      <w:bookmarkEnd w:id="164"/>
    </w:p>
    <w:p w14:paraId="74B02466" w14:textId="120A667B" w:rsidR="005A05DF" w:rsidRDefault="005A05DF" w:rsidP="005A05DF">
      <w:pPr>
        <w:pStyle w:val="NoSpacing"/>
        <w:rPr>
          <w:b/>
          <w:bCs/>
          <w:i/>
          <w:iCs/>
        </w:rPr>
      </w:pPr>
      <w:r w:rsidRPr="009551CD">
        <w:rPr>
          <w:b/>
          <w:bCs/>
          <w:i/>
          <w:iCs/>
        </w:rPr>
        <w:t>Bankruptcy, Untrustworthiness, and Damage Management</w:t>
      </w:r>
    </w:p>
    <w:p w14:paraId="0BF42209" w14:textId="77777777" w:rsidR="00ED12C1" w:rsidRPr="009551CD" w:rsidRDefault="00ED12C1" w:rsidP="005A05DF">
      <w:pPr>
        <w:pStyle w:val="NoSpacing"/>
        <w:rPr>
          <w:b/>
          <w:bCs/>
          <w:i/>
          <w:iCs/>
        </w:rPr>
      </w:pPr>
    </w:p>
    <w:p w14:paraId="2C91F909" w14:textId="622C12CD" w:rsidR="005A05DF" w:rsidRDefault="005A05DF" w:rsidP="005A05DF">
      <w:pPr>
        <w:pStyle w:val="NoSpacing"/>
      </w:pPr>
      <w:r>
        <w:t>In eighteenth-century England, the legal process of bankruptcy was just one of several means by which creditors and debtors could deal with insolvency or indebtedness. It was a recourse open to those indebted to £100 or more.</w:t>
      </w:r>
      <w:r w:rsidR="006A2EB1">
        <w:rPr>
          <w:rStyle w:val="FootnoteReference"/>
        </w:rPr>
        <w:footnoteReference w:id="520"/>
      </w:r>
      <w:r>
        <w:t xml:space="preserve"> In November 1787, the cotton manufacturing networks faced a significant setback with the bankruptcy of </w:t>
      </w:r>
      <w:r w:rsidR="00C50771">
        <w:t>Richard</w:t>
      </w:r>
      <w:r>
        <w:t xml:space="preserve"> Thompson from Blackburn.</w:t>
      </w:r>
      <w:r w:rsidR="007C74B4">
        <w:rPr>
          <w:rStyle w:val="FootnoteReference"/>
        </w:rPr>
        <w:footnoteReference w:id="521"/>
      </w:r>
      <w:r>
        <w:t xml:space="preserve"> This bankruptcy had repercussions for the Evans family business, and they partially attributed the responsibility to Benjamin Bulcock. This was due to Bulcock's prior recommendation of Mr. Thompson's reliability as a neighbour.</w:t>
      </w:r>
      <w:r w:rsidR="006A2EB1">
        <w:rPr>
          <w:rStyle w:val="FootnoteReference"/>
        </w:rPr>
        <w:footnoteReference w:id="522"/>
      </w:r>
      <w:r>
        <w:t xml:space="preserve"> The initial letter addressing the bankruptcy matter was measured in tone, expressing concern and seeking clarification. The Evans family only became aware of the situation when they learned of another network member's experience, where a bill of exchange drawn on Richard Thompson was </w:t>
      </w:r>
      <w:r w:rsidR="00C50771">
        <w:t>protested</w:t>
      </w:r>
      <w:r>
        <w:t>.</w:t>
      </w:r>
      <w:r w:rsidR="006A2EB1">
        <w:rPr>
          <w:rStyle w:val="FootnoteReference"/>
        </w:rPr>
        <w:footnoteReference w:id="523"/>
      </w:r>
      <w:r>
        <w:t xml:space="preserve"> Being bankers, the Evans family had an advantageous position in acquiring this information. The initial letter demonstrates that, </w:t>
      </w:r>
      <w:r w:rsidR="00003D55">
        <w:t xml:space="preserve">if </w:t>
      </w:r>
      <w:r>
        <w:t>the Evans family</w:t>
      </w:r>
      <w:r w:rsidR="00003D55">
        <w:t xml:space="preserve"> felt their business was not at any potential harm</w:t>
      </w:r>
      <w:r>
        <w:t xml:space="preserve">, Benjamin Bulcock </w:t>
      </w:r>
      <w:r w:rsidR="00003D55">
        <w:t>should</w:t>
      </w:r>
      <w:r>
        <w:t xml:space="preserve"> not be held entirely responsible.</w:t>
      </w:r>
      <w:r w:rsidR="00003D55">
        <w:t xml:space="preserve"> However, if this changed and their business was negatively affected, then he should shoulder some responsibility.</w:t>
      </w:r>
      <w:r>
        <w:t xml:space="preserve"> The tone of the letter was conciliatory, and the Evans family even offered information to him.</w:t>
      </w:r>
      <w:r w:rsidR="00003D55">
        <w:rPr>
          <w:rStyle w:val="FootnoteReference"/>
        </w:rPr>
        <w:footnoteReference w:id="524"/>
      </w:r>
      <w:r>
        <w:t xml:space="preserve"> The bankruptcy of Richard Thompson underscored the vulnerability of the entire network. While the Evans family's business was not immediately affected by the events in Blackburn, it highlighted the interconnectivity of the networks</w:t>
      </w:r>
      <w:r w:rsidR="00003D55">
        <w:t xml:space="preserve"> and the vulnerability of firms within the network being at risk from the ripple effects of another firm’s bankruptcy. </w:t>
      </w:r>
    </w:p>
    <w:p w14:paraId="770B92C0" w14:textId="77777777" w:rsidR="005A05DF" w:rsidRDefault="005A05DF" w:rsidP="005A05DF">
      <w:pPr>
        <w:pStyle w:val="NoSpacing"/>
      </w:pPr>
    </w:p>
    <w:p w14:paraId="1D985419" w14:textId="4FDA3BEE" w:rsidR="005A05DF" w:rsidRDefault="005A05DF" w:rsidP="005A05DF">
      <w:pPr>
        <w:pStyle w:val="NoSpacing"/>
      </w:pPr>
      <w:r>
        <w:t>The Evans-Bulcock business relationship required careful management by the Evans family as the Blackburn market was going through some difficulties between 1787 and 1788. In subsequent correspondence with Benjamin Bulcock in May 1788, the Evans family returned to him a draft of Weaver &amp; Co. worth sixteen pounds, which had been refused.</w:t>
      </w:r>
      <w:r w:rsidR="00720361">
        <w:rPr>
          <w:rStyle w:val="FootnoteReference"/>
        </w:rPr>
        <w:footnoteReference w:id="525"/>
      </w:r>
      <w:r>
        <w:t xml:space="preserve"> They suggested an alternative payment method using a draft on Livesey &amp; Co that Bulcock had provided Mr. Evans when he had visited Blackburn earlier that year. The letter requested permission to take the bill to London. This letter suggested that the Evans family felt</w:t>
      </w:r>
      <w:r w:rsidR="00003D55">
        <w:t xml:space="preserve"> some</w:t>
      </w:r>
      <w:r>
        <w:t xml:space="preserve"> responsib</w:t>
      </w:r>
      <w:r w:rsidR="00003D55">
        <w:t>ility</w:t>
      </w:r>
      <w:r>
        <w:t xml:space="preserve"> for Benjamin Bulcock's financial well-being, tied up with his fiscal safety was their own. They also indicated difficulties within the markets </w:t>
      </w:r>
      <w:r>
        <w:lastRenderedPageBreak/>
        <w:t>and requested information if he knew of any other houses in Blackburn facing similar issues.</w:t>
      </w:r>
      <w:r w:rsidR="006A2EB1">
        <w:rPr>
          <w:rStyle w:val="FootnoteReference"/>
        </w:rPr>
        <w:footnoteReference w:id="526"/>
      </w:r>
      <w:r>
        <w:t xml:space="preserve"> While the initial trust in Benjamin Bulcock was in question, the second letter demonstrated the Evans family's increasing reliance on his information about the Blackburn market, and their need for this information led them to place some trust in their connection with him. The 1788 difficulties felt by the Blackburn market coincided with a deeper national financial crisis noted by </w:t>
      </w:r>
      <w:r w:rsidR="00880BF3">
        <w:t xml:space="preserve">T. S. </w:t>
      </w:r>
      <w:r>
        <w:t xml:space="preserve">Ashton and </w:t>
      </w:r>
      <w:r w:rsidR="00880BF3">
        <w:t xml:space="preserve">Julian </w:t>
      </w:r>
      <w:proofErr w:type="spellStart"/>
      <w:r>
        <w:t>Hoppit</w:t>
      </w:r>
      <w:proofErr w:type="spellEnd"/>
      <w:r>
        <w:t>, in which a dramatic rise of bankruptcies occurred across Britain.</w:t>
      </w:r>
      <w:r w:rsidR="009F6BEA">
        <w:rPr>
          <w:rStyle w:val="FootnoteReference"/>
        </w:rPr>
        <w:footnoteReference w:id="527"/>
      </w:r>
      <w:r>
        <w:t xml:space="preserve"> The Evans family, as bankers, would have been at the forefront of this knowledge and, therefore, would have had the foresight to understand the consequences of not seeing Bulcock through his financial troubles.  </w:t>
      </w:r>
    </w:p>
    <w:p w14:paraId="7AA92B47" w14:textId="77777777" w:rsidR="00975595" w:rsidRDefault="00975595" w:rsidP="005A05DF">
      <w:pPr>
        <w:pStyle w:val="NoSpacing"/>
      </w:pPr>
    </w:p>
    <w:p w14:paraId="004D2E83" w14:textId="6343C3C3" w:rsidR="00975595" w:rsidRPr="00975595" w:rsidRDefault="00975595" w:rsidP="00975595">
      <w:pPr>
        <w:pStyle w:val="NoSpacing"/>
        <w:rPr>
          <w:b/>
          <w:bCs/>
          <w:sz w:val="24"/>
          <w:szCs w:val="24"/>
        </w:rPr>
      </w:pPr>
      <w:r>
        <w:rPr>
          <w:b/>
          <w:bCs/>
          <w:sz w:val="24"/>
          <w:szCs w:val="24"/>
        </w:rPr>
        <w:t xml:space="preserve">Natural </w:t>
      </w:r>
      <w:r w:rsidRPr="00975595">
        <w:rPr>
          <w:b/>
          <w:bCs/>
          <w:sz w:val="24"/>
          <w:szCs w:val="24"/>
        </w:rPr>
        <w:t>Hazards</w:t>
      </w:r>
    </w:p>
    <w:p w14:paraId="2BFE0632" w14:textId="77777777" w:rsidR="00975595" w:rsidRDefault="00975595" w:rsidP="00975595">
      <w:pPr>
        <w:pStyle w:val="NoSpacing"/>
        <w:rPr>
          <w:i/>
          <w:iCs/>
        </w:rPr>
      </w:pPr>
      <w:r w:rsidRPr="00975595">
        <w:rPr>
          <w:i/>
          <w:iCs/>
        </w:rPr>
        <w:t>Natural Hazards: Fire and Flood</w:t>
      </w:r>
    </w:p>
    <w:p w14:paraId="4CF58139" w14:textId="77777777" w:rsidR="006A2EB1" w:rsidRPr="00975595" w:rsidRDefault="006A2EB1" w:rsidP="00975595">
      <w:pPr>
        <w:pStyle w:val="NoSpacing"/>
        <w:rPr>
          <w:i/>
          <w:iCs/>
        </w:rPr>
      </w:pPr>
    </w:p>
    <w:p w14:paraId="4B408541" w14:textId="4A15677B" w:rsidR="00975595" w:rsidRDefault="00975595" w:rsidP="00975595">
      <w:pPr>
        <w:pStyle w:val="NoSpacing"/>
      </w:pPr>
      <w:r w:rsidRPr="00975595">
        <w:t>The risks involved in operating a cotton mill during the industrialising period not only included the moral hazards of network members failing to adhere to the idealised codes of conduct specific to their class, gender, and network roles. The natural world and non-network members could also impact the running of the mills. The risk of fires in cotton mills, particularly before William Strutt’s design and implementation of the fireproof mill in the last decade of the eighteenth century. On the 4</w:t>
      </w:r>
      <w:r w:rsidRPr="00975595">
        <w:rPr>
          <w:vertAlign w:val="superscript"/>
        </w:rPr>
        <w:t>th</w:t>
      </w:r>
      <w:r w:rsidRPr="00975595">
        <w:t xml:space="preserve"> of December 1788, a fire consumed the Boar’s Head Cotton Mills, and within three hours, the mills were almost destroyed.</w:t>
      </w:r>
      <w:r w:rsidRPr="00975595">
        <w:rPr>
          <w:vertAlign w:val="superscript"/>
        </w:rPr>
        <w:footnoteReference w:id="528"/>
      </w:r>
      <w:r w:rsidRPr="00975595">
        <w:t xml:space="preserve"> A report in the </w:t>
      </w:r>
      <w:r w:rsidRPr="00C50771">
        <w:rPr>
          <w:i/>
          <w:iCs/>
        </w:rPr>
        <w:t>Derby Mercury</w:t>
      </w:r>
      <w:r w:rsidRPr="00975595">
        <w:t xml:space="preserve"> said that the fire had been discovered between two and three in the morning, and by the time it was put out, only a warehouse full of stock and the water wheel were saved.</w:t>
      </w:r>
      <w:r w:rsidRPr="00975595">
        <w:rPr>
          <w:vertAlign w:val="superscript"/>
        </w:rPr>
        <w:footnoteReference w:id="529"/>
      </w:r>
      <w:r w:rsidRPr="00975595">
        <w:t xml:space="preserve"> The mill documents show the devastation that the fire had on the business, and it was responsible for the breakdown of trusted networks of business contacts; in particular, yarn customers in Nottingham were lost to the firm. Soon after the fire, W. Evans &amp; Co. wrote to some of their Nottingham customers, informing them of their misfortune and its consequences.</w:t>
      </w:r>
      <w:r w:rsidR="00003D55">
        <w:rPr>
          <w:rStyle w:val="FootnoteReference"/>
        </w:rPr>
        <w:footnoteReference w:id="530"/>
      </w:r>
      <w:r w:rsidRPr="00975595">
        <w:t xml:space="preserve"> Messrs. Mason &amp; Crowther, Messrs. Jarman and Trentham, and Mr Thomas Hill received a letter dated the 5</w:t>
      </w:r>
      <w:r w:rsidRPr="00975595">
        <w:rPr>
          <w:vertAlign w:val="superscript"/>
        </w:rPr>
        <w:t>th</w:t>
      </w:r>
      <w:r w:rsidRPr="00975595">
        <w:t xml:space="preserve"> of January 1789.</w:t>
      </w:r>
      <w:r w:rsidR="00003D55">
        <w:rPr>
          <w:rStyle w:val="FootnoteReference"/>
        </w:rPr>
        <w:footnoteReference w:id="531"/>
      </w:r>
      <w:r w:rsidRPr="00975595">
        <w:t xml:space="preserve"> The Evans family tried their best to mitigate the damages done to their business and the broader network by offering their existing stock to the firms at a reduced rate to compensate for their inability to supply current orders. This shows that the fire had the potential to damage their reputation as reliable suppliers. While they remained blameless for the fire, they still sought to minimize the damage to others, which in the long run helped build their reputation as respectable men of business operating a thoughtful and considerate firm. Fortunately for the Evans family, they were insured, but they still had to endure the loss of trade due to the loss of production. The firm then appears to have concentrated its efforts on supplying the Lancashire market in favour of the Nottingham one</w:t>
      </w:r>
      <w:r w:rsidR="000C3B2A">
        <w:t xml:space="preserve">. The </w:t>
      </w:r>
      <w:r w:rsidRPr="00975595">
        <w:t>ledgers and correspondence books show that the</w:t>
      </w:r>
      <w:r w:rsidR="000C3B2A">
        <w:t xml:space="preserve">re were no further letters penned to firms in </w:t>
      </w:r>
      <w:r w:rsidRPr="00975595">
        <w:t>Nottingham</w:t>
      </w:r>
      <w:r w:rsidR="000C3B2A">
        <w:t xml:space="preserve"> by W. Evans &amp; Co. </w:t>
      </w:r>
      <w:r w:rsidRPr="00975595">
        <w:t>until 1796.</w:t>
      </w:r>
      <w:r w:rsidR="000C3B2A">
        <w:rPr>
          <w:rStyle w:val="FootnoteReference"/>
        </w:rPr>
        <w:footnoteReference w:id="532"/>
      </w:r>
      <w:r w:rsidRPr="00975595">
        <w:t xml:space="preserve"> </w:t>
      </w:r>
    </w:p>
    <w:p w14:paraId="2E269449" w14:textId="77777777" w:rsidR="00975595" w:rsidRPr="00975595" w:rsidRDefault="00975595" w:rsidP="00975595">
      <w:pPr>
        <w:pStyle w:val="NoSpacing"/>
      </w:pPr>
    </w:p>
    <w:p w14:paraId="0544F5B8" w14:textId="753549FE" w:rsidR="00975595" w:rsidRDefault="00975595" w:rsidP="00975595">
      <w:pPr>
        <w:pStyle w:val="NoSpacing"/>
      </w:pPr>
      <w:r w:rsidRPr="00975595">
        <w:t xml:space="preserve">The fires that occurred in cotton mills had profound and enduring impacts on both the affected firms and their broader networks. Another natural hazard that threatened the cotton trade was flooding, particularly for mills adjacent to rivers and water sources. Don Peter's research highlights the pivotal role of water in establishing factory-style cotton-spinning mills, with the Boar’s Head </w:t>
      </w:r>
      <w:r w:rsidR="00100A7A">
        <w:t xml:space="preserve">Cotton </w:t>
      </w:r>
      <w:r w:rsidRPr="00975595">
        <w:t>Mills relying more significantly on the power of the river Derwent than the mills operated by McConnel &amp; Kennedy in Ancoats.</w:t>
      </w:r>
      <w:r w:rsidR="000C3B2A">
        <w:rPr>
          <w:rStyle w:val="FootnoteReference"/>
        </w:rPr>
        <w:footnoteReference w:id="533"/>
      </w:r>
      <w:r w:rsidRPr="00975595">
        <w:t xml:space="preserve"> While steam power played a crucial role in Manchester's cotton mills, the waterways and canals facilitating the transportation of goods were also integral to the mills' </w:t>
      </w:r>
      <w:r w:rsidRPr="00975595">
        <w:lastRenderedPageBreak/>
        <w:t>development. Consequently, many cotton mills were strategically located near water sources, making them susceptible to flooding. Some instances of flooding however were deemed avoidable, as was the case in 1790 when the Evans family experienced the disruptive impact of flooding at the Boar’s Head</w:t>
      </w:r>
      <w:r w:rsidR="00100A7A">
        <w:t xml:space="preserve"> Cotton</w:t>
      </w:r>
      <w:r w:rsidRPr="00975595">
        <w:t xml:space="preserve"> Mills, causing a temporary halt to their operations.</w:t>
      </w:r>
      <w:r w:rsidR="000C3B2A">
        <w:rPr>
          <w:rStyle w:val="FootnoteReference"/>
        </w:rPr>
        <w:footnoteReference w:id="534"/>
      </w:r>
      <w:r w:rsidRPr="00975595">
        <w:t xml:space="preserve"> They attributed the flood on July 6, 1790, to the inefficiency of the neighbouring dam system managed by Mr. Samuel Lister. In a letter addressed to Mr. Lister of Messrs. Lister and Stanley, William Evans conveyed his perspective on the blame for the financial losses incurred due to the flood.</w:t>
      </w:r>
      <w:r w:rsidRPr="00975595">
        <w:rPr>
          <w:vertAlign w:val="superscript"/>
        </w:rPr>
        <w:footnoteReference w:id="535"/>
      </w:r>
      <w:r w:rsidRPr="00975595">
        <w:t xml:space="preserve"> The cotton mill remained inoperative for over three-quarters of an hour, resulting in approximately thirty shillings in losses, which Evans personally had to cover. </w:t>
      </w:r>
      <w:r w:rsidR="00864E53">
        <w:t>Evans</w:t>
      </w:r>
      <w:r w:rsidRPr="00975595">
        <w:t xml:space="preserve"> identified Mr. Lister's inadequate dams as the primary cause of the flood, stressing that if the situation persisted, it could lead to more substantial financial losses — a prolonged and severe flood could cost the cotton mill £100 or more. William Evans framed his letter with a sense of responsibility, believing that by alerting Samuel Lister to this issue, Lister would be accountable for future occurrences of a similar nature. The letter emphasised the potential need for compensation in case of future losses caused by Lister's inaction, and it also sought redress for the initial thirty-shilling loss incurred.</w:t>
      </w:r>
      <w:r w:rsidR="00864E53">
        <w:rPr>
          <w:rStyle w:val="FootnoteReference"/>
        </w:rPr>
        <w:footnoteReference w:id="536"/>
      </w:r>
    </w:p>
    <w:p w14:paraId="1E910DDD" w14:textId="77777777" w:rsidR="00975595" w:rsidRPr="00975595" w:rsidRDefault="00975595" w:rsidP="00975595">
      <w:pPr>
        <w:pStyle w:val="NoSpacing"/>
      </w:pPr>
    </w:p>
    <w:p w14:paraId="419344EC" w14:textId="77777777" w:rsidR="00975595" w:rsidRDefault="00975595" w:rsidP="00975595">
      <w:pPr>
        <w:pStyle w:val="NoSpacing"/>
        <w:rPr>
          <w:b/>
          <w:bCs/>
          <w:i/>
          <w:iCs/>
        </w:rPr>
      </w:pPr>
      <w:r w:rsidRPr="00975595">
        <w:rPr>
          <w:b/>
          <w:bCs/>
          <w:i/>
          <w:iCs/>
        </w:rPr>
        <w:t>Crime and Insurance</w:t>
      </w:r>
    </w:p>
    <w:p w14:paraId="7A0C31E4" w14:textId="77777777" w:rsidR="000C3B2A" w:rsidRPr="00975595" w:rsidRDefault="000C3B2A" w:rsidP="00975595">
      <w:pPr>
        <w:pStyle w:val="NoSpacing"/>
        <w:rPr>
          <w:b/>
          <w:bCs/>
          <w:i/>
          <w:iCs/>
        </w:rPr>
      </w:pPr>
    </w:p>
    <w:p w14:paraId="49C7EA99" w14:textId="4DAF105B" w:rsidR="00975595" w:rsidRDefault="00975595" w:rsidP="00975595">
      <w:pPr>
        <w:pStyle w:val="NoSpacing"/>
      </w:pPr>
      <w:r w:rsidRPr="00975595">
        <w:t>One of the tools available to the cotton manufacturers to mitigate the risks of natural hazards was to take out insurance policies. It was noted that the Evans family was insured against the 1788 fire and could recoup some of the costs to rebuild their mill. However, the Strutt family was uninsured when their North Mill at Belper succumbed to fire in 1803, having to cover all the costs themselves.</w:t>
      </w:r>
      <w:r w:rsidR="00864E53">
        <w:rPr>
          <w:rStyle w:val="FootnoteReference"/>
        </w:rPr>
        <w:footnoteReference w:id="537"/>
      </w:r>
      <w:r w:rsidRPr="00975595">
        <w:t xml:space="preserve"> The Evans family continued to insure their business premises against fire, as their paper mill burned down in 1791.</w:t>
      </w:r>
      <w:r w:rsidRPr="00975595">
        <w:rPr>
          <w:vertAlign w:val="superscript"/>
        </w:rPr>
        <w:footnoteReference w:id="538"/>
      </w:r>
      <w:r w:rsidRPr="00975595">
        <w:t xml:space="preserve"> As a result, Walter Evans &amp; Co. took out a fire insurance policy on the 5</w:t>
      </w:r>
      <w:r w:rsidRPr="00975595">
        <w:rPr>
          <w:vertAlign w:val="superscript"/>
        </w:rPr>
        <w:t>th</w:t>
      </w:r>
      <w:r w:rsidRPr="00975595">
        <w:t xml:space="preserve"> of May 1792 with the Sun Office</w:t>
      </w:r>
      <w:r w:rsidR="00864E53">
        <w:t xml:space="preserve"> via their insurance agent William Edward if Derby</w:t>
      </w:r>
      <w:r w:rsidRPr="00975595">
        <w:t>.</w:t>
      </w:r>
      <w:r w:rsidR="00864E53">
        <w:rPr>
          <w:rStyle w:val="FootnoteReference"/>
        </w:rPr>
        <w:footnoteReference w:id="539"/>
      </w:r>
      <w:r w:rsidRPr="00975595">
        <w:t xml:space="preserve"> Their cotton mill was insured for £1000 on the building and £1000 on the machinery.</w:t>
      </w:r>
      <w:r w:rsidRPr="00975595">
        <w:rPr>
          <w:vertAlign w:val="superscript"/>
        </w:rPr>
        <w:footnoteReference w:id="540"/>
      </w:r>
      <w:r w:rsidRPr="00975595">
        <w:t xml:space="preserve"> A letter dated the 22</w:t>
      </w:r>
      <w:r w:rsidRPr="00975595">
        <w:rPr>
          <w:vertAlign w:val="superscript"/>
        </w:rPr>
        <w:t>nd</w:t>
      </w:r>
      <w:r w:rsidRPr="00975595">
        <w:t xml:space="preserve"> of December 1791 to Mr William Edwards, an insurance agent, details the implementation of measures by W. Evans and Co. to ensure they were being rigorous in their procedures to minimise fire and theft risks.</w:t>
      </w:r>
      <w:r w:rsidRPr="00975595">
        <w:rPr>
          <w:vertAlign w:val="superscript"/>
        </w:rPr>
        <w:footnoteReference w:id="541"/>
      </w:r>
      <w:r w:rsidR="00D5773D">
        <w:t xml:space="preserve"> </w:t>
      </w:r>
      <w:r w:rsidRPr="00975595">
        <w:t>It documents that the machinery with the most value is housed in buildings closest to the primary mill and that the firm employed a night watchman whose routine was to inspect all the rooms in the mill. Also, the drying and picking rooms were permanently occupied, and this reduced the risks to the mill. The firms sought to reduce business risks in many ways, including regulating behaviours against moral hazards and insurance policies against natural hazards. However, even with all these preventative measures, not all risks could be avoided.</w:t>
      </w:r>
    </w:p>
    <w:p w14:paraId="2186D8D7" w14:textId="77777777" w:rsidR="00975595" w:rsidRPr="00975595" w:rsidRDefault="00975595" w:rsidP="00975595">
      <w:pPr>
        <w:pStyle w:val="NoSpacing"/>
      </w:pPr>
    </w:p>
    <w:p w14:paraId="157FD9C2" w14:textId="0588BAF2" w:rsidR="00975595" w:rsidRDefault="00975595" w:rsidP="00975595">
      <w:pPr>
        <w:pStyle w:val="NoSpacing"/>
      </w:pPr>
      <w:r w:rsidRPr="00975595">
        <w:t xml:space="preserve">Many industrialists faced risks, including untrustworthy behaviour from within their trading networks and the broader community. As chapters two and three discussed, trust and morality were instilled within the community during time spent at home and in the public sphere. This differed in quality and was received differently in diverse sections of the broader community. Not all members of localities of the mills acted in a trustworthy manner, and not all sections of society were as concerned as the manufacturing elites about the respectable conduct of their members in their local communities. As reports of the time show, the cotton mills and their owners were at risk from criminal acts, natural disasters, and accidents. These acts would have shaped their views on who, within their local communities, could be trusted and who could not. The Evans family were the </w:t>
      </w:r>
      <w:r w:rsidRPr="00975595">
        <w:lastRenderedPageBreak/>
        <w:t xml:space="preserve">victims of a robbery at the cotton mill at the end of 1787. A report in the </w:t>
      </w:r>
      <w:r w:rsidRPr="00C50771">
        <w:rPr>
          <w:i/>
          <w:iCs/>
        </w:rPr>
        <w:t>Derby Mercury</w:t>
      </w:r>
      <w:r w:rsidRPr="00975595">
        <w:t xml:space="preserve"> on the 3</w:t>
      </w:r>
      <w:r w:rsidRPr="00975595">
        <w:rPr>
          <w:vertAlign w:val="superscript"/>
        </w:rPr>
        <w:t>rd</w:t>
      </w:r>
      <w:r w:rsidRPr="00975595">
        <w:t xml:space="preserve"> of January 1788 describes the incident and how it occurred as follows</w:t>
      </w:r>
      <w:r>
        <w:t>:</w:t>
      </w:r>
    </w:p>
    <w:p w14:paraId="30012208" w14:textId="77777777" w:rsidR="00975595" w:rsidRPr="00975595" w:rsidRDefault="00975595" w:rsidP="00975595">
      <w:pPr>
        <w:pStyle w:val="NoSpacing"/>
      </w:pPr>
    </w:p>
    <w:p w14:paraId="64D1A9B6" w14:textId="06BE658D" w:rsidR="00975595" w:rsidRPr="00975595" w:rsidRDefault="00975595" w:rsidP="00975595">
      <w:pPr>
        <w:pStyle w:val="NoSpacing"/>
        <w:ind w:left="720"/>
        <w:rPr>
          <w:sz w:val="18"/>
          <w:szCs w:val="18"/>
        </w:rPr>
      </w:pPr>
      <w:r w:rsidRPr="00975595">
        <w:rPr>
          <w:sz w:val="18"/>
          <w:szCs w:val="18"/>
        </w:rPr>
        <w:t>Late on Saturday night last, Darley Cotton Mill nr. Derby was broken open and a quantity of Cotton Twist and two Thread Yarn stole supposed in the whole to be from One Hundred and a half to Three Hundred Weight… It is supposed that horses were brought to the mill and the goods carried towards some cotton manufactory.</w:t>
      </w:r>
      <w:r w:rsidRPr="00975595">
        <w:rPr>
          <w:sz w:val="18"/>
          <w:szCs w:val="18"/>
          <w:vertAlign w:val="superscript"/>
        </w:rPr>
        <w:footnoteReference w:id="542"/>
      </w:r>
    </w:p>
    <w:p w14:paraId="0F94AB95" w14:textId="77777777" w:rsidR="00975595" w:rsidRPr="00975595" w:rsidRDefault="00975595" w:rsidP="00975595">
      <w:pPr>
        <w:pStyle w:val="NoSpacing"/>
      </w:pPr>
    </w:p>
    <w:p w14:paraId="5A689AD5" w14:textId="77777777" w:rsidR="00975595" w:rsidRPr="00975595" w:rsidRDefault="00975595" w:rsidP="00975595">
      <w:pPr>
        <w:pStyle w:val="NoSpacing"/>
      </w:pPr>
      <w:r w:rsidRPr="00975595">
        <w:t xml:space="preserve">The family offered a ten-guinea reward upon conviction of the perpetrators. It appears from the description in the media that the robbery was well-planned by someone who knew the whereabouts of the stock and the routine of the mill to avoid detection. To have brought horses to a functioning mill without suspicion or detection suggests that it might have been perpetrated by someone known in the area. It is also probable that the culprits had access to and connections within the cotton trade, enabling them to sell the stolen goods they had acquired. However, this is speculation, as the culprits were never discovered. Still, for the reasons outlined above, I think this incident highlights that the ideal level of trust within the networks was fragile and could be prone to being misused.  </w:t>
      </w:r>
    </w:p>
    <w:p w14:paraId="3933771F" w14:textId="77777777" w:rsidR="005A05DF" w:rsidRDefault="005A05DF" w:rsidP="005A05DF">
      <w:pPr>
        <w:pStyle w:val="NoSpacing"/>
      </w:pPr>
    </w:p>
    <w:p w14:paraId="066DA9C5" w14:textId="77777777" w:rsidR="005A05DF" w:rsidRPr="00F15833" w:rsidRDefault="005A05DF" w:rsidP="00F15833">
      <w:pPr>
        <w:pStyle w:val="Heading2"/>
        <w:rPr>
          <w:rFonts w:asciiTheme="minorHAnsi" w:hAnsiTheme="minorHAnsi" w:cstheme="minorHAnsi"/>
          <w:b/>
          <w:bCs/>
          <w:color w:val="auto"/>
          <w:sz w:val="24"/>
          <w:szCs w:val="24"/>
        </w:rPr>
      </w:pPr>
      <w:bookmarkStart w:id="170" w:name="_Toc170825693"/>
      <w:r w:rsidRPr="00F15833">
        <w:rPr>
          <w:rFonts w:asciiTheme="minorHAnsi" w:hAnsiTheme="minorHAnsi" w:cstheme="minorHAnsi"/>
          <w:b/>
          <w:bCs/>
          <w:color w:val="auto"/>
          <w:sz w:val="24"/>
          <w:szCs w:val="24"/>
        </w:rPr>
        <w:t>The Greatest Betrayals of Trust</w:t>
      </w:r>
      <w:bookmarkEnd w:id="170"/>
    </w:p>
    <w:p w14:paraId="3816A550" w14:textId="77777777" w:rsidR="005A05DF" w:rsidRDefault="005A05DF" w:rsidP="005A05DF">
      <w:pPr>
        <w:pStyle w:val="NoSpacing"/>
      </w:pPr>
    </w:p>
    <w:p w14:paraId="64910B6D" w14:textId="77777777" w:rsidR="009551CD" w:rsidRDefault="005A05DF" w:rsidP="009551CD">
      <w:pPr>
        <w:rPr>
          <w:b/>
          <w:bCs/>
          <w:i/>
          <w:iCs/>
        </w:rPr>
      </w:pPr>
      <w:r w:rsidRPr="009551CD">
        <w:rPr>
          <w:b/>
          <w:bCs/>
          <w:i/>
          <w:iCs/>
        </w:rPr>
        <w:t>The Spread of Industrialisation</w:t>
      </w:r>
    </w:p>
    <w:p w14:paraId="7C27E1E7" w14:textId="35688DB0" w:rsidR="005A05DF" w:rsidRDefault="005D152A" w:rsidP="009551CD">
      <w:r>
        <w:t>The spread of industrialisation across the globe started with the greatest betrayals of trust the networks endured.</w:t>
      </w:r>
      <w:r w:rsidR="00821E29">
        <w:t xml:space="preserve"> The ripple effect across the networks from the industrial espionage that occurred from the Evans-Strutt community and business networks influenced the spread of industrialisation of the cotton trade in both continental Europe and the United States.</w:t>
      </w:r>
      <w:r>
        <w:t xml:space="preserve"> The spread of technological expertise and managerial, </w:t>
      </w:r>
      <w:r w:rsidR="00CA2575">
        <w:t>organisational,</w:t>
      </w:r>
      <w:r>
        <w:t xml:space="preserve"> and </w:t>
      </w:r>
      <w:r w:rsidR="00CA2575">
        <w:t xml:space="preserve">business </w:t>
      </w:r>
      <w:r>
        <w:t>structu</w:t>
      </w:r>
      <w:r w:rsidR="00CA2575">
        <w:t xml:space="preserve">re knowledge into Europe and North America stemmed from Derbyshire networks. </w:t>
      </w:r>
      <w:r w:rsidR="005A05DF">
        <w:t xml:space="preserve">One of the early advantages of the industrialising British cotton trade over other nations was its technological </w:t>
      </w:r>
      <w:r w:rsidR="00C50771">
        <w:t>leadership. H</w:t>
      </w:r>
      <w:r w:rsidR="00821E29">
        <w:t>owever</w:t>
      </w:r>
      <w:r w:rsidR="00C50771">
        <w:t>,</w:t>
      </w:r>
      <w:r w:rsidR="00821E29">
        <w:t xml:space="preserve"> this advantage was dented by t</w:t>
      </w:r>
      <w:r w:rsidR="005A05DF">
        <w:t>he spread of</w:t>
      </w:r>
      <w:r w:rsidR="00CA2575">
        <w:t xml:space="preserve"> Arkwright’s</w:t>
      </w:r>
      <w:r w:rsidR="005A05DF">
        <w:t xml:space="preserve"> technology</w:t>
      </w:r>
      <w:r w:rsidR="00CA2575">
        <w:t xml:space="preserve"> and the Arkwright-Strutt-Evans business model</w:t>
      </w:r>
      <w:r w:rsidR="005A05DF">
        <w:t xml:space="preserve"> </w:t>
      </w:r>
      <w:r w:rsidR="00821E29">
        <w:t xml:space="preserve">via </w:t>
      </w:r>
      <w:r w:rsidR="00CA2575">
        <w:t>originally</w:t>
      </w:r>
      <w:r w:rsidR="005A05DF">
        <w:t xml:space="preserve"> clandestine actions. The</w:t>
      </w:r>
      <w:r w:rsidR="00821E29">
        <w:t xml:space="preserve"> actions</w:t>
      </w:r>
      <w:r w:rsidR="005A05DF">
        <w:t xml:space="preserve"> initially required breaking existing bonds to export knowledge and establish industrialisation in other countries. The Evans-Strutt kinship network played a pivotal role through their commercial, social, and knowledge networks, particularly influencing industrialisation in continental Europe and the United States. As Beckert has observed, this process unfolded initially in the United States, followed by Europe, and eventually spread to other nations.</w:t>
      </w:r>
      <w:r w:rsidR="005A05DF">
        <w:rPr>
          <w:rStyle w:val="FootnoteReference"/>
        </w:rPr>
        <w:footnoteReference w:id="543"/>
      </w:r>
      <w:r w:rsidR="005A05DF">
        <w:t xml:space="preserve"> </w:t>
      </w:r>
      <w:r w:rsidR="00D5773D">
        <w:t>Beckert’s</w:t>
      </w:r>
      <w:r w:rsidR="005A05DF">
        <w:t xml:space="preserve"> economic explanations, closely tied to the development of global capitalism, posed </w:t>
      </w:r>
      <w:r w:rsidR="00D5773D">
        <w:t>him a</w:t>
      </w:r>
      <w:r w:rsidR="005A05DF">
        <w:t xml:space="preserve"> puzzle in understanding the specific path of industrialisation.</w:t>
      </w:r>
      <w:r w:rsidR="00D5773D">
        <w:rPr>
          <w:rStyle w:val="FootnoteReference"/>
        </w:rPr>
        <w:footnoteReference w:id="544"/>
      </w:r>
      <w:r w:rsidR="005A05DF">
        <w:t xml:space="preserve"> One potential explanation lies in the socio-economic framework of these trusted networks. Industrialisation patterns followed people's social and cultural movements, facilitating the transfer of industrial knowledge to new locations as network actors relocated. Trust played a crucial role, often being forged, broken, and rebuilt during the exportation of knowledge. The connection of network actors once based in Derbyshire is particularly evident in the origins of the United States cotton spinning industry and Europe's. </w:t>
      </w:r>
    </w:p>
    <w:p w14:paraId="21124D7C" w14:textId="139563DA" w:rsidR="005A05DF" w:rsidRDefault="005A05DF" w:rsidP="005A05DF">
      <w:r>
        <w:t xml:space="preserve">Members of the close association networks of the Evans-Strutt enabled the first cotton spinning mills to operate on the Arkwright system outside of Britain. While shrouded in mystery, the export of Arkwright’s technology to Cromford </w:t>
      </w:r>
      <w:proofErr w:type="spellStart"/>
      <w:r>
        <w:t>Textilefabrik</w:t>
      </w:r>
      <w:proofErr w:type="spellEnd"/>
      <w:r>
        <w:t xml:space="preserve"> in Ratingen in North-Rhine-Westphalia in 1783 enabled the European construction of factories based on the British system.</w:t>
      </w:r>
      <w:r w:rsidR="00316685">
        <w:rPr>
          <w:rStyle w:val="FootnoteReference"/>
        </w:rPr>
        <w:footnoteReference w:id="545"/>
      </w:r>
      <w:r>
        <w:t xml:space="preserve"> The owner of the mill Johann Gottfried </w:t>
      </w:r>
      <w:proofErr w:type="spellStart"/>
      <w:r>
        <w:t>Br</w:t>
      </w:r>
      <w:r>
        <w:rPr>
          <w:rFonts w:cstheme="minorHAnsi"/>
        </w:rPr>
        <w:t>ü</w:t>
      </w:r>
      <w:r>
        <w:t>gelmann</w:t>
      </w:r>
      <w:proofErr w:type="spellEnd"/>
      <w:r>
        <w:t xml:space="preserve"> wrote to the Prince-Elector Karl Theodore of the Palatinate and </w:t>
      </w:r>
      <w:r>
        <w:lastRenderedPageBreak/>
        <w:t>Bavaria, claiming to have a friend in England who sent him the parts of the machinery.</w:t>
      </w:r>
      <w:r>
        <w:rPr>
          <w:rStyle w:val="FootnoteReference"/>
        </w:rPr>
        <w:footnoteReference w:id="546"/>
      </w:r>
      <w:r>
        <w:t xml:space="preserve"> The use of the name Cromford suggests that the potential friend was closely connected to the Derwent Valley Mills and might have worked for Arkwright at Cromford. Although the act of industrial espionage and the theft of patented technology was a serious breach of trust, this incident alone confirms that the ideal trust level aspired to by the network members was simply that, an aspiration. While Haggerty argues that the Atlantic trade networks did not act merely for money, some network actors in the cotton trade did exactly that.</w:t>
      </w:r>
      <w:r w:rsidR="00D5773D">
        <w:rPr>
          <w:rStyle w:val="FootnoteReference"/>
        </w:rPr>
        <w:footnoteReference w:id="547"/>
      </w:r>
      <w:r>
        <w:t xml:space="preserve"> Haggerty’s conclusions hold when looking at the networks as a collective of human relationships and interactions. At the macro level, the overall trend is that the networks promoted a mutual, reciprocal system based on trust and reputation. However, at a micro-level, </w:t>
      </w:r>
      <w:r w:rsidR="00D5773D">
        <w:t xml:space="preserve">some </w:t>
      </w:r>
      <w:r>
        <w:t xml:space="preserve">opportunistic people ensured the system would always have vulnerabilities, and trusted relationships were not always equally reciprocated. Likely, Arkwright would not have been surprised at the betrayal of his </w:t>
      </w:r>
      <w:r w:rsidR="00D5773D">
        <w:t xml:space="preserve">trust, but he and the rest of his network would have been harmed by it. </w:t>
      </w:r>
    </w:p>
    <w:p w14:paraId="56335D8B" w14:textId="07106E36" w:rsidR="005A05DF" w:rsidRDefault="00E14A17" w:rsidP="00E14A17">
      <w:r>
        <w:t xml:space="preserve">Samuel Slater, a former apprentice of Jedediah Strutt and a member of the same household, played a key role in implementing the exportation of spinning technology and adopting the management practices established in the Arkwright system. </w:t>
      </w:r>
      <w:r w:rsidR="005A05DF">
        <w:t>Samuel Slater, became renowned as the father of American cotton manufacturing—however, his role in establishing his American cotton mills required breaking trust expectations and network obligations</w:t>
      </w:r>
      <w:r w:rsidR="00D5773D">
        <w:t xml:space="preserve"> back in the Derwent Valley</w:t>
      </w:r>
      <w:r w:rsidR="005A05DF">
        <w:t>.</w:t>
      </w:r>
      <w:r w:rsidR="00D5773D">
        <w:rPr>
          <w:rStyle w:val="FootnoteReference"/>
        </w:rPr>
        <w:footnoteReference w:id="548"/>
      </w:r>
      <w:r w:rsidR="005A05DF">
        <w:t xml:space="preserve"> Another Derbyshire connection to the American cotton industry came from Kirk </w:t>
      </w:r>
      <w:proofErr w:type="spellStart"/>
      <w:r w:rsidR="005A05DF">
        <w:t>Boott</w:t>
      </w:r>
      <w:proofErr w:type="spellEnd"/>
      <w:r w:rsidR="005A05DF">
        <w:t>, the founder of the Lowell mills.</w:t>
      </w:r>
      <w:r w:rsidR="003F43FB">
        <w:rPr>
          <w:rStyle w:val="FootnoteReference"/>
        </w:rPr>
        <w:footnoteReference w:id="549"/>
      </w:r>
      <w:r w:rsidR="005A05DF">
        <w:t xml:space="preserve"> Although his connection to the Evans-Strutt kinship network was more distant – he was still from within the wider community and business networks of Derby. Kirk </w:t>
      </w:r>
      <w:proofErr w:type="spellStart"/>
      <w:r w:rsidR="005A05DF">
        <w:t>Boott’s</w:t>
      </w:r>
      <w:proofErr w:type="spellEnd"/>
      <w:r w:rsidR="005A05DF">
        <w:t xml:space="preserve"> father was born in Derby, and although Kirk was born in Boston, he still had strong links with the town.</w:t>
      </w:r>
      <w:r w:rsidR="00D5773D">
        <w:rPr>
          <w:rStyle w:val="FootnoteReference"/>
        </w:rPr>
        <w:footnoteReference w:id="550"/>
      </w:r>
      <w:r w:rsidR="005A05DF">
        <w:t xml:space="preserve"> His wife Ann Haden was from Derby, and her sister Sarah was married to James Oakes, the son of James Oakes, the carrier of the Evans family cotton twist to the Lancashire markets.</w:t>
      </w:r>
      <w:r>
        <w:t xml:space="preserve"> These links show the interconnectedness of the local and global networks but also show that the spread of industrialisation to the United States followed the flow of people with the knowledge and desire to spread this knowledge. Their actions ultimately broke the trust within the networks and gained – particularly in the case of Samuel Slater – the network actors to gain a reputation as self-serving and not to be trusted. Samuel Slater was not trusted by his new business partners (the Brown family including Moses Brown) in the United States as he was an outsider who would break the trust of his own networks.</w:t>
      </w:r>
      <w:r>
        <w:rPr>
          <w:rStyle w:val="FootnoteReference"/>
        </w:rPr>
        <w:footnoteReference w:id="551"/>
      </w:r>
      <w:r>
        <w:t xml:space="preserve"> Their business partnerships were built upon reciprocal understandings of mutual benefits but not on complete trust.   </w:t>
      </w:r>
      <w:r w:rsidR="005A05DF">
        <w:t xml:space="preserve">  </w:t>
      </w:r>
    </w:p>
    <w:p w14:paraId="2B4D5F0E" w14:textId="77777777" w:rsidR="005A05DF" w:rsidRDefault="005A05DF" w:rsidP="00F15833">
      <w:pPr>
        <w:pStyle w:val="Heading2"/>
        <w:rPr>
          <w:rFonts w:asciiTheme="minorHAnsi" w:hAnsiTheme="minorHAnsi" w:cstheme="minorHAnsi"/>
          <w:b/>
          <w:bCs/>
          <w:color w:val="auto"/>
          <w:sz w:val="24"/>
          <w:szCs w:val="24"/>
        </w:rPr>
      </w:pPr>
      <w:bookmarkStart w:id="174" w:name="_Toc170825694"/>
      <w:r w:rsidRPr="00F15833">
        <w:rPr>
          <w:rFonts w:asciiTheme="minorHAnsi" w:hAnsiTheme="minorHAnsi" w:cstheme="minorHAnsi"/>
          <w:b/>
          <w:bCs/>
          <w:color w:val="auto"/>
          <w:sz w:val="24"/>
          <w:szCs w:val="24"/>
        </w:rPr>
        <w:t>Conclusions</w:t>
      </w:r>
      <w:bookmarkEnd w:id="174"/>
    </w:p>
    <w:p w14:paraId="594A204A" w14:textId="77777777" w:rsidR="00D5773D" w:rsidRDefault="00D5773D" w:rsidP="006518F7">
      <w:pPr>
        <w:pStyle w:val="NoSpacing"/>
      </w:pPr>
    </w:p>
    <w:p w14:paraId="528683A2" w14:textId="20072335" w:rsidR="009551CD" w:rsidRDefault="005A05DF" w:rsidP="006518F7">
      <w:pPr>
        <w:pStyle w:val="NoSpacing"/>
      </w:pPr>
      <w:r w:rsidRPr="00180789">
        <w:t xml:space="preserve">This chapter has highlighted the </w:t>
      </w:r>
      <w:r>
        <w:t>flaws within the network system that were the inevitable consequences of human interactivity in commercial settings. The routine mistakes, oversights, and lapses in meeting expectations and obligations</w:t>
      </w:r>
      <w:r w:rsidR="004077DC">
        <w:t xml:space="preserve"> were often overlooked or tolerated</w:t>
      </w:r>
      <w:r w:rsidR="009F001A">
        <w:t xml:space="preserve">. However, consistent lapses were met with letters of </w:t>
      </w:r>
      <w:r w:rsidR="009E68BD">
        <w:t>reprimand</w:t>
      </w:r>
      <w:r w:rsidR="009F001A">
        <w:t xml:space="preserve"> and stern advice for future conduct. </w:t>
      </w:r>
      <w:r w:rsidR="000A3804">
        <w:t xml:space="preserve">If these initial </w:t>
      </w:r>
      <w:r w:rsidR="00594E44">
        <w:t>steps</w:t>
      </w:r>
      <w:r w:rsidR="000A3804">
        <w:t xml:space="preserve"> were ineffective and the deviation from the required norm persisted</w:t>
      </w:r>
      <w:r w:rsidR="00594E44">
        <w:t>,</w:t>
      </w:r>
      <w:r w:rsidR="000A3804">
        <w:t xml:space="preserve"> </w:t>
      </w:r>
      <w:r w:rsidR="00594E44">
        <w:t>then</w:t>
      </w:r>
      <w:r w:rsidR="000A3804">
        <w:t xml:space="preserve"> threats of legal action and arbitration were the usual course of dispute resolution</w:t>
      </w:r>
      <w:r w:rsidR="000E684F">
        <w:t xml:space="preserve">. If the deviation was deemed </w:t>
      </w:r>
      <w:r w:rsidR="000E684F">
        <w:lastRenderedPageBreak/>
        <w:t>severe enough</w:t>
      </w:r>
      <w:r w:rsidR="00594E44">
        <w:t>,</w:t>
      </w:r>
      <w:r w:rsidR="000E684F">
        <w:t xml:space="preserve"> banishment from the network was a significant possibility. </w:t>
      </w:r>
      <w:r w:rsidR="008B2320">
        <w:t xml:space="preserve">These measures were applied to minimise the ripple effects that any deviations could produce throughout the networks. </w:t>
      </w:r>
      <w:r w:rsidR="000E684F">
        <w:t xml:space="preserve">This </w:t>
      </w:r>
      <w:r w:rsidR="00594E44">
        <w:t>chapter</w:t>
      </w:r>
      <w:r w:rsidR="000E684F">
        <w:t xml:space="preserve"> has argued </w:t>
      </w:r>
      <w:r w:rsidR="00583F1F">
        <w:t>that the ideals of the man of business</w:t>
      </w:r>
      <w:r>
        <w:t xml:space="preserve"> </w:t>
      </w:r>
      <w:r w:rsidR="00A7149C">
        <w:t>were difficult aspirations for the ne</w:t>
      </w:r>
      <w:r w:rsidR="009E68BD">
        <w:t>twork</w:t>
      </w:r>
      <w:r w:rsidR="00A7149C">
        <w:t xml:space="preserve"> members </w:t>
      </w:r>
      <w:r w:rsidR="00F25BD3">
        <w:t xml:space="preserve">to achieve consistently. While the two </w:t>
      </w:r>
      <w:r w:rsidR="009E68BD">
        <w:t>cotton-spinning</w:t>
      </w:r>
      <w:r w:rsidR="00F25BD3">
        <w:t xml:space="preserve"> firms of this study took leadership </w:t>
      </w:r>
      <w:r w:rsidR="009E68BD">
        <w:t xml:space="preserve">roles to </w:t>
      </w:r>
      <w:r w:rsidR="00971308">
        <w:t>guid</w:t>
      </w:r>
      <w:r w:rsidR="009E68BD">
        <w:t>e</w:t>
      </w:r>
      <w:r w:rsidR="00971308">
        <w:t xml:space="preserve"> other network members, they themselves occasionally</w:t>
      </w:r>
      <w:r w:rsidR="009E68BD">
        <w:t xml:space="preserve"> </w:t>
      </w:r>
      <w:r w:rsidR="00397015">
        <w:t>dropped their standards.</w:t>
      </w:r>
      <w:r w:rsidR="009551CD">
        <w:t xml:space="preserve"> </w:t>
      </w:r>
      <w:r w:rsidR="00397015">
        <w:t>The ideals were</w:t>
      </w:r>
      <w:r w:rsidR="009E68BD">
        <w:t>,</w:t>
      </w:r>
      <w:r w:rsidR="00397015">
        <w:t xml:space="preserve"> therefore</w:t>
      </w:r>
      <w:r w:rsidR="009E68BD">
        <w:t>,</w:t>
      </w:r>
      <w:r w:rsidR="00397015">
        <w:t xml:space="preserve"> known and understood by the Evans family and McConnel &amp; Kennedy</w:t>
      </w:r>
      <w:r w:rsidR="009E68BD">
        <w:t>,</w:t>
      </w:r>
      <w:r w:rsidR="00397015">
        <w:t xml:space="preserve"> but they</w:t>
      </w:r>
      <w:r w:rsidR="009E68BD">
        <w:t>,</w:t>
      </w:r>
      <w:r w:rsidR="00397015">
        <w:t xml:space="preserve"> too</w:t>
      </w:r>
      <w:r w:rsidR="009E68BD">
        <w:t>,</w:t>
      </w:r>
      <w:r w:rsidR="00397015">
        <w:t xml:space="preserve"> found it difficult to emulate them on every occasion. </w:t>
      </w:r>
      <w:r w:rsidR="009551CD">
        <w:t>There were examples of dishonest actors in both case studies and in the Evans family case study there was a robbery that might have been carried out by a known community member. However, t</w:t>
      </w:r>
      <w:r w:rsidR="00BC6025">
        <w:t>he most significant betrayal</w:t>
      </w:r>
      <w:r w:rsidR="00FB3657">
        <w:t>s</w:t>
      </w:r>
      <w:r w:rsidR="00BC6025">
        <w:t xml:space="preserve"> of trust</w:t>
      </w:r>
      <w:r w:rsidR="00FB3657">
        <w:t xml:space="preserve"> that the networks saw during the early phase of Britain’s industrialisation of the cotton industry were </w:t>
      </w:r>
      <w:r w:rsidR="0040083F">
        <w:t>seen in the wider networks of the Evans-Strutt kinship group</w:t>
      </w:r>
      <w:r w:rsidR="006518F7">
        <w:t>. An unknown employee of Richard Arkwright at Cromford passed on trade secrets and traded knowledge and expertise outside of the inner circle impacted the long-term development of the cotton trade</w:t>
      </w:r>
      <w:r w:rsidR="006518F7" w:rsidRPr="006518F7">
        <w:t xml:space="preserve"> </w:t>
      </w:r>
      <w:r w:rsidR="006518F7">
        <w:t>and damaged the ethos of mutual benefit across the network. Additionally, it was Samuel Slater, an apprentice of Jedediah Strutt, who broke the trust of the network by taking his knowledge to the United States and jeopardised not only the profitability and sustainability of his previous network, its firms and it people but also the whole competitiveness of British trade. Therefore, it must be concluded that while most network actors subscribed to t</w:t>
      </w:r>
      <w:r w:rsidR="00654461">
        <w:t>h</w:t>
      </w:r>
      <w:r w:rsidR="00205E78">
        <w:t xml:space="preserve">e </w:t>
      </w:r>
      <w:r w:rsidR="00654461">
        <w:t>concept</w:t>
      </w:r>
      <w:r w:rsidR="00205E78">
        <w:t xml:space="preserve"> of mutual benefit</w:t>
      </w:r>
      <w:r w:rsidR="00654461">
        <w:t xml:space="preserve"> </w:t>
      </w:r>
      <w:r w:rsidR="006518F7">
        <w:t xml:space="preserve">being </w:t>
      </w:r>
      <w:r w:rsidR="00654461">
        <w:t>underpinned the need for trustworthiness</w:t>
      </w:r>
      <w:r w:rsidR="009551CD">
        <w:t xml:space="preserve"> </w:t>
      </w:r>
      <w:r w:rsidR="006518F7">
        <w:t>it was not</w:t>
      </w:r>
      <w:r w:rsidR="009551CD">
        <w:t xml:space="preserve"> adhered </w:t>
      </w:r>
      <w:r w:rsidR="006518F7">
        <w:t>by all</w:t>
      </w:r>
      <w:r w:rsidR="009551CD">
        <w:t xml:space="preserve"> network actors. </w:t>
      </w:r>
    </w:p>
    <w:p w14:paraId="75FAEBFB" w14:textId="77777777" w:rsidR="006518F7" w:rsidRDefault="006518F7" w:rsidP="006518F7">
      <w:pPr>
        <w:pStyle w:val="NoSpacing"/>
      </w:pPr>
    </w:p>
    <w:p w14:paraId="67A7F57F" w14:textId="335428F8" w:rsidR="00F86EB5" w:rsidRDefault="006518F7" w:rsidP="00975595">
      <w:pPr>
        <w:sectPr w:rsidR="00F86EB5">
          <w:footnotePr>
            <w:numRestart w:val="eachSect"/>
          </w:footnotePr>
          <w:pgSz w:w="11906" w:h="16838"/>
          <w:pgMar w:top="1440" w:right="1440" w:bottom="1440" w:left="1440" w:header="708" w:footer="708" w:gutter="0"/>
          <w:cols w:space="708"/>
          <w:docGrid w:linePitch="360"/>
        </w:sectPr>
      </w:pPr>
      <w:r>
        <w:t>The risks to the firms were also linked to factors outside of their network member’s control, such as fires, floods, loss of cargos through</w:t>
      </w:r>
      <w:r w:rsidR="00975595">
        <w:t xml:space="preserve"> theft,</w:t>
      </w:r>
      <w:r>
        <w:t xml:space="preserve"> natural disasters</w:t>
      </w:r>
      <w:r w:rsidR="00975595">
        <w:t>,</w:t>
      </w:r>
      <w:r>
        <w:t xml:space="preserve"> or warfare. Trust and reputation were also key factors in the risk management strategies of these firms and in the</w:t>
      </w:r>
      <w:r w:rsidR="00975595">
        <w:t xml:space="preserve"> way they preserved and pursued rectification of situations that had deviated from the desired norms of practice. Insurance policies required firms to be honest and trustworthy in assessing the risks to their assets and each firm was trusted on reflection of their reputations. The relationship between the firms and their insurance providers shows the benefit of building strong ties. </w:t>
      </w:r>
      <w:r w:rsidR="00D652EC" w:rsidRPr="00D652EC">
        <w:t>In conclusion, this chapter has illustrated</w:t>
      </w:r>
      <w:r w:rsidR="00D652EC">
        <w:t xml:space="preserve"> that within the networks</w:t>
      </w:r>
      <w:r w:rsidR="00B959BA">
        <w:t>,</w:t>
      </w:r>
      <w:r w:rsidR="00D652EC">
        <w:t xml:space="preserve"> some ties</w:t>
      </w:r>
      <w:r w:rsidR="00B959BA">
        <w:t xml:space="preserve"> failed to become strong bonds due to the untrustworthy behaviour of some network actors. Others enjoyed stronger bonds than expected</w:t>
      </w:r>
      <w:r w:rsidR="000532E8">
        <w:t>,</w:t>
      </w:r>
      <w:r w:rsidR="00B959BA">
        <w:t xml:space="preserve"> even if their conduct fell short of the</w:t>
      </w:r>
      <w:r w:rsidR="000532E8">
        <w:t xml:space="preserve"> required expectations</w:t>
      </w:r>
      <w:r w:rsidR="000532E8" w:rsidRPr="005329EB">
        <w:t>. Some deviations were deemed more tolerable than others</w:t>
      </w:r>
      <w:r w:rsidR="00B959BA" w:rsidRPr="005329EB">
        <w:t xml:space="preserve"> </w:t>
      </w:r>
      <w:r w:rsidR="005329EB">
        <w:t xml:space="preserve">and social ties that accompanied business ties </w:t>
      </w:r>
      <w:r w:rsidR="00685851">
        <w:t xml:space="preserve">could </w:t>
      </w:r>
      <w:r w:rsidR="00CC71ED">
        <w:t>make deviations more acceptable. The stronger the social and cultural ties within the community, the more tolerable minor deviations were. However, the less know members of the community</w:t>
      </w:r>
      <w:r w:rsidR="00E07EAE">
        <w:t xml:space="preserve"> or those more relationally and geographically distant </w:t>
      </w:r>
      <w:r w:rsidR="00C47B33">
        <w:t xml:space="preserve">would need to work harder to prove their trustworthiness than those deemed close. The following section looks at the impact of </w:t>
      </w:r>
      <w:r w:rsidR="00A85BFE">
        <w:t xml:space="preserve">geography on the networks and shows the employment of middlemen and agents into distant markets could </w:t>
      </w:r>
      <w:r w:rsidR="002D7518">
        <w:t xml:space="preserve">assist in the management of moral hazard. </w:t>
      </w:r>
    </w:p>
    <w:p w14:paraId="41F33C9A" w14:textId="6695B224" w:rsidR="005A05DF" w:rsidRDefault="005A05DF" w:rsidP="00F15833">
      <w:pPr>
        <w:pStyle w:val="Heading1"/>
        <w:rPr>
          <w:rFonts w:asciiTheme="minorHAnsi" w:hAnsiTheme="minorHAnsi" w:cstheme="minorHAnsi"/>
          <w:b/>
          <w:bCs/>
          <w:color w:val="auto"/>
          <w:sz w:val="28"/>
          <w:szCs w:val="28"/>
        </w:rPr>
      </w:pPr>
      <w:bookmarkStart w:id="175" w:name="_Toc170825695"/>
      <w:r w:rsidRPr="00F15833">
        <w:rPr>
          <w:rFonts w:asciiTheme="minorHAnsi" w:hAnsiTheme="minorHAnsi" w:cstheme="minorHAnsi"/>
          <w:b/>
          <w:bCs/>
          <w:color w:val="auto"/>
          <w:sz w:val="28"/>
          <w:szCs w:val="28"/>
        </w:rPr>
        <w:lastRenderedPageBreak/>
        <w:t xml:space="preserve">Part Three: Expanding Beyond the </w:t>
      </w:r>
      <w:r w:rsidR="00DD27D0">
        <w:rPr>
          <w:rFonts w:asciiTheme="minorHAnsi" w:hAnsiTheme="minorHAnsi" w:cstheme="minorHAnsi"/>
          <w:b/>
          <w:bCs/>
          <w:color w:val="auto"/>
          <w:sz w:val="28"/>
          <w:szCs w:val="28"/>
        </w:rPr>
        <w:t>‘</w:t>
      </w:r>
      <w:r w:rsidRPr="00F15833">
        <w:rPr>
          <w:rFonts w:asciiTheme="minorHAnsi" w:hAnsiTheme="minorHAnsi" w:cstheme="minorHAnsi"/>
          <w:b/>
          <w:bCs/>
          <w:color w:val="auto"/>
          <w:sz w:val="28"/>
          <w:szCs w:val="28"/>
        </w:rPr>
        <w:t>Known</w:t>
      </w:r>
      <w:r w:rsidR="00DD27D0">
        <w:rPr>
          <w:rFonts w:asciiTheme="minorHAnsi" w:hAnsiTheme="minorHAnsi" w:cstheme="minorHAnsi"/>
          <w:b/>
          <w:bCs/>
          <w:color w:val="auto"/>
          <w:sz w:val="28"/>
          <w:szCs w:val="28"/>
        </w:rPr>
        <w:t>’</w:t>
      </w:r>
      <w:bookmarkEnd w:id="175"/>
    </w:p>
    <w:p w14:paraId="03436A7D" w14:textId="77777777" w:rsidR="00F15833" w:rsidRPr="00F15833" w:rsidRDefault="00F15833" w:rsidP="00F15833"/>
    <w:p w14:paraId="2B68C566" w14:textId="77777777" w:rsidR="005A05DF" w:rsidRPr="005A05DF" w:rsidRDefault="005A05DF" w:rsidP="005A05DF">
      <w:r w:rsidRPr="005A05DF">
        <w:t>The cotton mills in this study were founded on the social capital that began in the family, kinship networks, schools, churches, and community societies and then transferred across the networks to form community-based, kinship-managed cotton-spinning mills. The networks were made of webs of connections, many overlapping and all with different norms and expectations of their members. The roles of each member differed, and members could simultaneously hold multiple roles and identities within the networks. The networks of the cotton mills were based on the ideals of trust, trustworthiness, and reputation, which were constantly being managed, and many network members struggled to conform to the high standards the networks required of them. The firms started out with very localised networks but were forced to expand outwards for the resources they needed for their competitive success due to the nature of their business. As the networks and connections of the cotton mills spanned the globe as each firm expanded and opened new supply chains and sales markets, their encounters with unknown networks became increasingly more likely. The social capital within the inner business networks expanded towards a chain of suppliers who converted the goodwill and connectivity into actual resources. The cotton manufacturers did not directly have contact with the planters of raw cotton on the plantations but rather through a group of middlemen, agents, and brokers who, in turn, might have direct contact with planters or themselves be a step away from the cultivation part of the cotton production chain. Once the middlemen had secured their cargo and the shipping arranged, the manufacturers left the responsibility of securing these supplies to trusted associates. The sales agents at the other end of the cotton spinners' production chain often kept in touch with the manufacturer regarding the demands of their customers.</w:t>
      </w:r>
    </w:p>
    <w:p w14:paraId="6D69B1A5" w14:textId="73FEE429" w:rsidR="005A05DF" w:rsidRPr="005A05DF" w:rsidRDefault="005A05DF" w:rsidP="005A05DF">
      <w:r w:rsidRPr="005A05DF">
        <w:t xml:space="preserve">However, as the geographical and relational distances grew between network members, so did the interactions with strangers. Strangers posed uncertainty. This uncertainty was interpreted as an increase in the risks involved in trading. There was a perceived safety in the known, leading to a generalised fear of the unknown and the stranger within the close-knit communities and networks. Kirsten Pond viewed later Victorian anxiety toward strangers when outsiders around the globe would descend on London for the Great Exhibition. This incited fears within the citizens of Britain that outsiders would see their world very differently if they saw the reality inside. Their world would not live up to the scrutiny of outsiders with a different perspective. This section of the thesis concludes by looking at how the inside of the cotton trade </w:t>
      </w:r>
      <w:r w:rsidR="00C4723E" w:rsidRPr="005A05DF">
        <w:t>networks,</w:t>
      </w:r>
      <w:r w:rsidRPr="005A05DF">
        <w:t xml:space="preserve"> and their members viewed those not part of them. Chapter Seven will focus on how strangers were viewed in the minds of the network actors. Two clear types of strangers emanated from the contemporary correspondence: the business stranger and the entire stranger. Some people were viewed cautiously as strangers, yet unknown; others were purposely sidelined due to their racial differences and were deemed by some network actors as unknowable. The business correspondence is silent regarding the marginalised enslaved people producing raw cotton. The separation of the sections of the supply chain networks and the distances involved allowed this silence, which was backed up by ideologies. The McConnel &amp; Kennedy and the Evans family kinship groups viewed these marginalized groups very differently. </w:t>
      </w:r>
    </w:p>
    <w:p w14:paraId="31820080" w14:textId="77777777" w:rsidR="00F86EB5" w:rsidRDefault="005A05DF" w:rsidP="005A05DF">
      <w:pPr>
        <w:sectPr w:rsidR="00F86EB5">
          <w:footnotePr>
            <w:numRestart w:val="eachSect"/>
          </w:footnotePr>
          <w:pgSz w:w="11906" w:h="16838"/>
          <w:pgMar w:top="1440" w:right="1440" w:bottom="1440" w:left="1440" w:header="708" w:footer="708" w:gutter="0"/>
          <w:cols w:space="708"/>
          <w:docGrid w:linePitch="360"/>
        </w:sectPr>
      </w:pPr>
      <w:r w:rsidRPr="005A05DF">
        <w:t xml:space="preserve">The existence of marginalized groups highlights the paradox of a distant aspect within the cotton trade network. Some network members were aware of its existence, yet it remained unknowable to them. This paradox becomes evident when we connect the local networks, built on trust, trustworthiness, and reputation, with the local cotton mills' broader global and historical contexts. Chapter Six will explore the network's connectedness to middlemen and agents embedded within </w:t>
      </w:r>
      <w:r w:rsidRPr="005A05DF">
        <w:lastRenderedPageBreak/>
        <w:t>trusted networks. This interconnection reveals the complex, multifunctional, and often contradictory ideals, and ideologies upon which the local cotton mills were constructed.</w:t>
      </w:r>
    </w:p>
    <w:p w14:paraId="0C3D73F5" w14:textId="3CA16F1E" w:rsidR="005A05DF" w:rsidRPr="00A75D8E" w:rsidRDefault="005A05DF" w:rsidP="00F15833">
      <w:pPr>
        <w:pStyle w:val="Heading1"/>
        <w:rPr>
          <w:rFonts w:asciiTheme="minorHAnsi" w:hAnsiTheme="minorHAnsi" w:cstheme="minorHAnsi"/>
          <w:b/>
          <w:bCs/>
          <w:color w:val="auto"/>
          <w:sz w:val="28"/>
          <w:szCs w:val="28"/>
        </w:rPr>
      </w:pPr>
      <w:bookmarkStart w:id="176" w:name="_Toc170825696"/>
      <w:r w:rsidRPr="00A75D8E">
        <w:rPr>
          <w:rFonts w:asciiTheme="minorHAnsi" w:hAnsiTheme="minorHAnsi" w:cstheme="minorHAnsi"/>
          <w:b/>
          <w:bCs/>
          <w:color w:val="auto"/>
          <w:sz w:val="28"/>
          <w:szCs w:val="28"/>
        </w:rPr>
        <w:lastRenderedPageBreak/>
        <w:t>Chapter Six: Bridging the Gap: Middlemen, Agents, Raw Materials and Sales Markets</w:t>
      </w:r>
      <w:bookmarkEnd w:id="176"/>
    </w:p>
    <w:p w14:paraId="2C9640FE" w14:textId="77777777" w:rsidR="005A05DF" w:rsidRPr="00A75D8E" w:rsidRDefault="005A05DF" w:rsidP="00A75D8E">
      <w:pPr>
        <w:pStyle w:val="Heading2"/>
        <w:rPr>
          <w:rFonts w:asciiTheme="minorHAnsi" w:hAnsiTheme="minorHAnsi" w:cstheme="minorHAnsi"/>
          <w:b/>
          <w:bCs/>
          <w:color w:val="auto"/>
          <w:sz w:val="24"/>
          <w:szCs w:val="24"/>
        </w:rPr>
      </w:pPr>
      <w:bookmarkStart w:id="177" w:name="_Toc170825697"/>
      <w:r w:rsidRPr="00A75D8E">
        <w:rPr>
          <w:rFonts w:asciiTheme="minorHAnsi" w:hAnsiTheme="minorHAnsi" w:cstheme="minorHAnsi"/>
          <w:b/>
          <w:bCs/>
          <w:color w:val="auto"/>
          <w:sz w:val="24"/>
          <w:szCs w:val="24"/>
        </w:rPr>
        <w:t>Introduction</w:t>
      </w:r>
      <w:bookmarkEnd w:id="177"/>
      <w:r w:rsidRPr="00A75D8E">
        <w:rPr>
          <w:rFonts w:asciiTheme="minorHAnsi" w:hAnsiTheme="minorHAnsi" w:cstheme="minorHAnsi"/>
          <w:b/>
          <w:bCs/>
          <w:color w:val="auto"/>
          <w:sz w:val="24"/>
          <w:szCs w:val="24"/>
        </w:rPr>
        <w:t xml:space="preserve"> </w:t>
      </w:r>
    </w:p>
    <w:p w14:paraId="1B481296" w14:textId="79919E44" w:rsidR="005A05DF" w:rsidRPr="005A05DF" w:rsidRDefault="005A05DF" w:rsidP="005A05DF">
      <w:r w:rsidRPr="005A05DF">
        <w:t>This chapter will explore the case study’s transference of social capital and positive reputational status into meaningful access to material resources and sales markets locally and globally. Drawing from the perspective</w:t>
      </w:r>
      <w:r w:rsidR="00C4723E">
        <w:t>s</w:t>
      </w:r>
      <w:r w:rsidRPr="005A05DF">
        <w:t xml:space="preserve"> defined by sociologists </w:t>
      </w:r>
      <w:r w:rsidR="005F6EF6">
        <w:t xml:space="preserve">Robert </w:t>
      </w:r>
      <w:r w:rsidRPr="005A05DF">
        <w:t>Granfield</w:t>
      </w:r>
      <w:r w:rsidR="005F6EF6">
        <w:t>, William</w:t>
      </w:r>
      <w:r w:rsidRPr="005A05DF">
        <w:t xml:space="preserve"> Cloud</w:t>
      </w:r>
      <w:r w:rsidR="005F6EF6">
        <w:t>,</w:t>
      </w:r>
      <w:r w:rsidR="00C4723E">
        <w:t xml:space="preserve"> and Pierre Bourdieu</w:t>
      </w:r>
      <w:r w:rsidR="005F6EF6">
        <w:t>,</w:t>
      </w:r>
      <w:r w:rsidR="00C4723E">
        <w:t xml:space="preserve"> </w:t>
      </w:r>
      <w:r w:rsidRPr="005A05DF">
        <w:t>social capital is</w:t>
      </w:r>
      <w:r w:rsidR="00C4723E">
        <w:t xml:space="preserve"> understood as</w:t>
      </w:r>
      <w:r w:rsidRPr="005A05DF">
        <w:t xml:space="preserve"> the social relations in which individuals are embedded</w:t>
      </w:r>
      <w:r w:rsidR="00C4723E">
        <w:t>,</w:t>
      </w:r>
      <w:r w:rsidRPr="005A05DF">
        <w:t xml:space="preserve"> </w:t>
      </w:r>
      <w:r w:rsidR="00C4723E">
        <w:t xml:space="preserve">and </w:t>
      </w:r>
      <w:r w:rsidR="00C4723E" w:rsidRPr="005A05DF">
        <w:t xml:space="preserve">a resource facilitating access to </w:t>
      </w:r>
      <w:r w:rsidR="00C4723E">
        <w:t xml:space="preserve">other </w:t>
      </w:r>
      <w:r w:rsidR="00C4723E" w:rsidRPr="005A05DF">
        <w:t>resources</w:t>
      </w:r>
      <w:r w:rsidR="005F6EF6">
        <w:t>.</w:t>
      </w:r>
      <w:r w:rsidRPr="005A05DF">
        <w:rPr>
          <w:vertAlign w:val="superscript"/>
        </w:rPr>
        <w:footnoteReference w:id="552"/>
      </w:r>
      <w:r w:rsidRPr="005A05DF">
        <w:t xml:space="preserve"> This chapter will argue that the mill documents seem to support this interpretation of social capital and that the actors in the networks that influenced the cotton mills held a sophisticated understanding of this concept, even though they </w:t>
      </w:r>
      <w:r w:rsidR="006D274C" w:rsidRPr="00562549">
        <w:rPr>
          <w:color w:val="000000" w:themeColor="text1"/>
        </w:rPr>
        <w:t xml:space="preserve">do not use </w:t>
      </w:r>
      <w:r w:rsidRPr="005A05DF">
        <w:t>the term itself. This comprehension informed their approaches to establishing and navigating trust</w:t>
      </w:r>
      <w:r w:rsidR="005F6EF6">
        <w:t>ed networks built upon</w:t>
      </w:r>
      <w:r w:rsidRPr="005A05DF">
        <w:t xml:space="preserve"> trustworth</w:t>
      </w:r>
      <w:r w:rsidR="005F6EF6">
        <w:t xml:space="preserve">y behaviour as a foundation to build positive </w:t>
      </w:r>
      <w:r w:rsidRPr="005A05DF">
        <w:t>reputation</w:t>
      </w:r>
      <w:r w:rsidR="005F6EF6">
        <w:t>s. These networks used the concepts</w:t>
      </w:r>
      <w:r w:rsidRPr="005A05DF">
        <w:t xml:space="preserve"> as tools to leverage access</w:t>
      </w:r>
      <w:r w:rsidR="005F6EF6">
        <w:t xml:space="preserve"> to</w:t>
      </w:r>
      <w:r w:rsidRPr="005A05DF">
        <w:t xml:space="preserve"> essential local and globally sourced raw materials, information, industry-based knowledge, capital and credit opportunities, and lucrative sales markets – the foundational elements of effective cotton manufacturing. The chapter will then argue that the further away a connection was from the firm regarding relational and geographical distance, the greater the need for caution and trust. The actors frequently employed chains of interconnected business relationships to mitigate this challenge. These chains, constructed by agents, middlemen, and brokers, offered a counterbalance to the risks inherent in distant connections. The middlemen were trusted to take some risks away from the manufacturers as they were deemed more knowledgeable in their specialism, which the manufacturer could dedicate less time focusing on freeing him up to hone his skills in managing the manufacturing strand of the production process. Throughout this chapter, I will use the mill documents to demonstrate intricate strategic manipulation, relationship building, and resource acquisition. Through this exploration, we gain insight into the intersection of economic practicality and social dynamics that formed the interface between social capital and the fundamentals of cotton manufacturing during the early industrialising phase. </w:t>
      </w:r>
    </w:p>
    <w:p w14:paraId="36FDD4D1" w14:textId="212C9029" w:rsidR="005A05DF" w:rsidRPr="005A05DF" w:rsidRDefault="005A05DF" w:rsidP="005A05DF">
      <w:r w:rsidRPr="005A05DF">
        <w:t>The business networks of McConnel &amp; Kennedy and W. Evans &amp; Co. constituted a complex and tightly interwoven web of relational associations, functioning in dual capacities as both providers and consumers of essential resources. These intricate networks encompassed critical elements, including supply chain dynamics, knowledge dissemination, capital infusion, credit facilitation, and logistical organisation. Notably, the actors within these networks adeptly navigated various converging connections, seamlessly shouldering multiple roles concurrently. Considering their expansion into uncharted territories, these firms confronted the imperative of cultivating trust in counterparts who bridged the divide between the familiar and the unfamiliar. On certain occasions, they dispatched emissaries into novel and distant markets, thus deploying intermediaries as crucial liaisons capable of mediating between the realms of the known and the unknown. Alternatively, these ventures sometimes necessitated a leap of faith, compelling the firms to rely on trust and serendipity in pursuing uncharted opportunities.</w:t>
      </w:r>
      <w:r w:rsidR="00833B52">
        <w:t xml:space="preserve"> A substantial amount of trust was placed in the middlemen, and agents in supplying raw materials from across Britain and beyond</w:t>
      </w:r>
      <w:r w:rsidR="00FC011E">
        <w:t>. Certain hubs became apparent in the supply and distribution chains in Britain</w:t>
      </w:r>
      <w:r w:rsidR="00B7417A">
        <w:t xml:space="preserve">, </w:t>
      </w:r>
      <w:r w:rsidR="00B7417A" w:rsidRPr="004051BB">
        <w:rPr>
          <w:color w:val="000000" w:themeColor="text1"/>
        </w:rPr>
        <w:t>where</w:t>
      </w:r>
      <w:r w:rsidR="00FC011E" w:rsidRPr="004051BB">
        <w:rPr>
          <w:color w:val="000000" w:themeColor="text1"/>
        </w:rPr>
        <w:t xml:space="preserve"> Manchester</w:t>
      </w:r>
      <w:r w:rsidR="00FC011E">
        <w:t>, other Lancashire towns,</w:t>
      </w:r>
      <w:r w:rsidR="00B7417A">
        <w:t xml:space="preserve"> and</w:t>
      </w:r>
      <w:r w:rsidR="00FC011E">
        <w:t xml:space="preserve"> </w:t>
      </w:r>
      <w:r w:rsidR="00B7417A">
        <w:t>v</w:t>
      </w:r>
      <w:r w:rsidR="00FC011E">
        <w:t xml:space="preserve">alleys in Derbyshire, Nottinghamshire and Cheshire became cotton manufacturing hubs. These hubs were </w:t>
      </w:r>
      <w:r w:rsidR="00FC011E">
        <w:lastRenderedPageBreak/>
        <w:t xml:space="preserve">supported by logistics hubs such as Liverpool, Hull, London and to a </w:t>
      </w:r>
      <w:r w:rsidR="00CA175B">
        <w:t>lesser</w:t>
      </w:r>
      <w:r w:rsidR="00FC011E">
        <w:t xml:space="preserve"> extent in these two case studies, Bristol. </w:t>
      </w:r>
    </w:p>
    <w:p w14:paraId="42DA24FA" w14:textId="77777777" w:rsidR="005A05DF" w:rsidRPr="00A75D8E" w:rsidRDefault="005A05DF" w:rsidP="00A75D8E">
      <w:pPr>
        <w:pStyle w:val="Heading2"/>
        <w:rPr>
          <w:rFonts w:asciiTheme="minorHAnsi" w:hAnsiTheme="minorHAnsi" w:cstheme="minorHAnsi"/>
          <w:b/>
          <w:bCs/>
          <w:color w:val="auto"/>
          <w:sz w:val="24"/>
          <w:szCs w:val="24"/>
        </w:rPr>
      </w:pPr>
      <w:bookmarkStart w:id="178" w:name="_Toc170825698"/>
      <w:r w:rsidRPr="00A75D8E">
        <w:rPr>
          <w:rFonts w:asciiTheme="minorHAnsi" w:hAnsiTheme="minorHAnsi" w:cstheme="minorHAnsi"/>
          <w:b/>
          <w:bCs/>
          <w:color w:val="auto"/>
          <w:sz w:val="24"/>
          <w:szCs w:val="24"/>
        </w:rPr>
        <w:t>Supply chain Networks</w:t>
      </w:r>
      <w:bookmarkEnd w:id="178"/>
    </w:p>
    <w:p w14:paraId="45C9567F" w14:textId="77777777" w:rsidR="005A05DF" w:rsidRPr="005A05DF" w:rsidRDefault="005A05DF" w:rsidP="005A05DF">
      <w:pPr>
        <w:rPr>
          <w:i/>
          <w:iCs/>
        </w:rPr>
      </w:pPr>
      <w:r w:rsidRPr="005A05DF">
        <w:rPr>
          <w:i/>
          <w:iCs/>
        </w:rPr>
        <w:t>Raw Materials</w:t>
      </w:r>
    </w:p>
    <w:p w14:paraId="58083182" w14:textId="79093E8A" w:rsidR="005A05DF" w:rsidRPr="005A05DF" w:rsidRDefault="005A05DF" w:rsidP="005A05DF">
      <w:r w:rsidRPr="005A05DF">
        <w:t>As we have seen, the early industrialising cotton trade business network primarily operated through reputable men of business, emphasising trust and social capital as its foundation. One of its key functions was facilitating the movement of goods throughout the production and manufacturing chain, serving as the fundamental building blocks for the firms' everyday operations. These well-established connections facilitated the flow of raw materials into each firm and ensured the distribution of the manufactured goods to various markets for sale and consumption. While most raw materials were sourced locally, others came from regional markets in Britain or European markets, such as the Mediterranean and Baltic markets. Additionally, global markets, like the Atlantic trade markets, played a role in sourcing essential materials like raw cotton.</w:t>
      </w:r>
      <w:r w:rsidR="000E14D8">
        <w:t xml:space="preserve"> The global networks then transferred the raw cotton that was cultivated by enslaved people on plantations across the Americas to Britain. Firms like W. Evans &amp; Co. and McConnel &amp; Kennedy accessed this supply via their agents and brokers </w:t>
      </w:r>
      <w:r w:rsidR="00CA175B">
        <w:t>then</w:t>
      </w:r>
      <w:r w:rsidR="000E14D8">
        <w:t xml:space="preserve"> logistics firms in Britain transferred the supplies of raw cotton to spinning firms</w:t>
      </w:r>
      <w:r w:rsidR="00FC011E">
        <w:t>. These firms</w:t>
      </w:r>
      <w:r w:rsidR="000E14D8">
        <w:t xml:space="preserve"> </w:t>
      </w:r>
      <w:r w:rsidR="00FC011E">
        <w:t>then</w:t>
      </w:r>
      <w:r w:rsidR="000E14D8">
        <w:t xml:space="preserve"> processed </w:t>
      </w:r>
      <w:r w:rsidR="00CA175B">
        <w:t xml:space="preserve">the raw cotton </w:t>
      </w:r>
      <w:r w:rsidR="000E14D8">
        <w:t>into yarn that was then sold onto other firms</w:t>
      </w:r>
      <w:r w:rsidR="00FC011E">
        <w:t xml:space="preserve"> in hubs such </w:t>
      </w:r>
      <w:r w:rsidR="00FC011E" w:rsidRPr="004051BB">
        <w:rPr>
          <w:color w:val="000000" w:themeColor="text1"/>
        </w:rPr>
        <w:t>as</w:t>
      </w:r>
      <w:r w:rsidR="00B7417A" w:rsidRPr="004051BB">
        <w:rPr>
          <w:color w:val="000000" w:themeColor="text1"/>
        </w:rPr>
        <w:t xml:space="preserve"> Manchester</w:t>
      </w:r>
      <w:r w:rsidR="00B7417A">
        <w:t>,</w:t>
      </w:r>
      <w:r w:rsidR="00FC011E">
        <w:t xml:space="preserve"> Nottingham, Glasgow, Paisley, Belfast and Dublin.</w:t>
      </w:r>
      <w:r w:rsidR="00FC011E">
        <w:rPr>
          <w:rStyle w:val="FootnoteReference"/>
        </w:rPr>
        <w:footnoteReference w:id="553"/>
      </w:r>
      <w:r w:rsidR="00FC011E">
        <w:t xml:space="preserve"> M</w:t>
      </w:r>
      <w:r w:rsidR="000E14D8">
        <w:t>uch of the yarn was manufactured into cotton cloth and sold back into the global markets.</w:t>
      </w:r>
      <w:r w:rsidR="00FC011E">
        <w:rPr>
          <w:rStyle w:val="FootnoteReference"/>
        </w:rPr>
        <w:footnoteReference w:id="554"/>
      </w:r>
      <w:r w:rsidR="000E14D8">
        <w:t xml:space="preserve"> </w:t>
      </w:r>
      <w:r w:rsidRPr="005A05DF">
        <w:t>The firms occasionally obtained their raw materials directly from producers, but more commonly, they relied on brokers and specialised merchants with connections in specific markets.</w:t>
      </w:r>
      <w:r w:rsidR="00616D39">
        <w:rPr>
          <w:rStyle w:val="FootnoteReference"/>
        </w:rPr>
        <w:footnoteReference w:id="555"/>
      </w:r>
      <w:r w:rsidRPr="005A05DF">
        <w:t xml:space="preserve"> For instance, both McConnel &amp; Kennedy and the Evans family acquired their whale oils from merchants in Hull and Rotherham, who, in turn, were connected to whalers in the Baltic trade.</w:t>
      </w:r>
      <w:r w:rsidR="00616D39">
        <w:rPr>
          <w:rStyle w:val="FootnoteReference"/>
        </w:rPr>
        <w:footnoteReference w:id="556"/>
      </w:r>
      <w:r w:rsidRPr="005A05DF">
        <w:t xml:space="preserve"> The Hull-based merchants formed an outer element of the cotton trade networks, and these weaker ties were also formed based on trust and reputation. One notable mutual connection in this market was Messrs. Coates &amp; Co. of Hull.</w:t>
      </w:r>
      <w:r w:rsidRPr="005A05DF">
        <w:rPr>
          <w:vertAlign w:val="superscript"/>
        </w:rPr>
        <w:footnoteReference w:id="557"/>
      </w:r>
      <w:r w:rsidRPr="005A05DF">
        <w:t xml:space="preserve"> This trusted connection of both case studies demonstrates the interconnectivity of the networks and the use of reputational knowledge throughout the wider networks. </w:t>
      </w:r>
    </w:p>
    <w:p w14:paraId="4D602D3B" w14:textId="77777777" w:rsidR="005A05DF" w:rsidRPr="005A05DF" w:rsidRDefault="005A05DF" w:rsidP="005A05DF">
      <w:pPr>
        <w:rPr>
          <w:i/>
          <w:iCs/>
        </w:rPr>
      </w:pPr>
      <w:r w:rsidRPr="005A05DF">
        <w:rPr>
          <w:i/>
          <w:iCs/>
        </w:rPr>
        <w:t>Raw Cotton Supplies – the Middlemen</w:t>
      </w:r>
    </w:p>
    <w:p w14:paraId="7DB40493" w14:textId="218CE2D1" w:rsidR="005A05DF" w:rsidRPr="005A05DF" w:rsidRDefault="005A05DF" w:rsidP="005A05DF">
      <w:r w:rsidRPr="005A05DF">
        <w:t xml:space="preserve">When connecting to the global markets, the risks of moral and natural hazards changed the nature of the trust required, and the mechanisms for risk management were adapted for these new conditions. Now, the firms had to contend with connecting to distant markets and the dangers of shipping raw materials large distances over the Atlantic Ocean. The manufacturers primarily choose to delegate these risks to trusted brokers, agents, and middlemen in the prominent markets of commodity supply in London, Liverpool, and Glasgow. Between 1787 and 1793, the Boar’s Head </w:t>
      </w:r>
      <w:r w:rsidR="00100A7A">
        <w:t xml:space="preserve">Cotton </w:t>
      </w:r>
      <w:r w:rsidRPr="005A05DF">
        <w:t>Mills purchased all their raw cotton supplies from London markets.</w:t>
      </w:r>
      <w:r w:rsidRPr="005A05DF">
        <w:rPr>
          <w:vertAlign w:val="superscript"/>
        </w:rPr>
        <w:footnoteReference w:id="558"/>
      </w:r>
      <w:r w:rsidRPr="005A05DF">
        <w:t xml:space="preserve"> Their agents and cotton brokers included some of their closest business relationships. William Purdy</w:t>
      </w:r>
      <w:r w:rsidR="00B7417A">
        <w:t xml:space="preserve"> was a trusted cotton broker of the Evans family. From his premises</w:t>
      </w:r>
      <w:r w:rsidRPr="005A05DF">
        <w:t xml:space="preserve"> of Tower Street</w:t>
      </w:r>
      <w:r w:rsidR="00B7417A">
        <w:t>, Purdy</w:t>
      </w:r>
      <w:r w:rsidRPr="005A05DF">
        <w:t xml:space="preserve"> was their first acknowledged </w:t>
      </w:r>
      <w:r w:rsidR="00B7417A">
        <w:t xml:space="preserve">raw cotton </w:t>
      </w:r>
      <w:r w:rsidRPr="005A05DF">
        <w:t>supplier within the surviving records</w:t>
      </w:r>
      <w:r w:rsidR="00B7417A">
        <w:t>. A</w:t>
      </w:r>
      <w:r w:rsidRPr="005A05DF">
        <w:t xml:space="preserve"> letter dated the 7</w:t>
      </w:r>
      <w:r w:rsidRPr="005A05DF">
        <w:rPr>
          <w:vertAlign w:val="superscript"/>
        </w:rPr>
        <w:t>th</w:t>
      </w:r>
      <w:r w:rsidRPr="005A05DF">
        <w:t xml:space="preserve"> of November 1787 instructs </w:t>
      </w:r>
      <w:r w:rsidRPr="005A05DF">
        <w:lastRenderedPageBreak/>
        <w:t>him to obtain samples of Jamaica</w:t>
      </w:r>
      <w:r w:rsidR="00B7417A">
        <w:t xml:space="preserve"> </w:t>
      </w:r>
      <w:r w:rsidR="00B7417A" w:rsidRPr="004051BB">
        <w:rPr>
          <w:color w:val="000000" w:themeColor="text1"/>
        </w:rPr>
        <w:t>cotton</w:t>
      </w:r>
      <w:r w:rsidRPr="004051BB">
        <w:rPr>
          <w:color w:val="000000" w:themeColor="text1"/>
        </w:rPr>
        <w:t>.</w:t>
      </w:r>
      <w:r w:rsidRPr="005A05DF">
        <w:rPr>
          <w:vertAlign w:val="superscript"/>
        </w:rPr>
        <w:footnoteReference w:id="559"/>
      </w:r>
      <w:r w:rsidRPr="005A05DF">
        <w:t xml:space="preserve"> Four days later, they request him to forward the Domingo and Tobago cotton discussed in the first letter - between twenty and sixty bags - by the coach.</w:t>
      </w:r>
      <w:r w:rsidRPr="005A05DF">
        <w:rPr>
          <w:vertAlign w:val="superscript"/>
        </w:rPr>
        <w:footnoteReference w:id="560"/>
      </w:r>
      <w:r w:rsidRPr="005A05DF">
        <w:t xml:space="preserve"> The correspondence book logged nine further orders from William Purdy, with their last order in November 1788.</w:t>
      </w:r>
      <w:r w:rsidRPr="005A05DF">
        <w:rPr>
          <w:vertAlign w:val="superscript"/>
        </w:rPr>
        <w:footnoteReference w:id="561"/>
      </w:r>
      <w:r w:rsidRPr="005A05DF">
        <w:t xml:space="preserve"> Other cotton brokers in London were utilised during this time, but the most frequent were Samuel Wagstaff of Bush Lane, Cannon Street, and George Greaves of 12 </w:t>
      </w:r>
      <w:proofErr w:type="spellStart"/>
      <w:r w:rsidRPr="005A05DF">
        <w:t>Lothbury</w:t>
      </w:r>
      <w:proofErr w:type="spellEnd"/>
      <w:r w:rsidRPr="005A05DF">
        <w:t>, later at Aldermanbury.</w:t>
      </w:r>
      <w:r w:rsidR="00616D39">
        <w:rPr>
          <w:rStyle w:val="FootnoteReference"/>
        </w:rPr>
        <w:footnoteReference w:id="562"/>
      </w:r>
      <w:r w:rsidRPr="005A05DF">
        <w:t xml:space="preserve"> Samuel Wagstaff had twenty orders between 179</w:t>
      </w:r>
      <w:r w:rsidR="002668A2">
        <w:t>1</w:t>
      </w:r>
      <w:r w:rsidRPr="005A05DF">
        <w:t xml:space="preserve"> and his death in 1796, and further correspondence with his widow in January 1797 concluded the business relationship.</w:t>
      </w:r>
      <w:r w:rsidR="00616D39">
        <w:rPr>
          <w:rStyle w:val="FootnoteReference"/>
        </w:rPr>
        <w:footnoteReference w:id="563"/>
      </w:r>
      <w:r w:rsidRPr="005A05DF">
        <w:t xml:space="preserve"> Samuel Wagstaff had clearly been a close business connection</w:t>
      </w:r>
      <w:r w:rsidR="00616D39">
        <w:t xml:space="preserve"> of the Evans family</w:t>
      </w:r>
      <w:r w:rsidRPr="005A05DF">
        <w:t xml:space="preserve"> because in 1789, following the 1788 fire which closed the Boar’s Head</w:t>
      </w:r>
      <w:r w:rsidR="00100A7A">
        <w:t xml:space="preserve"> Cotton</w:t>
      </w:r>
      <w:r w:rsidRPr="005A05DF">
        <w:t xml:space="preserve"> </w:t>
      </w:r>
      <w:r w:rsidR="00100A7A">
        <w:t>M</w:t>
      </w:r>
      <w:r w:rsidRPr="005A05DF">
        <w:t>ill</w:t>
      </w:r>
      <w:r w:rsidR="00100A7A">
        <w:t>s</w:t>
      </w:r>
      <w:r w:rsidRPr="005A05DF">
        <w:t>, Samuel signed the W. Evans &amp; Co. letters in the correspondence book on behalf of the Evans family.</w:t>
      </w:r>
      <w:r w:rsidR="00616D39">
        <w:rPr>
          <w:rStyle w:val="FootnoteReference"/>
        </w:rPr>
        <w:footnoteReference w:id="564"/>
      </w:r>
      <w:r w:rsidRPr="005A05DF">
        <w:t xml:space="preserve"> This action suggests he had a closer role in managing the mills before his time as their cotton broker in London. George Greaves was the longest-standing and most frequent supplier of raw cotton to the mills between 1796 and 1809.</w:t>
      </w:r>
      <w:r w:rsidR="00616D39">
        <w:rPr>
          <w:rStyle w:val="FootnoteReference"/>
        </w:rPr>
        <w:footnoteReference w:id="565"/>
      </w:r>
      <w:r w:rsidRPr="005A05DF">
        <w:t xml:space="preserve"> As a recommendation of their Strutt kin, this connection started with an order for one-two ton(s) of good clean Pernambuco and two-three tons of either Martinique, </w:t>
      </w:r>
      <w:proofErr w:type="spellStart"/>
      <w:r w:rsidRPr="005A05DF">
        <w:t>Guadaloupe</w:t>
      </w:r>
      <w:proofErr w:type="spellEnd"/>
      <w:r w:rsidRPr="005A05DF">
        <w:t xml:space="preserve">, St. Lucia, Domingo, or Demerara wool to be forwarded by </w:t>
      </w:r>
      <w:r w:rsidR="00B7417A" w:rsidRPr="004051BB">
        <w:rPr>
          <w:color w:val="000000" w:themeColor="text1"/>
        </w:rPr>
        <w:t>carriers</w:t>
      </w:r>
      <w:r w:rsidRPr="004051BB">
        <w:rPr>
          <w:color w:val="000000" w:themeColor="text1"/>
        </w:rPr>
        <w:t xml:space="preserve"> </w:t>
      </w:r>
      <w:r w:rsidRPr="005A05DF">
        <w:t>Tempest, Pickford, or Clarke.</w:t>
      </w:r>
      <w:r w:rsidRPr="005A05DF">
        <w:rPr>
          <w:vertAlign w:val="superscript"/>
        </w:rPr>
        <w:footnoteReference w:id="566"/>
      </w:r>
      <w:r w:rsidRPr="005A05DF">
        <w:t xml:space="preserve"> The correspondence shows a strong business relationship as the company placed over thirty orders with George Greaves, with many orders for two and three tons at a time.</w:t>
      </w:r>
      <w:r w:rsidR="00616D39">
        <w:rPr>
          <w:rStyle w:val="FootnoteReference"/>
        </w:rPr>
        <w:footnoteReference w:id="567"/>
      </w:r>
      <w:r w:rsidRPr="005A05DF">
        <w:t xml:space="preserve"> </w:t>
      </w:r>
    </w:p>
    <w:p w14:paraId="7E207AED" w14:textId="77366997" w:rsidR="005A05DF" w:rsidRPr="005A05DF" w:rsidRDefault="005A05DF" w:rsidP="005A05DF">
      <w:r w:rsidRPr="005A05DF">
        <w:t>In the 1790s, the Evans family added the Liverpool market to their supply of raw cotton. On the 3</w:t>
      </w:r>
      <w:r w:rsidRPr="005A05DF">
        <w:rPr>
          <w:vertAlign w:val="superscript"/>
        </w:rPr>
        <w:t>rd</w:t>
      </w:r>
      <w:r w:rsidRPr="005A05DF">
        <w:t xml:space="preserve"> of December 1793, their first recorded purchase from the market </w:t>
      </w:r>
      <w:r w:rsidR="00B7417A" w:rsidRPr="004051BB">
        <w:rPr>
          <w:color w:val="000000" w:themeColor="text1"/>
        </w:rPr>
        <w:t xml:space="preserve">were from </w:t>
      </w:r>
      <w:r w:rsidRPr="005A05DF">
        <w:t>Nicholas Waterhouse &amp; Co. for good quality cotton equal to good Demerara, up to fifty bags in quantity.</w:t>
      </w:r>
      <w:r w:rsidRPr="005A05DF">
        <w:rPr>
          <w:vertAlign w:val="superscript"/>
        </w:rPr>
        <w:footnoteReference w:id="568"/>
      </w:r>
      <w:r w:rsidRPr="005A05DF">
        <w:t xml:space="preserve"> There were sixteen documented purchases from Nicholas Waterhouse &amp; Co. between 1793 and 1799. The tone of the letters in the correspondence book implies a high level of trust, as the Evans family allowed Waterhouse scope to use his discretion on the quality and value for money of the raw cotton he purchased on their behalf. The research of Alexey </w:t>
      </w:r>
      <w:proofErr w:type="spellStart"/>
      <w:r w:rsidRPr="005A05DF">
        <w:t>Krichtal</w:t>
      </w:r>
      <w:proofErr w:type="spellEnd"/>
      <w:r w:rsidRPr="005A05DF">
        <w:t xml:space="preserve"> on Liverpool’s raw cotton trade has shown that Nicholas Waterhouse, once an apprentice in a fustian firm, had set up his business as a cotton broker at 16 Litherland Lane, Liverpool and was able to use his existing connectivity to establish his position in the trade very quickly. Based on Waterhouse’s ledger, </w:t>
      </w:r>
      <w:proofErr w:type="spellStart"/>
      <w:r w:rsidRPr="005A05DF">
        <w:t>Dumbell</w:t>
      </w:r>
      <w:proofErr w:type="spellEnd"/>
      <w:r w:rsidRPr="005A05DF">
        <w:t xml:space="preserve"> suggests Waterhouse handled about 25,000 bags of cotton annually in 1799.</w:t>
      </w:r>
      <w:r w:rsidRPr="005A05DF">
        <w:rPr>
          <w:vertAlign w:val="superscript"/>
        </w:rPr>
        <w:footnoteReference w:id="569"/>
      </w:r>
      <w:r w:rsidRPr="005A05DF">
        <w:t xml:space="preserve"> However, by the end of 1799, the Evans family had switched their raw cotton supplier in Liverpool to George Marsden of 60 Castle Street.</w:t>
      </w:r>
      <w:r w:rsidR="00760C77">
        <w:rPr>
          <w:rStyle w:val="FootnoteReference"/>
        </w:rPr>
        <w:footnoteReference w:id="570"/>
      </w:r>
      <w:r w:rsidRPr="005A05DF">
        <w:t xml:space="preserve"> The ledger books of the firm show that in 1803, George Marsden supplied the firm with 622 bags of cotton, accruing charges of £123. 12. 4.</w:t>
      </w:r>
      <w:r w:rsidRPr="005A05DF">
        <w:rPr>
          <w:vertAlign w:val="superscript"/>
        </w:rPr>
        <w:footnoteReference w:id="571"/>
      </w:r>
      <w:r w:rsidRPr="005A05DF">
        <w:t xml:space="preserve"> In 1805, the same ledger shows that George Marsden delivered cotton via J. Haywood of Duffield (a one-time supplier and satellite worker of McConnel &amp; Kennedy) to the Evans family.</w:t>
      </w:r>
      <w:r w:rsidR="00760C77">
        <w:rPr>
          <w:rStyle w:val="FootnoteReference"/>
        </w:rPr>
        <w:footnoteReference w:id="572"/>
      </w:r>
      <w:r w:rsidRPr="005A05DF">
        <w:t xml:space="preserve"> These connections reinforce the high interconnectedness between </w:t>
      </w:r>
      <w:r w:rsidRPr="005A05DF">
        <w:lastRenderedPageBreak/>
        <w:t>suppliers and cotton manufacturers in this timeframe. George Marsden appears to have been a key figure in the cotton supply to the manufacturers as McConnel &amp; Kennedy also drew upon his services as a supplier and a source of market knowledge on the Liverpool cotton trade</w:t>
      </w:r>
      <w:r w:rsidR="00AB17D0">
        <w:t xml:space="preserve"> </w:t>
      </w:r>
      <w:r w:rsidR="00292A6A">
        <w:t xml:space="preserve">with the two firms exchanging 714 letters </w:t>
      </w:r>
      <w:r w:rsidR="00AB17D0">
        <w:t>between 1804 and 1814</w:t>
      </w:r>
      <w:r w:rsidRPr="005A05DF">
        <w:t>.</w:t>
      </w:r>
      <w:r w:rsidR="00760C77">
        <w:rPr>
          <w:rStyle w:val="FootnoteReference"/>
        </w:rPr>
        <w:footnoteReference w:id="573"/>
      </w:r>
      <w:r w:rsidRPr="005A05DF">
        <w:t xml:space="preserve">   </w:t>
      </w:r>
    </w:p>
    <w:p w14:paraId="3F18DC4B" w14:textId="253F3721" w:rsidR="005A05DF" w:rsidRPr="005A05DF" w:rsidRDefault="005A05DF" w:rsidP="005A05DF">
      <w:r w:rsidRPr="005A05DF">
        <w:t xml:space="preserve">McConnel &amp; Kennedy operated a </w:t>
      </w:r>
      <w:r w:rsidR="005F6EF6">
        <w:t xml:space="preserve">similar overall strategy of pursuing their raw cotton supply </w:t>
      </w:r>
      <w:r w:rsidR="002D6FF7">
        <w:t>although</w:t>
      </w:r>
      <w:r w:rsidR="005F6EF6">
        <w:t xml:space="preserve"> they purchased different types of cotton than the </w:t>
      </w:r>
      <w:r w:rsidRPr="005A05DF">
        <w:t>Evans family</w:t>
      </w:r>
      <w:r w:rsidR="005F6EF6">
        <w:t>.</w:t>
      </w:r>
      <w:r w:rsidR="002D6FF7">
        <w:t xml:space="preserve"> The Evans family bought more coarse types of cotton, while McConnel &amp; Kennedy began to focus more exclusively on Sea Island cotton after 1800.</w:t>
      </w:r>
      <w:r w:rsidR="00292A6A">
        <w:rPr>
          <w:rStyle w:val="FootnoteReference"/>
        </w:rPr>
        <w:footnoteReference w:id="574"/>
      </w:r>
      <w:r w:rsidR="002D6FF7">
        <w:t xml:space="preserve"> McConnel and Kennedy sought to </w:t>
      </w:r>
      <w:r w:rsidRPr="005A05DF">
        <w:t>fill the gap in the high-end cotton markets through their yarn customers in Paisley, Glasgow, and beyond.</w:t>
      </w:r>
      <w:r w:rsidR="00292A6A">
        <w:rPr>
          <w:rStyle w:val="FootnoteReference"/>
        </w:rPr>
        <w:footnoteReference w:id="575"/>
      </w:r>
      <w:r w:rsidRPr="005A05DF">
        <w:t xml:space="preserve"> Adopting this strategy changed the</w:t>
      </w:r>
      <w:r w:rsidR="002D6FF7">
        <w:t xml:space="preserve"> origin</w:t>
      </w:r>
      <w:r w:rsidRPr="005A05DF">
        <w:t xml:space="preserve"> of raw cotton acquisition in the first decade of the nineteenth century</w:t>
      </w:r>
      <w:r w:rsidR="002D6FF7">
        <w:t>, however they still utilised a similar general approach</w:t>
      </w:r>
      <w:r w:rsidRPr="005A05DF">
        <w:t xml:space="preserve">. From 1796-1800, there were thirty-four noted suppliers of raw cotton documented in the receipt book dated 1796-1809 for the firm, of which </w:t>
      </w:r>
      <w:r w:rsidR="005A2F45">
        <w:t>thirty</w:t>
      </w:r>
      <w:r w:rsidRPr="005A05DF">
        <w:t xml:space="preserve"> were based in Manchester, </w:t>
      </w:r>
      <w:r w:rsidRPr="004051BB">
        <w:rPr>
          <w:color w:val="000000" w:themeColor="text1"/>
        </w:rPr>
        <w:t>Chorlton</w:t>
      </w:r>
      <w:r w:rsidR="008639E2" w:rsidRPr="004051BB">
        <w:rPr>
          <w:color w:val="000000" w:themeColor="text1"/>
        </w:rPr>
        <w:t>*</w:t>
      </w:r>
      <w:r w:rsidR="005A2F45" w:rsidRPr="004051BB">
        <w:rPr>
          <w:color w:val="000000" w:themeColor="text1"/>
        </w:rPr>
        <w:t xml:space="preserve"> and</w:t>
      </w:r>
      <w:r w:rsidRPr="004051BB">
        <w:rPr>
          <w:color w:val="000000" w:themeColor="text1"/>
        </w:rPr>
        <w:t xml:space="preserve"> Salford</w:t>
      </w:r>
      <w:r w:rsidR="008639E2" w:rsidRPr="004051BB">
        <w:rPr>
          <w:color w:val="000000" w:themeColor="text1"/>
        </w:rPr>
        <w:t>*</w:t>
      </w:r>
      <w:r w:rsidR="005A2F45" w:rsidRPr="004051BB">
        <w:rPr>
          <w:color w:val="000000" w:themeColor="text1"/>
        </w:rPr>
        <w:t xml:space="preserve"> (</w:t>
      </w:r>
      <w:r w:rsidR="008639E2" w:rsidRPr="004051BB">
        <w:rPr>
          <w:color w:val="000000" w:themeColor="text1"/>
        </w:rPr>
        <w:t>*</w:t>
      </w:r>
      <w:r w:rsidR="005A2F45" w:rsidRPr="004051BB">
        <w:rPr>
          <w:color w:val="000000" w:themeColor="text1"/>
        </w:rPr>
        <w:t>areas adjacent to Manchester)</w:t>
      </w:r>
      <w:r w:rsidRPr="004051BB">
        <w:rPr>
          <w:color w:val="000000" w:themeColor="text1"/>
        </w:rPr>
        <w:t xml:space="preserve">, </w:t>
      </w:r>
      <w:r w:rsidRPr="005A05DF">
        <w:t>one in Preston, one unknown, one in Glasgow, and one in Duffield in Derbyshire.</w:t>
      </w:r>
      <w:r w:rsidR="00292A6A">
        <w:rPr>
          <w:rStyle w:val="FootnoteReference"/>
        </w:rPr>
        <w:footnoteReference w:id="576"/>
      </w:r>
      <w:r w:rsidRPr="005A05DF">
        <w:t xml:space="preserve"> The general trend in these purchases was for Bourbon, Pernambuco, Georgia, Suriname, or Demerara, with occasional Dutch or West India cotton purchases. After 1800, there were sixty-two documented suppliers, of which twenty-three were in Manchester, ten in Glasgow, nine in Liverpool, and twenty whose origin was unspecified.</w:t>
      </w:r>
      <w:r w:rsidR="002B2560">
        <w:rPr>
          <w:rStyle w:val="FootnoteReference"/>
        </w:rPr>
        <w:footnoteReference w:id="577"/>
      </w:r>
      <w:r w:rsidRPr="005A05DF">
        <w:t xml:space="preserve"> There were no specifically stated suppliers beyond the markets of Manchester, Liverpool, and Glasgow. Most purchases after 1800 were of Georgia or Sea Island cotton, demonstrating the firm’s shift in business strategy. Two Manchester firms stand out as key connections in the raw cotton supply chain network of McConnel &amp; Kennedy, Thomas &amp; William Bateman, and Robert Spear, both Manchester-based firms.</w:t>
      </w:r>
      <w:r w:rsidR="002B2560">
        <w:rPr>
          <w:rStyle w:val="FootnoteReference"/>
        </w:rPr>
        <w:footnoteReference w:id="578"/>
      </w:r>
      <w:r w:rsidRPr="005A05DF">
        <w:t xml:space="preserve"> Below are the top ten brokers and suppliers of raw cotton to the McConnel &amp; Kennedy </w:t>
      </w:r>
      <w:r w:rsidR="00BA1E1F">
        <w:t>M</w:t>
      </w:r>
      <w:r w:rsidRPr="005A05DF">
        <w:t xml:space="preserve">ills between 1795 and 1809. </w:t>
      </w:r>
    </w:p>
    <w:p w14:paraId="37C80F60" w14:textId="4E6FBCAD" w:rsidR="005A05DF" w:rsidRPr="005A05DF" w:rsidRDefault="005A05DF" w:rsidP="005A05DF">
      <w:pPr>
        <w:rPr>
          <w:b/>
          <w:bCs/>
        </w:rPr>
      </w:pPr>
      <w:r w:rsidRPr="005A05DF">
        <w:rPr>
          <w:b/>
          <w:bCs/>
        </w:rPr>
        <w:t xml:space="preserve">The Leading Suppliers of Raw Cotton to McConnel &amp; </w:t>
      </w:r>
      <w:r w:rsidR="005A2F45" w:rsidRPr="005A05DF">
        <w:rPr>
          <w:b/>
          <w:bCs/>
        </w:rPr>
        <w:t>Kennedy</w:t>
      </w:r>
      <w:r w:rsidRPr="005A05DF">
        <w:rPr>
          <w:b/>
          <w:bCs/>
        </w:rPr>
        <w:t xml:space="preserve"> between 1795 and 1809</w:t>
      </w:r>
    </w:p>
    <w:tbl>
      <w:tblPr>
        <w:tblStyle w:val="TableGrid"/>
        <w:tblW w:w="9640" w:type="dxa"/>
        <w:tblInd w:w="-289" w:type="dxa"/>
        <w:tblLook w:val="04A0" w:firstRow="1" w:lastRow="0" w:firstColumn="1" w:lastColumn="0" w:noHBand="0" w:noVBand="1"/>
      </w:tblPr>
      <w:tblGrid>
        <w:gridCol w:w="2942"/>
        <w:gridCol w:w="1176"/>
        <w:gridCol w:w="1691"/>
        <w:gridCol w:w="2160"/>
        <w:gridCol w:w="1671"/>
      </w:tblGrid>
      <w:tr w:rsidR="005A05DF" w:rsidRPr="005A05DF" w14:paraId="1C964EBA" w14:textId="77777777" w:rsidTr="005A2F45">
        <w:tc>
          <w:tcPr>
            <w:tcW w:w="2942" w:type="dxa"/>
          </w:tcPr>
          <w:p w14:paraId="11029F75" w14:textId="77777777" w:rsidR="005A05DF" w:rsidRPr="005A05DF" w:rsidRDefault="005A05DF" w:rsidP="005A05DF">
            <w:r w:rsidRPr="005A05DF">
              <w:t>Supplier</w:t>
            </w:r>
          </w:p>
        </w:tc>
        <w:tc>
          <w:tcPr>
            <w:tcW w:w="1176" w:type="dxa"/>
          </w:tcPr>
          <w:p w14:paraId="2CAC0D38" w14:textId="77777777" w:rsidR="005A05DF" w:rsidRPr="005A05DF" w:rsidRDefault="005A05DF" w:rsidP="005A05DF">
            <w:r w:rsidRPr="005A05DF">
              <w:t>Dates</w:t>
            </w:r>
          </w:p>
        </w:tc>
        <w:tc>
          <w:tcPr>
            <w:tcW w:w="1691" w:type="dxa"/>
          </w:tcPr>
          <w:p w14:paraId="5F83DC48" w14:textId="77777777" w:rsidR="005A05DF" w:rsidRPr="005A05DF" w:rsidRDefault="005A05DF" w:rsidP="005A05DF">
            <w:r w:rsidRPr="005A05DF">
              <w:t>Number of Transactions</w:t>
            </w:r>
          </w:p>
        </w:tc>
        <w:tc>
          <w:tcPr>
            <w:tcW w:w="2160" w:type="dxa"/>
          </w:tcPr>
          <w:p w14:paraId="60A6A62C" w14:textId="77777777" w:rsidR="005A05DF" w:rsidRPr="005A05DF" w:rsidRDefault="005A05DF" w:rsidP="005A05DF">
            <w:r w:rsidRPr="005A05DF">
              <w:t>Amount of Cotton Purchased</w:t>
            </w:r>
          </w:p>
        </w:tc>
        <w:tc>
          <w:tcPr>
            <w:tcW w:w="1671" w:type="dxa"/>
          </w:tcPr>
          <w:p w14:paraId="7441D506" w14:textId="77777777" w:rsidR="005A05DF" w:rsidRPr="005A05DF" w:rsidRDefault="005A05DF" w:rsidP="005A05DF">
            <w:r w:rsidRPr="005A05DF">
              <w:t>Total Value of Purchases</w:t>
            </w:r>
          </w:p>
        </w:tc>
      </w:tr>
      <w:tr w:rsidR="005A05DF" w:rsidRPr="005A05DF" w14:paraId="24C7329A" w14:textId="77777777" w:rsidTr="005A2F45">
        <w:tc>
          <w:tcPr>
            <w:tcW w:w="2942" w:type="dxa"/>
          </w:tcPr>
          <w:p w14:paraId="4D56FFAD" w14:textId="77777777" w:rsidR="005A05DF" w:rsidRPr="005A05DF" w:rsidRDefault="005A05DF" w:rsidP="005A05DF">
            <w:r w:rsidRPr="005A05DF">
              <w:t>Thomas &amp; William Bateman of Manchester</w:t>
            </w:r>
          </w:p>
        </w:tc>
        <w:tc>
          <w:tcPr>
            <w:tcW w:w="1176" w:type="dxa"/>
          </w:tcPr>
          <w:p w14:paraId="1D9B5BFA" w14:textId="77777777" w:rsidR="005A05DF" w:rsidRPr="005A05DF" w:rsidRDefault="005A05DF" w:rsidP="005A05DF">
            <w:r w:rsidRPr="005A05DF">
              <w:t>1798-1809</w:t>
            </w:r>
          </w:p>
        </w:tc>
        <w:tc>
          <w:tcPr>
            <w:tcW w:w="1691" w:type="dxa"/>
          </w:tcPr>
          <w:p w14:paraId="6C244E46" w14:textId="77777777" w:rsidR="005A05DF" w:rsidRPr="005A05DF" w:rsidRDefault="005A05DF" w:rsidP="005A05DF">
            <w:r w:rsidRPr="005A05DF">
              <w:t>34</w:t>
            </w:r>
          </w:p>
        </w:tc>
        <w:tc>
          <w:tcPr>
            <w:tcW w:w="2160" w:type="dxa"/>
          </w:tcPr>
          <w:p w14:paraId="47DBC612" w14:textId="77777777" w:rsidR="005A05DF" w:rsidRPr="005A05DF" w:rsidRDefault="005A05DF" w:rsidP="005A05DF">
            <w:r w:rsidRPr="005A05DF">
              <w:t>959 bags</w:t>
            </w:r>
          </w:p>
        </w:tc>
        <w:tc>
          <w:tcPr>
            <w:tcW w:w="1671" w:type="dxa"/>
          </w:tcPr>
          <w:p w14:paraId="554A7715" w14:textId="77777777" w:rsidR="005A05DF" w:rsidRPr="005A05DF" w:rsidRDefault="005A05DF" w:rsidP="005A05DF">
            <w:r w:rsidRPr="005A05DF">
              <w:t>£39,191.09</w:t>
            </w:r>
          </w:p>
        </w:tc>
      </w:tr>
      <w:tr w:rsidR="005A05DF" w:rsidRPr="005A05DF" w14:paraId="279E6DC0" w14:textId="77777777" w:rsidTr="005A2F45">
        <w:tc>
          <w:tcPr>
            <w:tcW w:w="2942" w:type="dxa"/>
          </w:tcPr>
          <w:p w14:paraId="08ED0CD9" w14:textId="77777777" w:rsidR="005A05DF" w:rsidRPr="005A05DF" w:rsidRDefault="005A05DF" w:rsidP="005A05DF">
            <w:r w:rsidRPr="005A05DF">
              <w:t xml:space="preserve">Clegg &amp; </w:t>
            </w:r>
            <w:proofErr w:type="spellStart"/>
            <w:r w:rsidRPr="005A05DF">
              <w:t>Rutson</w:t>
            </w:r>
            <w:proofErr w:type="spellEnd"/>
            <w:r w:rsidRPr="005A05DF">
              <w:t xml:space="preserve"> of Manchester</w:t>
            </w:r>
          </w:p>
        </w:tc>
        <w:tc>
          <w:tcPr>
            <w:tcW w:w="1176" w:type="dxa"/>
          </w:tcPr>
          <w:p w14:paraId="09129E94" w14:textId="77777777" w:rsidR="005A05DF" w:rsidRPr="005A05DF" w:rsidRDefault="005A05DF" w:rsidP="005A05DF">
            <w:r w:rsidRPr="005A05DF">
              <w:t>1805-1809</w:t>
            </w:r>
          </w:p>
        </w:tc>
        <w:tc>
          <w:tcPr>
            <w:tcW w:w="1691" w:type="dxa"/>
          </w:tcPr>
          <w:p w14:paraId="2A5A3AA8" w14:textId="77777777" w:rsidR="005A05DF" w:rsidRPr="005A05DF" w:rsidRDefault="005A05DF" w:rsidP="005A05DF">
            <w:r w:rsidRPr="005A05DF">
              <w:t>12</w:t>
            </w:r>
          </w:p>
        </w:tc>
        <w:tc>
          <w:tcPr>
            <w:tcW w:w="2160" w:type="dxa"/>
          </w:tcPr>
          <w:p w14:paraId="6288FCEC" w14:textId="77777777" w:rsidR="005A05DF" w:rsidRPr="005A05DF" w:rsidRDefault="005A05DF" w:rsidP="005A05DF">
            <w:r w:rsidRPr="005A05DF">
              <w:t>238 bags</w:t>
            </w:r>
          </w:p>
        </w:tc>
        <w:tc>
          <w:tcPr>
            <w:tcW w:w="1671" w:type="dxa"/>
          </w:tcPr>
          <w:p w14:paraId="3C5BC4EC" w14:textId="77777777" w:rsidR="005A05DF" w:rsidRPr="005A05DF" w:rsidRDefault="005A05DF" w:rsidP="005A05DF">
            <w:r w:rsidRPr="005A05DF">
              <w:t>£10,720.12.9</w:t>
            </w:r>
          </w:p>
        </w:tc>
      </w:tr>
      <w:tr w:rsidR="005A05DF" w:rsidRPr="005A05DF" w14:paraId="3A6BBE28" w14:textId="77777777" w:rsidTr="005A2F45">
        <w:tc>
          <w:tcPr>
            <w:tcW w:w="2942" w:type="dxa"/>
          </w:tcPr>
          <w:p w14:paraId="03E51454" w14:textId="3E2831D8" w:rsidR="005A05DF" w:rsidRPr="005A05DF" w:rsidRDefault="005A05DF" w:rsidP="005A05DF">
            <w:r w:rsidRPr="005A05DF">
              <w:t>John Fisher</w:t>
            </w:r>
            <w:r w:rsidR="008639E2">
              <w:t xml:space="preserve"> of Manchester</w:t>
            </w:r>
          </w:p>
        </w:tc>
        <w:tc>
          <w:tcPr>
            <w:tcW w:w="1176" w:type="dxa"/>
          </w:tcPr>
          <w:p w14:paraId="06498920" w14:textId="77777777" w:rsidR="005A05DF" w:rsidRPr="005A05DF" w:rsidRDefault="005A05DF" w:rsidP="005A05DF">
            <w:r w:rsidRPr="005A05DF">
              <w:t>1804-1807</w:t>
            </w:r>
          </w:p>
        </w:tc>
        <w:tc>
          <w:tcPr>
            <w:tcW w:w="1691" w:type="dxa"/>
          </w:tcPr>
          <w:p w14:paraId="4E1E435A" w14:textId="77777777" w:rsidR="005A05DF" w:rsidRPr="005A05DF" w:rsidRDefault="005A05DF" w:rsidP="005A05DF">
            <w:r w:rsidRPr="005A05DF">
              <w:t>9</w:t>
            </w:r>
          </w:p>
        </w:tc>
        <w:tc>
          <w:tcPr>
            <w:tcW w:w="2160" w:type="dxa"/>
          </w:tcPr>
          <w:p w14:paraId="7A0AAC68" w14:textId="77777777" w:rsidR="005A05DF" w:rsidRPr="005A05DF" w:rsidRDefault="005A05DF" w:rsidP="005A05DF">
            <w:r w:rsidRPr="005A05DF">
              <w:t>317 bags</w:t>
            </w:r>
          </w:p>
        </w:tc>
        <w:tc>
          <w:tcPr>
            <w:tcW w:w="1671" w:type="dxa"/>
          </w:tcPr>
          <w:p w14:paraId="06851463" w14:textId="77777777" w:rsidR="005A05DF" w:rsidRPr="005A05DF" w:rsidRDefault="005A05DF" w:rsidP="005A05DF">
            <w:r w:rsidRPr="005A05DF">
              <w:t>£10,343. 18.11</w:t>
            </w:r>
          </w:p>
        </w:tc>
      </w:tr>
      <w:tr w:rsidR="005A05DF" w:rsidRPr="005A05DF" w14:paraId="2A71C8C6" w14:textId="77777777" w:rsidTr="005A2F45">
        <w:tc>
          <w:tcPr>
            <w:tcW w:w="2942" w:type="dxa"/>
          </w:tcPr>
          <w:p w14:paraId="6389BD78" w14:textId="77777777" w:rsidR="005A2F45" w:rsidRDefault="005A05DF" w:rsidP="005A05DF">
            <w:pPr>
              <w:rPr>
                <w:lang w:val="sv-SE"/>
              </w:rPr>
            </w:pPr>
            <w:r w:rsidRPr="005A2F45">
              <w:rPr>
                <w:lang w:val="sv-SE"/>
              </w:rPr>
              <w:t>R. &amp; W. Garnett</w:t>
            </w:r>
            <w:r w:rsidR="005A2F45" w:rsidRPr="005A2F45">
              <w:rPr>
                <w:lang w:val="sv-SE"/>
              </w:rPr>
              <w:t xml:space="preserve">* </w:t>
            </w:r>
          </w:p>
          <w:p w14:paraId="526AD41B" w14:textId="30E886D7" w:rsidR="005A05DF" w:rsidRPr="005A2F45" w:rsidRDefault="005A2F45" w:rsidP="005A05DF">
            <w:pPr>
              <w:rPr>
                <w:lang w:val="sv-SE"/>
              </w:rPr>
            </w:pPr>
            <w:r w:rsidRPr="005A2F45">
              <w:rPr>
                <w:lang w:val="sv-SE"/>
              </w:rPr>
              <w:t>Wilson Garnetts*</w:t>
            </w:r>
          </w:p>
        </w:tc>
        <w:tc>
          <w:tcPr>
            <w:tcW w:w="1176" w:type="dxa"/>
          </w:tcPr>
          <w:p w14:paraId="6757E5E6" w14:textId="270D0C6E" w:rsidR="005A05DF" w:rsidRPr="005A05DF" w:rsidRDefault="005A05DF" w:rsidP="005A05DF">
            <w:r w:rsidRPr="005A05DF">
              <w:t>1807</w:t>
            </w:r>
            <w:r w:rsidR="008639E2">
              <w:t xml:space="preserve"> </w:t>
            </w:r>
            <w:r w:rsidR="005A2F45" w:rsidRPr="005A05DF">
              <w:t>1804-1806</w:t>
            </w:r>
          </w:p>
        </w:tc>
        <w:tc>
          <w:tcPr>
            <w:tcW w:w="1691" w:type="dxa"/>
          </w:tcPr>
          <w:p w14:paraId="28F0B6DB" w14:textId="77777777" w:rsidR="005A2F45" w:rsidRDefault="005A05DF" w:rsidP="005A05DF">
            <w:r w:rsidRPr="005A05DF">
              <w:t>3</w:t>
            </w:r>
          </w:p>
          <w:p w14:paraId="321B9D72" w14:textId="3ED5BE42" w:rsidR="005A05DF" w:rsidRPr="005A05DF" w:rsidRDefault="005A2F45" w:rsidP="005A05DF">
            <w:r w:rsidRPr="005A05DF">
              <w:t>8</w:t>
            </w:r>
          </w:p>
        </w:tc>
        <w:tc>
          <w:tcPr>
            <w:tcW w:w="2160" w:type="dxa"/>
          </w:tcPr>
          <w:p w14:paraId="215A02B1" w14:textId="77777777" w:rsidR="005A2F45" w:rsidRDefault="005A05DF" w:rsidP="005A05DF">
            <w:r w:rsidRPr="005A05DF">
              <w:t>195 bags</w:t>
            </w:r>
          </w:p>
          <w:p w14:paraId="6873DFAD" w14:textId="3136E0C7" w:rsidR="005A05DF" w:rsidRPr="005A05DF" w:rsidRDefault="005A2F45" w:rsidP="005A05DF">
            <w:r w:rsidRPr="005A05DF">
              <w:t>170 bags</w:t>
            </w:r>
          </w:p>
        </w:tc>
        <w:tc>
          <w:tcPr>
            <w:tcW w:w="1671" w:type="dxa"/>
          </w:tcPr>
          <w:p w14:paraId="57206A0E" w14:textId="77777777" w:rsidR="005A2F45" w:rsidRDefault="005A05DF" w:rsidP="005A05DF">
            <w:r w:rsidRPr="005A05DF">
              <w:t>£6,337.2.7</w:t>
            </w:r>
          </w:p>
          <w:p w14:paraId="4058D1B4" w14:textId="6C2B6075" w:rsidR="005A05DF" w:rsidRPr="005A05DF" w:rsidRDefault="005A2F45" w:rsidP="005A05DF">
            <w:r w:rsidRPr="005A05DF">
              <w:t>£6,544.19.2</w:t>
            </w:r>
          </w:p>
        </w:tc>
      </w:tr>
      <w:tr w:rsidR="005A05DF" w:rsidRPr="005A05DF" w14:paraId="6F034F9D" w14:textId="77777777" w:rsidTr="005A2F45">
        <w:tc>
          <w:tcPr>
            <w:tcW w:w="2942" w:type="dxa"/>
          </w:tcPr>
          <w:p w14:paraId="6A301A5C" w14:textId="77777777" w:rsidR="005A05DF" w:rsidRPr="005A05DF" w:rsidRDefault="005A05DF" w:rsidP="005A05DF">
            <w:r w:rsidRPr="005A05DF">
              <w:t xml:space="preserve">Green, Ratcliffe &amp; Co. </w:t>
            </w:r>
          </w:p>
        </w:tc>
        <w:tc>
          <w:tcPr>
            <w:tcW w:w="1176" w:type="dxa"/>
          </w:tcPr>
          <w:p w14:paraId="527031BC" w14:textId="77777777" w:rsidR="005A05DF" w:rsidRPr="005A05DF" w:rsidRDefault="005A05DF" w:rsidP="005A05DF">
            <w:r w:rsidRPr="005A05DF">
              <w:t>1806-1809</w:t>
            </w:r>
          </w:p>
        </w:tc>
        <w:tc>
          <w:tcPr>
            <w:tcW w:w="1691" w:type="dxa"/>
          </w:tcPr>
          <w:p w14:paraId="3530CBDE" w14:textId="77777777" w:rsidR="005A05DF" w:rsidRPr="005A05DF" w:rsidRDefault="005A05DF" w:rsidP="005A05DF">
            <w:r w:rsidRPr="005A05DF">
              <w:t>17</w:t>
            </w:r>
          </w:p>
        </w:tc>
        <w:tc>
          <w:tcPr>
            <w:tcW w:w="2160" w:type="dxa"/>
          </w:tcPr>
          <w:p w14:paraId="2C09E3EF" w14:textId="77777777" w:rsidR="005A05DF" w:rsidRPr="005A05DF" w:rsidRDefault="005A05DF" w:rsidP="005A05DF">
            <w:r w:rsidRPr="005A05DF">
              <w:t>406 bags</w:t>
            </w:r>
          </w:p>
        </w:tc>
        <w:tc>
          <w:tcPr>
            <w:tcW w:w="1671" w:type="dxa"/>
          </w:tcPr>
          <w:p w14:paraId="127A0AF7" w14:textId="77777777" w:rsidR="005A05DF" w:rsidRPr="005A05DF" w:rsidRDefault="005A05DF" w:rsidP="005A05DF">
            <w:r w:rsidRPr="005A05DF">
              <w:t>£14, 215.19.7</w:t>
            </w:r>
          </w:p>
        </w:tc>
      </w:tr>
      <w:tr w:rsidR="005A05DF" w:rsidRPr="005A05DF" w14:paraId="44A2035A" w14:textId="77777777" w:rsidTr="005A2F45">
        <w:tc>
          <w:tcPr>
            <w:tcW w:w="2942" w:type="dxa"/>
          </w:tcPr>
          <w:p w14:paraId="6D12287A" w14:textId="77777777" w:rsidR="005A05DF" w:rsidRPr="005A05DF" w:rsidRDefault="005A05DF" w:rsidP="005A05DF">
            <w:r w:rsidRPr="005A05DF">
              <w:t>John Hyde &amp; Co. of Manchester</w:t>
            </w:r>
          </w:p>
        </w:tc>
        <w:tc>
          <w:tcPr>
            <w:tcW w:w="1176" w:type="dxa"/>
          </w:tcPr>
          <w:p w14:paraId="6CA7C6A1" w14:textId="77777777" w:rsidR="005A05DF" w:rsidRPr="005A05DF" w:rsidRDefault="005A05DF" w:rsidP="005A05DF">
            <w:r w:rsidRPr="005A05DF">
              <w:t>1799-1806</w:t>
            </w:r>
          </w:p>
        </w:tc>
        <w:tc>
          <w:tcPr>
            <w:tcW w:w="1691" w:type="dxa"/>
          </w:tcPr>
          <w:p w14:paraId="7B7C077F" w14:textId="77777777" w:rsidR="005A05DF" w:rsidRPr="005A05DF" w:rsidRDefault="005A05DF" w:rsidP="005A05DF">
            <w:r w:rsidRPr="005A05DF">
              <w:t>27</w:t>
            </w:r>
          </w:p>
        </w:tc>
        <w:tc>
          <w:tcPr>
            <w:tcW w:w="2160" w:type="dxa"/>
          </w:tcPr>
          <w:p w14:paraId="60387A76" w14:textId="77777777" w:rsidR="005A05DF" w:rsidRPr="005A05DF" w:rsidRDefault="005A05DF" w:rsidP="005A05DF">
            <w:r w:rsidRPr="005A05DF">
              <w:t>634 bags</w:t>
            </w:r>
          </w:p>
        </w:tc>
        <w:tc>
          <w:tcPr>
            <w:tcW w:w="1671" w:type="dxa"/>
          </w:tcPr>
          <w:p w14:paraId="71BEED49" w14:textId="77777777" w:rsidR="005A05DF" w:rsidRPr="005A05DF" w:rsidRDefault="005A05DF" w:rsidP="005A05DF">
            <w:r w:rsidRPr="005A05DF">
              <w:t>£21,608.16.2</w:t>
            </w:r>
          </w:p>
        </w:tc>
      </w:tr>
      <w:tr w:rsidR="005A05DF" w:rsidRPr="005A05DF" w14:paraId="339203FF" w14:textId="77777777" w:rsidTr="005A2F45">
        <w:tc>
          <w:tcPr>
            <w:tcW w:w="2942" w:type="dxa"/>
          </w:tcPr>
          <w:p w14:paraId="16677B06" w14:textId="77777777" w:rsidR="005A05DF" w:rsidRPr="005A05DF" w:rsidRDefault="005A05DF" w:rsidP="005A05DF">
            <w:r w:rsidRPr="005A05DF">
              <w:t>Lin, Dillon &amp; Co. of Manchester</w:t>
            </w:r>
          </w:p>
        </w:tc>
        <w:tc>
          <w:tcPr>
            <w:tcW w:w="1176" w:type="dxa"/>
          </w:tcPr>
          <w:p w14:paraId="1AE75B2A" w14:textId="77777777" w:rsidR="005A05DF" w:rsidRPr="005A05DF" w:rsidRDefault="005A05DF" w:rsidP="005A05DF">
            <w:r w:rsidRPr="005A05DF">
              <w:t>1806-1809</w:t>
            </w:r>
          </w:p>
        </w:tc>
        <w:tc>
          <w:tcPr>
            <w:tcW w:w="1691" w:type="dxa"/>
          </w:tcPr>
          <w:p w14:paraId="38A126C3" w14:textId="77777777" w:rsidR="005A05DF" w:rsidRPr="005A05DF" w:rsidRDefault="005A05DF" w:rsidP="005A05DF">
            <w:r w:rsidRPr="005A05DF">
              <w:t>9</w:t>
            </w:r>
          </w:p>
        </w:tc>
        <w:tc>
          <w:tcPr>
            <w:tcW w:w="2160" w:type="dxa"/>
          </w:tcPr>
          <w:p w14:paraId="1958CBC7" w14:textId="77777777" w:rsidR="005A05DF" w:rsidRPr="005A05DF" w:rsidRDefault="005A05DF" w:rsidP="005A05DF">
            <w:r w:rsidRPr="005A05DF">
              <w:t>201 bags</w:t>
            </w:r>
          </w:p>
        </w:tc>
        <w:tc>
          <w:tcPr>
            <w:tcW w:w="1671" w:type="dxa"/>
          </w:tcPr>
          <w:p w14:paraId="7E8E48F6" w14:textId="77777777" w:rsidR="005A05DF" w:rsidRPr="005A05DF" w:rsidRDefault="005A05DF" w:rsidP="005A05DF">
            <w:r w:rsidRPr="005A05DF">
              <w:t>£6,714.0.2</w:t>
            </w:r>
          </w:p>
        </w:tc>
      </w:tr>
      <w:tr w:rsidR="005A05DF" w:rsidRPr="005A05DF" w14:paraId="0E8EF613" w14:textId="77777777" w:rsidTr="005A2F45">
        <w:tc>
          <w:tcPr>
            <w:tcW w:w="2942" w:type="dxa"/>
          </w:tcPr>
          <w:p w14:paraId="03B02695" w14:textId="77777777" w:rsidR="005A05DF" w:rsidRPr="005A05DF" w:rsidRDefault="005A05DF" w:rsidP="005A05DF">
            <w:r w:rsidRPr="005A05DF">
              <w:t xml:space="preserve">William Robinson &amp; Co. </w:t>
            </w:r>
          </w:p>
        </w:tc>
        <w:tc>
          <w:tcPr>
            <w:tcW w:w="1176" w:type="dxa"/>
          </w:tcPr>
          <w:p w14:paraId="17C4C68C" w14:textId="77777777" w:rsidR="005A05DF" w:rsidRPr="005A05DF" w:rsidRDefault="005A05DF" w:rsidP="005A05DF">
            <w:r w:rsidRPr="005A05DF">
              <w:t>1801-1809</w:t>
            </w:r>
          </w:p>
        </w:tc>
        <w:tc>
          <w:tcPr>
            <w:tcW w:w="1691" w:type="dxa"/>
          </w:tcPr>
          <w:p w14:paraId="7301A6F9" w14:textId="77777777" w:rsidR="005A05DF" w:rsidRPr="005A05DF" w:rsidRDefault="005A05DF" w:rsidP="005A05DF">
            <w:r w:rsidRPr="005A05DF">
              <w:t>12</w:t>
            </w:r>
          </w:p>
        </w:tc>
        <w:tc>
          <w:tcPr>
            <w:tcW w:w="2160" w:type="dxa"/>
          </w:tcPr>
          <w:p w14:paraId="216F8E8D" w14:textId="77777777" w:rsidR="005A05DF" w:rsidRPr="005A05DF" w:rsidRDefault="005A05DF" w:rsidP="005A05DF">
            <w:r w:rsidRPr="005A05DF">
              <w:t>253 bags</w:t>
            </w:r>
          </w:p>
        </w:tc>
        <w:tc>
          <w:tcPr>
            <w:tcW w:w="1671" w:type="dxa"/>
          </w:tcPr>
          <w:p w14:paraId="4FBC86DF" w14:textId="77777777" w:rsidR="005A05DF" w:rsidRPr="005A05DF" w:rsidRDefault="005A05DF" w:rsidP="005A05DF">
            <w:r w:rsidRPr="005A05DF">
              <w:t>£11,049.18.9</w:t>
            </w:r>
          </w:p>
        </w:tc>
      </w:tr>
      <w:tr w:rsidR="005A05DF" w:rsidRPr="005A05DF" w14:paraId="4CD8262D" w14:textId="77777777" w:rsidTr="005A2F45">
        <w:tc>
          <w:tcPr>
            <w:tcW w:w="2942" w:type="dxa"/>
          </w:tcPr>
          <w:p w14:paraId="1D83014F" w14:textId="77777777" w:rsidR="005A05DF" w:rsidRPr="005A05DF" w:rsidRDefault="005A05DF" w:rsidP="005A05DF">
            <w:r w:rsidRPr="005A05DF">
              <w:t>Robert Spear of Manchester</w:t>
            </w:r>
          </w:p>
        </w:tc>
        <w:tc>
          <w:tcPr>
            <w:tcW w:w="1176" w:type="dxa"/>
          </w:tcPr>
          <w:p w14:paraId="45D5F556" w14:textId="77777777" w:rsidR="005A05DF" w:rsidRPr="005A05DF" w:rsidRDefault="005A05DF" w:rsidP="005A05DF">
            <w:r w:rsidRPr="005A05DF">
              <w:t>1795-1806</w:t>
            </w:r>
          </w:p>
        </w:tc>
        <w:tc>
          <w:tcPr>
            <w:tcW w:w="1691" w:type="dxa"/>
          </w:tcPr>
          <w:p w14:paraId="3C31C294" w14:textId="77777777" w:rsidR="005A05DF" w:rsidRPr="005A05DF" w:rsidRDefault="005A05DF" w:rsidP="005A05DF">
            <w:r w:rsidRPr="005A05DF">
              <w:t>49</w:t>
            </w:r>
          </w:p>
        </w:tc>
        <w:tc>
          <w:tcPr>
            <w:tcW w:w="2160" w:type="dxa"/>
          </w:tcPr>
          <w:p w14:paraId="5C02758A" w14:textId="77777777" w:rsidR="005A05DF" w:rsidRPr="005A05DF" w:rsidRDefault="005A05DF" w:rsidP="005A05DF">
            <w:r w:rsidRPr="005A05DF">
              <w:t>3 bales and 317 bags</w:t>
            </w:r>
          </w:p>
        </w:tc>
        <w:tc>
          <w:tcPr>
            <w:tcW w:w="1671" w:type="dxa"/>
          </w:tcPr>
          <w:p w14:paraId="65641DCD" w14:textId="77777777" w:rsidR="005A05DF" w:rsidRPr="005A05DF" w:rsidRDefault="005A05DF" w:rsidP="005A05DF">
            <w:r w:rsidRPr="005A05DF">
              <w:t>£14,270.19.7</w:t>
            </w:r>
          </w:p>
        </w:tc>
      </w:tr>
    </w:tbl>
    <w:p w14:paraId="53F90CD1" w14:textId="653407D5" w:rsidR="005A05DF" w:rsidRPr="005A05DF" w:rsidRDefault="005A05DF" w:rsidP="005A05DF">
      <w:pPr>
        <w:rPr>
          <w:sz w:val="18"/>
          <w:szCs w:val="18"/>
        </w:rPr>
      </w:pPr>
      <w:r w:rsidRPr="005A05DF">
        <w:rPr>
          <w:sz w:val="18"/>
          <w:szCs w:val="18"/>
        </w:rPr>
        <w:t xml:space="preserve">  [</w:t>
      </w:r>
      <w:r w:rsidR="003D3FB6">
        <w:rPr>
          <w:sz w:val="18"/>
          <w:szCs w:val="18"/>
        </w:rPr>
        <w:t xml:space="preserve">Figure 4: Table 1 - </w:t>
      </w:r>
      <w:r w:rsidRPr="005A05DF">
        <w:rPr>
          <w:sz w:val="18"/>
          <w:szCs w:val="18"/>
        </w:rPr>
        <w:t xml:space="preserve">Source information: </w:t>
      </w:r>
      <w:bookmarkStart w:id="186" w:name="_Hlk143444222"/>
      <w:r w:rsidRPr="005A05DF">
        <w:rPr>
          <w:sz w:val="18"/>
          <w:szCs w:val="18"/>
        </w:rPr>
        <w:t xml:space="preserve">John Rylands Library, GB </w:t>
      </w:r>
      <w:bookmarkStart w:id="187" w:name="_Hlk143458832"/>
      <w:r w:rsidRPr="005A05DF">
        <w:rPr>
          <w:sz w:val="18"/>
          <w:szCs w:val="18"/>
        </w:rPr>
        <w:t>133 MCK/3/5/1-5 and MCK/3/5/2</w:t>
      </w:r>
      <w:bookmarkEnd w:id="186"/>
      <w:bookmarkEnd w:id="187"/>
      <w:r w:rsidRPr="005A05DF">
        <w:rPr>
          <w:sz w:val="18"/>
          <w:szCs w:val="18"/>
        </w:rPr>
        <w:t xml:space="preserve">] </w:t>
      </w:r>
    </w:p>
    <w:p w14:paraId="0902FAE8" w14:textId="211B6E39" w:rsidR="002D6FF7" w:rsidRDefault="005A05DF" w:rsidP="002D6FF7">
      <w:r w:rsidRPr="005A05DF">
        <w:lastRenderedPageBreak/>
        <w:t>The McConnel &amp; Kennedy correspondence and ledger books documenting the early years of both firms reveal that they primarily procured their raw cotton from merchants in Liverpool or Manchester</w:t>
      </w:r>
      <w:r w:rsidR="002B2560">
        <w:t>.</w:t>
      </w:r>
      <w:r w:rsidRPr="005A05DF">
        <w:t xml:space="preserve"> However, as they expanded their connections to geographically more distant markets, they perceived increased risk. With the network's expansion, the effectiveness of network controls started to wane, driven by the growing distance between connections. Unlike local networks, where face-to-face interactions foster</w:t>
      </w:r>
      <w:r w:rsidR="002B2560">
        <w:t>ed</w:t>
      </w:r>
      <w:r w:rsidRPr="005A05DF">
        <w:t xml:space="preserve"> stronger social accountability and encourage</w:t>
      </w:r>
      <w:r w:rsidR="002B2560">
        <w:t>d</w:t>
      </w:r>
      <w:r w:rsidRPr="005A05DF">
        <w:t xml:space="preserve"> adherence to expected behaviours, more distant connections rel</w:t>
      </w:r>
      <w:r w:rsidR="002B2560">
        <w:t>ied</w:t>
      </w:r>
      <w:r w:rsidRPr="005A05DF">
        <w:t xml:space="preserve"> heavily on trust in the trading partner.</w:t>
      </w:r>
      <w:r w:rsidR="002D6FF7">
        <w:t xml:space="preserve"> </w:t>
      </w:r>
      <w:r w:rsidRPr="005A05DF">
        <w:t xml:space="preserve">Face-to-face interactions create a robust sense of satisfaction and validation when individuals meet the expected standards. At the same time, failing to do so brings a heightened sense of shame and embarrassment. This local nature of a network, with its emphasis on face-to-face interactions, reinforces expected behaviours through positive reinforcement (satisfaction and validation) and negative reinforcement (shame and embarrassment). As a result, it leads to more effective implementation of controls on the behaviour of its members. However, with the network's expansion to more distant markets, maintaining this level of control becomes more challenging. As distance increases, reliance on trusting the trading partner becomes more prominent, making it harder to exert the same level of influence and control. </w:t>
      </w:r>
    </w:p>
    <w:p w14:paraId="51D9A37B" w14:textId="74D04F8D" w:rsidR="009D76F3" w:rsidRDefault="002D6FF7" w:rsidP="003D3FB6">
      <w:r>
        <w:t>As the risks involved in supply logistics were shared between the manufacturers and their cotton broker, their relationship required a different type of trust</w:t>
      </w:r>
      <w:r w:rsidR="009D76F3">
        <w:t xml:space="preserve"> than the one between the cotton broker and the shipping firms and planters. </w:t>
      </w:r>
      <w:r>
        <w:t>Th</w:t>
      </w:r>
      <w:r w:rsidR="009D76F3">
        <w:t>e</w:t>
      </w:r>
      <w:r>
        <w:t xml:space="preserve"> trust</w:t>
      </w:r>
      <w:r w:rsidR="009D76F3">
        <w:t xml:space="preserve"> between the broker and the manufacturer</w:t>
      </w:r>
      <w:r>
        <w:t xml:space="preserve"> was a reciprocal entity </w:t>
      </w:r>
      <w:r w:rsidR="009D76F3">
        <w:t xml:space="preserve">that was </w:t>
      </w:r>
      <w:r>
        <w:t>reflected in the</w:t>
      </w:r>
      <w:r w:rsidR="009D76F3">
        <w:t xml:space="preserve"> credit terms they were offered. Clegg </w:t>
      </w:r>
      <w:r w:rsidR="00BD204C">
        <w:t>&amp;</w:t>
      </w:r>
      <w:r w:rsidR="009D76F3">
        <w:t xml:space="preserve"> </w:t>
      </w:r>
      <w:proofErr w:type="spellStart"/>
      <w:r w:rsidR="009D76F3">
        <w:t>Rutson</w:t>
      </w:r>
      <w:proofErr w:type="spellEnd"/>
      <w:r w:rsidR="009D76F3">
        <w:t xml:space="preserve"> of Manchester first supplied McConnel &amp; Kennedy with raw cotton in August 1805 with a credit term of four months on thirty-eight bags of Sea Island cotton, the cost of which came to £1939. 4. 5.</w:t>
      </w:r>
      <w:r w:rsidR="002B2560">
        <w:rPr>
          <w:rStyle w:val="FootnoteReference"/>
        </w:rPr>
        <w:footnoteReference w:id="579"/>
      </w:r>
      <w:r w:rsidR="009D76F3">
        <w:t xml:space="preserve"> As their relationship grew their credit terms were extended to five months in November 1806 for thirty-three bags of cotton to the value of £1072. 7. 6.</w:t>
      </w:r>
      <w:r w:rsidR="002B2560">
        <w:rPr>
          <w:rStyle w:val="FootnoteReference"/>
        </w:rPr>
        <w:footnoteReference w:id="580"/>
      </w:r>
      <w:r w:rsidR="009D76F3">
        <w:t xml:space="preserve"> </w:t>
      </w:r>
      <w:r w:rsidR="00BD204C">
        <w:t>In comparison to the credit terms offered the firm by William Johnson Edensor in October 1795 of two months credit for two bales of Bourbon cotton to the value of £92. 18. 8.</w:t>
      </w:r>
      <w:r w:rsidR="002B2560">
        <w:rPr>
          <w:rStyle w:val="FootnoteReference"/>
        </w:rPr>
        <w:footnoteReference w:id="581"/>
      </w:r>
      <w:r w:rsidR="00BD204C">
        <w:t xml:space="preserve"> This short credit term is reflective of the firm establishing itself within the Manchester market and the fact they had not yet built their reputation as a reliable business. It also shows that the two firms had not built their trusted business relationship as by July 1806 William Johnson Edensor was offering McConnel &amp; Kennedy five months credit on eleven bags of fine Sea Island cotton to the value of £547. 4. 4</w:t>
      </w:r>
      <w:r w:rsidR="00BD204C">
        <w:rPr>
          <w:rFonts w:cstheme="minorHAnsi"/>
        </w:rPr>
        <w:t>½</w:t>
      </w:r>
      <w:r w:rsidR="00BD204C">
        <w:t>.</w:t>
      </w:r>
      <w:r w:rsidR="002B2560">
        <w:rPr>
          <w:rStyle w:val="FootnoteReference"/>
        </w:rPr>
        <w:footnoteReference w:id="582"/>
      </w:r>
      <w:r w:rsidR="007B7BAA">
        <w:t xml:space="preserve"> This expansion of credit shows a strengthening of trust between the two firms in the Manchester market.</w:t>
      </w:r>
      <w:r w:rsidR="003D3FB6">
        <w:t xml:space="preserve"> </w:t>
      </w:r>
      <w:r w:rsidR="009D76F3">
        <w:t>However, it is too simplistic to interpret the credit terms based only on the singular relationship of one firm to another, as it was a network wide phenomenon that reputations of firms could ensure them favourable</w:t>
      </w:r>
      <w:r w:rsidR="00BD204C">
        <w:t xml:space="preserve"> or non-favourable</w:t>
      </w:r>
      <w:r w:rsidR="009D76F3">
        <w:t xml:space="preserve"> credit terms</w:t>
      </w:r>
      <w:r w:rsidR="00BD204C">
        <w:t xml:space="preserve">. </w:t>
      </w:r>
    </w:p>
    <w:p w14:paraId="4BC9FBAC" w14:textId="77777777" w:rsidR="005A05DF" w:rsidRPr="005A05DF" w:rsidRDefault="005A05DF" w:rsidP="005A05DF">
      <w:pPr>
        <w:rPr>
          <w:i/>
          <w:iCs/>
        </w:rPr>
      </w:pPr>
      <w:r w:rsidRPr="005A05DF">
        <w:rPr>
          <w:i/>
          <w:iCs/>
        </w:rPr>
        <w:t>Raw Cotton Supplies – The Origins</w:t>
      </w:r>
    </w:p>
    <w:p w14:paraId="1EC8D88B" w14:textId="370B85AE" w:rsidR="005A05DF" w:rsidRPr="004051BB" w:rsidRDefault="005A05DF" w:rsidP="005A05DF">
      <w:pPr>
        <w:rPr>
          <w:color w:val="000000" w:themeColor="text1"/>
        </w:rPr>
      </w:pPr>
      <w:r w:rsidRPr="005A05DF">
        <w:t>The two firms' correspondence books, ledgers, and receipt books reveal that most of the raw cotton manufactured by both companies originated from Atlantic trade networks. The Evans family drew upon British, French, Portuguese, and Spanish colonies in the West Indies and South America until 1800.</w:t>
      </w:r>
      <w:r w:rsidR="002B2560">
        <w:rPr>
          <w:rStyle w:val="FootnoteReference"/>
        </w:rPr>
        <w:footnoteReference w:id="583"/>
      </w:r>
      <w:r w:rsidRPr="005A05DF">
        <w:t xml:space="preserve"> After this time, they also bought cotton from Georgia and New Orleans and one shipment of </w:t>
      </w:r>
      <w:r w:rsidRPr="005A05DF">
        <w:lastRenderedPageBreak/>
        <w:t>Indian cotton from Surat.</w:t>
      </w:r>
      <w:r w:rsidRPr="005A05DF">
        <w:rPr>
          <w:vertAlign w:val="superscript"/>
        </w:rPr>
        <w:footnoteReference w:id="584"/>
      </w:r>
      <w:r w:rsidRPr="005A05DF">
        <w:t xml:space="preserve">  McConnel &amp; Kennedy bought cotton from the West Indies, South America, and Georgia in their first few years of spinning.</w:t>
      </w:r>
      <w:r w:rsidR="00A646B2">
        <w:rPr>
          <w:rStyle w:val="FootnoteReference"/>
        </w:rPr>
        <w:footnoteReference w:id="585"/>
      </w:r>
      <w:r w:rsidRPr="005A05DF">
        <w:t xml:space="preserve"> Following the shift in sourcing strategy, the firm transitioned predominantly to North American Sea Island and Georgia cotton - known for its finer and longer staple.</w:t>
      </w:r>
      <w:r w:rsidRPr="005A05DF">
        <w:rPr>
          <w:vertAlign w:val="superscript"/>
        </w:rPr>
        <w:footnoteReference w:id="586"/>
      </w:r>
      <w:r w:rsidRPr="005A05DF">
        <w:t xml:space="preserve"> On the other hand, the Evans family continued to spin a wider variety of cotton according to the demands of their available sales markets.</w:t>
      </w:r>
      <w:r w:rsidR="00CA175B">
        <w:t xml:space="preserve"> It is difficult to generalise and conclude whether the two firms conformed or deviated from the same acquisition pattern as there is not a consistent enough availability of surviving records for the Evans family. However, o</w:t>
      </w:r>
      <w:r w:rsidRPr="005A05DF">
        <w:t xml:space="preserve">ne notable difference between the firms lies in the extent of documentation. The records of McConnel &amp; Kennedy offer a broad account of their raw cotton supply. While some documents may have been lost over time, the archive provides valuable insights into their sourcing practices. In contrast, the Evans family documents have some limitations; they do not cover the firm's initial years between 1783 and 1787, and there are no receipt books for their purchases. However, the Evans family's correspondence with their cotton brokers does shed some light on their preferences, stating the desired quantities and origins of the cotton they wished the brokers to purchase. Their ledgers also show clues about the amount of cotton and capital required to purchase it in the transactions recorded in the surviving books. Despite the wealth of information available, drawing precise conclusions from these archival documents regarding the exact quantity of cotton purchased poses challenges. Nevertheless, a general analysis of the surviving records indicates that McConnel &amp; Kennedy procured much more raw cotton than the Evans family and from </w:t>
      </w:r>
      <w:r w:rsidR="00A646B2">
        <w:t>different suppliers and after 1800 somewhat different origins</w:t>
      </w:r>
      <w:r w:rsidRPr="005A05DF">
        <w:t>.</w:t>
      </w:r>
      <w:r w:rsidR="00A646B2">
        <w:t xml:space="preserve"> </w:t>
      </w:r>
      <w:r w:rsidRPr="005A05DF">
        <w:t xml:space="preserve">This difference can be attributed to the scales and ambitions of the two firms. </w:t>
      </w:r>
      <w:bookmarkStart w:id="189" w:name="_Hlk170474173"/>
      <w:r w:rsidR="00FC22BF" w:rsidRPr="004051BB">
        <w:rPr>
          <w:color w:val="000000" w:themeColor="text1"/>
        </w:rPr>
        <w:t xml:space="preserve">Additionally, McConnel &amp; Kennedy were fine cotton spinners who used Crompton’s mule while the Evans family specialised in coarse and middle types of cotton spinning using Arkwright’s water frame. Therefore, they often manufactured different types of raw cotton. </w:t>
      </w:r>
    </w:p>
    <w:bookmarkEnd w:id="189"/>
    <w:p w14:paraId="1A2804EB" w14:textId="77777777" w:rsidR="005A05DF" w:rsidRPr="005A05DF" w:rsidRDefault="005A05DF" w:rsidP="005A05DF">
      <w:pPr>
        <w:rPr>
          <w:b/>
          <w:bCs/>
        </w:rPr>
      </w:pPr>
      <w:r w:rsidRPr="005A05DF">
        <w:rPr>
          <w:b/>
          <w:bCs/>
        </w:rPr>
        <w:t>The Origins of Raw Cotton Supplies for the Boar’s Head Cotton Mills and McConnel &amp; Kennedy Mills – 1787-1810</w:t>
      </w:r>
    </w:p>
    <w:tbl>
      <w:tblPr>
        <w:tblStyle w:val="TableGrid"/>
        <w:tblW w:w="0" w:type="auto"/>
        <w:tblInd w:w="-572" w:type="dxa"/>
        <w:tblLook w:val="04A0" w:firstRow="1" w:lastRow="0" w:firstColumn="1" w:lastColumn="0" w:noHBand="0" w:noVBand="1"/>
      </w:tblPr>
      <w:tblGrid>
        <w:gridCol w:w="1433"/>
        <w:gridCol w:w="1116"/>
        <w:gridCol w:w="1986"/>
        <w:gridCol w:w="1831"/>
        <w:gridCol w:w="969"/>
        <w:gridCol w:w="1187"/>
        <w:gridCol w:w="1066"/>
      </w:tblGrid>
      <w:tr w:rsidR="00BA1E1F" w:rsidRPr="005A05DF" w14:paraId="0EC098C2" w14:textId="77777777" w:rsidTr="00BA1E1F">
        <w:tc>
          <w:tcPr>
            <w:tcW w:w="1433" w:type="dxa"/>
          </w:tcPr>
          <w:p w14:paraId="0C517C99" w14:textId="77777777" w:rsidR="00BA1E1F" w:rsidRPr="005A05DF" w:rsidRDefault="00BA1E1F" w:rsidP="005A05DF">
            <w:r w:rsidRPr="005A05DF">
              <w:t>The Mill</w:t>
            </w:r>
          </w:p>
        </w:tc>
        <w:tc>
          <w:tcPr>
            <w:tcW w:w="1116" w:type="dxa"/>
          </w:tcPr>
          <w:p w14:paraId="2D25A92A" w14:textId="77777777" w:rsidR="00BA1E1F" w:rsidRPr="005A05DF" w:rsidRDefault="00BA1E1F" w:rsidP="005A05DF">
            <w:r w:rsidRPr="005A05DF">
              <w:t>Dates</w:t>
            </w:r>
          </w:p>
        </w:tc>
        <w:tc>
          <w:tcPr>
            <w:tcW w:w="1986" w:type="dxa"/>
          </w:tcPr>
          <w:p w14:paraId="18D770D9" w14:textId="77777777" w:rsidR="00BA1E1F" w:rsidRPr="005A05DF" w:rsidRDefault="00BA1E1F" w:rsidP="005A05DF">
            <w:r w:rsidRPr="005A05DF">
              <w:t>West Indies</w:t>
            </w:r>
          </w:p>
        </w:tc>
        <w:tc>
          <w:tcPr>
            <w:tcW w:w="1831" w:type="dxa"/>
          </w:tcPr>
          <w:p w14:paraId="1C10FE57" w14:textId="77777777" w:rsidR="00BA1E1F" w:rsidRPr="005A05DF" w:rsidRDefault="00BA1E1F" w:rsidP="005A05DF">
            <w:r w:rsidRPr="005A05DF">
              <w:t>Brazil and South America</w:t>
            </w:r>
          </w:p>
        </w:tc>
        <w:tc>
          <w:tcPr>
            <w:tcW w:w="969" w:type="dxa"/>
          </w:tcPr>
          <w:p w14:paraId="3A9FF824" w14:textId="77777777" w:rsidR="00BA1E1F" w:rsidRPr="005A05DF" w:rsidRDefault="00BA1E1F" w:rsidP="005A05DF"/>
        </w:tc>
        <w:tc>
          <w:tcPr>
            <w:tcW w:w="1187" w:type="dxa"/>
          </w:tcPr>
          <w:p w14:paraId="52FA0A59" w14:textId="75F7B321" w:rsidR="00BA1E1F" w:rsidRPr="005A05DF" w:rsidRDefault="00BA1E1F" w:rsidP="005A05DF">
            <w:r w:rsidRPr="005A05DF">
              <w:t>United States</w:t>
            </w:r>
          </w:p>
        </w:tc>
        <w:tc>
          <w:tcPr>
            <w:tcW w:w="1066" w:type="dxa"/>
          </w:tcPr>
          <w:p w14:paraId="5D6BE1C1" w14:textId="77777777" w:rsidR="00BA1E1F" w:rsidRPr="005A05DF" w:rsidRDefault="00BA1E1F" w:rsidP="005A05DF">
            <w:r w:rsidRPr="005A05DF">
              <w:t>India and the East</w:t>
            </w:r>
          </w:p>
        </w:tc>
      </w:tr>
      <w:tr w:rsidR="00BA1E1F" w:rsidRPr="005A05DF" w14:paraId="58F5C80B" w14:textId="77777777" w:rsidTr="00BA1E1F">
        <w:tc>
          <w:tcPr>
            <w:tcW w:w="1433" w:type="dxa"/>
          </w:tcPr>
          <w:p w14:paraId="0DB116AF" w14:textId="77777777" w:rsidR="00BA1E1F" w:rsidRPr="005A05DF" w:rsidRDefault="00BA1E1F" w:rsidP="005A05DF">
            <w:r w:rsidRPr="005A05DF">
              <w:t>Boar’s Head Mills</w:t>
            </w:r>
          </w:p>
        </w:tc>
        <w:tc>
          <w:tcPr>
            <w:tcW w:w="1116" w:type="dxa"/>
          </w:tcPr>
          <w:p w14:paraId="5DBFE0A2" w14:textId="77777777" w:rsidR="00BA1E1F" w:rsidRPr="005A05DF" w:rsidRDefault="00BA1E1F" w:rsidP="005A05DF">
            <w:r w:rsidRPr="005A05DF">
              <w:t>1787-1789</w:t>
            </w:r>
          </w:p>
        </w:tc>
        <w:tc>
          <w:tcPr>
            <w:tcW w:w="1986" w:type="dxa"/>
          </w:tcPr>
          <w:p w14:paraId="2519955F" w14:textId="77777777" w:rsidR="00BA1E1F" w:rsidRPr="00170D85" w:rsidRDefault="00BA1E1F" w:rsidP="005A05DF">
            <w:pPr>
              <w:rPr>
                <w:lang w:val="pt-PT"/>
              </w:rPr>
            </w:pPr>
            <w:r w:rsidRPr="00170D85">
              <w:rPr>
                <w:lang w:val="pt-PT"/>
              </w:rPr>
              <w:t>Barbados, Domingo, Grenada, Jamaica, and Tobago</w:t>
            </w:r>
          </w:p>
        </w:tc>
        <w:tc>
          <w:tcPr>
            <w:tcW w:w="1831" w:type="dxa"/>
          </w:tcPr>
          <w:p w14:paraId="61843447" w14:textId="77777777" w:rsidR="00BA1E1F" w:rsidRPr="005A05DF" w:rsidRDefault="00BA1E1F" w:rsidP="005A05DF">
            <w:proofErr w:type="spellStart"/>
            <w:r w:rsidRPr="005A05DF">
              <w:t>Brazils</w:t>
            </w:r>
            <w:proofErr w:type="spellEnd"/>
            <w:r w:rsidRPr="005A05DF">
              <w:t xml:space="preserve">, </w:t>
            </w:r>
            <w:proofErr w:type="spellStart"/>
            <w:r w:rsidRPr="005A05DF">
              <w:t>Maranham</w:t>
            </w:r>
            <w:proofErr w:type="spellEnd"/>
            <w:r w:rsidRPr="005A05DF">
              <w:t>, Pernambuco</w:t>
            </w:r>
          </w:p>
        </w:tc>
        <w:tc>
          <w:tcPr>
            <w:tcW w:w="969" w:type="dxa"/>
          </w:tcPr>
          <w:p w14:paraId="512076BF" w14:textId="77777777" w:rsidR="00BA1E1F" w:rsidRPr="005A05DF" w:rsidRDefault="00BA1E1F" w:rsidP="005A05DF"/>
        </w:tc>
        <w:tc>
          <w:tcPr>
            <w:tcW w:w="1187" w:type="dxa"/>
          </w:tcPr>
          <w:p w14:paraId="27D66EAC" w14:textId="25FF605C" w:rsidR="00BA1E1F" w:rsidRPr="005A05DF" w:rsidRDefault="00BA1E1F" w:rsidP="005A05DF">
            <w:r w:rsidRPr="005A05DF">
              <w:t>---------------</w:t>
            </w:r>
          </w:p>
        </w:tc>
        <w:tc>
          <w:tcPr>
            <w:tcW w:w="1066" w:type="dxa"/>
          </w:tcPr>
          <w:p w14:paraId="68607F05" w14:textId="77777777" w:rsidR="00BA1E1F" w:rsidRPr="005A05DF" w:rsidRDefault="00BA1E1F" w:rsidP="005A05DF">
            <w:r w:rsidRPr="005A05DF">
              <w:t>--------------</w:t>
            </w:r>
          </w:p>
        </w:tc>
      </w:tr>
      <w:tr w:rsidR="00BA1E1F" w:rsidRPr="005A05DF" w14:paraId="489F2B80" w14:textId="77777777" w:rsidTr="00BA1E1F">
        <w:tc>
          <w:tcPr>
            <w:tcW w:w="1433" w:type="dxa"/>
          </w:tcPr>
          <w:p w14:paraId="6808370B" w14:textId="77777777" w:rsidR="00BA1E1F" w:rsidRPr="005A05DF" w:rsidRDefault="00BA1E1F" w:rsidP="005A05DF">
            <w:r w:rsidRPr="005A05DF">
              <w:t>Boar’s Head Mills</w:t>
            </w:r>
          </w:p>
        </w:tc>
        <w:tc>
          <w:tcPr>
            <w:tcW w:w="1116" w:type="dxa"/>
          </w:tcPr>
          <w:p w14:paraId="1E34942A" w14:textId="77777777" w:rsidR="00BA1E1F" w:rsidRPr="005A05DF" w:rsidRDefault="00BA1E1F" w:rsidP="005A05DF">
            <w:r w:rsidRPr="005A05DF">
              <w:t>1790-1799</w:t>
            </w:r>
          </w:p>
        </w:tc>
        <w:tc>
          <w:tcPr>
            <w:tcW w:w="1986" w:type="dxa"/>
          </w:tcPr>
          <w:p w14:paraId="6224C9B3" w14:textId="77777777" w:rsidR="00BA1E1F" w:rsidRPr="00170D85" w:rsidRDefault="00BA1E1F" w:rsidP="005A05DF">
            <w:pPr>
              <w:rPr>
                <w:lang w:val="pt-PT"/>
              </w:rPr>
            </w:pPr>
            <w:r w:rsidRPr="00170D85">
              <w:rPr>
                <w:lang w:val="pt-PT"/>
              </w:rPr>
              <w:t>Bahamas, Barbados, Carriacou, Dominica, Guadaloupe, Jamaica, Martinique, Santo Domingo, St. Lucia</w:t>
            </w:r>
          </w:p>
        </w:tc>
        <w:tc>
          <w:tcPr>
            <w:tcW w:w="1831" w:type="dxa"/>
          </w:tcPr>
          <w:p w14:paraId="385ACBF1" w14:textId="77777777" w:rsidR="00BA1E1F" w:rsidRPr="00170D85" w:rsidRDefault="00BA1E1F" w:rsidP="005A05DF">
            <w:pPr>
              <w:rPr>
                <w:lang w:val="pt-PT"/>
              </w:rPr>
            </w:pPr>
            <w:r w:rsidRPr="00170D85">
              <w:rPr>
                <w:lang w:val="pt-PT"/>
              </w:rPr>
              <w:t>Cayenne, Demerara, Maranham, Pernambuco, Suriname</w:t>
            </w:r>
          </w:p>
        </w:tc>
        <w:tc>
          <w:tcPr>
            <w:tcW w:w="969" w:type="dxa"/>
          </w:tcPr>
          <w:p w14:paraId="5751FFBD" w14:textId="77777777" w:rsidR="00BA1E1F" w:rsidRPr="009C5321" w:rsidRDefault="00BA1E1F" w:rsidP="005A05DF">
            <w:pPr>
              <w:rPr>
                <w:lang w:val="pt-PT"/>
              </w:rPr>
            </w:pPr>
          </w:p>
        </w:tc>
        <w:tc>
          <w:tcPr>
            <w:tcW w:w="1187" w:type="dxa"/>
          </w:tcPr>
          <w:p w14:paraId="0E4EB651" w14:textId="6578689B" w:rsidR="00BA1E1F" w:rsidRPr="005A05DF" w:rsidRDefault="00BA1E1F" w:rsidP="005A05DF">
            <w:r w:rsidRPr="005A05DF">
              <w:t>---------------</w:t>
            </w:r>
          </w:p>
        </w:tc>
        <w:tc>
          <w:tcPr>
            <w:tcW w:w="1066" w:type="dxa"/>
          </w:tcPr>
          <w:p w14:paraId="7CB50C20" w14:textId="77777777" w:rsidR="00BA1E1F" w:rsidRPr="005A05DF" w:rsidRDefault="00BA1E1F" w:rsidP="005A05DF">
            <w:r w:rsidRPr="005A05DF">
              <w:t>--------------</w:t>
            </w:r>
          </w:p>
        </w:tc>
      </w:tr>
      <w:tr w:rsidR="00BA1E1F" w:rsidRPr="005A05DF" w14:paraId="284BD6E7" w14:textId="77777777" w:rsidTr="00BA1E1F">
        <w:tc>
          <w:tcPr>
            <w:tcW w:w="1433" w:type="dxa"/>
          </w:tcPr>
          <w:p w14:paraId="1D549B5A" w14:textId="77777777" w:rsidR="00BA1E1F" w:rsidRPr="005A05DF" w:rsidRDefault="00BA1E1F" w:rsidP="005A05DF">
            <w:r w:rsidRPr="005A05DF">
              <w:t>McConnel &amp; Kennedy</w:t>
            </w:r>
          </w:p>
        </w:tc>
        <w:tc>
          <w:tcPr>
            <w:tcW w:w="1116" w:type="dxa"/>
          </w:tcPr>
          <w:p w14:paraId="51D89AF8" w14:textId="77777777" w:rsidR="00BA1E1F" w:rsidRPr="005A05DF" w:rsidRDefault="00BA1E1F" w:rsidP="005A05DF">
            <w:r w:rsidRPr="005A05DF">
              <w:t>1796-1799</w:t>
            </w:r>
          </w:p>
        </w:tc>
        <w:tc>
          <w:tcPr>
            <w:tcW w:w="1986" w:type="dxa"/>
          </w:tcPr>
          <w:p w14:paraId="7DBDFCAC" w14:textId="77777777" w:rsidR="00BA1E1F" w:rsidRPr="005A05DF" w:rsidRDefault="00BA1E1F" w:rsidP="005A05DF">
            <w:r w:rsidRPr="005A05DF">
              <w:t>Bourbon, Dutch Cotton</w:t>
            </w:r>
          </w:p>
        </w:tc>
        <w:tc>
          <w:tcPr>
            <w:tcW w:w="1831" w:type="dxa"/>
          </w:tcPr>
          <w:p w14:paraId="7C9357DA" w14:textId="77777777" w:rsidR="00BA1E1F" w:rsidRPr="005A05DF" w:rsidRDefault="00BA1E1F" w:rsidP="005A05DF">
            <w:r w:rsidRPr="005A05DF">
              <w:t>Pernambuco, Cumana</w:t>
            </w:r>
          </w:p>
        </w:tc>
        <w:tc>
          <w:tcPr>
            <w:tcW w:w="969" w:type="dxa"/>
          </w:tcPr>
          <w:p w14:paraId="6FA2EEC6" w14:textId="77777777" w:rsidR="00BA1E1F" w:rsidRPr="005A05DF" w:rsidRDefault="00BA1E1F" w:rsidP="005A05DF"/>
        </w:tc>
        <w:tc>
          <w:tcPr>
            <w:tcW w:w="1187" w:type="dxa"/>
          </w:tcPr>
          <w:p w14:paraId="3B9E52B0" w14:textId="7FCCD20B" w:rsidR="00BA1E1F" w:rsidRPr="005A05DF" w:rsidRDefault="00BA1E1F" w:rsidP="005A05DF">
            <w:r w:rsidRPr="005A05DF">
              <w:t>Georgia</w:t>
            </w:r>
            <w:r w:rsidRPr="005A05DF">
              <w:tab/>
            </w:r>
          </w:p>
        </w:tc>
        <w:tc>
          <w:tcPr>
            <w:tcW w:w="1066" w:type="dxa"/>
          </w:tcPr>
          <w:p w14:paraId="43D6F398" w14:textId="77777777" w:rsidR="00BA1E1F" w:rsidRPr="005A05DF" w:rsidRDefault="00BA1E1F" w:rsidP="005A05DF"/>
        </w:tc>
      </w:tr>
      <w:tr w:rsidR="00BA1E1F" w:rsidRPr="005A05DF" w14:paraId="45238129" w14:textId="77777777" w:rsidTr="00BA1E1F">
        <w:tc>
          <w:tcPr>
            <w:tcW w:w="1433" w:type="dxa"/>
          </w:tcPr>
          <w:p w14:paraId="008016BE" w14:textId="77777777" w:rsidR="00BA1E1F" w:rsidRPr="005A05DF" w:rsidRDefault="00BA1E1F" w:rsidP="005A05DF">
            <w:r w:rsidRPr="005A05DF">
              <w:t>Boar’s Head Mills</w:t>
            </w:r>
          </w:p>
        </w:tc>
        <w:tc>
          <w:tcPr>
            <w:tcW w:w="1116" w:type="dxa"/>
          </w:tcPr>
          <w:p w14:paraId="4CF51AB0" w14:textId="77777777" w:rsidR="00BA1E1F" w:rsidRPr="005A05DF" w:rsidRDefault="00BA1E1F" w:rsidP="005A05DF">
            <w:r w:rsidRPr="005A05DF">
              <w:t>1800-1810</w:t>
            </w:r>
          </w:p>
        </w:tc>
        <w:tc>
          <w:tcPr>
            <w:tcW w:w="1986" w:type="dxa"/>
          </w:tcPr>
          <w:p w14:paraId="720DBD75" w14:textId="77777777" w:rsidR="00BA1E1F" w:rsidRPr="00170D85" w:rsidRDefault="00BA1E1F" w:rsidP="005A05DF">
            <w:pPr>
              <w:rPr>
                <w:lang w:val="pt-PT"/>
              </w:rPr>
            </w:pPr>
            <w:r w:rsidRPr="00170D85">
              <w:rPr>
                <w:lang w:val="pt-PT"/>
              </w:rPr>
              <w:t xml:space="preserve">Barbados, Carriacou, Dominica, Grenada, </w:t>
            </w:r>
            <w:r w:rsidRPr="00170D85">
              <w:rPr>
                <w:lang w:val="pt-PT"/>
              </w:rPr>
              <w:lastRenderedPageBreak/>
              <w:t>Martinique, Santo Domingo</w:t>
            </w:r>
          </w:p>
        </w:tc>
        <w:tc>
          <w:tcPr>
            <w:tcW w:w="1831" w:type="dxa"/>
          </w:tcPr>
          <w:p w14:paraId="142A2FE9" w14:textId="77777777" w:rsidR="00BA1E1F" w:rsidRPr="00170D85" w:rsidRDefault="00BA1E1F" w:rsidP="005A05DF">
            <w:pPr>
              <w:rPr>
                <w:lang w:val="pt-PT"/>
              </w:rPr>
            </w:pPr>
            <w:r w:rsidRPr="00170D85">
              <w:rPr>
                <w:lang w:val="pt-PT"/>
              </w:rPr>
              <w:lastRenderedPageBreak/>
              <w:t xml:space="preserve">Berbice, Brazils, Demerara, Maranham, </w:t>
            </w:r>
            <w:r w:rsidRPr="00170D85">
              <w:rPr>
                <w:lang w:val="pt-PT"/>
              </w:rPr>
              <w:lastRenderedPageBreak/>
              <w:t>Pernambuco, Suriname</w:t>
            </w:r>
          </w:p>
        </w:tc>
        <w:tc>
          <w:tcPr>
            <w:tcW w:w="969" w:type="dxa"/>
          </w:tcPr>
          <w:p w14:paraId="4DEBF012" w14:textId="77777777" w:rsidR="00BA1E1F" w:rsidRPr="009C5321" w:rsidRDefault="00BA1E1F" w:rsidP="005A05DF">
            <w:pPr>
              <w:rPr>
                <w:lang w:val="pt-PT"/>
              </w:rPr>
            </w:pPr>
          </w:p>
        </w:tc>
        <w:tc>
          <w:tcPr>
            <w:tcW w:w="1187" w:type="dxa"/>
          </w:tcPr>
          <w:p w14:paraId="317CC19B" w14:textId="58AF08A8" w:rsidR="00BA1E1F" w:rsidRPr="005A05DF" w:rsidRDefault="00BA1E1F" w:rsidP="005A05DF">
            <w:r w:rsidRPr="005A05DF">
              <w:t>Georgia, [New] Orleans</w:t>
            </w:r>
          </w:p>
        </w:tc>
        <w:tc>
          <w:tcPr>
            <w:tcW w:w="1066" w:type="dxa"/>
          </w:tcPr>
          <w:p w14:paraId="1A1C277C" w14:textId="77777777" w:rsidR="00BA1E1F" w:rsidRPr="005A05DF" w:rsidRDefault="00BA1E1F" w:rsidP="005A05DF">
            <w:r w:rsidRPr="005A05DF">
              <w:t>Surat</w:t>
            </w:r>
          </w:p>
        </w:tc>
      </w:tr>
      <w:tr w:rsidR="00BA1E1F" w:rsidRPr="005A05DF" w14:paraId="169118FA" w14:textId="77777777" w:rsidTr="00BA1E1F">
        <w:tc>
          <w:tcPr>
            <w:tcW w:w="1433" w:type="dxa"/>
          </w:tcPr>
          <w:p w14:paraId="7E1ED5D0" w14:textId="77777777" w:rsidR="00BA1E1F" w:rsidRPr="005A05DF" w:rsidRDefault="00BA1E1F" w:rsidP="005A05DF">
            <w:r w:rsidRPr="005A05DF">
              <w:t>McConnel &amp; Kennedy</w:t>
            </w:r>
          </w:p>
        </w:tc>
        <w:tc>
          <w:tcPr>
            <w:tcW w:w="1116" w:type="dxa"/>
          </w:tcPr>
          <w:p w14:paraId="7FFD772F" w14:textId="77777777" w:rsidR="00BA1E1F" w:rsidRPr="005A05DF" w:rsidRDefault="00BA1E1F" w:rsidP="005A05DF">
            <w:r w:rsidRPr="005A05DF">
              <w:t>1800-1810</w:t>
            </w:r>
          </w:p>
        </w:tc>
        <w:tc>
          <w:tcPr>
            <w:tcW w:w="1986" w:type="dxa"/>
          </w:tcPr>
          <w:p w14:paraId="39D23232" w14:textId="77777777" w:rsidR="00BA1E1F" w:rsidRPr="005A05DF" w:rsidRDefault="00BA1E1F" w:rsidP="005A05DF">
            <w:r w:rsidRPr="005A05DF">
              <w:t>----------------------------</w:t>
            </w:r>
          </w:p>
        </w:tc>
        <w:tc>
          <w:tcPr>
            <w:tcW w:w="1831" w:type="dxa"/>
          </w:tcPr>
          <w:p w14:paraId="4FDC8633" w14:textId="77777777" w:rsidR="00BA1E1F" w:rsidRPr="005A05DF" w:rsidRDefault="00BA1E1F" w:rsidP="005A05DF">
            <w:r w:rsidRPr="005A05DF">
              <w:t>Demerara</w:t>
            </w:r>
          </w:p>
        </w:tc>
        <w:tc>
          <w:tcPr>
            <w:tcW w:w="969" w:type="dxa"/>
          </w:tcPr>
          <w:p w14:paraId="2B355B37" w14:textId="77777777" w:rsidR="00BA1E1F" w:rsidRPr="005A05DF" w:rsidRDefault="00BA1E1F" w:rsidP="005A05DF"/>
        </w:tc>
        <w:tc>
          <w:tcPr>
            <w:tcW w:w="1187" w:type="dxa"/>
          </w:tcPr>
          <w:p w14:paraId="5A152ACB" w14:textId="6F65B09D" w:rsidR="00BA1E1F" w:rsidRPr="005A05DF" w:rsidRDefault="00BA1E1F" w:rsidP="005A05DF">
            <w:r w:rsidRPr="005A05DF">
              <w:t>Georgia, Sea Island</w:t>
            </w:r>
          </w:p>
        </w:tc>
        <w:tc>
          <w:tcPr>
            <w:tcW w:w="1066" w:type="dxa"/>
          </w:tcPr>
          <w:p w14:paraId="79178688" w14:textId="77777777" w:rsidR="00BA1E1F" w:rsidRPr="005A05DF" w:rsidRDefault="00BA1E1F" w:rsidP="005A05DF">
            <w:r w:rsidRPr="005A05DF">
              <w:t>--------------</w:t>
            </w:r>
          </w:p>
        </w:tc>
      </w:tr>
    </w:tbl>
    <w:p w14:paraId="5777F52D" w14:textId="719A1547" w:rsidR="005A05DF" w:rsidRPr="005A05DF" w:rsidRDefault="005A05DF" w:rsidP="005A05DF">
      <w:pPr>
        <w:rPr>
          <w:sz w:val="18"/>
          <w:szCs w:val="18"/>
        </w:rPr>
      </w:pPr>
      <w:r w:rsidRPr="005A05DF">
        <w:rPr>
          <w:sz w:val="18"/>
          <w:szCs w:val="18"/>
        </w:rPr>
        <w:t>[</w:t>
      </w:r>
      <w:r w:rsidR="003D3FB6">
        <w:rPr>
          <w:sz w:val="18"/>
          <w:szCs w:val="18"/>
        </w:rPr>
        <w:t xml:space="preserve">Figure 5 – Table 2 - </w:t>
      </w:r>
      <w:r w:rsidRPr="005A05DF">
        <w:rPr>
          <w:sz w:val="18"/>
          <w:szCs w:val="18"/>
        </w:rPr>
        <w:t xml:space="preserve">Sources: John Rylands Library, GB 133 MCK/3/5/1-5 and MCK/3/5/2 and </w:t>
      </w:r>
      <w:bookmarkStart w:id="190" w:name="_Hlk145310888"/>
      <w:r w:rsidRPr="005A05DF">
        <w:rPr>
          <w:sz w:val="18"/>
          <w:szCs w:val="18"/>
        </w:rPr>
        <w:t>DLSL</w:t>
      </w:r>
      <w:r w:rsidR="00FD2A3C">
        <w:rPr>
          <w:sz w:val="18"/>
          <w:szCs w:val="18"/>
        </w:rPr>
        <w:t>,</w:t>
      </w:r>
      <w:r w:rsidRPr="005A05DF">
        <w:rPr>
          <w:sz w:val="18"/>
          <w:szCs w:val="18"/>
        </w:rPr>
        <w:t xml:space="preserve"> BS 677 EVA</w:t>
      </w:r>
      <w:r w:rsidR="00FD2A3C">
        <w:rPr>
          <w:sz w:val="18"/>
          <w:szCs w:val="18"/>
        </w:rPr>
        <w:t>,</w:t>
      </w:r>
      <w:r w:rsidRPr="005A05DF">
        <w:rPr>
          <w:sz w:val="18"/>
          <w:szCs w:val="18"/>
        </w:rPr>
        <w:t xml:space="preserve"> DL119 Reel</w:t>
      </w:r>
      <w:r w:rsidR="00FD2A3C">
        <w:rPr>
          <w:sz w:val="18"/>
          <w:szCs w:val="18"/>
        </w:rPr>
        <w:t>s</w:t>
      </w:r>
      <w:r w:rsidRPr="005A05DF">
        <w:rPr>
          <w:sz w:val="18"/>
          <w:szCs w:val="18"/>
        </w:rPr>
        <w:t xml:space="preserve"> 1</w:t>
      </w:r>
      <w:bookmarkEnd w:id="190"/>
      <w:r w:rsidRPr="005A05DF">
        <w:rPr>
          <w:sz w:val="18"/>
          <w:szCs w:val="18"/>
        </w:rPr>
        <w:t xml:space="preserve">, 2, and 3.] </w:t>
      </w:r>
    </w:p>
    <w:p w14:paraId="3005AEB1" w14:textId="51436EF8" w:rsidR="005A05DF" w:rsidRPr="005A05DF" w:rsidRDefault="005A05DF" w:rsidP="005A05DF">
      <w:r w:rsidRPr="005A05DF">
        <w:t xml:space="preserve">In my previous research, I delved into the origins of raw cotton purchased by the Evans family. The focus was on several Caribbean islands—Jamaica, Tobago, Barbados, the Bahamas, and </w:t>
      </w:r>
      <w:proofErr w:type="spellStart"/>
      <w:r w:rsidRPr="005A05DF">
        <w:t>Carriacou</w:t>
      </w:r>
      <w:proofErr w:type="spellEnd"/>
      <w:r w:rsidRPr="005A05DF">
        <w:t xml:space="preserve"> —and their enslaved populations' involvement in cultivating cotton for British manufacturing, particularly in mills like the Boar’s Head Cotton mills.</w:t>
      </w:r>
      <w:r w:rsidR="00A646B2">
        <w:rPr>
          <w:rStyle w:val="FootnoteReference"/>
        </w:rPr>
        <w:footnoteReference w:id="587"/>
      </w:r>
      <w:r w:rsidRPr="005A05DF">
        <w:t xml:space="preserve"> Historian Barry W. Higman's </w:t>
      </w:r>
      <w:r w:rsidRPr="005A05DF">
        <w:rPr>
          <w:i/>
          <w:iCs/>
        </w:rPr>
        <w:t>Jamaica</w:t>
      </w:r>
      <w:r w:rsidRPr="005A05DF">
        <w:t xml:space="preserve"> </w:t>
      </w:r>
      <w:r w:rsidRPr="005A05DF">
        <w:rPr>
          <w:i/>
          <w:iCs/>
        </w:rPr>
        <w:t>Surveyed</w:t>
      </w:r>
      <w:r w:rsidRPr="005A05DF">
        <w:t xml:space="preserve"> suggested that the Bank’s plantation, owned by Robert Charles Gibb in Vere, Clarendon, spanned 170 acres and was a site where cotton and corn were cultivated.</w:t>
      </w:r>
      <w:r w:rsidRPr="005A05DF">
        <w:rPr>
          <w:vertAlign w:val="superscript"/>
        </w:rPr>
        <w:footnoteReference w:id="588"/>
      </w:r>
      <w:r w:rsidRPr="005A05DF">
        <w:t xml:space="preserve"> This site was potentially one of the origins of raw cotton used in British manufacturing. Examining Tobago's history, Chief Justice of Tobago Henry Iles Woodcock’s history noted that raw cotton was grown on a plantation owned by Mr. Robley.</w:t>
      </w:r>
      <w:r w:rsidR="00634031">
        <w:rPr>
          <w:rStyle w:val="FootnoteReference"/>
        </w:rPr>
        <w:footnoteReference w:id="589"/>
      </w:r>
      <w:r w:rsidRPr="005A05DF">
        <w:t xml:space="preserve"> However, Tobago's cotton production dwindled between 1788 and 1809, ceasing entirely in the latter year.</w:t>
      </w:r>
      <w:r w:rsidRPr="005A05DF">
        <w:rPr>
          <w:vertAlign w:val="superscript"/>
        </w:rPr>
        <w:footnoteReference w:id="590"/>
      </w:r>
      <w:r w:rsidRPr="005A05DF">
        <w:t xml:space="preserve"> Insights from Justin Roberts and S. D. Smith shed light on cotton cultivation in Barbados, highlighting two significant cotton plantations: the Seawell plantation owned by John and Thomas Lane, which grew cotton due to its proximity to the sea, making sugar cultivation less viable, and the Fortescue Plantation in St. Philip parish, owned by the Lascelles family.</w:t>
      </w:r>
      <w:r w:rsidRPr="005A05DF">
        <w:rPr>
          <w:vertAlign w:val="superscript"/>
        </w:rPr>
        <w:footnoteReference w:id="591"/>
      </w:r>
      <w:r w:rsidRPr="005A05DF">
        <w:t xml:space="preserve"> Howard Johnson's research highlighted the challenges of cotton cultivation in the Bahamas—a decline that paralleled findings in the Evans family documents.</w:t>
      </w:r>
      <w:r w:rsidRPr="005A05DF">
        <w:rPr>
          <w:vertAlign w:val="superscript"/>
        </w:rPr>
        <w:footnoteReference w:id="592"/>
      </w:r>
      <w:r w:rsidRPr="005A05DF">
        <w:t xml:space="preserve"> Meanwhile, David Beck Ryden's work on </w:t>
      </w:r>
      <w:proofErr w:type="spellStart"/>
      <w:r w:rsidRPr="005A05DF">
        <w:t>Carriacou</w:t>
      </w:r>
      <w:proofErr w:type="spellEnd"/>
      <w:r w:rsidRPr="005A05DF">
        <w:t xml:space="preserve"> showcased the island’s cotton production, accounting for 9 to 14% of West Indian cotton production, with enslaved people toiling across all the island's farms.</w:t>
      </w:r>
      <w:r w:rsidRPr="005A05DF">
        <w:rPr>
          <w:vertAlign w:val="superscript"/>
        </w:rPr>
        <w:footnoteReference w:id="593"/>
      </w:r>
      <w:r w:rsidRPr="005A05DF">
        <w:t xml:space="preserve"> However, as the mill documents show, these origins are only part of the origin story for the two cotton mills, with North and South America supplying ever-increasing amounts of raw cotton for the firms. </w:t>
      </w:r>
    </w:p>
    <w:p w14:paraId="650B92FE" w14:textId="77777777" w:rsidR="005A05DF" w:rsidRPr="005A05DF" w:rsidRDefault="005A05DF" w:rsidP="005A05DF">
      <w:pPr>
        <w:rPr>
          <w:i/>
          <w:iCs/>
        </w:rPr>
      </w:pPr>
      <w:r w:rsidRPr="005A05DF">
        <w:rPr>
          <w:i/>
          <w:iCs/>
        </w:rPr>
        <w:t>The Caribbean</w:t>
      </w:r>
    </w:p>
    <w:p w14:paraId="0812FA2F" w14:textId="77777777" w:rsidR="005A05DF" w:rsidRPr="005A05DF" w:rsidRDefault="005A05DF" w:rsidP="005A05DF">
      <w:r w:rsidRPr="005A05DF">
        <w:t>An updated examination of research into Caribbean cotton plantations has significantly enhanced my understanding of these plantations and the Caribbean's raw cotton production. Having researched deeper in Robert Charles Gibb (1764-1834), the immigration documents show that he arrived in Jamaica in 1811,</w:t>
      </w:r>
      <w:r w:rsidRPr="005A05DF">
        <w:rPr>
          <w:vertAlign w:val="superscript"/>
        </w:rPr>
        <w:footnoteReference w:id="594"/>
      </w:r>
      <w:r w:rsidRPr="005A05DF">
        <w:t xml:space="preserve"> which does not fit the dates of the cotton mill documents of the Evans family mills, which span 1787-1810. This suggests other plantations on the island must have supplied this early source of cotton. However, after 1811, it is possible that Gibb’s plantation supplied cotton for British cotton mills and possibly even the Evans family for a time not covered by the documents. There are significant difficulties in piecing together the connectivity between cotton producers and manufacturers. The documents served the purpose of the plantation owners, with little regard for the people they were enslaving. The Slave Registers of the Former British Colonial Dependencies, </w:t>
      </w:r>
      <w:r w:rsidRPr="005A05DF">
        <w:lastRenderedPageBreak/>
        <w:t>1813-1834, reveals a snapshot from 1817 showing that Robert Charles Gibb, in Jamaica's Vere parish, possessed 67 enslaved individuals—comprising 36 males and 31 females.</w:t>
      </w:r>
      <w:r w:rsidRPr="005A05DF">
        <w:rPr>
          <w:vertAlign w:val="superscript"/>
        </w:rPr>
        <w:footnoteReference w:id="595"/>
      </w:r>
      <w:r w:rsidRPr="005A05DF">
        <w:t xml:space="preserve"> These records provide information regarding their names, colours, origins (African or Creole), and details which the colonial powers deemed important. The names of the documents reflect only those that the planters gave the people and are likely not a reflection of what they were called within their wider communities.  While maternal connections were documented, as were sons of enslaved women, limited further information exists.</w:t>
      </w:r>
      <w:r w:rsidRPr="005A05DF">
        <w:rPr>
          <w:vertAlign w:val="superscript"/>
        </w:rPr>
        <w:footnoteReference w:id="596"/>
      </w:r>
      <w:r w:rsidRPr="005A05DF">
        <w:t xml:space="preserve"> This scarcity, coupled with the scarcity of documents regarding cotton production on the plantations, hampers efforts to fully integrate individuals into the official historical narrative of the cotton trade. </w:t>
      </w:r>
    </w:p>
    <w:p w14:paraId="5B14A3BB" w14:textId="77777777" w:rsidR="005A05DF" w:rsidRPr="005A05DF" w:rsidRDefault="005A05DF" w:rsidP="005A05DF">
      <w:r w:rsidRPr="005A05DF">
        <w:t>Expanding upon Henry Iles Woodcock's research, we discover that Mr. Robley, a prominent figure in Tobago during his time, was not only a cultivator of raw cotton but also a merchant, planter, and owner of enslaved people. The lineage of Reverend Isaac Robley (1708-) from Cumberland and Westmoreland produced influential individuals such as John Robley Senior, Joseph Robley, and John Robley Junior (1775-1822) – all key merchants and plantation owners in Tobago.</w:t>
      </w:r>
      <w:r w:rsidRPr="005A05DF">
        <w:rPr>
          <w:vertAlign w:val="superscript"/>
        </w:rPr>
        <w:footnoteReference w:id="597"/>
      </w:r>
      <w:r w:rsidRPr="005A05DF">
        <w:t xml:space="preserve"> Rita Pemberton's article in the Trinidad and Tobago Newsday sheds light on Joseph Robley's significant impact on Tobago. His plantation thrived between 1789 and 1792, focusing on cotton cultivation. Additionally, Joseph was a merchant who possessed two vessels, the </w:t>
      </w:r>
      <w:r w:rsidRPr="005A05DF">
        <w:rPr>
          <w:i/>
          <w:iCs/>
        </w:rPr>
        <w:t>Phoenix</w:t>
      </w:r>
      <w:r w:rsidRPr="005A05DF">
        <w:t xml:space="preserve"> and the </w:t>
      </w:r>
      <w:r w:rsidRPr="005A05DF">
        <w:rPr>
          <w:i/>
          <w:iCs/>
        </w:rPr>
        <w:t>Laird</w:t>
      </w:r>
      <w:r w:rsidRPr="005A05DF">
        <w:t>, which he utilised for exporting his goods.</w:t>
      </w:r>
      <w:r w:rsidRPr="005A05DF">
        <w:rPr>
          <w:vertAlign w:val="superscript"/>
        </w:rPr>
        <w:footnoteReference w:id="598"/>
      </w:r>
      <w:r w:rsidRPr="005A05DF">
        <w:t xml:space="preserve"> Another significant figure in this trade was John Robley Junior, who owned an impressive fleet of six ships traversed between the Caribbean and Britain. These three Robley men played pivotal roles in shaping both the commercial and political landscapes of Tobago. Joseph Robley served as the island's governor on three separate occasions.</w:t>
      </w:r>
      <w:r w:rsidRPr="005A05DF">
        <w:rPr>
          <w:vertAlign w:val="superscript"/>
        </w:rPr>
        <w:footnoteReference w:id="599"/>
      </w:r>
      <w:r w:rsidRPr="005A05DF">
        <w:t xml:space="preserve"> </w:t>
      </w:r>
    </w:p>
    <w:p w14:paraId="41DA21CA" w14:textId="31B7A86C" w:rsidR="005A05DF" w:rsidRPr="005A05DF" w:rsidRDefault="005A05DF" w:rsidP="005A05DF">
      <w:r w:rsidRPr="005A05DF">
        <w:t>However, the characters</w:t>
      </w:r>
      <w:r w:rsidR="00B76591">
        <w:t xml:space="preserve"> of Tobago’s planters</w:t>
      </w:r>
      <w:r w:rsidRPr="005A05DF">
        <w:t xml:space="preserve"> faced scrutiny from the island's elites. Joseph Robley was accused of impropriety during his council service, leading to his suspension by William Lindsay</w:t>
      </w:r>
      <w:r w:rsidR="00B76591">
        <w:t>, the colonial governor of Tobago,</w:t>
      </w:r>
      <w:r w:rsidRPr="005A05DF">
        <w:t xml:space="preserve"> between 1795 and 1796. Meanwhile, John Junior's character came under question as well. Fellow plantation owner Sir William Young raised concerns, alleging that John was manipulative in council matters and sought personal gain by shifting the burden of taxation to his advantage. Joseph Robley's passing in 1805 left behind an estate valued at £200,000.</w:t>
      </w:r>
      <w:r w:rsidRPr="005A05DF">
        <w:rPr>
          <w:vertAlign w:val="superscript"/>
        </w:rPr>
        <w:footnoteReference w:id="600"/>
      </w:r>
      <w:r w:rsidRPr="005A05DF">
        <w:t xml:space="preserve"> A significant portion of his estate, including his three plantations spanning 400 acres and their enslaved workforce, was bequeathed to his nephew, John Junior. Additionally, although there is limited documented evidence regarding John Robley Senior’s business activities, it is believed that he was also involved in the shipping and marketing of sugar and cotton from the West Indies.</w:t>
      </w:r>
      <w:r w:rsidRPr="005A05DF">
        <w:rPr>
          <w:vertAlign w:val="superscript"/>
        </w:rPr>
        <w:footnoteReference w:id="601"/>
      </w:r>
      <w:r w:rsidRPr="005A05DF">
        <w:t xml:space="preserve"> The University College London, Slave Trade Legacies project unveils John Robley's Junior’s ownership of Fleetwood House estate in Stoke Newington, London, in 1797 and the Caribbean plantations—Friendship, Golden Grove, Cove, and Betsey’s Hope. He was also joint owner of Pembroke and </w:t>
      </w:r>
      <w:proofErr w:type="spellStart"/>
      <w:r w:rsidRPr="005A05DF">
        <w:lastRenderedPageBreak/>
        <w:t>Calliaqua</w:t>
      </w:r>
      <w:proofErr w:type="spellEnd"/>
      <w:r w:rsidRPr="005A05DF">
        <w:t xml:space="preserve"> on the island of St. Vincent.</w:t>
      </w:r>
      <w:r w:rsidRPr="005A05DF">
        <w:rPr>
          <w:vertAlign w:val="superscript"/>
        </w:rPr>
        <w:footnoteReference w:id="602"/>
      </w:r>
      <w:r w:rsidRPr="005A05DF">
        <w:t xml:space="preserve"> The prospect arises that the Robley plantations on Tobago were a conceivable source of raw cotton production for the Evans family mill. </w:t>
      </w:r>
    </w:p>
    <w:p w14:paraId="684F0897" w14:textId="7D5FCAD1" w:rsidR="005A05DF" w:rsidRPr="005A05DF" w:rsidRDefault="00B76591" w:rsidP="005A05DF">
      <w:r>
        <w:t>For</w:t>
      </w:r>
      <w:r w:rsidR="005A05DF" w:rsidRPr="005A05DF">
        <w:t xml:space="preserve"> the islands of Grenada and </w:t>
      </w:r>
      <w:proofErr w:type="spellStart"/>
      <w:r w:rsidR="005A05DF" w:rsidRPr="005A05DF">
        <w:t>Carriacou</w:t>
      </w:r>
      <w:proofErr w:type="spellEnd"/>
      <w:r w:rsidR="005A05DF" w:rsidRPr="005A05DF">
        <w:t xml:space="preserve">, we find valuable sources of information on the cultivation of raw cotton, primarily from the works of Ryden. Furthermore, the Slave Trade Legacies database provides insights into eighteen cotton plantations on these islands between 1776 and 1834. Among these plantations, the Mount Pleasant estate on </w:t>
      </w:r>
      <w:proofErr w:type="spellStart"/>
      <w:r w:rsidR="005A05DF" w:rsidRPr="005A05DF">
        <w:t>Carriacou</w:t>
      </w:r>
      <w:proofErr w:type="spellEnd"/>
      <w:r w:rsidR="005A05DF" w:rsidRPr="005A05DF">
        <w:t xml:space="preserve"> stands out, once owned by John Tarleton (1718-1773), a prominent figure in Liverpool known for his involvement in the slave trade and ship ownership.</w:t>
      </w:r>
      <w:r>
        <w:rPr>
          <w:rStyle w:val="FootnoteReference"/>
        </w:rPr>
        <w:footnoteReference w:id="603"/>
      </w:r>
      <w:r w:rsidR="005A05DF" w:rsidRPr="005A05DF">
        <w:t xml:space="preserve"> His son, Thomas Tarleton (1753-1820), inherited the Mount Pleasant Estate, and in 1790, it became a hub of cotton cultivation. With 227 enslaved individuals working tirelessly, they produced an astounding 77,000 lbs of cotton on this single plantation alone.</w:t>
      </w:r>
      <w:r w:rsidR="005A05DF" w:rsidRPr="005A05DF">
        <w:rPr>
          <w:vertAlign w:val="superscript"/>
        </w:rPr>
        <w:footnoteReference w:id="604"/>
      </w:r>
      <w:r w:rsidR="005A05DF" w:rsidRPr="005A05DF">
        <w:t xml:space="preserve"> Meanwhile, David Mill from Tobago and Montrose, the owner of the Grand Bay Estate in </w:t>
      </w:r>
      <w:proofErr w:type="spellStart"/>
      <w:r w:rsidR="005A05DF" w:rsidRPr="005A05DF">
        <w:t>Carriacou</w:t>
      </w:r>
      <w:proofErr w:type="spellEnd"/>
      <w:r w:rsidR="005A05DF" w:rsidRPr="005A05DF">
        <w:t>, played a significant role in the global cotton market. In 1790, this estate oversaw the cultivation of 52,000 pounds of raw cotton, employing the labour of 149 enslaved individuals.</w:t>
      </w:r>
      <w:r w:rsidR="005A05DF" w:rsidRPr="005A05DF">
        <w:rPr>
          <w:vertAlign w:val="superscript"/>
        </w:rPr>
        <w:footnoteReference w:id="605"/>
      </w:r>
      <w:r w:rsidR="005A05DF" w:rsidRPr="005A05DF">
        <w:t xml:space="preserve"> There is no evidence that McConnel &amp; Kennedy purchased cotton from this Island. However, correspondence dated the 29</w:t>
      </w:r>
      <w:r w:rsidR="005A05DF" w:rsidRPr="005A05DF">
        <w:rPr>
          <w:vertAlign w:val="superscript"/>
        </w:rPr>
        <w:t>th</w:t>
      </w:r>
      <w:r w:rsidR="005A05DF" w:rsidRPr="005A05DF">
        <w:t xml:space="preserve"> of September 1796 between Samuel Wagstaff of London and W. Evans &amp; Co. confirms that the Boar’s Head cotton mills did.</w:t>
      </w:r>
      <w:r w:rsidR="005A05DF" w:rsidRPr="005A05DF">
        <w:rPr>
          <w:vertAlign w:val="superscript"/>
        </w:rPr>
        <w:footnoteReference w:id="606"/>
      </w:r>
      <w:r w:rsidR="005A05DF" w:rsidRPr="005A05DF">
        <w:t xml:space="preserve"> These historical connections between Scotland and the Caribbean, as exemplified by the cotton cultivation in </w:t>
      </w:r>
      <w:proofErr w:type="spellStart"/>
      <w:r w:rsidR="005A05DF" w:rsidRPr="005A05DF">
        <w:t>Carriacou</w:t>
      </w:r>
      <w:proofErr w:type="spellEnd"/>
      <w:r w:rsidR="005A05DF" w:rsidRPr="005A05DF">
        <w:t>, highlight the intricate web of relationships between Liverpool, the cotton industry, the Caribbean, and, interestingly, the Derwent Valley in Derbyshire.</w:t>
      </w:r>
    </w:p>
    <w:p w14:paraId="3B096A43" w14:textId="2CF6F5AD" w:rsidR="005A05DF" w:rsidRPr="005A05DF" w:rsidRDefault="005A05DF" w:rsidP="005A05DF">
      <w:r w:rsidRPr="005A05DF">
        <w:t>Anthropologist Allan D. Meyers has contributed vital insights into cotton cultivation in the Bahamas. His study of the 1831 slave uprisings on Cat Island unveils that Joseph Hunter and his family, as proprietors of the Golden Grove estate on Cat Island, were cotton planters.</w:t>
      </w:r>
      <w:r w:rsidR="00B76591">
        <w:rPr>
          <w:rStyle w:val="FootnoteReference"/>
        </w:rPr>
        <w:footnoteReference w:id="607"/>
      </w:r>
      <w:r w:rsidRPr="005A05DF">
        <w:t xml:space="preserve"> Meyers suggests that Hunter was once a cotton cultivator like his Bahamian peers but transitioned to cattle and sheep rearing by 1831, as evidenced by his diversified agricultural pursuits.</w:t>
      </w:r>
      <w:r w:rsidRPr="005A05DF">
        <w:rPr>
          <w:vertAlign w:val="superscript"/>
        </w:rPr>
        <w:footnoteReference w:id="608"/>
      </w:r>
      <w:r w:rsidRPr="005A05DF">
        <w:t xml:space="preserve"> These are traces of some Caribbean resources from which the British cotton mills drew their early cotton supplies via the supply chain networks. The Caribbean declined in its central role as a supplier to the British cotton mills as Brazil and then the United States took over as leaders in the supply of raw cotton.</w:t>
      </w:r>
      <w:r w:rsidR="00B76591">
        <w:rPr>
          <w:rStyle w:val="FootnoteReference"/>
        </w:rPr>
        <w:footnoteReference w:id="609"/>
      </w:r>
      <w:r w:rsidRPr="005A05DF">
        <w:t xml:space="preserve">  </w:t>
      </w:r>
    </w:p>
    <w:p w14:paraId="733E6B45" w14:textId="77777777" w:rsidR="005A05DF" w:rsidRPr="005A05DF" w:rsidRDefault="005A05DF" w:rsidP="005A05DF">
      <w:pPr>
        <w:rPr>
          <w:i/>
          <w:iCs/>
        </w:rPr>
      </w:pPr>
      <w:r w:rsidRPr="005A05DF">
        <w:rPr>
          <w:i/>
          <w:iCs/>
        </w:rPr>
        <w:t>Brazil and South America</w:t>
      </w:r>
    </w:p>
    <w:p w14:paraId="3CA63B97" w14:textId="74BDE7B5" w:rsidR="005A05DF" w:rsidRPr="005A05DF" w:rsidRDefault="005A05DF" w:rsidP="005A05DF">
      <w:r w:rsidRPr="005A05DF">
        <w:t>Cotton was commercially grown in Brazil from 1760, and by the close of the century, cotton emerged as Brazil’s second-leading export commodity.</w:t>
      </w:r>
      <w:r w:rsidRPr="005A05DF">
        <w:rPr>
          <w:vertAlign w:val="superscript"/>
        </w:rPr>
        <w:footnoteReference w:id="610"/>
      </w:r>
      <w:r w:rsidRPr="005A05DF">
        <w:t xml:space="preserve"> During the 1790s, Liverpool imported more cotton from Brazil, forty-one percent, than from the West Indies, thirty-eight percent, and the United States, ten percent.</w:t>
      </w:r>
      <w:r w:rsidRPr="005A05DF">
        <w:rPr>
          <w:vertAlign w:val="superscript"/>
        </w:rPr>
        <w:footnoteReference w:id="611"/>
      </w:r>
      <w:r w:rsidRPr="005A05DF">
        <w:t xml:space="preserve"> The Boar’s Head</w:t>
      </w:r>
      <w:r w:rsidR="00100A7A">
        <w:t xml:space="preserve"> Cotton</w:t>
      </w:r>
      <w:r w:rsidRPr="005A05DF">
        <w:t xml:space="preserve"> </w:t>
      </w:r>
      <w:r w:rsidR="00100A7A">
        <w:t>M</w:t>
      </w:r>
      <w:r w:rsidRPr="005A05DF">
        <w:t>ill</w:t>
      </w:r>
      <w:r w:rsidR="00100A7A">
        <w:t>s</w:t>
      </w:r>
      <w:r w:rsidRPr="005A05DF">
        <w:t xml:space="preserve"> manufactured more cotton from Brazil than the McConnel &amp; Kennedy </w:t>
      </w:r>
      <w:r w:rsidR="00BA1E1F">
        <w:t>M</w:t>
      </w:r>
      <w:r w:rsidRPr="005A05DF">
        <w:t xml:space="preserve">ills. There are four specific references to McConnel &amp; Kennedy's purchases of </w:t>
      </w:r>
      <w:r w:rsidRPr="005A05DF">
        <w:lastRenderedPageBreak/>
        <w:t>Pernambuco cotton in the receipt books covering 1795-1809, all of which occurred between 1796 and 1799.</w:t>
      </w:r>
      <w:r w:rsidR="00B76591">
        <w:rPr>
          <w:rStyle w:val="FootnoteReference"/>
        </w:rPr>
        <w:footnoteReference w:id="612"/>
      </w:r>
      <w:r w:rsidRPr="005A05DF">
        <w:t xml:space="preserve"> The purchases were through Henry Barton &amp; Co, William John Edensor, James Marshall, and Watson, Myers, &amp; Russell, totalling 65 bags at a combined cost of £851.14.4.</w:t>
      </w:r>
      <w:r w:rsidR="00DD1CD2">
        <w:rPr>
          <w:rStyle w:val="FootnoteReference"/>
        </w:rPr>
        <w:footnoteReference w:id="613"/>
      </w:r>
      <w:r w:rsidRPr="005A05DF">
        <w:t xml:space="preserve"> There is no specific mention that they purchased cotton from Maranh</w:t>
      </w:r>
      <w:r w:rsidRPr="005A05DF">
        <w:rPr>
          <w:rFonts w:cstheme="minorHAnsi"/>
        </w:rPr>
        <w:t>ã</w:t>
      </w:r>
      <w:r w:rsidRPr="005A05DF">
        <w:t>o (</w:t>
      </w:r>
      <w:proofErr w:type="spellStart"/>
      <w:r w:rsidRPr="005A05DF">
        <w:t>Maranham</w:t>
      </w:r>
      <w:proofErr w:type="spellEnd"/>
      <w:r w:rsidRPr="005A05DF">
        <w:t>) like the Evans family. From 1788, W. Evans &amp; Co. purchased Brazilian cotton from many of their London brokers, including a transaction for sixty-one bags of Maranh</w:t>
      </w:r>
      <w:r w:rsidRPr="005A05DF">
        <w:rPr>
          <w:rFonts w:cstheme="minorHAnsi"/>
        </w:rPr>
        <w:t>ã</w:t>
      </w:r>
      <w:r w:rsidRPr="005A05DF">
        <w:t>o from Battier &amp; Co.</w:t>
      </w:r>
      <w:r w:rsidRPr="005A05DF">
        <w:rPr>
          <w:vertAlign w:val="superscript"/>
        </w:rPr>
        <w:footnoteReference w:id="614"/>
      </w:r>
      <w:r w:rsidRPr="005A05DF">
        <w:t xml:space="preserve"> The research of Felipe Souza Melo and Diego de </w:t>
      </w:r>
      <w:proofErr w:type="spellStart"/>
      <w:r w:rsidRPr="005A05DF">
        <w:t>Cambraia</w:t>
      </w:r>
      <w:proofErr w:type="spellEnd"/>
      <w:r w:rsidRPr="005A05DF">
        <w:t xml:space="preserve"> Martins has explored cotton production within Brazil during this timeframe.</w:t>
      </w:r>
      <w:r w:rsidR="008E4625">
        <w:rPr>
          <w:rStyle w:val="FootnoteReference"/>
        </w:rPr>
        <w:footnoteReference w:id="615"/>
      </w:r>
      <w:r w:rsidRPr="005A05DF">
        <w:t xml:space="preserve"> </w:t>
      </w:r>
      <w:r w:rsidR="0085205A" w:rsidRPr="004051BB">
        <w:rPr>
          <w:color w:val="000000" w:themeColor="text1"/>
        </w:rPr>
        <w:t>Also, the research of Thales Augusto Zamberlan Pereira, laid out over two articles, explores that role Brazil in the production of global cotton supplies and the role of enslaved labour and farmers during this period of study.</w:t>
      </w:r>
      <w:r w:rsidR="008E4625" w:rsidRPr="004051BB">
        <w:rPr>
          <w:rStyle w:val="FootnoteReference"/>
          <w:color w:val="000000" w:themeColor="text1"/>
        </w:rPr>
        <w:footnoteReference w:id="616"/>
      </w:r>
      <w:r w:rsidR="0085205A" w:rsidRPr="004051BB">
        <w:rPr>
          <w:color w:val="000000" w:themeColor="text1"/>
        </w:rPr>
        <w:t xml:space="preserve"> Collectively, these articles </w:t>
      </w:r>
      <w:r w:rsidRPr="004051BB">
        <w:rPr>
          <w:color w:val="000000" w:themeColor="text1"/>
        </w:rPr>
        <w:t xml:space="preserve">offer valuable information regarding the potential origins of raw cotton manufactured </w:t>
      </w:r>
      <w:r w:rsidRPr="005A05DF">
        <w:t>within British cotton mills. They show there were two main regions of cotton production, Maranh</w:t>
      </w:r>
      <w:r w:rsidRPr="005A05DF">
        <w:rPr>
          <w:rFonts w:cstheme="minorHAnsi"/>
        </w:rPr>
        <w:t>ã</w:t>
      </w:r>
      <w:r w:rsidRPr="005A05DF">
        <w:t xml:space="preserve">o and the North-East, such as Pernambuco. </w:t>
      </w:r>
      <w:r w:rsidR="008E5702">
        <w:t>Their article states that c</w:t>
      </w:r>
      <w:r w:rsidRPr="005A05DF">
        <w:t>otton farms in the North-East employed few enslaved people while those in Maranh</w:t>
      </w:r>
      <w:r w:rsidRPr="005A05DF">
        <w:rPr>
          <w:rFonts w:cstheme="minorHAnsi"/>
        </w:rPr>
        <w:t>ã</w:t>
      </w:r>
      <w:r w:rsidRPr="005A05DF">
        <w:t>o employed many.</w:t>
      </w:r>
      <w:r w:rsidRPr="005A05DF">
        <w:rPr>
          <w:vertAlign w:val="superscript"/>
        </w:rPr>
        <w:footnoteReference w:id="617"/>
      </w:r>
      <w:r w:rsidRPr="005A05DF">
        <w:t xml:space="preserve"> This is reflected in the mill documents of McConnel &amp; Kennedy and W. Evans &amp; Co.   </w:t>
      </w:r>
    </w:p>
    <w:p w14:paraId="5048DDB5" w14:textId="77777777" w:rsidR="005A05DF" w:rsidRPr="005A05DF" w:rsidRDefault="005A05DF" w:rsidP="005A05DF">
      <w:pPr>
        <w:rPr>
          <w:i/>
          <w:iCs/>
        </w:rPr>
      </w:pPr>
      <w:r w:rsidRPr="005A05DF">
        <w:rPr>
          <w:i/>
          <w:iCs/>
        </w:rPr>
        <w:t xml:space="preserve">Demerara, Suriname and Berbice (Colony of Guyana) </w:t>
      </w:r>
    </w:p>
    <w:p w14:paraId="166E3808" w14:textId="51D5E1B0" w:rsidR="005A05DF" w:rsidRPr="005A05DF" w:rsidRDefault="005A05DF" w:rsidP="005A05DF">
      <w:r w:rsidRPr="005A05DF">
        <w:t>In 1790, W. Evans &amp; Co. began purchasing raw cotton from Demerara.</w:t>
      </w:r>
      <w:r w:rsidR="008E5702">
        <w:rPr>
          <w:rStyle w:val="FootnoteReference"/>
        </w:rPr>
        <w:footnoteReference w:id="618"/>
      </w:r>
      <w:r w:rsidRPr="005A05DF">
        <w:t xml:space="preserve"> McConnel &amp; Kennedy followed suit, albeit in smaller quantities, after 1800.</w:t>
      </w:r>
      <w:r w:rsidR="008E5702">
        <w:rPr>
          <w:rStyle w:val="FootnoteReference"/>
        </w:rPr>
        <w:footnoteReference w:id="619"/>
      </w:r>
      <w:r w:rsidRPr="005A05DF">
        <w:t xml:space="preserve"> The U</w:t>
      </w:r>
      <w:r w:rsidR="00DD1CD2">
        <w:t xml:space="preserve">niversity </w:t>
      </w:r>
      <w:r w:rsidRPr="005A05DF">
        <w:t>C</w:t>
      </w:r>
      <w:r w:rsidR="00DD1CD2">
        <w:t xml:space="preserve">ollege </w:t>
      </w:r>
      <w:r w:rsidRPr="005A05DF">
        <w:t>L</w:t>
      </w:r>
      <w:r w:rsidR="00DD1CD2">
        <w:t>ondon</w:t>
      </w:r>
      <w:r w:rsidRPr="005A05DF">
        <w:t xml:space="preserve"> database sheds light on forty-two cotton plantations in British Guiana (now known as Guyana), a significant number owned by a closely connected kinship group from Scotland. The extensive research conducted by scholars like Douglas Hamilton, in his work </w:t>
      </w:r>
      <w:r w:rsidRPr="005A05DF">
        <w:rPr>
          <w:i/>
          <w:iCs/>
        </w:rPr>
        <w:t>Scotland, the Caribbean, and the Atlantic World from 1750 to 1820</w:t>
      </w:r>
      <w:r w:rsidRPr="005A05DF">
        <w:t xml:space="preserve">, and David Alston, in </w:t>
      </w:r>
      <w:r w:rsidRPr="005A05DF">
        <w:rPr>
          <w:i/>
          <w:iCs/>
        </w:rPr>
        <w:t>Slaves and Highlanders: Silenced Histories of Scotland and the Caribbean</w:t>
      </w:r>
      <w:r w:rsidRPr="005A05DF">
        <w:t>, provides an in-depth account of this kinship network.</w:t>
      </w:r>
      <w:r w:rsidR="00DD1CD2">
        <w:rPr>
          <w:rStyle w:val="FootnoteReference"/>
        </w:rPr>
        <w:footnoteReference w:id="620"/>
      </w:r>
      <w:r w:rsidRPr="005A05DF">
        <w:t xml:space="preserve"> This group consisted of families such as Baillie, Cuming, Inglis, Fraser, McKay, and </w:t>
      </w:r>
      <w:proofErr w:type="spellStart"/>
      <w:r w:rsidRPr="005A05DF">
        <w:t>MacKenzie</w:t>
      </w:r>
      <w:proofErr w:type="spellEnd"/>
      <w:r w:rsidRPr="005A05DF">
        <w:t>, bound together through marriage alliances, business partnerships, and the ownership of plantations both in the Caribbean and British Guiana. These networks, like the manufacturing networks, operated within British society's trust and reputation system. However, in South America, this network controlled twelve out of the forty-two cotton plantations in Demerara and Berbice.</w:t>
      </w:r>
      <w:r w:rsidR="00710A58">
        <w:rPr>
          <w:rStyle w:val="FootnoteReference"/>
        </w:rPr>
        <w:footnoteReference w:id="621"/>
      </w:r>
      <w:r w:rsidRPr="005A05DF">
        <w:t xml:space="preserve"> Notable among them was James Baillie, who resided in Bedford Square and Ealing Grove. He owned several plantations in the colony, including </w:t>
      </w:r>
      <w:r w:rsidRPr="005A05DF">
        <w:rPr>
          <w:i/>
          <w:iCs/>
        </w:rPr>
        <w:t>Northbrook</w:t>
      </w:r>
      <w:r w:rsidRPr="005A05DF">
        <w:t xml:space="preserve">, </w:t>
      </w:r>
      <w:r w:rsidRPr="005A05DF">
        <w:rPr>
          <w:i/>
          <w:iCs/>
        </w:rPr>
        <w:t>Golden Grove</w:t>
      </w:r>
      <w:r w:rsidRPr="005A05DF">
        <w:t xml:space="preserve">, </w:t>
      </w:r>
      <w:r w:rsidRPr="005A05DF">
        <w:rPr>
          <w:i/>
          <w:iCs/>
        </w:rPr>
        <w:t>Non-</w:t>
      </w:r>
      <w:proofErr w:type="spellStart"/>
      <w:r w:rsidRPr="005A05DF">
        <w:rPr>
          <w:i/>
          <w:iCs/>
        </w:rPr>
        <w:t>pariel</w:t>
      </w:r>
      <w:proofErr w:type="spellEnd"/>
      <w:r w:rsidRPr="005A05DF">
        <w:t xml:space="preserve">, and </w:t>
      </w:r>
      <w:proofErr w:type="spellStart"/>
      <w:r w:rsidRPr="005A05DF">
        <w:rPr>
          <w:i/>
          <w:iCs/>
        </w:rPr>
        <w:t>Taymouth</w:t>
      </w:r>
      <w:proofErr w:type="spellEnd"/>
      <w:r w:rsidRPr="005A05DF">
        <w:rPr>
          <w:i/>
          <w:iCs/>
        </w:rPr>
        <w:t xml:space="preserve"> Manor</w:t>
      </w:r>
      <w:r w:rsidRPr="005A05DF">
        <w:t>.</w:t>
      </w:r>
      <w:r w:rsidRPr="005A05DF">
        <w:rPr>
          <w:vertAlign w:val="superscript"/>
        </w:rPr>
        <w:footnoteReference w:id="622"/>
      </w:r>
      <w:r w:rsidRPr="005A05DF">
        <w:t xml:space="preserve"> James Baillie was the son of Hugh Baillie of </w:t>
      </w:r>
      <w:proofErr w:type="spellStart"/>
      <w:r w:rsidRPr="005A05DF">
        <w:t>Dochfour</w:t>
      </w:r>
      <w:proofErr w:type="spellEnd"/>
      <w:r w:rsidRPr="005A05DF">
        <w:t>, and he, along with his brothers Alexander and Evan, as well as their cousin George, had established themselves as prominent slave traders and plantation owners in the Caribbean and South America.</w:t>
      </w:r>
      <w:r w:rsidRPr="005A05DF">
        <w:rPr>
          <w:vertAlign w:val="superscript"/>
        </w:rPr>
        <w:footnoteReference w:id="623"/>
      </w:r>
      <w:r w:rsidRPr="005A05DF">
        <w:t xml:space="preserve"> Their influence in the colonies was substantial, with Evan Baillie even transferring his power and influence by serving as an MP for Bristol from 1802 to 1812.</w:t>
      </w:r>
      <w:r w:rsidRPr="005A05DF">
        <w:rPr>
          <w:vertAlign w:val="superscript"/>
        </w:rPr>
        <w:footnoteReference w:id="624"/>
      </w:r>
      <w:r w:rsidRPr="005A05DF">
        <w:t xml:space="preserve"> The </w:t>
      </w:r>
      <w:r w:rsidRPr="005A05DF">
        <w:lastRenderedPageBreak/>
        <w:t>Baillie family's plantation holdings were significant, as evidenced by the substantial compensation they received from the British government in the 1830s. This compensation amounted to £111,000, equivalent to £5,500,000 today, and was provided to acknowledge the loss of 3100 enslaved individuals.</w:t>
      </w:r>
      <w:r w:rsidRPr="005A05DF">
        <w:rPr>
          <w:vertAlign w:val="superscript"/>
        </w:rPr>
        <w:footnoteReference w:id="625"/>
      </w:r>
      <w:r w:rsidRPr="005A05DF">
        <w:t xml:space="preserve"> It is conceivable some of these enslaved people grew the Demerara cotton that was manufactured in British cotton mills, including those owned by W. Evans &amp; Co. and McConnel &amp; Kennedy.</w:t>
      </w:r>
    </w:p>
    <w:p w14:paraId="1D684521" w14:textId="77777777" w:rsidR="005A05DF" w:rsidRPr="005A05DF" w:rsidRDefault="005A05DF" w:rsidP="005A05DF">
      <w:pPr>
        <w:rPr>
          <w:i/>
          <w:iCs/>
        </w:rPr>
      </w:pPr>
      <w:r w:rsidRPr="005A05DF">
        <w:rPr>
          <w:i/>
          <w:iCs/>
        </w:rPr>
        <w:t xml:space="preserve">North American cotton </w:t>
      </w:r>
    </w:p>
    <w:p w14:paraId="4430BBA2" w14:textId="77777777" w:rsidR="005A05DF" w:rsidRPr="005A05DF" w:rsidRDefault="005A05DF" w:rsidP="005A05DF">
      <w:r w:rsidRPr="005A05DF">
        <w:t>Between 1800 and 1810, the Evans family initiated their involvement in the US cotton market, with W. Evans &amp; Co. strategically procuring various types of cotton, such as bowed Georgia, (New) Orleans, and Sea Island Georgia varieties.</w:t>
      </w:r>
      <w:r w:rsidRPr="005A05DF">
        <w:rPr>
          <w:vertAlign w:val="superscript"/>
        </w:rPr>
        <w:footnoteReference w:id="626"/>
      </w:r>
      <w:r w:rsidRPr="005A05DF">
        <w:t xml:space="preserve"> Simultaneously, the McConnel and Kennedy mills began manufacturing predominantly Sea Island cotton. Beginning in 1800, they began to principally import cotton from the Sea Islands, encompassing South Carolina, Georgia, and Florida within the United States.</w:t>
      </w:r>
      <w:r w:rsidRPr="005A05DF">
        <w:rPr>
          <w:vertAlign w:val="superscript"/>
        </w:rPr>
        <w:footnoteReference w:id="627"/>
      </w:r>
      <w:r w:rsidRPr="005A05DF">
        <w:t xml:space="preserve"> Notably, during the early nineteenth century, this region was characterised by an economy heavily reliant on the system of slavery, leading to the emergence of vast plantations due to the region's labour-intensive cotton cultivation.</w:t>
      </w:r>
      <w:r w:rsidRPr="005A05DF">
        <w:rPr>
          <w:vertAlign w:val="superscript"/>
        </w:rPr>
        <w:footnoteReference w:id="628"/>
      </w:r>
      <w:r w:rsidRPr="005A05DF">
        <w:t xml:space="preserve"> Patricia Jones-Jackson's research reveals the origins of the enslaved people on the Sea Islands. While some were brought by Barbadian planters who migrated to the Carolina colony during the seventeenth and eighteenth centuries, a larger influx came directly from Africa. These individuals, known as Gullahs in South Carolina and Geechees in Georgia, largely traced their heritage to West Africa. She affirms that their toil was pivotal in nurturing the renowned long-staple, high-quality cotton for which the region became celebrated.</w:t>
      </w:r>
      <w:r w:rsidRPr="005A05DF">
        <w:rPr>
          <w:vertAlign w:val="superscript"/>
        </w:rPr>
        <w:footnoteReference w:id="629"/>
      </w:r>
      <w:r w:rsidRPr="005A05DF">
        <w:t xml:space="preserve"> In the year 1800, the demographic landscape of the Sea Islands was characterised by 2,150 white inhabitants and a significant enslaved population of 12,400, most having come directly from Africa.</w:t>
      </w:r>
      <w:r w:rsidRPr="005A05DF">
        <w:rPr>
          <w:vertAlign w:val="superscript"/>
        </w:rPr>
        <w:footnoteReference w:id="630"/>
      </w:r>
      <w:r w:rsidRPr="005A05DF">
        <w:t xml:space="preserve"> This region's trajectory stemmed from the shift away from the indigo trade, as many former indigo planters transitioned to cotton cultivation during the 1790s. This was in response to the decline in the profitability of indigo as a commodity and the growth in demand for cotton.</w:t>
      </w:r>
      <w:r w:rsidRPr="005A05DF">
        <w:rPr>
          <w:vertAlign w:val="superscript"/>
        </w:rPr>
        <w:footnoteReference w:id="631"/>
      </w:r>
      <w:r w:rsidRPr="005A05DF">
        <w:t xml:space="preserve"> A specified example of McConnel &amp; Kennedy’s Sea Island cotton origin is Major Pierce Butler's Hampton Plantation on St. Simons' Island in Georgia. A letter dated November 11, 1807, from McConnel &amp; Kennedy addressed to their cotton broker in Liverpool, George Marsden. In this correspondence, they tasked him with procuring twenty-two bags of Butler, St. Simons cotton, provided it met their stringent criteria of being of the "first quality" and obtainable at the right price.</w:t>
      </w:r>
      <w:r w:rsidRPr="005A05DF">
        <w:rPr>
          <w:vertAlign w:val="superscript"/>
        </w:rPr>
        <w:footnoteReference w:id="632"/>
      </w:r>
    </w:p>
    <w:p w14:paraId="1C9B1BFB" w14:textId="2549F1C5" w:rsidR="005A05DF" w:rsidRPr="005A05DF" w:rsidRDefault="005A05DF" w:rsidP="005A05DF">
      <w:r w:rsidRPr="005A05DF">
        <w:t xml:space="preserve">Major Pierce Butler (1744-1822), an Irish-born founding father of the United States, played a significant role in shaping the history of the United States. </w:t>
      </w:r>
      <w:r w:rsidR="00C84D65">
        <w:t>Butler</w:t>
      </w:r>
      <w:r w:rsidRPr="005A05DF">
        <w:t xml:space="preserve"> left an enduring mark by signing the Constitution and serving as a member of the U</w:t>
      </w:r>
      <w:r w:rsidR="00C84D65">
        <w:t xml:space="preserve">nited </w:t>
      </w:r>
      <w:r w:rsidRPr="005A05DF">
        <w:t>S</w:t>
      </w:r>
      <w:r w:rsidR="00C84D65">
        <w:t>tates</w:t>
      </w:r>
      <w:r w:rsidRPr="005A05DF">
        <w:t xml:space="preserve"> Senate. However, his legacy is complex, as he was also known for being one of the wealthiest individuals in America during his time and one of the largest slaveholders in the country. By 1800, Butler had expanded his plantation interests by acquiring land on St. Simon's Island and Butler's Island in the Georgia Sea Islands. These acquisitions led to the cultivation of different crops on each estate, with rice being the focus on one and Sea Island cotton on the other. Notably, Butler's name became synonymous with producing high-quality </w:t>
      </w:r>
      <w:r w:rsidRPr="005A05DF">
        <w:lastRenderedPageBreak/>
        <w:t>Sea Island cotton, and his estates became major contributors to the cotton market from 1800 to 1822.</w:t>
      </w:r>
      <w:r w:rsidRPr="005A05DF">
        <w:rPr>
          <w:vertAlign w:val="superscript"/>
        </w:rPr>
        <w:footnoteReference w:id="633"/>
      </w:r>
      <w:r w:rsidRPr="005A05DF">
        <w:t xml:space="preserve"> This expansion coincided with shifts in cotton production dynamics, as the decline of Caribbean raw cotton production and the rise of US cotton production, as observed by Thomas Ellison, marked a transformative period.</w:t>
      </w:r>
      <w:r w:rsidRPr="005A05DF">
        <w:rPr>
          <w:vertAlign w:val="superscript"/>
        </w:rPr>
        <w:footnoteReference w:id="634"/>
      </w:r>
      <w:r w:rsidRPr="005A05DF">
        <w:t xml:space="preserve"> By 1802, the import of American cotton had surpassed that of West Indian cotton for the first time, and the U</w:t>
      </w:r>
      <w:r w:rsidR="00C84D65">
        <w:t xml:space="preserve">nited </w:t>
      </w:r>
      <w:r w:rsidRPr="005A05DF">
        <w:t>S</w:t>
      </w:r>
      <w:r w:rsidR="00C84D65">
        <w:t>tates</w:t>
      </w:r>
      <w:r w:rsidRPr="005A05DF">
        <w:t xml:space="preserve"> cotton production market began to rival and eventually dominate Brazilian production throughout the nineteenth century.</w:t>
      </w:r>
      <w:r w:rsidRPr="005A05DF">
        <w:rPr>
          <w:vertAlign w:val="superscript"/>
        </w:rPr>
        <w:footnoteReference w:id="635"/>
      </w:r>
    </w:p>
    <w:p w14:paraId="058D35C4" w14:textId="0DFC0CFE" w:rsidR="005A05DF" w:rsidRPr="005A05DF" w:rsidRDefault="005A05DF" w:rsidP="005A05DF">
      <w:r w:rsidRPr="005A05DF">
        <w:t>Richard Porcher and Sarah Fick's research has uncovered the modes of production and sale of cotton in the Sea Islands and major cotton sales hubs like Charleston, Savannah, Mobile, and New Orleans.</w:t>
      </w:r>
      <w:r w:rsidRPr="005A05DF">
        <w:rPr>
          <w:vertAlign w:val="superscript"/>
        </w:rPr>
        <w:footnoteReference w:id="636"/>
      </w:r>
      <w:r w:rsidRPr="005A05DF">
        <w:t xml:space="preserve"> Between 1803 and 1826, McConnel &amp; Kennedy connected with cotton factors in Charleston, Savannah, and New Orleans, as well as merchants and financiers Robert Gillespie and W. McLeod in New York.</w:t>
      </w:r>
      <w:r w:rsidR="00370490">
        <w:rPr>
          <w:rStyle w:val="FootnoteReference"/>
        </w:rPr>
        <w:footnoteReference w:id="637"/>
      </w:r>
      <w:r w:rsidRPr="005A05DF">
        <w:t xml:space="preserve"> These connections enabled them to procure high-quality cotton for spinning fine cotton, particularly for sale in the Scottish markets. The firm approached this market cautiously and relied on trusted connections from Scotland and Lancashire to relocate to America and infiltrate the previously unknown United States marketplace. This general relocation trend allowed the networks to manage risk and establish only reputable connections over long trading distances.  </w:t>
      </w:r>
    </w:p>
    <w:p w14:paraId="155461EB" w14:textId="23958AD0" w:rsidR="005A05DF" w:rsidRDefault="005A05DF" w:rsidP="005A05DF">
      <w:r w:rsidRPr="005A05DF">
        <w:t>Robert Gillespie (1799-1830) was an early pioneer of a general trend, relocating to markets targeted by British manufacturing firms for expansion. Gillespie had moved from Scotland to New York and was an existing network connection of McConnel &amp; Kennedy.</w:t>
      </w:r>
      <w:r w:rsidRPr="005A05DF">
        <w:rPr>
          <w:vertAlign w:val="superscript"/>
        </w:rPr>
        <w:footnoteReference w:id="638"/>
      </w:r>
      <w:r w:rsidRPr="005A05DF">
        <w:t xml:space="preserve"> Gillespie’s existing connections within the wider kinship and business networks of McConnel &amp; Kennedy were strengthened by social and local network ties, as his father and brother were both reverends in the parish of Kells, which was also the native parish of James McConnel, John Kennedy, and the Murray brothers.</w:t>
      </w:r>
      <w:r w:rsidRPr="005A05DF">
        <w:rPr>
          <w:vertAlign w:val="superscript"/>
        </w:rPr>
        <w:footnoteReference w:id="639"/>
      </w:r>
      <w:r w:rsidRPr="005A05DF">
        <w:t xml:space="preserve"> By 1803, Robert Gillespie had already moved to New York, providing McConnel &amp; Kennedy and the British-based cotton industry with a reliable and trusted source of information about the U</w:t>
      </w:r>
      <w:r w:rsidR="00113651">
        <w:t xml:space="preserve">nited </w:t>
      </w:r>
      <w:r w:rsidRPr="005A05DF">
        <w:t>S</w:t>
      </w:r>
      <w:r w:rsidR="00113651">
        <w:t>tates</w:t>
      </w:r>
      <w:r w:rsidRPr="005A05DF">
        <w:t xml:space="preserve"> cotton market. This relocation trend was evident in other connections of McConnel &amp; Kennedy, with many cotton factors in the U</w:t>
      </w:r>
      <w:r w:rsidR="00113651">
        <w:t xml:space="preserve">nited </w:t>
      </w:r>
      <w:r w:rsidRPr="005A05DF">
        <w:t>S</w:t>
      </w:r>
      <w:r w:rsidR="00113651">
        <w:t>tates</w:t>
      </w:r>
      <w:r w:rsidRPr="005A05DF">
        <w:t xml:space="preserve"> having pre-existing ties to the Scottish and Lancashire markets. One example is Thomas Hindley, who left Lancashire and established his cotton factorage business in Charleston in 1807.  McConnel &amp; Kennedy expressed their satisfaction upon hearing of Hindley's safe arrival in Charleston in a letter dated 17th February 1807.</w:t>
      </w:r>
      <w:r w:rsidRPr="005A05DF">
        <w:rPr>
          <w:vertAlign w:val="superscript"/>
        </w:rPr>
        <w:footnoteReference w:id="640"/>
      </w:r>
      <w:r w:rsidRPr="005A05DF">
        <w:t xml:space="preserve"> The South Carolina Court's naturalisation records confirm Thomas Hindley's arrival in the United States and his origin in Lancashire.</w:t>
      </w:r>
      <w:r w:rsidRPr="005A05DF">
        <w:rPr>
          <w:vertAlign w:val="superscript"/>
        </w:rPr>
        <w:footnoteReference w:id="641"/>
      </w:r>
      <w:r w:rsidRPr="005A05DF">
        <w:t xml:space="preserve"> By 1809, McConnel &amp; Kennedy planned to import 50-60 bags of Sea Island cotton using Hindley &amp; Gregory of Charleston as their cotton factor and George Marsden of Liverpool as their British-based cotton broker.</w:t>
      </w:r>
      <w:r w:rsidRPr="005A05DF">
        <w:rPr>
          <w:vertAlign w:val="superscript"/>
        </w:rPr>
        <w:footnoteReference w:id="642"/>
      </w:r>
    </w:p>
    <w:p w14:paraId="382970FE" w14:textId="02310FB7" w:rsidR="00FB4E20" w:rsidRPr="005C0CDE" w:rsidRDefault="00FB4E20" w:rsidP="005A05DF">
      <w:pPr>
        <w:rPr>
          <w:i/>
          <w:iCs/>
        </w:rPr>
      </w:pPr>
      <w:r w:rsidRPr="005C0CDE">
        <w:rPr>
          <w:i/>
          <w:iCs/>
        </w:rPr>
        <w:t>The Role of Tr</w:t>
      </w:r>
      <w:r w:rsidR="002872BA" w:rsidRPr="005C0CDE">
        <w:rPr>
          <w:i/>
          <w:iCs/>
        </w:rPr>
        <w:t>ust and Reputation within the</w:t>
      </w:r>
      <w:r w:rsidR="005C0CDE">
        <w:rPr>
          <w:i/>
          <w:iCs/>
        </w:rPr>
        <w:t xml:space="preserve"> Raw Cotton</w:t>
      </w:r>
      <w:r w:rsidR="002872BA" w:rsidRPr="005C0CDE">
        <w:rPr>
          <w:i/>
          <w:iCs/>
        </w:rPr>
        <w:t xml:space="preserve"> Supply-Chain Networks</w:t>
      </w:r>
    </w:p>
    <w:p w14:paraId="2226E88E" w14:textId="7294C2A8" w:rsidR="008E3FCA" w:rsidRPr="005A05DF" w:rsidRDefault="008E3FCA" w:rsidP="005A05DF">
      <w:r>
        <w:t xml:space="preserve">The trust that was required in the supply of raw materials </w:t>
      </w:r>
      <w:r w:rsidR="00634125">
        <w:t>was primarily between the manufacturer and the middlemen and the middlemen and the planter</w:t>
      </w:r>
      <w:r w:rsidR="00A73F99">
        <w:t>. Mary B. Rose has shown that the middlemen in the early phase of industrialisation often conformed to the role of a cotton dealer</w:t>
      </w:r>
      <w:r w:rsidR="005C0CDE">
        <w:t>,</w:t>
      </w:r>
      <w:r w:rsidR="00A73F99">
        <w:t xml:space="preserve"> </w:t>
      </w:r>
      <w:r w:rsidR="00A73F99">
        <w:lastRenderedPageBreak/>
        <w:t xml:space="preserve">which progressed into the role of </w:t>
      </w:r>
      <w:r w:rsidR="0074678A">
        <w:t>specific brokers that would buy and sell the raw cotton.</w:t>
      </w:r>
      <w:r w:rsidR="00833228">
        <w:rPr>
          <w:rStyle w:val="FootnoteReference"/>
        </w:rPr>
        <w:footnoteReference w:id="643"/>
      </w:r>
      <w:r w:rsidR="0074678A">
        <w:t xml:space="preserve"> </w:t>
      </w:r>
      <w:r w:rsidR="006220CC">
        <w:t xml:space="preserve">The middlemen provided the production system with a natural break in connectivity, which enabled the manufacturers to be distant from the planters – by geography and social interactions. </w:t>
      </w:r>
      <w:r w:rsidR="00F73BE4">
        <w:t xml:space="preserve">By exploring the role of trust and reputation alone in isolation from the social networks of the </w:t>
      </w:r>
      <w:r w:rsidR="002C6396">
        <w:t>cotton-spinners</w:t>
      </w:r>
      <w:r w:rsidR="00BF3816">
        <w:t>,</w:t>
      </w:r>
      <w:r w:rsidR="002C6396">
        <w:t xml:space="preserve"> it would be possible to think that the manufacturers had very little awareness of the planters and </w:t>
      </w:r>
      <w:r w:rsidR="00BF3816">
        <w:t>beyond them – the enslaved cultivators of the raw cotton.</w:t>
      </w:r>
      <w:r w:rsidR="00903D05">
        <w:t xml:space="preserve"> The manufacturers did not have to trust the planter</w:t>
      </w:r>
      <w:r w:rsidR="00D72B14">
        <w:t>, but they did need to trust their middlemen – particularly those with whom they relied most for their supplies of raw materials.</w:t>
      </w:r>
      <w:r w:rsidR="00CA18DD">
        <w:t xml:space="preserve"> The middlemen</w:t>
      </w:r>
      <w:r w:rsidR="0069134A">
        <w:t>,</w:t>
      </w:r>
      <w:r w:rsidR="00CA18DD">
        <w:t xml:space="preserve"> in turn</w:t>
      </w:r>
      <w:r w:rsidR="00495598">
        <w:t>,</w:t>
      </w:r>
      <w:r w:rsidR="00CA18DD">
        <w:t xml:space="preserve"> were required to trust their suppliers </w:t>
      </w:r>
      <w:r w:rsidR="0069134A">
        <w:t>for</w:t>
      </w:r>
      <w:r w:rsidR="00CA18DD">
        <w:t xml:space="preserve"> price information</w:t>
      </w:r>
      <w:r w:rsidR="00495598">
        <w:t>, shipping knowledge,</w:t>
      </w:r>
      <w:r w:rsidR="00CA18DD">
        <w:t xml:space="preserve"> and raw cotton</w:t>
      </w:r>
      <w:r w:rsidR="004F0FA8">
        <w:t xml:space="preserve"> – which included the planter</w:t>
      </w:r>
      <w:r w:rsidR="00495598">
        <w:t>.</w:t>
      </w:r>
      <w:r w:rsidR="004A0CFA">
        <w:t xml:space="preserve"> The planters </w:t>
      </w:r>
      <w:r w:rsidR="00B76A46">
        <w:t>needed to trust their cultivators would produce the cotton</w:t>
      </w:r>
      <w:r w:rsidR="00C01A43">
        <w:t>,</w:t>
      </w:r>
      <w:r w:rsidR="00B76A46">
        <w:t xml:space="preserve"> but the types of trust</w:t>
      </w:r>
      <w:r w:rsidR="00C01A43">
        <w:t xml:space="preserve"> </w:t>
      </w:r>
      <w:r w:rsidR="00005DD4">
        <w:t xml:space="preserve">required </w:t>
      </w:r>
      <w:r w:rsidR="00C01A43">
        <w:t xml:space="preserve">differed from those afforded the </w:t>
      </w:r>
      <w:r w:rsidR="004F0FA8">
        <w:t>status</w:t>
      </w:r>
      <w:r w:rsidR="00C01A43">
        <w:t xml:space="preserve"> of network members.</w:t>
      </w:r>
      <w:r w:rsidR="00005DD4">
        <w:t xml:space="preserve"> The enslaved members of the cotton manufacturing chain of production did not fall into </w:t>
      </w:r>
      <w:r w:rsidR="00BB579A">
        <w:t xml:space="preserve">any </w:t>
      </w:r>
      <w:r w:rsidR="00254690">
        <w:t>of the</w:t>
      </w:r>
      <w:r w:rsidR="00005DD4">
        <w:t xml:space="preserve"> </w:t>
      </w:r>
      <w:r w:rsidR="00BB579A">
        <w:t xml:space="preserve">categories </w:t>
      </w:r>
      <w:r w:rsidR="009D3F28">
        <w:t>of</w:t>
      </w:r>
      <w:r w:rsidR="00BB579A">
        <w:t xml:space="preserve"> the ideals for network members. Th</w:t>
      </w:r>
      <w:r w:rsidR="00254690">
        <w:t xml:space="preserve">eir character traits were perceived as incompatible </w:t>
      </w:r>
      <w:r w:rsidR="009D3F28">
        <w:t>with</w:t>
      </w:r>
      <w:r w:rsidR="00254690">
        <w:t xml:space="preserve"> the prescribed ideals</w:t>
      </w:r>
      <w:r w:rsidR="006C0C3D">
        <w:t xml:space="preserve"> – a concept that will be discussed in more detail in the following chapter. </w:t>
      </w:r>
      <w:r w:rsidR="00C01A43">
        <w:t xml:space="preserve"> </w:t>
      </w:r>
      <w:r w:rsidR="00495598">
        <w:t xml:space="preserve"> </w:t>
      </w:r>
      <w:r w:rsidR="00CA18DD">
        <w:t xml:space="preserve"> </w:t>
      </w:r>
      <w:r w:rsidR="00D72B14">
        <w:t xml:space="preserve">  </w:t>
      </w:r>
      <w:r w:rsidR="00BF3816">
        <w:t xml:space="preserve"> </w:t>
      </w:r>
      <w:r w:rsidR="0074678A">
        <w:t xml:space="preserve"> </w:t>
      </w:r>
    </w:p>
    <w:p w14:paraId="77478A17" w14:textId="77777777" w:rsidR="008E4625" w:rsidRDefault="008E4625" w:rsidP="00A75D8E">
      <w:pPr>
        <w:pStyle w:val="Heading2"/>
        <w:rPr>
          <w:rFonts w:asciiTheme="minorHAnsi" w:hAnsiTheme="minorHAnsi" w:cstheme="minorHAnsi"/>
          <w:b/>
          <w:bCs/>
          <w:color w:val="auto"/>
          <w:sz w:val="24"/>
          <w:szCs w:val="24"/>
        </w:rPr>
      </w:pPr>
    </w:p>
    <w:p w14:paraId="613D334F" w14:textId="18A46F1E" w:rsidR="005A05DF" w:rsidRPr="00A75D8E" w:rsidRDefault="005A05DF" w:rsidP="00A75D8E">
      <w:pPr>
        <w:pStyle w:val="Heading2"/>
        <w:rPr>
          <w:rFonts w:asciiTheme="minorHAnsi" w:hAnsiTheme="minorHAnsi" w:cstheme="minorHAnsi"/>
          <w:b/>
          <w:bCs/>
          <w:color w:val="auto"/>
          <w:sz w:val="24"/>
          <w:szCs w:val="24"/>
        </w:rPr>
      </w:pPr>
      <w:bookmarkStart w:id="201" w:name="_Toc170825699"/>
      <w:r w:rsidRPr="00A75D8E">
        <w:rPr>
          <w:rFonts w:asciiTheme="minorHAnsi" w:hAnsiTheme="minorHAnsi" w:cstheme="minorHAnsi"/>
          <w:b/>
          <w:bCs/>
          <w:color w:val="auto"/>
          <w:sz w:val="24"/>
          <w:szCs w:val="24"/>
        </w:rPr>
        <w:t>Sales Markets</w:t>
      </w:r>
      <w:bookmarkEnd w:id="201"/>
    </w:p>
    <w:p w14:paraId="03E64DB9" w14:textId="77777777" w:rsidR="005A05DF" w:rsidRDefault="005A05DF" w:rsidP="005A05DF">
      <w:pPr>
        <w:rPr>
          <w:b/>
          <w:bCs/>
        </w:rPr>
      </w:pPr>
      <w:r w:rsidRPr="005A05DF">
        <w:rPr>
          <w:b/>
          <w:bCs/>
        </w:rPr>
        <w:t>Domestic Sales Markets</w:t>
      </w:r>
    </w:p>
    <w:p w14:paraId="35405486" w14:textId="0F5E2E98" w:rsidR="005A05DF" w:rsidRPr="005A05DF" w:rsidRDefault="005A05DF" w:rsidP="005A05DF">
      <w:r w:rsidRPr="005A05DF">
        <w:t xml:space="preserve">Once the manufacturers acquired the raw cotton, their factory workers would toil to produce the yarn and cotton twist sold to their customers. The two cotton firms would not have functioned without viable sales markets to sell their products. </w:t>
      </w:r>
      <w:r w:rsidR="00261A64">
        <w:t xml:space="preserve">The key domestic sales markets </w:t>
      </w:r>
      <w:r w:rsidR="00B45F2B">
        <w:t>to</w:t>
      </w:r>
      <w:r w:rsidR="00261A64">
        <w:t xml:space="preserve"> which the Evans family</w:t>
      </w:r>
      <w:r w:rsidR="0069507D">
        <w:t xml:space="preserve"> connected to were Nottingham and Lancashire</w:t>
      </w:r>
      <w:r w:rsidR="00B45F2B">
        <w:t>,</w:t>
      </w:r>
      <w:r w:rsidR="0069507D">
        <w:t xml:space="preserve"> with a few regular clients in Norwich, Bristol</w:t>
      </w:r>
      <w:r w:rsidR="008056A0">
        <w:t xml:space="preserve">, Lincolnshire, </w:t>
      </w:r>
      <w:r w:rsidR="00F36DAD">
        <w:t>Leicestershire,</w:t>
      </w:r>
      <w:r w:rsidR="008056A0">
        <w:t xml:space="preserve"> and London.</w:t>
      </w:r>
      <w:r w:rsidR="00787470">
        <w:rPr>
          <w:rStyle w:val="FootnoteReference"/>
        </w:rPr>
        <w:footnoteReference w:id="644"/>
      </w:r>
      <w:r w:rsidR="008056A0">
        <w:t xml:space="preserve"> McConnel &amp; Kennedy focused on different markets</w:t>
      </w:r>
      <w:r w:rsidR="001336EC">
        <w:t xml:space="preserve"> due to </w:t>
      </w:r>
      <w:r w:rsidR="00B45F2B">
        <w:t xml:space="preserve">their </w:t>
      </w:r>
      <w:r w:rsidR="001336EC">
        <w:t xml:space="preserve">geographical location and specialisation of their </w:t>
      </w:r>
      <w:r w:rsidR="00F36DAD">
        <w:t>product</w:t>
      </w:r>
      <w:r w:rsidR="001336EC">
        <w:t xml:space="preserve">. Their key markets were </w:t>
      </w:r>
      <w:r w:rsidR="00F36DAD">
        <w:t>Glasgow, Paisley, Ireland, Nottingham, and Manchester.</w:t>
      </w:r>
      <w:r w:rsidR="00787470">
        <w:rPr>
          <w:rStyle w:val="FootnoteReference"/>
        </w:rPr>
        <w:footnoteReference w:id="645"/>
      </w:r>
      <w:r w:rsidR="00F36DAD">
        <w:t xml:space="preserve"> </w:t>
      </w:r>
      <w:r w:rsidRPr="005A05DF">
        <w:t>While some of their sales were conducted directly with customers, most were facilitated by sales agents in various towns and cities across Britain. Sales agents who worked directly for the firms acted as travelling salesmen who went into markets of towns and regional sales hubs throughout Britain. These sales agents were often trusted representatives of the firms. On the 17</w:t>
      </w:r>
      <w:r w:rsidRPr="005A05DF">
        <w:rPr>
          <w:vertAlign w:val="superscript"/>
        </w:rPr>
        <w:t>th</w:t>
      </w:r>
      <w:r w:rsidRPr="005A05DF">
        <w:t xml:space="preserve"> of July 1809, an interesting correspondence between Walter Evans &amp; Co. and Messrs. E</w:t>
      </w:r>
      <w:r w:rsidR="00787470">
        <w:t>.</w:t>
      </w:r>
      <w:r w:rsidRPr="005A05DF">
        <w:t xml:space="preserve"> &amp; F</w:t>
      </w:r>
      <w:r w:rsidR="00787470">
        <w:t>.</w:t>
      </w:r>
      <w:r w:rsidRPr="005A05DF">
        <w:t xml:space="preserve"> Butt of Stamford, Lincolnshire, sheds light on the sales practices of the firm as they expressed surprise at their travelling salesman having agreed to such an order for knitting cotton as a price they could not afford.</w:t>
      </w:r>
      <w:r w:rsidR="000D6E91">
        <w:rPr>
          <w:rStyle w:val="FootnoteReference"/>
        </w:rPr>
        <w:footnoteReference w:id="646"/>
      </w:r>
      <w:r w:rsidRPr="005A05DF">
        <w:t xml:space="preserve"> This letter shows that the firm had activated a proactive sales approach by sending their employees to the markets where they wished to sell. On this occasion, the sales representative had not met the expectations and obligations the Evans family had placed upon them. Still, it is unclear from this isolated letter whether this was serious enough for them to lose faith and trust in their agent.     </w:t>
      </w:r>
    </w:p>
    <w:p w14:paraId="3DE35CF4" w14:textId="53F59BD4" w:rsidR="00F8797C" w:rsidRDefault="005A05DF" w:rsidP="005A05DF">
      <w:r w:rsidRPr="005A05DF">
        <w:t>By 1808, Samuel Evans was the firm's sales agent in Manchester, one of their largest markets, from No. 5 Newmarket.</w:t>
      </w:r>
      <w:r w:rsidR="00C045C1">
        <w:rPr>
          <w:rStyle w:val="FootnoteReference"/>
        </w:rPr>
        <w:footnoteReference w:id="647"/>
      </w:r>
      <w:r w:rsidRPr="005A05DF">
        <w:t xml:space="preserve"> He was sent from within the kinship group as their trusted agent. The firm also used firms such as Whitfield &amp; Co. and James Rothwell. In the early years, the primary domestic sales markets for the Boar’s Head </w:t>
      </w:r>
      <w:r w:rsidR="00100A7A">
        <w:t>C</w:t>
      </w:r>
      <w:r w:rsidRPr="005A05DF">
        <w:t xml:space="preserve">otton </w:t>
      </w:r>
      <w:r w:rsidR="00100A7A">
        <w:t>M</w:t>
      </w:r>
      <w:r w:rsidRPr="005A05DF">
        <w:t>ills were Nottingham, Manchester, and Leicester.</w:t>
      </w:r>
      <w:r w:rsidR="00787470">
        <w:rPr>
          <w:rStyle w:val="FootnoteReference"/>
        </w:rPr>
        <w:footnoteReference w:id="648"/>
      </w:r>
      <w:r w:rsidRPr="005A05DF">
        <w:t xml:space="preserve"> For </w:t>
      </w:r>
      <w:r w:rsidRPr="005A05DF">
        <w:lastRenderedPageBreak/>
        <w:t>McConnel &amp; Kennedy, it was Manchester, Glasgow, Paisley</w:t>
      </w:r>
      <w:r w:rsidR="00787470">
        <w:t>, Dublin and Belfast</w:t>
      </w:r>
      <w:r w:rsidRPr="005A05DF">
        <w:t>.</w:t>
      </w:r>
      <w:r w:rsidR="00787470">
        <w:rPr>
          <w:rStyle w:val="FootnoteReference"/>
        </w:rPr>
        <w:footnoteReference w:id="649"/>
      </w:r>
      <w:r w:rsidRPr="005A05DF">
        <w:t xml:space="preserve"> After a few years, their markets changed, and both firms sought geographically distant firms as their mills expanded. McConnel &amp; Kennedy sold to Glasgow and Paisley markets, whereas the Evans family –located further south, catered to more centrally based markets. By 1808, the Evans family’s main domestic sales markets were the Midlands, East Anglia, Bristol, and London.</w:t>
      </w:r>
      <w:r w:rsidR="00787470">
        <w:t xml:space="preserve"> By building these local and regional business networks based on weak ties reinforced by repeated connections that enabled trust to flow between them shows that once again </w:t>
      </w:r>
      <w:proofErr w:type="spellStart"/>
      <w:r w:rsidR="00787470">
        <w:t>Granovetter’s</w:t>
      </w:r>
      <w:proofErr w:type="spellEnd"/>
      <w:r w:rsidR="00787470">
        <w:t xml:space="preserve"> theory is applicable to the trade networks of both firms. The networks </w:t>
      </w:r>
      <w:r w:rsidR="0085205A">
        <w:t>were</w:t>
      </w:r>
      <w:r w:rsidR="00787470">
        <w:t xml:space="preserve"> able to ensure that their networks utilised sales agents and in the case of the Evans </w:t>
      </w:r>
      <w:r w:rsidR="0085205A">
        <w:t>family,</w:t>
      </w:r>
      <w:r w:rsidR="00787470">
        <w:t xml:space="preserve"> they also implemented strong ties</w:t>
      </w:r>
      <w:r w:rsidR="00F8797C">
        <w:t xml:space="preserve"> to further reinforce their success in domestic sales markets. </w:t>
      </w:r>
      <w:r w:rsidR="0085205A">
        <w:t>However,</w:t>
      </w:r>
      <w:r w:rsidR="00F8797C">
        <w:t xml:space="preserve"> it was predominantly weak ties that ensured the domestic trade in the early nineteenth century.</w:t>
      </w:r>
    </w:p>
    <w:p w14:paraId="540ADD50" w14:textId="092E0EE9" w:rsidR="005A05DF" w:rsidRPr="005A05DF" w:rsidRDefault="005A05DF" w:rsidP="0085205A">
      <w:pPr>
        <w:rPr>
          <w:b/>
          <w:bCs/>
        </w:rPr>
      </w:pPr>
      <w:r w:rsidRPr="005A05DF">
        <w:rPr>
          <w:b/>
          <w:bCs/>
        </w:rPr>
        <w:t>International Sales Markets</w:t>
      </w:r>
    </w:p>
    <w:p w14:paraId="3FD93196" w14:textId="22B76F6A" w:rsidR="005A05DF" w:rsidRPr="00F8797C" w:rsidRDefault="005A05DF" w:rsidP="00F8797C">
      <w:pPr>
        <w:rPr>
          <w:i/>
          <w:iCs/>
        </w:rPr>
      </w:pPr>
      <w:r w:rsidRPr="00F8797C">
        <w:rPr>
          <w:i/>
          <w:iCs/>
        </w:rPr>
        <w:t>Hubs of Connection (</w:t>
      </w:r>
      <w:r w:rsidR="00F45E1D" w:rsidRPr="00F8797C">
        <w:rPr>
          <w:i/>
          <w:iCs/>
        </w:rPr>
        <w:t xml:space="preserve">Manchester, </w:t>
      </w:r>
      <w:r w:rsidRPr="00F8797C">
        <w:rPr>
          <w:i/>
          <w:iCs/>
        </w:rPr>
        <w:t xml:space="preserve">London, </w:t>
      </w:r>
      <w:r w:rsidR="00F8797C" w:rsidRPr="00F8797C">
        <w:rPr>
          <w:i/>
          <w:iCs/>
        </w:rPr>
        <w:t xml:space="preserve">and </w:t>
      </w:r>
      <w:r w:rsidRPr="00F8797C">
        <w:rPr>
          <w:i/>
          <w:iCs/>
        </w:rPr>
        <w:t>Liverpool</w:t>
      </w:r>
      <w:r w:rsidR="00F8797C" w:rsidRPr="00F8797C">
        <w:rPr>
          <w:i/>
          <w:iCs/>
        </w:rPr>
        <w:t>)</w:t>
      </w:r>
    </w:p>
    <w:p w14:paraId="0A501413" w14:textId="7DF7E98F" w:rsidR="005A05DF" w:rsidRPr="003D3FB6" w:rsidRDefault="003D3FB6" w:rsidP="004B147D">
      <w:r>
        <w:t>The networks of the cotton mills were not simply made of the people but also the key places</w:t>
      </w:r>
      <w:r w:rsidR="00A111FB">
        <w:t xml:space="preserve">, the most prominent of these for these two firms were London, Liverpool, </w:t>
      </w:r>
      <w:r w:rsidR="004B147D">
        <w:t xml:space="preserve">and </w:t>
      </w:r>
      <w:r w:rsidR="00A111FB">
        <w:t>Glasgow</w:t>
      </w:r>
      <w:r w:rsidR="004B147D">
        <w:t xml:space="preserve">. </w:t>
      </w:r>
      <w:r w:rsidR="005A05DF" w:rsidRPr="003D3FB6">
        <w:t xml:space="preserve">London was a key marketplace for both firms </w:t>
      </w:r>
      <w:r w:rsidR="00A111FB">
        <w:t xml:space="preserve">and </w:t>
      </w:r>
      <w:r w:rsidR="005A05DF" w:rsidRPr="003D3FB6">
        <w:t xml:space="preserve">was well connected to overseas markets. </w:t>
      </w:r>
      <w:r>
        <w:t>London was vital for the Evans family, and their kinship network owned property in London. They sourced their raw cotton supplies exclusively from London from 1787 to 1793. In 1808 Walter Evans &amp; Co. had a sales agent H. N. Ward of Bread Street in London acting on their behalf to sell their goods</w:t>
      </w:r>
      <w:r w:rsidR="00A111FB">
        <w:t xml:space="preserve"> – sewing cotton, knitting cotton and candlewicks – to international markets. In November 1808 the firm wrote to thank H. N. Ward for his information regarding the trading embargo and offers instructions to be amended in response. This letter shows that Walter Evans &amp; Co. had international sales markets, that global events such as the Napoleonic Wars altered their business strategies and that they sourced their information regarding these matters from trusted sales agents in London. </w:t>
      </w:r>
      <w:r>
        <w:t>McConnel &amp; Kennedy were less reliant on London</w:t>
      </w:r>
      <w:r w:rsidR="00A111FB">
        <w:t>, in part due to geography and the importance and distance of Liverpool, however</w:t>
      </w:r>
      <w:r>
        <w:t xml:space="preserve"> it</w:t>
      </w:r>
      <w:r w:rsidR="00A111FB">
        <w:t xml:space="preserve"> was</w:t>
      </w:r>
      <w:r>
        <w:t xml:space="preserve"> still a key city for the firm</w:t>
      </w:r>
      <w:r w:rsidR="00A111FB">
        <w:t xml:space="preserve">. This was </w:t>
      </w:r>
      <w:r>
        <w:t>particularly</w:t>
      </w:r>
      <w:r w:rsidR="00A111FB">
        <w:t xml:space="preserve"> the case</w:t>
      </w:r>
      <w:r>
        <w:t xml:space="preserve"> after 1800 in relation to their overseas sales markets.</w:t>
      </w:r>
      <w:r w:rsidR="004B147D">
        <w:t xml:space="preserve"> Their sales connections included James</w:t>
      </w:r>
      <w:r w:rsidR="004B147D" w:rsidRPr="003D3FB6">
        <w:t xml:space="preserve"> Cazenove, John Rapp and John (Jean) </w:t>
      </w:r>
      <w:proofErr w:type="spellStart"/>
      <w:r w:rsidR="004B147D" w:rsidRPr="003D3FB6">
        <w:t>Fazy</w:t>
      </w:r>
      <w:proofErr w:type="spellEnd"/>
      <w:r w:rsidR="004B147D" w:rsidRPr="003D3FB6">
        <w:t xml:space="preserve">. </w:t>
      </w:r>
      <w:r w:rsidR="005A05DF" w:rsidRPr="003D3FB6">
        <w:t>An example of a study of London merchants and the cotton trade can be found in work of P. Crowhurst when he studied the Swiss cotton trade during the Napoleonic wars. His work examined the business practices of Christophe Burckhardt, whose possessed mutual London based connections with McConnel &amp; Kennedy</w:t>
      </w:r>
      <w:r w:rsidR="004B147D">
        <w:t>.</w:t>
      </w:r>
      <w:r w:rsidR="004B147D" w:rsidRPr="003D3FB6">
        <w:rPr>
          <w:rStyle w:val="FootnoteReference"/>
        </w:rPr>
        <w:footnoteReference w:id="650"/>
      </w:r>
      <w:r w:rsidR="004B147D">
        <w:t xml:space="preserve"> </w:t>
      </w:r>
      <w:r w:rsidR="00586A76" w:rsidRPr="003D3FB6">
        <w:t xml:space="preserve">McConnel and Kennedy and the Evans family were also well connected into the Manchester trade </w:t>
      </w:r>
      <w:r w:rsidR="004B147D" w:rsidRPr="003D3FB6">
        <w:t>networks and</w:t>
      </w:r>
      <w:r w:rsidR="00E906FA" w:rsidRPr="003D3FB6">
        <w:t xml:space="preserve"> were well connected to the trading port of Liverpool.</w:t>
      </w:r>
      <w:r w:rsidR="004B147D">
        <w:t xml:space="preserve"> There is no evidence to suggest that Glasgow was an important connection hub for the Evans family, but they did have connections in Dublin. McConnel &amp; Kennedy were in contrast well connected to the markets in Glasgow that were facilitated via their kinship connections of Robert Kennedy and Henry Houldsworth – both cotton manufacturers in the city.  </w:t>
      </w:r>
      <w:r w:rsidR="00E906FA" w:rsidRPr="003D3FB6">
        <w:t xml:space="preserve"> </w:t>
      </w:r>
    </w:p>
    <w:p w14:paraId="3D1EC271" w14:textId="77777777" w:rsidR="005A05DF" w:rsidRPr="005A05DF" w:rsidRDefault="005A05DF" w:rsidP="005A05DF">
      <w:pPr>
        <w:rPr>
          <w:i/>
          <w:iCs/>
        </w:rPr>
      </w:pPr>
      <w:r w:rsidRPr="005A05DF">
        <w:rPr>
          <w:i/>
          <w:iCs/>
        </w:rPr>
        <w:t>Connections with Europe</w:t>
      </w:r>
    </w:p>
    <w:p w14:paraId="601642F7" w14:textId="539E14EE" w:rsidR="005A05DF" w:rsidRPr="005A05DF" w:rsidRDefault="005A05DF" w:rsidP="005A05DF">
      <w:r w:rsidRPr="005A05DF">
        <w:t>As noted by Lee, McConnel &amp; Kennedy's early years had limited evidence of direct sales to 'foreign houses,' it was not until 1805 that a regular connection was established.</w:t>
      </w:r>
      <w:r w:rsidR="00046461">
        <w:rPr>
          <w:rStyle w:val="FootnoteReference"/>
        </w:rPr>
        <w:footnoteReference w:id="651"/>
      </w:r>
      <w:r w:rsidRPr="005A05DF">
        <w:t xml:space="preserve"> This important 1805 connection, referred to by Lee, was with Alexander Barclay, who was part of McConnel &amp; Kennedy's wider network through their mutual connection, Mr. Stuart. An 1805 letter provides insight into this </w:t>
      </w:r>
      <w:r w:rsidRPr="005A05DF">
        <w:lastRenderedPageBreak/>
        <w:t>connection, revealing that Mr. Stuart was in Hamburg with Barclay.</w:t>
      </w:r>
      <w:r w:rsidR="004506E3">
        <w:rPr>
          <w:rStyle w:val="FootnoteReference"/>
        </w:rPr>
        <w:footnoteReference w:id="652"/>
      </w:r>
      <w:r w:rsidRPr="005A05DF">
        <w:t xml:space="preserve"> Subsequently, Barclay became a sales agent for McConnel &amp; Kennedy in Hamburg and later in Gothenburg, as trade embargoes had made the Hamburg market challenging to navigate. Remarkably, like James McConnel and John Kennedy, Alexander Barclay was from Scotland, underscoring the crucial role that connectivity between Scotland and Manchester played in the cotton industry's sales markets. Further correspondence within the McConnel &amp; Kennedy archive unveils additional layers of connectivity, linking Manchester, Scotland (specifically Glasgow), and Hamburg. In 1808, Barclay shared information about their mutual connection, Mr. Richard McNab of Glasgow.</w:t>
      </w:r>
      <w:r w:rsidR="00BD295C">
        <w:rPr>
          <w:rStyle w:val="FootnoteReference"/>
        </w:rPr>
        <w:footnoteReference w:id="653"/>
      </w:r>
      <w:r w:rsidRPr="005A05DF">
        <w:t xml:space="preserve"> This exchange of information and the ensuing correspondence hinted at a remarkable level of trust and mutual respect among the three firms involved: Alexander Barclay &amp; Co. of Hamburg, McConnel &amp; Kennedy of Manchester, and McNab and McNiven of Glasgow and Heligoland. One telling instance of this trust is evident in McNab's communication with McConnel &amp; Kennedy, where he expressed his willingness to cover a bill totalling £218.9.1 drawn on Alexander Barclay &amp; Co. in favour of McConnel &amp; Kennedy.</w:t>
      </w:r>
      <w:r w:rsidR="001540B4">
        <w:rPr>
          <w:rStyle w:val="FootnoteReference"/>
        </w:rPr>
        <w:footnoteReference w:id="654"/>
      </w:r>
      <w:r w:rsidRPr="005A05DF">
        <w:t xml:space="preserve"> This financial transaction underscores the solidity of their business relationships</w:t>
      </w:r>
      <w:r w:rsidR="001540B4">
        <w:t>.</w:t>
      </w:r>
    </w:p>
    <w:p w14:paraId="5113D65F" w14:textId="2C3E6BE1" w:rsidR="005A05DF" w:rsidRPr="005A05DF" w:rsidRDefault="005A05DF" w:rsidP="005A05DF">
      <w:r w:rsidRPr="005A05DF">
        <w:t>At the beginning of the nineteenth century, McConnel &amp; Kennedy established tentative connections with mainland European sales agents and market members. In March 1802, they received correspondence from Eckhardt of Leipzig, proposing a potential mutually beneficial connection where he could serve as their sales agent.</w:t>
      </w:r>
      <w:r w:rsidR="00637CC0">
        <w:rPr>
          <w:rStyle w:val="FootnoteReference"/>
        </w:rPr>
        <w:footnoteReference w:id="655"/>
      </w:r>
      <w:r w:rsidRPr="005A05DF">
        <w:t xml:space="preserve"> However, no evidence in the archive suggests whether the firm formed a regular connection with Eckhardt or responded positively to his proposition. Nonetheless, the letter from Eckhardt sheds light on how connections were forged between firms across Europe. It reveals that McConnel &amp; Kennedy and Eckhardt in Leipzig had a mutual connection: Messrs. Green &amp; Byfield of Manchester. Eckhardt referred to this Manchester firm as his friend and even offered them as a reference to vouch for his character. Additionally, he extended an offer to McConnel &amp; Kennedy to try </w:t>
      </w:r>
      <w:bookmarkStart w:id="203" w:name="_Hlk170474694"/>
      <w:r w:rsidRPr="004051BB">
        <w:rPr>
          <w:color w:val="000000" w:themeColor="text1"/>
        </w:rPr>
        <w:t>his services</w:t>
      </w:r>
      <w:r w:rsidR="0085205A" w:rsidRPr="004051BB">
        <w:rPr>
          <w:color w:val="000000" w:themeColor="text1"/>
        </w:rPr>
        <w:t xml:space="preserve"> as a sales agent in Leipzig</w:t>
      </w:r>
      <w:bookmarkEnd w:id="203"/>
      <w:r w:rsidRPr="004051BB">
        <w:rPr>
          <w:color w:val="000000" w:themeColor="text1"/>
        </w:rPr>
        <w:t xml:space="preserve">. </w:t>
      </w:r>
      <w:r w:rsidRPr="005A05DF">
        <w:t>This letter offers a key insight into the extensive networks and European connectivity within the cotton trade during that era. In 1802, both Eckhardt and McConnel &amp; Kennedy were part of networks that enabled individuals in Leipzig and Manchester to establish mutual connections. This was a remarkable feat, considering the challenges of poor communication and difficult travel conditions. It highlights the ongoing efforts to expand and strengthen trade networks during this period.</w:t>
      </w:r>
    </w:p>
    <w:p w14:paraId="0113CFC9" w14:textId="17D5933F" w:rsidR="005A05DF" w:rsidRDefault="005A05DF" w:rsidP="005A05DF">
      <w:r w:rsidRPr="005A05DF">
        <w:t>The Evans family had limited international connections in Europe and the United States. Sadly, the traces of their continental markets are seldom within their own surviving documents, and perhaps further research into their sales agents might help fill in gaps in this knowledge. From their surviving documents, it is possible to learn that they imported cotton from Evans, Offley &amp; Sealy of Lisbon, from their letters to London firms requesting recommendations.</w:t>
      </w:r>
      <w:r w:rsidR="007A334E">
        <w:rPr>
          <w:rStyle w:val="FootnoteReference"/>
        </w:rPr>
        <w:footnoteReference w:id="656"/>
      </w:r>
      <w:r w:rsidRPr="005A05DF">
        <w:t xml:space="preserve"> This connection was likely reasoned as safe in the minds of the Evans family networks as previous knowledge of the Portuguese market was possible via their connections with Thomas Evans’ brothers-in-law, John and Orlando Stubbs, having lived and worked in Lisbon during the 1750s.</w:t>
      </w:r>
      <w:r w:rsidR="002D5D0C">
        <w:rPr>
          <w:rStyle w:val="FootnoteReference"/>
        </w:rPr>
        <w:footnoteReference w:id="657"/>
      </w:r>
      <w:r w:rsidRPr="005A05DF">
        <w:t xml:space="preserve"> There are scant references to any significant sales market for the firm beyond Britain. However, their manufactured goods did enter international markets. In 1807, W. Evans wrote to one of their London-based sales agents, H. N. Ward, expressing their preference that he delay the shipment of their goods to Amsterdam.</w:t>
      </w:r>
      <w:r w:rsidR="00470BBE">
        <w:rPr>
          <w:rStyle w:val="FootnoteReference"/>
        </w:rPr>
        <w:footnoteReference w:id="658"/>
      </w:r>
      <w:r w:rsidRPr="005A05DF">
        <w:t xml:space="preserve"> By </w:t>
      </w:r>
      <w:r w:rsidRPr="005A05DF">
        <w:lastRenderedPageBreak/>
        <w:t xml:space="preserve">1807, the Napoleonic Blockades agreed upon in the Berlin and Milan Decrees started affecting British trade with Europe. Though there is no clear indication of this, it is possible that the caution felt by Evans regarding this order related to this political and military situation. There are no further mentions in the documents of trade with Amsterdam.    </w:t>
      </w:r>
    </w:p>
    <w:p w14:paraId="7016FA41" w14:textId="77777777" w:rsidR="005A05DF" w:rsidRPr="00A75D8E" w:rsidRDefault="005A05DF" w:rsidP="00A75D8E">
      <w:pPr>
        <w:pStyle w:val="Heading2"/>
        <w:rPr>
          <w:rFonts w:asciiTheme="minorHAnsi" w:hAnsiTheme="minorHAnsi" w:cstheme="minorHAnsi"/>
          <w:b/>
          <w:bCs/>
          <w:color w:val="auto"/>
          <w:sz w:val="24"/>
          <w:szCs w:val="24"/>
        </w:rPr>
      </w:pPr>
      <w:bookmarkStart w:id="204" w:name="_Toc170825700"/>
      <w:r w:rsidRPr="00A75D8E">
        <w:rPr>
          <w:rFonts w:asciiTheme="minorHAnsi" w:hAnsiTheme="minorHAnsi" w:cstheme="minorHAnsi"/>
          <w:b/>
          <w:bCs/>
          <w:color w:val="auto"/>
          <w:sz w:val="24"/>
          <w:szCs w:val="24"/>
        </w:rPr>
        <w:t>Conclusions</w:t>
      </w:r>
      <w:bookmarkEnd w:id="204"/>
    </w:p>
    <w:p w14:paraId="3C8B7E36" w14:textId="77777777" w:rsidR="005A05DF" w:rsidRPr="005A05DF" w:rsidRDefault="005A05DF" w:rsidP="005A05DF">
      <w:r w:rsidRPr="005A05DF">
        <w:t xml:space="preserve">This chapter has delved into the utilisation of trust, trustworthiness, and reputation within the two early industrialising cotton manufacturing firms' commercial relationships and business networks. By exploring these concepts within the framework of business networks, the following insights have become apparent: the general trends of generating trust within business relationships were similar throughout each cotton manufactory, but the intricate details differed depending on the firm's circumstances; network connectivity was underpinned by trustworthiness, trust, and reputation, of which trust formed part of the social capital available to each firm; the pattern of building and expanding the business networks of the cotton manufacturers relied on the relocation of trusted network members into the geographical markets and areas in which the trade sought to establish new connections; the wider web of connectivity which enabled each firm to access their raw materials and sales markets enacted a system of self-regulation that ensured networks members adhered to reputable codes of conduct and any deviations were brought to an end, this meant that members of the network that possessed suitable attributes and capabilities would attain leadership within the cotton trade. </w:t>
      </w:r>
    </w:p>
    <w:p w14:paraId="4E75A087" w14:textId="77777777" w:rsidR="005A05DF" w:rsidRPr="005A05DF" w:rsidRDefault="005A05DF" w:rsidP="005A05DF">
      <w:r w:rsidRPr="005A05DF">
        <w:t xml:space="preserve">By examining how these concepts were perceived among the business network actors in trade and commerce during the late eighteenth and early nineteenth centuries, we have gained a fresh perspective on the growth and expansion of the cotton trade during the early stages of the Industrial Revolution. We have uncovered the underlying mechanisms that facilitate the interactions necessary for cotton manufacturing by emphasising trust, trustworthiness, and reputation within business networks. This approach brings to light the human relationships that enabled the transition to factory-based production of raw cotton. The chapter has shown that the management teams of McConnel &amp; Kennedy and Boar's Head Cotton Mills established strong and trusting business relationships with a broad network of suppliers, buyers, and markets. These relationships formed a reliable network of connectivity for the firms. This network emphasised mutual trust and expectations of trustworthiness, highlighting the significance of maintaining respectable reputations. To be part of the network, (potential) members were expected to adhere to a code of conduct that encompassed agreed-upon expectations and obligations for exchange transactions. The level of mutual trust within the network depended on the ability of its actors to </w:t>
      </w:r>
      <w:proofErr w:type="spellStart"/>
      <w:r w:rsidRPr="005A05DF">
        <w:t>fulfill</w:t>
      </w:r>
      <w:proofErr w:type="spellEnd"/>
      <w:r w:rsidRPr="005A05DF">
        <w:t xml:space="preserve"> these expectations and obligations. Those who consistently met these requirements enhanced their trustworthiness and respectability within the network, consequently earning a positive reputation. This positive reputation granted them greater access to resources. It increased their chances of successfully navigating the potential pitfalls and challenges of manufacturing cotton during the early years of the Industrial Revolution. </w:t>
      </w:r>
    </w:p>
    <w:p w14:paraId="1BBF0F85" w14:textId="77777777" w:rsidR="00F86EB5" w:rsidRDefault="005A05DF" w:rsidP="00F86EB5">
      <w:pPr>
        <w:sectPr w:rsidR="00F86EB5">
          <w:footnotePr>
            <w:numRestart w:val="eachSect"/>
          </w:footnotePr>
          <w:pgSz w:w="11906" w:h="16838"/>
          <w:pgMar w:top="1440" w:right="1440" w:bottom="1440" w:left="1440" w:header="708" w:footer="708" w:gutter="0"/>
          <w:cols w:space="708"/>
          <w:docGrid w:linePitch="360"/>
        </w:sectPr>
      </w:pPr>
      <w:r w:rsidRPr="005A05DF">
        <w:t xml:space="preserve">The supply of raw cotton connected the two firms to the global developments of colonialism, imperialism, the plantation system of enslaved labour growing the raw material, and the cotton factorage system in the United States. The trust, trustworthiness, and reputation within the local and known networks allowed the firms to connect to the unknown and strange parts of the production system. It was in this meeting of the two separated worlds that the contradictions in the internal system of honour, trustworthiness and respectable reputations within business and the religious beliefs of the manufacturers found further difficulties. As chapter five established not everybody within the inner networks found it easy to live up to the expectations and obligations the network </w:t>
      </w:r>
      <w:r w:rsidRPr="005A05DF">
        <w:lastRenderedPageBreak/>
        <w:t xml:space="preserve">ideals sought to place upon them. This became more difficult when the outer part of the network system involved connecting to a system of slavery. </w:t>
      </w:r>
      <w:r w:rsidRPr="00DD229B">
        <w:t xml:space="preserve">A contradiction in the religious ideals of Evangelical Anglicans and dissenting Unitarians did not match the reality of conduct of the network members but it did allow them a way to </w:t>
      </w:r>
      <w:r w:rsidR="00DD229B" w:rsidRPr="00DD229B">
        <w:t>build</w:t>
      </w:r>
      <w:r w:rsidRPr="00DD229B">
        <w:t xml:space="preserve"> a respectable inner character based </w:t>
      </w:r>
      <w:r w:rsidR="00FF00DC" w:rsidRPr="00DD229B">
        <w:t xml:space="preserve">the political ideals. What the findings of Chapter Six </w:t>
      </w:r>
      <w:r w:rsidR="00285021" w:rsidRPr="00DD229B">
        <w:t xml:space="preserve">suggest is that middlemen, while reducing risk and raising trust levels within the networks </w:t>
      </w:r>
      <w:r w:rsidR="00BA0907" w:rsidRPr="00DD229B">
        <w:t xml:space="preserve">created a fragmented system where strangers were </w:t>
      </w:r>
      <w:r w:rsidR="00DB4A4E" w:rsidRPr="00DD229B">
        <w:t xml:space="preserve">inadmissible and in some circumstances unknowable. Chapter Seven will consider </w:t>
      </w:r>
      <w:r w:rsidR="00DD229B" w:rsidRPr="00DD229B">
        <w:t xml:space="preserve">the many ways in which a stranger could be contextualised and how strangers at the edge of the networks were viewed by those within. </w:t>
      </w:r>
      <w:r w:rsidR="00FF00DC" w:rsidRPr="00DD229B">
        <w:t xml:space="preserve"> </w:t>
      </w:r>
    </w:p>
    <w:p w14:paraId="79E5B4D3" w14:textId="6CC4D17E" w:rsidR="00AC4E9B" w:rsidRDefault="00AC4E9B" w:rsidP="00F15833">
      <w:pPr>
        <w:pStyle w:val="Heading1"/>
        <w:jc w:val="both"/>
        <w:rPr>
          <w:rFonts w:asciiTheme="minorHAnsi" w:hAnsiTheme="minorHAnsi" w:cstheme="minorHAnsi"/>
          <w:b/>
          <w:bCs/>
          <w:color w:val="auto"/>
          <w:sz w:val="28"/>
          <w:szCs w:val="28"/>
        </w:rPr>
      </w:pPr>
      <w:bookmarkStart w:id="205" w:name="_Toc170825701"/>
      <w:r w:rsidRPr="00A75D8E">
        <w:rPr>
          <w:rFonts w:asciiTheme="minorHAnsi" w:hAnsiTheme="minorHAnsi" w:cstheme="minorHAnsi"/>
          <w:b/>
          <w:bCs/>
          <w:color w:val="auto"/>
          <w:sz w:val="28"/>
          <w:szCs w:val="28"/>
        </w:rPr>
        <w:lastRenderedPageBreak/>
        <w:t>Chapter Seven: The Stranger, Strangeness, and the Unknown</w:t>
      </w:r>
      <w:bookmarkEnd w:id="205"/>
      <w:r w:rsidRPr="00A75D8E">
        <w:rPr>
          <w:rFonts w:asciiTheme="minorHAnsi" w:hAnsiTheme="minorHAnsi" w:cstheme="minorHAnsi"/>
          <w:b/>
          <w:bCs/>
          <w:color w:val="auto"/>
          <w:sz w:val="28"/>
          <w:szCs w:val="28"/>
        </w:rPr>
        <w:t xml:space="preserve"> </w:t>
      </w:r>
    </w:p>
    <w:p w14:paraId="3CB6FC02" w14:textId="77777777" w:rsidR="00A75D8E" w:rsidRPr="00A75D8E" w:rsidRDefault="00A75D8E" w:rsidP="00A75D8E"/>
    <w:p w14:paraId="7C5707A6" w14:textId="77777777" w:rsidR="00AC4E9B" w:rsidRDefault="00AC4E9B" w:rsidP="00A75D8E">
      <w:pPr>
        <w:pStyle w:val="Heading2"/>
        <w:rPr>
          <w:rFonts w:asciiTheme="minorHAnsi" w:hAnsiTheme="minorHAnsi" w:cstheme="minorHAnsi"/>
          <w:b/>
          <w:bCs/>
          <w:color w:val="auto"/>
          <w:sz w:val="24"/>
          <w:szCs w:val="24"/>
        </w:rPr>
      </w:pPr>
      <w:bookmarkStart w:id="206" w:name="_Toc170825702"/>
      <w:r w:rsidRPr="00A75D8E">
        <w:rPr>
          <w:rFonts w:asciiTheme="minorHAnsi" w:hAnsiTheme="minorHAnsi" w:cstheme="minorHAnsi"/>
          <w:b/>
          <w:bCs/>
          <w:color w:val="auto"/>
          <w:sz w:val="24"/>
          <w:szCs w:val="24"/>
        </w:rPr>
        <w:t>Introduction</w:t>
      </w:r>
      <w:bookmarkEnd w:id="206"/>
    </w:p>
    <w:p w14:paraId="31CD5508" w14:textId="77777777" w:rsidR="00AC4E9B" w:rsidRDefault="00AC4E9B" w:rsidP="00AC4E9B">
      <w:r>
        <w:t xml:space="preserve">The previous chapter explored the concept of social capital, playing a vital role in each local network to assist each case study cotton mill in acquiring their raw materials and accessing sales markets. The chapter charted how local cotton mills in Britain leveraged their reputations within trade networks to establish connections with the global networks of trade, which operated in distant and often culturally distinct segments of the expansive web of interconnected networks facilitating global commerce. These local cotton firms primarily entered the global system through intermediaries, relying on agents and brokers based in London or Liverpool while occasionally establishing direct connections with importers, factors, and agents in regions like Portugal or the United States. The findings of the chapter show that the supply of raw cotton was a channel that linked these firms to broader global developments, including colonialism, imperialism, the plantation system reliant on enslaved labour for cotton cultivation, and the cotton factorage system in the United States. Within these interconnected networks, trust, trustworthiness, and reputation within known and established circles paved the way for connections to unfamiliar and distant parts of the production system. </w:t>
      </w:r>
    </w:p>
    <w:p w14:paraId="2D43D2C6" w14:textId="2CD690AB" w:rsidR="00AC4E9B" w:rsidRDefault="00AC4E9B" w:rsidP="00AC4E9B">
      <w:r>
        <w:t xml:space="preserve">This chapter will follow on from these findings of this research to explore the limitations of the network system. It will show that the networks that the cotton spinning mills in this study were in fact part of a </w:t>
      </w:r>
      <w:r w:rsidRPr="004051BB">
        <w:rPr>
          <w:color w:val="000000" w:themeColor="text1"/>
        </w:rPr>
        <w:t>close</w:t>
      </w:r>
      <w:r w:rsidR="006D274C" w:rsidRPr="004051BB">
        <w:rPr>
          <w:color w:val="000000" w:themeColor="text1"/>
        </w:rPr>
        <w:t>d</w:t>
      </w:r>
      <w:r>
        <w:t xml:space="preserve"> system of trading networks that carefully guarded their inner cores from outsiders. Those members who were deemed untrustworthy or were simply unknown to the inner core were treated with caution, or suspicion. Only those with proven characteristics as ‘safe’, who had gained a positive reputation by conforming as close as possible to the network’s ideals were welcomed. This was often proven by the recommendation of an existing network member. This discussion chapter will explore two key aspects of my main thesis. First, I will emphasise that the role of trust and trustworthiness while effective within the existing networks, proved inadequate when dealing with strangers. Certain strangers could be accommodated into the inner networks, but only if the individual already had connections to the wider network system. Therefore, some strangers to the firms were not strangers to the wider networks. These individuals could call upon mutual connections and prove their reputation as safe business partners and were allowed network access. Once the connection became a provisional network member, their conduct decided whether they would remain in the network or whether they were removed from the circle. However, some individuals were denied access to closed networks due to their unknown status. When confronted with strangers, taking risks became necessary. Despite initial reservations, the two firms cautiously engaged with these risks and sought to expand their networks through trade with strangers. The chapter then shifts its focus to how these business networks handled the integration of new members into their fold as potential business exchange partners. The chapter delves into the concept of 'strangers' and examines how they were perceived, along with the implications of this perception. I will argue that the presence of the unknown and the stranger presented a dilemma for these businesses, as it complicated the process of assessing risk. The absence of a reliable risk assessment capability often led businesses to shy away from engaging with strangers. However, this dilemma becomes even more pronounced when considering that each firm’s expansion necessitated entering new markets, where encounters with the unknown became increasingly inevitable. </w:t>
      </w:r>
    </w:p>
    <w:p w14:paraId="1DF9B89E" w14:textId="77777777" w:rsidR="00AC4E9B" w:rsidRPr="00A75D8E" w:rsidRDefault="00AC4E9B" w:rsidP="00A75D8E">
      <w:pPr>
        <w:pStyle w:val="Heading2"/>
        <w:rPr>
          <w:rFonts w:asciiTheme="minorHAnsi" w:hAnsiTheme="minorHAnsi" w:cstheme="minorHAnsi"/>
          <w:b/>
          <w:bCs/>
          <w:color w:val="auto"/>
          <w:sz w:val="24"/>
          <w:szCs w:val="24"/>
        </w:rPr>
      </w:pPr>
      <w:bookmarkStart w:id="207" w:name="_Toc170825703"/>
      <w:r w:rsidRPr="00A75D8E">
        <w:rPr>
          <w:rFonts w:asciiTheme="minorHAnsi" w:hAnsiTheme="minorHAnsi" w:cstheme="minorHAnsi"/>
          <w:b/>
          <w:bCs/>
          <w:color w:val="auto"/>
          <w:sz w:val="24"/>
          <w:szCs w:val="24"/>
        </w:rPr>
        <w:t>The Contemporary Conceptualisation of a Stranger</w:t>
      </w:r>
      <w:bookmarkEnd w:id="207"/>
    </w:p>
    <w:p w14:paraId="0F5A4F57" w14:textId="2D6634F0" w:rsidR="00AC4E9B" w:rsidRDefault="00AC4E9B" w:rsidP="0002598E">
      <w:r>
        <w:t xml:space="preserve">Very little has been written on the concept of a stranger in trade and commerce in the late eighteenth and early nineteenth centuries. None of the studies of the cotton trade have covered this </w:t>
      </w:r>
      <w:r>
        <w:lastRenderedPageBreak/>
        <w:t xml:space="preserve">issue; therefore, the findings of this research break new ground in terms of the historiography of the British and global cotton trade. However, it is logical to think that as the networks of the cotton trade expanded into new and increasingly distant markets, more and more strangers would be encountered. Francesca </w:t>
      </w:r>
      <w:proofErr w:type="spellStart"/>
      <w:r>
        <w:t>Trivellato</w:t>
      </w:r>
      <w:proofErr w:type="spellEnd"/>
      <w:r>
        <w:t xml:space="preserve"> comments that early modern commerce encouraged new conversations with strangers.</w:t>
      </w:r>
      <w:r w:rsidR="00AC129B">
        <w:rPr>
          <w:rStyle w:val="FootnoteReference"/>
        </w:rPr>
        <w:footnoteReference w:id="659"/>
      </w:r>
      <w:r w:rsidR="00AC129B">
        <w:t xml:space="preserve"> </w:t>
      </w:r>
      <w:r>
        <w:t xml:space="preserve">This research demonstrates that this was also the case as the industrialising cotton trade expanded and connected to an ever-increasing set of networks across the globe. As the networks expanded their reach, the likelihood of encountering difference and strangeness increased, increasing risk perceptions. </w:t>
      </w:r>
      <w:r w:rsidR="002B5742">
        <w:t>These findings can once again draw on the work of Granovetter to understand the network themselves as including both strong ties, weak ties and the absence of a tie.</w:t>
      </w:r>
      <w:r w:rsidR="0002598E">
        <w:rPr>
          <w:rStyle w:val="FootnoteReference"/>
        </w:rPr>
        <w:footnoteReference w:id="660"/>
      </w:r>
      <w:r w:rsidR="002B5742">
        <w:t xml:space="preserve"> It is the absence of a tie that best describes the role of the stranger within </w:t>
      </w:r>
      <w:r w:rsidR="0002598E">
        <w:t xml:space="preserve">and outside the networks surrounding the cotton mills. </w:t>
      </w:r>
      <w:r>
        <w:t xml:space="preserve">This research has begun to shed some insight into the contemporary complexities of the ideas surrounding the term ‘stranger’ in the late eighteenth and early nineteenth centuries. In the business networks of the cotton trade, the term did not necessarily mean an entirely unknown person. The idea of a business stranger becomes apparent from the analysis of the cotton mill documents. The term 'business stranger' refers to an individual or entity who, while possibly known to another firm or individual, remains unproven in terms of their ability to meet obligations, fulfil expectations, and, most crucially, ensure financial security for their network exchange partner. </w:t>
      </w:r>
    </w:p>
    <w:p w14:paraId="6EDB3C82" w14:textId="421B9F9F" w:rsidR="00AC4E9B" w:rsidRDefault="00AC4E9B" w:rsidP="00AC4E9B">
      <w:r>
        <w:t>Meeting strangers and establishing new business connections involves encountering unfamiliar levels of risk, often addressed through recommendations and references. However, sometimes this mechanism was not enough to allay the fears some network actors might have possessed about the safety of an exchange or transaction. This risk mitigation was sometimes further strengthened when a firm offered immediate payment, allowing the business relationship to be formed without needing high trust levels. An illustrative case of this phenomenon is evident in the iron trade conducted by the Evans family, who managed a diversified business portfolio alongside their cotton mill. In November 1788, Thomas Evans &amp; Sons sought to open a connection with the Ketley Bank Iron Works in Shropshire. A letter to the firm dated the 29th of November 1788 provides insight into the Evans family’s understanding of the concept of a 'stranger.'</w:t>
      </w:r>
      <w:r w:rsidR="008D7062">
        <w:rPr>
          <w:rStyle w:val="FootnoteReference"/>
        </w:rPr>
        <w:footnoteReference w:id="661"/>
      </w:r>
      <w:r w:rsidR="008D7062">
        <w:t xml:space="preserve"> I</w:t>
      </w:r>
      <w:r>
        <w:t>t recounts a visit by a Thomas Evans &amp; Sons member to the iron works several months ago, where they observed Ketley Bank’s production methods. The letter describes Thomas Evans &amp; Sons as strangers.</w:t>
      </w:r>
      <w:r w:rsidR="00876511">
        <w:rPr>
          <w:rStyle w:val="FootnoteReference"/>
        </w:rPr>
        <w:footnoteReference w:id="662"/>
      </w:r>
      <w:r>
        <w:t xml:space="preserve"> However, it is evident that Thomas Evans &amp; Sons had prior contact with Mr. Reynolds and his Iron Works; therefore, they might not be considered strangers in the sense of being entirely unknown. Nevertheless, they were seen as business strangers since they had never engaged in a business relationship. Their prior contact was not enough to prove their trustworthiness as business exchange partners. To reassure Mr. Reynolds, Thomas Evans &amp; Sons offered to make an immediate payment for the transaction.</w:t>
      </w:r>
      <w:r w:rsidR="00876511">
        <w:rPr>
          <w:rStyle w:val="FootnoteReference"/>
        </w:rPr>
        <w:footnoteReference w:id="663"/>
      </w:r>
      <w:r>
        <w:t xml:space="preserve"> This correspondence highlights the subtle difference between being actual strangers, having never met before, and being business strangers, having never conducted a business exchange transaction before. It also shows how the Evans family approached expanding their business connectivity and overcoming their status as strangers to others. Additionally, the business documents confirm that the two firms did become future exchange partners, and the reassurances were successful.  </w:t>
      </w:r>
    </w:p>
    <w:p w14:paraId="6F5572D4" w14:textId="77777777" w:rsidR="00AC4E9B" w:rsidRDefault="00AC4E9B" w:rsidP="00AC4E9B">
      <w:r>
        <w:lastRenderedPageBreak/>
        <w:t xml:space="preserve">Within the networks that emerged from the cotton mills, three distinct categories of individuals emerged: the known and trusted, the known and untrustworthy, and the unknown or stranger. Yet, noticeable distinctions arose within the conceptualisation of a stranger. As we have seen one was the business stranger, however other interpretations of the term show a hierarchy of understanding existed within the term itself. The distance of a stranger in terms of geography, relational distances or cultural distance could also impact on how a stranger might be approached, if at all. The mill documents can shed light on the intricate nature of how network actors perceive the idea of a stranger. However, they are silent when other forms of stranger other than a business stranger are considered. It is only by considering these silences and the private letters of the networks that we can gauge any understanding of how cultural strangers were viewed by the network members. </w:t>
      </w:r>
    </w:p>
    <w:p w14:paraId="2C1991A1" w14:textId="3DAC5736" w:rsidR="00AC4E9B" w:rsidRDefault="00AC4E9B" w:rsidP="00AC4E9B">
      <w:r>
        <w:t xml:space="preserve"> As the perceived distance from the known and those who share a sense of identity and community widened, so did the feeling of 'fear of the stranger.' The farther a person was seen from the known, the less mutual understanding and comprehension existed, thus intensifying the fear of the stranger. Drawing from Pond's reference to Reverend J. S. Brewer, we can understand that strangers can exist in various ways.</w:t>
      </w:r>
      <w:r w:rsidR="00876511">
        <w:rPr>
          <w:rStyle w:val="FootnoteReference"/>
        </w:rPr>
        <w:footnoteReference w:id="664"/>
      </w:r>
      <w:r>
        <w:t xml:space="preserve"> Brewer remarked, 'The more fortunate classes have no hold or influence over the poor; both are entirely strangers to each other, and the dislocation between them is complete.'</w:t>
      </w:r>
      <w:r w:rsidR="001C7DCE">
        <w:rPr>
          <w:rStyle w:val="FootnoteReference"/>
        </w:rPr>
        <w:footnoteReference w:id="665"/>
      </w:r>
      <w:r>
        <w:t xml:space="preserve">  While Brewer's observation pertains to class relations within society, it underscores the central idea that distinctions between groups residing within the same society can extend to other forms of differences. This leads to the question: If such divisions can occur within a single national society, what happens when individuals migrate across nations, encountering others whose differences seem to eclipse shared similarities? In such scenarios, the sense of fearing 'the stranger' may erode commonality, leading to diminished mutual comprehension and understanding among individuals.</w:t>
      </w:r>
    </w:p>
    <w:p w14:paraId="1F82A434" w14:textId="77777777" w:rsidR="00AC4E9B" w:rsidRPr="00637DAA" w:rsidRDefault="00AC4E9B" w:rsidP="00AC4E9B">
      <w:pPr>
        <w:rPr>
          <w:b/>
          <w:bCs/>
        </w:rPr>
      </w:pPr>
      <w:r w:rsidRPr="00637DAA">
        <w:rPr>
          <w:b/>
          <w:bCs/>
        </w:rPr>
        <w:t>A Stranger Must Be Known</w:t>
      </w:r>
    </w:p>
    <w:p w14:paraId="0CF24344" w14:textId="1B89E5C1" w:rsidR="00AC4E9B" w:rsidRDefault="00AC4E9B" w:rsidP="00AC4E9B">
      <w:r>
        <w:t>The work of Kristen Pond has focused on conceptualising a stranger as an epistemological framework that manoeuvres various ways of knowing.</w:t>
      </w:r>
      <w:r w:rsidR="00535ADD">
        <w:rPr>
          <w:rStyle w:val="FootnoteReference"/>
        </w:rPr>
        <w:footnoteReference w:id="666"/>
      </w:r>
      <w:r w:rsidR="00876511">
        <w:t xml:space="preserve"> </w:t>
      </w:r>
      <w:r>
        <w:t xml:space="preserve">Rather than relying on objectivity and certainty, the stranger uses instability to challenge static categories. This more theoretical understanding of what foundational thinking could have been at play when the network actors encountered strangers allows historians to gain insights into how the risks of strangers were crucial to business and, indeed, social decisions made during this timeframe. However, it can do much more than this; it can show us some of the fundamental ideas that formed around the idea of a stranger. While Pond’s research sits just beyond the end of this research period, it suggests fundamental changes occurred during the Industrial Revolution that changed how society within Britain was structured. With increased urbanisation and industrialisation came the need to encounter more and more strangers. I would argue that encountering strangers had already begun for the networks of merchants and manufacturers in the cotton trade in the early industrialising world. Their encounters through their interactions with various global networks and systems meant their encounters with strangers became increasingly unavoidable, and the strangers became increasingly distant. Unlike the strangers in Pond’s work, who were divided within a nation based on class differences, many strangers who troubled the cotton manufacturers were unsafe business partners and these could be local or global connections.  </w:t>
      </w:r>
    </w:p>
    <w:p w14:paraId="5CC1902C" w14:textId="0769DD17" w:rsidR="00AC4E9B" w:rsidRDefault="00AC4E9B" w:rsidP="00AC4E9B">
      <w:r>
        <w:t xml:space="preserve">When read as a collective, the letters between both firms and their correspondence show a preoccupation with safety, risk mitigation, and staying within the boundaries of collective network </w:t>
      </w:r>
      <w:r>
        <w:lastRenderedPageBreak/>
        <w:t>membership and adherence to norms. Although some might be ‘entire strangers’ to another firm, business strangers were still know</w:t>
      </w:r>
      <w:r w:rsidR="004715A3">
        <w:t>able</w:t>
      </w:r>
      <w:r>
        <w:t xml:space="preserve"> because they </w:t>
      </w:r>
      <w:r w:rsidR="008A5398">
        <w:t xml:space="preserve">shared attributes and characteristics as well as occupations. They </w:t>
      </w:r>
      <w:r>
        <w:t>were merchants, manufacturers, and potential business clients. What was known about them was a sense of their status and occupations; the unknown element was the level of risk they posed without an existing recommendation. This group might remain outside the inner network but could exist in a different section of the wider web of networks that traded in the commercial world of the time. While the stranger might be unknown, there is still a point of reference where the person can be understood. These networks were instrumental in facilitating access to material and financial resources, relying on the pillars of trust, social capital, and reputation. They were strategically deployed as risk reduction measures, further reinforced by evolving social norms and codes of conduct that gained increasing significance in the business world.</w:t>
      </w:r>
    </w:p>
    <w:p w14:paraId="016EB4C2" w14:textId="77777777" w:rsidR="00AC4E9B" w:rsidRPr="00A75D8E" w:rsidRDefault="00AC4E9B" w:rsidP="00A75D8E">
      <w:pPr>
        <w:pStyle w:val="Heading2"/>
        <w:rPr>
          <w:rFonts w:asciiTheme="minorHAnsi" w:hAnsiTheme="minorHAnsi" w:cstheme="minorHAnsi"/>
          <w:b/>
          <w:bCs/>
          <w:color w:val="auto"/>
          <w:sz w:val="24"/>
          <w:szCs w:val="24"/>
        </w:rPr>
      </w:pPr>
      <w:bookmarkStart w:id="209" w:name="_Toc170825704"/>
      <w:r w:rsidRPr="00A75D8E">
        <w:rPr>
          <w:rFonts w:asciiTheme="minorHAnsi" w:hAnsiTheme="minorHAnsi" w:cstheme="minorHAnsi"/>
          <w:b/>
          <w:bCs/>
          <w:color w:val="auto"/>
          <w:sz w:val="24"/>
          <w:szCs w:val="24"/>
        </w:rPr>
        <w:t>Managing the Unknown</w:t>
      </w:r>
      <w:bookmarkEnd w:id="209"/>
    </w:p>
    <w:p w14:paraId="50FE633F" w14:textId="6B651882" w:rsidR="00AC4E9B" w:rsidRDefault="00AC4E9B" w:rsidP="00AC4E9B">
      <w:r>
        <w:t>New business connections were opened with strangers whose status was based on never conducting a business transaction together. They could also be strangers, as the network actors may have never met one another. These connections were often attempted with people and firms recommended by an existing friend or business transaction partner. This led to a general trend of business network connectivity adhering to the norm of maintaining only one removal step between new connections. This practice facilitated transforming these connections into business transactions and potential relationships. Potential clients consistently emphasised the significance of having a mutual connection that could provide reassurances regarding the safety and stability of potential trading partners. For example, in September 1808, Mr. Francis Johnson of Belfast referred McConnel &amp; Kennedy to their mutual connection, Richard D. Salisbury of Preston, to gather information about Johnson’s character, circumstances, and reliability.</w:t>
      </w:r>
      <w:r w:rsidR="003320BB">
        <w:rPr>
          <w:rStyle w:val="FootnoteReference"/>
        </w:rPr>
        <w:footnoteReference w:id="667"/>
      </w:r>
      <w:r>
        <w:t xml:space="preserve">  In response, McConnel &amp; Kennedy sent a letter to Richard Salisbury, indicating that they required greater assurances before committing to a business transaction with someone they considered ‘entirely a stranger to us.’</w:t>
      </w:r>
      <w:r w:rsidR="003320BB">
        <w:rPr>
          <w:rStyle w:val="FootnoteReference"/>
        </w:rPr>
        <w:footnoteReference w:id="668"/>
      </w:r>
      <w:r>
        <w:t xml:space="preserve"> This prevalent approach of maintaining just one step of removal within the wider chain of connectivity in the cotton trade and its constituent industries enabled firms to mitigate the risks associated with trusting strangers with crucial business transactions, directly impacting the firm's economic stability and reputation.</w:t>
      </w:r>
    </w:p>
    <w:p w14:paraId="07E33DC2" w14:textId="18FD7491" w:rsidR="00AC4E9B" w:rsidRDefault="00AC4E9B" w:rsidP="00AC4E9B">
      <w:r>
        <w:t>However, the trend of maintaining one step of removal that relied on the reference and recommendation system posed significant challenges for potential clients who lacked a mutual connection within the existing business network of the firms. As a result, outsiders and newcomers to the trade found it difficult to establish business relationships with other trading partners within the network. This created a closed network system in the cotton trade. Even when a mutual connection did exist, an unwillingness to vouch for a potential client or extend credit to match their order aspirations created further obstacles. Both McConnel &amp; Kennedy and the Evans family rejected potential clients as business transaction partners if they lacked a suitable mutual connection and reference, particularly if the connection was from outside Britain. For example, the Evans family declined a request from the Portuguese trading house, Messrs. Beardsley &amp; Webb of Oporto, to form a trading connection due to their failure to obtain a mutual connection that could vouch for their safe reputation.</w:t>
      </w:r>
      <w:r w:rsidR="00C23282">
        <w:rPr>
          <w:rStyle w:val="FootnoteReference"/>
        </w:rPr>
        <w:footnoteReference w:id="669"/>
      </w:r>
      <w:r>
        <w:t xml:space="preserve"> On the other hand, Messrs. Evans Offley &amp; Sealy of Lisbon successfully secured a connection by receiving a positive reference from Messrs. </w:t>
      </w:r>
      <w:proofErr w:type="spellStart"/>
      <w:r>
        <w:t>Bolders</w:t>
      </w:r>
      <w:proofErr w:type="spellEnd"/>
      <w:r>
        <w:t xml:space="preserve">, Adey, </w:t>
      </w:r>
      <w:proofErr w:type="spellStart"/>
      <w:r>
        <w:t>Lushington</w:t>
      </w:r>
      <w:proofErr w:type="spellEnd"/>
      <w:r>
        <w:t xml:space="preserve"> &amp; </w:t>
      </w:r>
      <w:proofErr w:type="spellStart"/>
      <w:r>
        <w:t>Bolders</w:t>
      </w:r>
      <w:proofErr w:type="spellEnd"/>
      <w:r>
        <w:t xml:space="preserve">, </w:t>
      </w:r>
      <w:r>
        <w:lastRenderedPageBreak/>
        <w:t>bankers of London, who were a mutual connection between them and the Evans family.</w:t>
      </w:r>
      <w:r w:rsidR="00C23282">
        <w:rPr>
          <w:rStyle w:val="FootnoteReference"/>
        </w:rPr>
        <w:footnoteReference w:id="670"/>
      </w:r>
      <w:r>
        <w:t xml:space="preserve"> The Evans family imported 261 bags of Brazilian cotton, totalling £5367. 13. 8¼, through Evans, Offley &amp; Sealey of Lisbon between 1798 and 1802.</w:t>
      </w:r>
      <w:r w:rsidR="00C23282">
        <w:rPr>
          <w:rStyle w:val="FootnoteReference"/>
        </w:rPr>
        <w:footnoteReference w:id="671"/>
      </w:r>
      <w:r>
        <w:t xml:space="preserve"> It was not that the Evans family regarded Messrs. Beardsley &amp; Webb as untrustworthy but rather that they did not know the level of trustworthiness and, therefore, could not adequately judge the level of risk involved. </w:t>
      </w:r>
    </w:p>
    <w:p w14:paraId="256BD42D" w14:textId="14CF7E82" w:rsidR="00AC4E9B" w:rsidRDefault="00AC4E9B" w:rsidP="00AC4E9B">
      <w:r>
        <w:t>An example of their cautious approach shows McConnel &amp; Kennedy declining a potential business relationship between themselves and Philippe Boise of Vienna, who placed an order with them worth £400.</w:t>
      </w:r>
      <w:r w:rsidR="00BA6ED3">
        <w:rPr>
          <w:rStyle w:val="FootnoteReference"/>
        </w:rPr>
        <w:footnoteReference w:id="672"/>
      </w:r>
      <w:r>
        <w:t xml:space="preserve"> Boise's initial correspondence indicated the intended payment method of a banker's draft would have been drawn upon the credit of their mutual connection, Edward Simeon, esquire of London.</w:t>
      </w:r>
      <w:r w:rsidR="003320BB">
        <w:rPr>
          <w:rStyle w:val="FootnoteReference"/>
        </w:rPr>
        <w:footnoteReference w:id="673"/>
      </w:r>
      <w:r>
        <w:t xml:space="preserve"> In February 1799, McConnel &amp; Kennedy wrote to Edward Simeon, seeking reassurance about the safety of executing Boise's order and whether Simeon would honour Boise's proposed obligations.</w:t>
      </w:r>
      <w:r w:rsidR="00BA6ED3">
        <w:rPr>
          <w:rStyle w:val="FootnoteReference"/>
        </w:rPr>
        <w:footnoteReference w:id="674"/>
      </w:r>
      <w:r>
        <w:t xml:space="preserve"> However, by March 1799, McConnel &amp; Kennedy decided not to proceed with the order. In a letter to Boise on March 7th, they stated: ‘As you were an entire stranger to us, we wrote to Edward Simeon, esquire, requesting him to inform us if he would accept our draft upon him for the amount of your order, which he declines.’</w:t>
      </w:r>
      <w:r w:rsidR="00BA6ED3">
        <w:rPr>
          <w:rStyle w:val="FootnoteReference"/>
        </w:rPr>
        <w:footnoteReference w:id="675"/>
      </w:r>
      <w:r>
        <w:t xml:space="preserve"> Edward Simeon's refusal to honour Boise's account led McConnel &amp; Kennedy to believe that Simeon did not vouch for Boise's likelihood of fulfilling his expectations and obligations, indicating that Simeon did not feel comfortable assuming the financial responsibility. This led McConnel &amp; Kennedy to decline the order from Boise, and they did not proceed in opening a business connection with him. </w:t>
      </w:r>
    </w:p>
    <w:p w14:paraId="005A8CDC" w14:textId="08BF855D" w:rsidR="00AC4E9B" w:rsidRDefault="00AC4E9B" w:rsidP="00AC4E9B">
      <w:r>
        <w:t xml:space="preserve">Other examples of McConnel &amp; Kennedy's cautious approach can be observed in their dealings with many strangers to them, particularly as they sought to expand their business beyond their Lancashire and Scottish markets. Their moves into the London market show an ever-increasing amount of contact with strangers. On the 7th of July 1807, they wrote to Messrs. </w:t>
      </w:r>
      <w:proofErr w:type="spellStart"/>
      <w:r>
        <w:t>Schmidtmeyer</w:t>
      </w:r>
      <w:proofErr w:type="spellEnd"/>
      <w:r>
        <w:t xml:space="preserve"> &amp; Co. of London explaining the terms on which they were willing to open a connection with them and risk a final sum of £1698 with strangers.</w:t>
      </w:r>
      <w:r w:rsidR="00BA3E59">
        <w:rPr>
          <w:rStyle w:val="FootnoteReference"/>
        </w:rPr>
        <w:footnoteReference w:id="676"/>
      </w:r>
      <w:r w:rsidR="00BA3E59">
        <w:t xml:space="preserve"> </w:t>
      </w:r>
      <w:r>
        <w:t xml:space="preserve">Their conditions required their trusted mutual connection, Messrs. John </w:t>
      </w:r>
      <w:proofErr w:type="spellStart"/>
      <w:r>
        <w:t>Fazy</w:t>
      </w:r>
      <w:proofErr w:type="spellEnd"/>
      <w:r>
        <w:t xml:space="preserve"> and Co. of London, to act as security on behalf of </w:t>
      </w:r>
      <w:proofErr w:type="spellStart"/>
      <w:r>
        <w:t>Schmidtmeyer</w:t>
      </w:r>
      <w:proofErr w:type="spellEnd"/>
      <w:r>
        <w:t xml:space="preserve"> for an initial sum of £200 and then deliver the yarn to the firm only after receiving full payment.</w:t>
      </w:r>
      <w:r w:rsidR="002F6832">
        <w:rPr>
          <w:rStyle w:val="FootnoteReference"/>
        </w:rPr>
        <w:footnoteReference w:id="677"/>
      </w:r>
      <w:r>
        <w:t xml:space="preserve"> McConnel &amp; Kennedy relied on the trust they had built with John </w:t>
      </w:r>
      <w:proofErr w:type="spellStart"/>
      <w:r>
        <w:t>Fazy</w:t>
      </w:r>
      <w:proofErr w:type="spellEnd"/>
      <w:r>
        <w:t xml:space="preserve"> to expand their business network to include a house they considered strangers. </w:t>
      </w:r>
      <w:r w:rsidR="002F6832">
        <w:t xml:space="preserve">McConnel &amp; Kennedy wrote the following lines in their letter. </w:t>
      </w:r>
    </w:p>
    <w:p w14:paraId="54C8B9E7" w14:textId="37A159CE" w:rsidR="00AC4E9B" w:rsidRDefault="002F6832" w:rsidP="00AC4E9B">
      <w:pPr>
        <w:ind w:left="720"/>
      </w:pPr>
      <w:r>
        <w:t>As</w:t>
      </w:r>
      <w:r w:rsidR="00AC4E9B">
        <w:t xml:space="preserve"> you are entire strangers to us Messrs. J. </w:t>
      </w:r>
      <w:proofErr w:type="spellStart"/>
      <w:r w:rsidR="00AC4E9B">
        <w:t>Fazy</w:t>
      </w:r>
      <w:proofErr w:type="spellEnd"/>
      <w:r w:rsidR="00AC4E9B">
        <w:t xml:space="preserve"> &amp; Co. have agreed to pay two hundred pounds in part as security.</w:t>
      </w:r>
      <w:r w:rsidR="00AC4E9B">
        <w:rPr>
          <w:rStyle w:val="FootnoteReference"/>
        </w:rPr>
        <w:footnoteReference w:id="678"/>
      </w:r>
      <w:r w:rsidR="00AC4E9B">
        <w:t xml:space="preserve">   </w:t>
      </w:r>
    </w:p>
    <w:p w14:paraId="50F29821" w14:textId="3770F9EB" w:rsidR="00AC4E9B" w:rsidRDefault="00AC4E9B" w:rsidP="00AC4E9B">
      <w:r>
        <w:t xml:space="preserve">In September 1814, McConnel &amp; Kennedy wrote to their connection Sheldon, Cass &amp; Co. of London and thanked them for introducing Mr. Francis </w:t>
      </w:r>
      <w:proofErr w:type="spellStart"/>
      <w:r>
        <w:t>Vanakan</w:t>
      </w:r>
      <w:proofErr w:type="spellEnd"/>
      <w:r>
        <w:t xml:space="preserve"> of London to them, who proceeded to order cotton twist to the value of £3000 with them.</w:t>
      </w:r>
      <w:r w:rsidR="00215DF1">
        <w:rPr>
          <w:rStyle w:val="FootnoteReference"/>
        </w:rPr>
        <w:footnoteReference w:id="679"/>
      </w:r>
      <w:r w:rsidR="00215DF1">
        <w:t xml:space="preserve"> </w:t>
      </w:r>
      <w:r>
        <w:t xml:space="preserve">The letter details that Mr. </w:t>
      </w:r>
      <w:proofErr w:type="spellStart"/>
      <w:r>
        <w:t>Vanakan</w:t>
      </w:r>
      <w:proofErr w:type="spellEnd"/>
      <w:r>
        <w:t xml:space="preserve"> proposed Mr. Gever Leven as security for their transaction. However, they were concerned that as both the </w:t>
      </w:r>
      <w:r>
        <w:lastRenderedPageBreak/>
        <w:t xml:space="preserve">gentlemen were strangers to them, they sought assurances of their safety with such a sum of money. Later correspondence shows they did conduct this business agreement without incident as Sheldon, Cass &amp; Co. gave them the desired reassurances, and Mr. </w:t>
      </w:r>
      <w:proofErr w:type="spellStart"/>
      <w:r>
        <w:t>Vanakan</w:t>
      </w:r>
      <w:proofErr w:type="spellEnd"/>
      <w:r>
        <w:t xml:space="preserve"> fulfilled the expectations and obligations placed upon him. The two firms approached unknown risks and strangers with caution. Both firms were willing to reject potential opportunities based on the connection being a stranger and the level of risk being unknown to them. There was no implication of the firms being untrustworthy, and the rejection was based upon the lack of evidence of a house’s trustworthiness and good reputation.  </w:t>
      </w:r>
    </w:p>
    <w:p w14:paraId="692210C4" w14:textId="27567571" w:rsidR="00AC4E9B" w:rsidRDefault="00AC4E9B" w:rsidP="00AC4E9B">
      <w:r>
        <w:t xml:space="preserve">An interesting example of the Evans family connecting with strangers became apparent in their correspondence books. Although it is regarding their paper mill rather than their cotton mill, it sheds light on the complexities of connecting with strangers in a business capacity. The Evans family’s </w:t>
      </w:r>
      <w:r w:rsidR="00011957">
        <w:t>P</w:t>
      </w:r>
      <w:r>
        <w:t xml:space="preserve">aper </w:t>
      </w:r>
      <w:r w:rsidR="00011957">
        <w:t>M</w:t>
      </w:r>
      <w:r>
        <w:t>ill burnt down in 1791, and they were tasked with rebuilding it.</w:t>
      </w:r>
      <w:r w:rsidR="00BC0AC5">
        <w:rPr>
          <w:rStyle w:val="FootnoteReference"/>
        </w:rPr>
        <w:footnoteReference w:id="680"/>
      </w:r>
      <w:r>
        <w:t xml:space="preserve"> They penned a letter to Richard Johnson, a millwright of Maidstone in Kent, hoping to engage his services to redesign and help them rebuild it.</w:t>
      </w:r>
      <w:r w:rsidR="00011957">
        <w:rPr>
          <w:rStyle w:val="FootnoteReference"/>
        </w:rPr>
        <w:footnoteReference w:id="681"/>
      </w:r>
      <w:r>
        <w:t xml:space="preserve">  This letter, dated the 26th of November 1791, clearly shows that the Evans family is unknown to Richard Johnson and vice versa.</w:t>
      </w:r>
      <w:r w:rsidR="00A8028D">
        <w:rPr>
          <w:rStyle w:val="FootnoteReference"/>
        </w:rPr>
        <w:footnoteReference w:id="682"/>
      </w:r>
      <w:r>
        <w:t xml:space="preserve"> The Evans family offered Messrs. Wright, Gill &amp; Co. as mutual connections to vouch for their character.</w:t>
      </w:r>
      <w:r w:rsidR="00A8028D">
        <w:rPr>
          <w:rStyle w:val="FootnoteReference"/>
        </w:rPr>
        <w:footnoteReference w:id="683"/>
      </w:r>
      <w:r>
        <w:t xml:space="preserve"> Apart from the trust and reputation implications of this arrangement, what is clear is that neither the Evans family nor Richard Johnson had had previous contact. Usually, this would have resulted in caution from the Evans family and, in many situations, would have resulted in a slow buildup of trust before risking financial loss. However, a follow-up letter sent on the 10th of December indicates that the Evans family had already sent Johnson five guineas in expenses and were prepared to send a further ten to secure the plans for the new mill.</w:t>
      </w:r>
      <w:r w:rsidR="00A8028D">
        <w:rPr>
          <w:rStyle w:val="FootnoteReference"/>
        </w:rPr>
        <w:footnoteReference w:id="684"/>
      </w:r>
      <w:r>
        <w:t xml:space="preserve"> The business strangers on this occasion were prepared to risk losing this money. They even offered Richard Johnson the accommodation of staying as a guest in their family home.</w:t>
      </w:r>
      <w:r w:rsidR="00A8028D">
        <w:rPr>
          <w:rStyle w:val="FootnoteReference"/>
        </w:rPr>
        <w:footnoteReference w:id="685"/>
      </w:r>
      <w:r>
        <w:t xml:space="preserve"> This shift in their usual approach to strangers stemmed from two main factors: their need to rebuild the paper mill was paramount to their thinking, and the recommendation offered by a trusted mutual connection within their business networks enabled this stranger to be knowable.   </w:t>
      </w:r>
    </w:p>
    <w:p w14:paraId="61BCC1E5" w14:textId="4799DF93" w:rsidR="00AC4E9B" w:rsidRDefault="00AC4E9B" w:rsidP="00A75D8E">
      <w:pPr>
        <w:pStyle w:val="Heading2"/>
        <w:rPr>
          <w:rFonts w:asciiTheme="minorHAnsi" w:hAnsiTheme="minorHAnsi" w:cstheme="minorHAnsi"/>
          <w:b/>
          <w:bCs/>
          <w:color w:val="auto"/>
          <w:sz w:val="24"/>
          <w:szCs w:val="24"/>
        </w:rPr>
      </w:pPr>
      <w:bookmarkStart w:id="214" w:name="_Toc170825705"/>
      <w:r w:rsidRPr="00A75D8E">
        <w:rPr>
          <w:rFonts w:asciiTheme="minorHAnsi" w:hAnsiTheme="minorHAnsi" w:cstheme="minorHAnsi"/>
          <w:b/>
          <w:bCs/>
          <w:color w:val="auto"/>
          <w:sz w:val="24"/>
          <w:szCs w:val="24"/>
        </w:rPr>
        <w:t>The Global Networks and the Unknowable Stranger</w:t>
      </w:r>
      <w:bookmarkEnd w:id="214"/>
    </w:p>
    <w:p w14:paraId="4E06083E" w14:textId="3D991DC4" w:rsidR="004476E8" w:rsidRPr="004476E8" w:rsidRDefault="004476E8" w:rsidP="004476E8">
      <w:pPr>
        <w:rPr>
          <w:i/>
          <w:iCs/>
        </w:rPr>
      </w:pPr>
      <w:r w:rsidRPr="004476E8">
        <w:rPr>
          <w:i/>
          <w:iCs/>
        </w:rPr>
        <w:t xml:space="preserve">Cultural Strangers </w:t>
      </w:r>
    </w:p>
    <w:p w14:paraId="216764E1" w14:textId="5812A567" w:rsidR="00AC4E9B" w:rsidRDefault="00AC4E9B" w:rsidP="00AC4E9B">
      <w:r>
        <w:t xml:space="preserve">As the local, regional and national business networks connected into the global supply chain networks the probability of encountering cultural strangers also increased. Francesca </w:t>
      </w:r>
      <w:proofErr w:type="spellStart"/>
      <w:r>
        <w:t>Trivellato</w:t>
      </w:r>
      <w:proofErr w:type="spellEnd"/>
      <w:r>
        <w:t xml:space="preserve"> studied cross-cultural trade between Sephardic Jews and non-Jews in the Early Modern Mediterranean world.</w:t>
      </w:r>
      <w:r w:rsidR="00A8028D">
        <w:rPr>
          <w:rStyle w:val="FootnoteReference"/>
        </w:rPr>
        <w:footnoteReference w:id="686"/>
      </w:r>
      <w:r>
        <w:t xml:space="preserve"> This research introduces the concept of 'stranger' within the framework of understanding religious and cultural similarities and differences. </w:t>
      </w:r>
      <w:proofErr w:type="spellStart"/>
      <w:r>
        <w:t>Trivellato's</w:t>
      </w:r>
      <w:proofErr w:type="spellEnd"/>
      <w:r>
        <w:t xml:space="preserve"> study reveals that trading partners were able to bridge cultural and religious divides successfully.</w:t>
      </w:r>
      <w:r w:rsidR="00DF3D8C">
        <w:rPr>
          <w:rStyle w:val="FootnoteReference"/>
        </w:rPr>
        <w:footnoteReference w:id="687"/>
      </w:r>
      <w:r>
        <w:t xml:space="preserve"> However, the documents from the cotton mills do not provide evidence of such cross-cultural trade being prevalent in these networks. Instead, in the case of the industrialising cotton trade networks, the evidence aligns more </w:t>
      </w:r>
      <w:r>
        <w:lastRenderedPageBreak/>
        <w:t>with the findings of Gre</w:t>
      </w:r>
      <w:r w:rsidR="00DE5EE2">
        <w:t>i</w:t>
      </w:r>
      <w:r>
        <w:t>f, suggesting that cultural and belief systems can be inferred from economic norms and practices.</w:t>
      </w:r>
      <w:r w:rsidR="003D1BF2">
        <w:rPr>
          <w:rStyle w:val="FootnoteReference"/>
        </w:rPr>
        <w:footnoteReference w:id="688"/>
      </w:r>
      <w:r>
        <w:t xml:space="preserve"> These trade networks aimed for a homogeneous trading environment; even if societal homogeneity was not a reality, their networks reflected a skewed lean in this direction. This homogeneity primarily stemmed from trust considerations being predicated on shared identities and attributes and the fear of potential loss or bankruptcy rather than a pursuit of profit. These networks align more with Defoe's notions of previous experience and individual credibility, although not necessarily driven entirely by profit.</w:t>
      </w:r>
      <w:r w:rsidR="00953E7A">
        <w:rPr>
          <w:rStyle w:val="FootnoteReference"/>
        </w:rPr>
        <w:footnoteReference w:id="689"/>
      </w:r>
      <w:r>
        <w:t xml:space="preserve"> </w:t>
      </w:r>
    </w:p>
    <w:p w14:paraId="3EFB6B66" w14:textId="5ECB4CFD" w:rsidR="002B5742" w:rsidRDefault="00AC4E9B" w:rsidP="002B5742">
      <w:r>
        <w:t xml:space="preserve">Trust and reputations of the inner cores of the networks ceased to be effective beyond the known. </w:t>
      </w:r>
      <w:r w:rsidR="00DE5EE2">
        <w:t>The system operated with internal and external parameters best envisaged as a</w:t>
      </w:r>
      <w:r w:rsidR="00042E74">
        <w:t xml:space="preserve"> continuum</w:t>
      </w:r>
      <w:r w:rsidR="00DE5EE2">
        <w:t xml:space="preserve"> moving away from a centre point of </w:t>
      </w:r>
      <w:r w:rsidR="00042E74">
        <w:t>inc</w:t>
      </w:r>
      <w:r w:rsidR="00DE5EE2">
        <w:t>lusion. The further away from that point</w:t>
      </w:r>
      <w:r w:rsidR="00042E74">
        <w:t>,</w:t>
      </w:r>
      <w:r w:rsidR="00DE5EE2">
        <w:t xml:space="preserve"> with</w:t>
      </w:r>
      <w:r w:rsidR="00042E74">
        <w:t>out</w:t>
      </w:r>
      <w:r w:rsidR="00DE5EE2">
        <w:t xml:space="preserve"> a significant connecting thread</w:t>
      </w:r>
      <w:r w:rsidR="00042E74">
        <w:t xml:space="preserve"> such as a kinship connection</w:t>
      </w:r>
      <w:r w:rsidR="00DE5EE2">
        <w:t>, the less relevant the concepts were.</w:t>
      </w:r>
      <w:r w:rsidR="00042E74">
        <w:t xml:space="preserve"> Many of the network actors therefore became external to the trust and reputation system and faced exclusion from the inner networks. However, they were still a vital part of the networks</w:t>
      </w:r>
      <w:r w:rsidR="00DE5EE2">
        <w:t xml:space="preserve"> </w:t>
      </w:r>
      <w:r w:rsidR="00A8028D">
        <w:t>d</w:t>
      </w:r>
      <w:r w:rsidR="00042E74">
        <w:t>espite their exclusion</w:t>
      </w:r>
      <w:r w:rsidR="00A8028D">
        <w:t xml:space="preserve"> as</w:t>
      </w:r>
      <w:r w:rsidR="00042E74">
        <w:t xml:space="preserve"> these individuals played a crucial role in the production process.</w:t>
      </w:r>
      <w:r w:rsidR="002B5742" w:rsidRPr="002B5742">
        <w:t xml:space="preserve"> </w:t>
      </w:r>
      <w:r w:rsidR="002B5742">
        <w:t>As the previous chapter has shown, each firm was supplied raw cotton cultivated by enslaved people. However, firms in Britain adopted a complex and sometimes ambivalent stance toward</w:t>
      </w:r>
      <w:r w:rsidR="00A8028D">
        <w:t>s</w:t>
      </w:r>
      <w:r w:rsidR="002B5742">
        <w:t xml:space="preserve"> using enslaved individuals to produce their raw materials. While the Evans family actively campaigned to end slavery within Britain’s colonies, the McConnel and Kennedy families were somewhat silent. By continuing to operate within the existing system the Evans family sought to become agents for political change within the system. However, the McConnel and Kennedy families did not. Perhaps their connectivity via marriages to families that owned enslaved people factored into their political stance of silence and perhaps the use of middlemen and agents allowed the Manchester manufacturers the distance to separate their inner morality with the conditions on the plantations. T</w:t>
      </w:r>
      <w:r>
        <w:t>he plight of th</w:t>
      </w:r>
      <w:r w:rsidR="00DE5EE2">
        <w:t>e enslaved people</w:t>
      </w:r>
      <w:r>
        <w:t xml:space="preserve"> operating at the other end of the networks was</w:t>
      </w:r>
      <w:r w:rsidR="00994881">
        <w:t xml:space="preserve"> only just</w:t>
      </w:r>
      <w:r>
        <w:t xml:space="preserve"> </w:t>
      </w:r>
      <w:r w:rsidR="00DE5EE2">
        <w:t xml:space="preserve">beginning to be </w:t>
      </w:r>
      <w:r>
        <w:t>considered</w:t>
      </w:r>
      <w:r w:rsidR="00994881">
        <w:t xml:space="preserve"> by the manufacturers,</w:t>
      </w:r>
      <w:r>
        <w:t xml:space="preserve"> </w:t>
      </w:r>
      <w:r w:rsidR="00DE5EE2">
        <w:t>though it was</w:t>
      </w:r>
      <w:r>
        <w:t xml:space="preserve"> understood</w:t>
      </w:r>
      <w:r w:rsidR="00DE5EE2">
        <w:t xml:space="preserve"> through the lens of Evangelical Christianity. It was certainly considered by Elizabeth Evans (n</w:t>
      </w:r>
      <w:r w:rsidR="00DE5EE2">
        <w:rPr>
          <w:rFonts w:cstheme="minorHAnsi"/>
        </w:rPr>
        <w:t>é</w:t>
      </w:r>
      <w:r w:rsidR="00DE5EE2">
        <w:t>e Strutt) in her letter to Joseph Strutt</w:t>
      </w:r>
      <w:r w:rsidR="00994881">
        <w:t xml:space="preserve"> – where we have seen her desire to see the tyrants and slaves of the earth will be converted into one great alliance of friendship and of brotherhood.</w:t>
      </w:r>
      <w:r w:rsidR="00994881">
        <w:rPr>
          <w:rStyle w:val="FootnoteReference"/>
        </w:rPr>
        <w:footnoteReference w:id="690"/>
      </w:r>
      <w:r w:rsidR="00042E74">
        <w:t xml:space="preserve"> There is little evidence that members of the Evans-Strutt kinship group held racially motivated</w:t>
      </w:r>
      <w:r w:rsidR="002B5742">
        <w:t xml:space="preserve"> negative</w:t>
      </w:r>
      <w:r w:rsidR="00042E74">
        <w:t xml:space="preserve"> views about the</w:t>
      </w:r>
      <w:r w:rsidR="002B5742">
        <w:t xml:space="preserve"> enslaved people – as it would seem strange to think Elizabeth would desire a friendship and brotherhood with people she deemed inferior</w:t>
      </w:r>
      <w:r w:rsidR="0002598E">
        <w:t xml:space="preserve"> and any parameters</w:t>
      </w:r>
      <w:r w:rsidR="002B5742">
        <w:t>. Th</w:t>
      </w:r>
      <w:r w:rsidR="0002598E">
        <w:t>is</w:t>
      </w:r>
      <w:r w:rsidR="002B5742">
        <w:t xml:space="preserve"> might </w:t>
      </w:r>
      <w:r w:rsidR="0002598E">
        <w:t>not be</w:t>
      </w:r>
      <w:r w:rsidR="002B5742">
        <w:t xml:space="preserve"> the case for all network members, however</w:t>
      </w:r>
      <w:r w:rsidR="0002598E">
        <w:t>,</w:t>
      </w:r>
      <w:r w:rsidR="002B5742">
        <w:t xml:space="preserve"> t</w:t>
      </w:r>
      <w:r w:rsidR="00994881">
        <w:t>he work of this group of abolitionists was built upon by Elizabeth’s son William Evans MP in his political career and this kinship group did campaign for the abolition of slavery</w:t>
      </w:r>
      <w:r w:rsidR="0002598E">
        <w:t xml:space="preserve">. </w:t>
      </w:r>
      <w:r w:rsidR="00994881">
        <w:t xml:space="preserve"> </w:t>
      </w:r>
    </w:p>
    <w:p w14:paraId="30853A4B" w14:textId="77777777" w:rsidR="00AC4E9B" w:rsidRDefault="00AC4E9B" w:rsidP="00AC4E9B">
      <w:r>
        <w:t xml:space="preserve">However, it's important to note that this convergence of worlds revealed contradictions within the business community's internal system of honour, trustworthiness, and respectable reputations. Chapter Five delved into individuals' risks and challenges within these inner networks as they expanded beyond their inner circles. As the network members grappled with the expectations and obligations imposed by network ideals. These challenges intensified when the outer layer of the network involved connecting to a system built on slavery. This incongruity presented a dilemma for individuals who held religious beliefs, such as the Evangelical Anglican Evans family and dissenting Unitarian McConnel and Kennedy families, as their ideals often clashed with the actual conduct of network members. Despite this tension, these networks provided a platform for individuals to </w:t>
      </w:r>
      <w:r>
        <w:lastRenderedPageBreak/>
        <w:t xml:space="preserve">construct a respectable inner character founded on shared values and identities within trusting networks. Beyond the reach of the inner networks lay a chasm that some of the networks never aspired to breach while others campaigned for its breach. Beyond the would-be unconnected entrepreneur was a group of people not eligible to be connected. More than that, they were not afforded the legal status. </w:t>
      </w:r>
    </w:p>
    <w:p w14:paraId="22ECBF64" w14:textId="2601547A" w:rsidR="00982160" w:rsidRPr="00982160" w:rsidRDefault="00982160" w:rsidP="00AC4E9B">
      <w:pPr>
        <w:rPr>
          <w:i/>
          <w:iCs/>
        </w:rPr>
      </w:pPr>
      <w:r w:rsidRPr="00982160">
        <w:rPr>
          <w:i/>
          <w:iCs/>
        </w:rPr>
        <w:t>Geographical Distance</w:t>
      </w:r>
    </w:p>
    <w:p w14:paraId="447F0F83" w14:textId="2172BA91" w:rsidR="00A51414" w:rsidRDefault="00AC4E9B" w:rsidP="00A51414">
      <w:r>
        <w:t>The geographical distance between the cultivators and the manufacturers, coupled with the relational, cultural, economic, and legal differences, created a divided system in which some network actors could overlook the plight of the enslaved people at the beginning and sometimes even the consumer end of the production system. The manufacturer did not need to trust the enslaved cotton cultivator</w:t>
      </w:r>
      <w:r w:rsidR="00A51414">
        <w:t>. The enslaved people’s</w:t>
      </w:r>
      <w:r>
        <w:t xml:space="preserve"> reputation was not important to the industrialised manufacturing sector within Britain</w:t>
      </w:r>
      <w:r w:rsidR="00A51414">
        <w:t>, the responsibility for the plantations lay in the hands of the planters not the manufacturers</w:t>
      </w:r>
      <w:r>
        <w:t>.</w:t>
      </w:r>
      <w:r w:rsidR="004476E8">
        <w:t xml:space="preserve"> </w:t>
      </w:r>
      <w:r>
        <w:t>The trust levels between the planter and their enslaved labour force were predicated on the continuation of a power imbalance which Elizabeth Evans (née Strutt) alludes to in her letter to her brother Joseph.</w:t>
      </w:r>
      <w:r w:rsidR="00A51414">
        <w:rPr>
          <w:rStyle w:val="FootnoteReference"/>
        </w:rPr>
        <w:footnoteReference w:id="691"/>
      </w:r>
      <w:r>
        <w:t xml:space="preserve"> </w:t>
      </w:r>
    </w:p>
    <w:p w14:paraId="150D6D94" w14:textId="2707E233" w:rsidR="00A51414" w:rsidRPr="00A51414" w:rsidRDefault="00A51414" w:rsidP="00A51414">
      <w:pPr>
        <w:ind w:left="720"/>
        <w:rPr>
          <w:sz w:val="18"/>
          <w:szCs w:val="18"/>
        </w:rPr>
      </w:pPr>
      <w:r w:rsidRPr="00A51414">
        <w:rPr>
          <w:sz w:val="18"/>
          <w:szCs w:val="18"/>
        </w:rPr>
        <w:t>The time may be long in coming, but I indulge myself with the delightful hope that it will come, when the tyrants &amp; the slaves of the earth will be converted into one great alliance of friendship &amp; of brotherhood. You may have the pleasure of accelerating that blissful period – and would to God that you would set about it.</w:t>
      </w:r>
      <w:r w:rsidRPr="00A51414">
        <w:rPr>
          <w:rStyle w:val="FootnoteReference"/>
          <w:sz w:val="18"/>
          <w:szCs w:val="18"/>
        </w:rPr>
        <w:footnoteReference w:id="692"/>
      </w:r>
    </w:p>
    <w:p w14:paraId="021A2365" w14:textId="72707D57" w:rsidR="00AC4E9B" w:rsidRDefault="004476E8" w:rsidP="004476E8">
      <w:r>
        <w:t xml:space="preserve">This said, the Evans family and other abolitionists championed the cause of enslaved people out of a strong zeal of Christian duty and sense of morality instilled upon them in their homes, communities, schools and churches but not their businesses. </w:t>
      </w:r>
      <w:r w:rsidR="00AC4E9B">
        <w:t>Elizabeth</w:t>
      </w:r>
      <w:r>
        <w:t xml:space="preserve"> Evans</w:t>
      </w:r>
      <w:r w:rsidR="00AC4E9B">
        <w:t xml:space="preserve"> and many members of the Evans family kinship groups viewed the difference between the ‘tyrants and the slaves’ as circumstances to be overcome and </w:t>
      </w:r>
      <w:r w:rsidR="00A51414">
        <w:t xml:space="preserve">people of all circumstances </w:t>
      </w:r>
      <w:r w:rsidR="00AC4E9B">
        <w:t>should be converted into a great alliance of friendship and brotherhood</w:t>
      </w:r>
      <w:r>
        <w:t xml:space="preserve">. </w:t>
      </w:r>
      <w:r w:rsidR="00AC4E9B">
        <w:t xml:space="preserve">Others did not agree. </w:t>
      </w:r>
      <w:r>
        <w:t xml:space="preserve">Many industrialists, merchants, and entrepreneurs believed that joining the abolitionist movement would have a negative effect on their businesses. Many openly campaigned to retain the slave trade and slavery with Britain’s empire, however there is no evidence to suggest that either the McConnel or Kennedy families did so nor is there evidence that either case study owned enslaved people or plantations in Britain’s colonies. </w:t>
      </w:r>
    </w:p>
    <w:p w14:paraId="3FCC8C7E" w14:textId="1D516710" w:rsidR="00AC4E9B" w:rsidRDefault="004476E8" w:rsidP="00833B52">
      <w:r>
        <w:t xml:space="preserve">The McConnel &amp; Kennedy families however did marry into families that </w:t>
      </w:r>
      <w:r w:rsidR="00982160">
        <w:t xml:space="preserve">held colonial interests, owned slaves and the Heywood banking family, that Anne Kennedy married into and were a source of capital and credit for McConnel &amp; Kennedy, profited from the trade in enslaved people. Both case studies connected to a network of people, many of whom were embedded in the trade in enslaved people or who utilised the labour of enslaved people. As Chapter Six established some of the strangers to the firms were responsible for cultivating the raw materials that the mills required. The networks of people that formed around the globe as a result of what Beckert suggested was </w:t>
      </w:r>
      <w:r w:rsidR="00982160" w:rsidRPr="00982160">
        <w:rPr>
          <w:i/>
          <w:iCs/>
        </w:rPr>
        <w:t>war capitalism</w:t>
      </w:r>
      <w:r w:rsidR="00982160">
        <w:t xml:space="preserve"> - land appropriation, armed trade, enslavement of labour</w:t>
      </w:r>
      <w:r w:rsidR="00833B52">
        <w:t xml:space="preserve"> made it possible for these globally sourced resources to be available for purchase by the cotton mills.</w:t>
      </w:r>
      <w:r w:rsidR="00833B52">
        <w:rPr>
          <w:rStyle w:val="FootnoteReference"/>
        </w:rPr>
        <w:footnoteReference w:id="693"/>
      </w:r>
      <w:r w:rsidR="00833B52">
        <w:t xml:space="preserve"> </w:t>
      </w:r>
      <w:r w:rsidR="00AC4E9B">
        <w:t>However, it is essential to note that numerous members of the cotton trade networks chose to migrate in pursuit of resources from global markets. Th</w:t>
      </w:r>
      <w:r w:rsidR="0002598E">
        <w:t>is</w:t>
      </w:r>
      <w:r w:rsidR="00AC4E9B">
        <w:t xml:space="preserve"> fascinating expansion of networks built upon the foundations of trust, social capital, and reputation. These networks ventured into previously uncharted and unfamiliar marketplaces, inevitably leading to encounters with more strangers.</w:t>
      </w:r>
      <w:r w:rsidR="0002598E">
        <w:t xml:space="preserve"> </w:t>
      </w:r>
      <w:r w:rsidR="00AC4E9B">
        <w:t xml:space="preserve">The supply-chain networks, which played a pivotal role in the cotton manufacturing process, seamlessly connected </w:t>
      </w:r>
      <w:r w:rsidR="00AC4E9B">
        <w:lastRenderedPageBreak/>
        <w:t>British cotton mills to the broader global system of trade and commerce. In doing so, they evolved into an indispensable component of the practical interface bridging industrial and war capitalism.</w:t>
      </w:r>
    </w:p>
    <w:p w14:paraId="3B4380A0" w14:textId="77777777" w:rsidR="00AC4E9B" w:rsidRPr="00A75D8E" w:rsidRDefault="00AC4E9B" w:rsidP="00A75D8E">
      <w:pPr>
        <w:pStyle w:val="Heading2"/>
        <w:rPr>
          <w:rFonts w:asciiTheme="minorHAnsi" w:hAnsiTheme="minorHAnsi" w:cstheme="minorHAnsi"/>
          <w:b/>
          <w:bCs/>
          <w:color w:val="auto"/>
          <w:sz w:val="24"/>
          <w:szCs w:val="24"/>
        </w:rPr>
      </w:pPr>
      <w:bookmarkStart w:id="215" w:name="_Toc170825706"/>
      <w:r w:rsidRPr="00A75D8E">
        <w:rPr>
          <w:rFonts w:asciiTheme="minorHAnsi" w:hAnsiTheme="minorHAnsi" w:cstheme="minorHAnsi"/>
          <w:b/>
          <w:bCs/>
          <w:color w:val="auto"/>
          <w:sz w:val="24"/>
          <w:szCs w:val="24"/>
        </w:rPr>
        <w:t>Conclusions</w:t>
      </w:r>
      <w:bookmarkEnd w:id="215"/>
    </w:p>
    <w:p w14:paraId="5AF9781D" w14:textId="77777777" w:rsidR="002E60E8" w:rsidRDefault="00AC4E9B" w:rsidP="002E60E8">
      <w:pPr>
        <w:sectPr w:rsidR="002E60E8">
          <w:footnotePr>
            <w:numRestart w:val="eachSect"/>
          </w:footnotePr>
          <w:pgSz w:w="11906" w:h="16838"/>
          <w:pgMar w:top="1440" w:right="1440" w:bottom="1440" w:left="1440" w:header="708" w:footer="708" w:gutter="0"/>
          <w:cols w:space="708"/>
          <w:docGrid w:linePitch="360"/>
        </w:sectPr>
      </w:pPr>
      <w:r>
        <w:t>In this chapter, we delved into the concept of the 'stranger' and its implications in the context of the network system of cotton mills.</w:t>
      </w:r>
      <w:r w:rsidR="0002598E" w:rsidRPr="0002598E">
        <w:t xml:space="preserve"> </w:t>
      </w:r>
      <w:r w:rsidR="0002598E">
        <w:t>The term 'stranger' itself carries multiple meanings, but this research reveals that the inner networks' systems of social capital, reputation, and recommendations were less relevant when dealing with individuals deemed unsuitable for network entry. These individuals ha</w:t>
      </w:r>
      <w:r w:rsidR="002E60E8">
        <w:t>d</w:t>
      </w:r>
      <w:r w:rsidR="0002598E">
        <w:t xml:space="preserve"> either been proven untrustworthy through previous actions, experience a loss of respectability due to bankruptcy, or were</w:t>
      </w:r>
      <w:r w:rsidR="002E60E8">
        <w:t xml:space="preserve"> strangers that were unknown and maybe even</w:t>
      </w:r>
      <w:r w:rsidR="0002598E">
        <w:t xml:space="preserve"> culturally</w:t>
      </w:r>
      <w:r w:rsidR="002E60E8">
        <w:t xml:space="preserve"> distinct. These distinctions, if held, suggested they were unable to conform to societal norms that governed the networks. </w:t>
      </w:r>
      <w:r>
        <w:t xml:space="preserve">As the networks of the two firms expanded, their likelihood of encountering strangers increased. The strangers encountered were subject to hierarchical judgments based on their suitability for entry into the networks and the quality and extent of their connections. Strangers could be categorised as 'suitable but unknown,' 'unsuitable but known,' or 'unsuitable and unknown.' The suitable but unknown individuals had the potential to leverage their social capital and connections to gain entry, while those lacking these resources remained outside the closed networks. The business networks became more open as the mills expanded over time, but considerable levels of trust had built up between the firms and their regular middlemen and agents. The encounters with strangers were often facilitated by middlemen, meaning the manufacturer did not need to shoulder all the risks involved with making new connections. For those connections that were made by sales agents of the firms, many of these men travelled to unknown markets to enact face-to-face interactions to better judge the character of a potential business exchange partner. Additionally, the network system allowed the distribution of risk to be spread out across the connections creating barriers against disaster. At the beginning of the cotton production network lay the cotton planters and their enslaved cultivators. The middlemen encountered the planter and the manufacturer but rarely did the middlemen or the manufacturer encounter the enslaved cultivators. This disconnectedness </w:t>
      </w:r>
      <w:r w:rsidR="002E60E8">
        <w:t>allowed manufacturers the distance to ignore or campaign for better conditions without ever encountering the strangers.</w:t>
      </w:r>
    </w:p>
    <w:p w14:paraId="79EDD5B9" w14:textId="7B22CD06" w:rsidR="006B10A6" w:rsidRDefault="00F86EB5" w:rsidP="005E7B80">
      <w:pPr>
        <w:pStyle w:val="Heading1"/>
        <w:rPr>
          <w:rFonts w:asciiTheme="minorHAnsi" w:hAnsiTheme="minorHAnsi" w:cstheme="minorHAnsi"/>
          <w:b/>
          <w:bCs/>
          <w:color w:val="auto"/>
          <w:sz w:val="28"/>
          <w:szCs w:val="28"/>
        </w:rPr>
      </w:pPr>
      <w:bookmarkStart w:id="216" w:name="_Toc170825707"/>
      <w:bookmarkStart w:id="217" w:name="_Hlk156480558"/>
      <w:r w:rsidRPr="005E7B80">
        <w:rPr>
          <w:rFonts w:asciiTheme="minorHAnsi" w:hAnsiTheme="minorHAnsi" w:cstheme="minorHAnsi"/>
          <w:b/>
          <w:bCs/>
          <w:color w:val="auto"/>
          <w:sz w:val="28"/>
          <w:szCs w:val="28"/>
        </w:rPr>
        <w:lastRenderedPageBreak/>
        <w:t>Co</w:t>
      </w:r>
      <w:r w:rsidR="006B10A6" w:rsidRPr="005E7B80">
        <w:rPr>
          <w:rFonts w:asciiTheme="minorHAnsi" w:hAnsiTheme="minorHAnsi" w:cstheme="minorHAnsi"/>
          <w:b/>
          <w:bCs/>
          <w:color w:val="auto"/>
          <w:sz w:val="28"/>
          <w:szCs w:val="28"/>
        </w:rPr>
        <w:t>nclusions, Discussion, and Wider Implications</w:t>
      </w:r>
      <w:bookmarkEnd w:id="216"/>
      <w:r w:rsidR="006B10A6" w:rsidRPr="005E7B80">
        <w:rPr>
          <w:rFonts w:asciiTheme="minorHAnsi" w:hAnsiTheme="minorHAnsi" w:cstheme="minorHAnsi"/>
          <w:b/>
          <w:bCs/>
          <w:color w:val="auto"/>
          <w:sz w:val="28"/>
          <w:szCs w:val="28"/>
        </w:rPr>
        <w:t xml:space="preserve"> </w:t>
      </w:r>
    </w:p>
    <w:p w14:paraId="1360497C" w14:textId="77777777" w:rsidR="00D81DC3" w:rsidRPr="00D81DC3" w:rsidRDefault="00D81DC3" w:rsidP="00D81DC3"/>
    <w:p w14:paraId="3DE88785" w14:textId="78EB04BA" w:rsidR="006B10A6" w:rsidRDefault="006B10A6" w:rsidP="00C964D2">
      <w:r w:rsidRPr="008A02CD">
        <w:t xml:space="preserve">In this thesis, I have argued that trust, social capital, and reputation were concepts well understood by contemporaries during </w:t>
      </w:r>
      <w:r>
        <w:t>Britain's industrialisation</w:t>
      </w:r>
      <w:r w:rsidRPr="008A02CD">
        <w:t>. These concepts played a vital role in establishing, operating, and expanding British cotton spinning firms in the early phases of industrialisation. They were fundamental to the intricate web of human interactions that formed the trust networks within the commercial lives of those involved. This study employed archival research methods informed by recent, globally informed perspectives on the cotton trade and economic and sociological insights into human interactions</w:t>
      </w:r>
      <w:r w:rsidR="00C964D2">
        <w:t xml:space="preserve"> in social, cultural and business contexts</w:t>
      </w:r>
      <w:r w:rsidRPr="008A02CD">
        <w:t xml:space="preserve">. Its primary goal was </w:t>
      </w:r>
      <w:r>
        <w:t>to understand better</w:t>
      </w:r>
      <w:r w:rsidRPr="008A02CD">
        <w:t xml:space="preserve"> how </w:t>
      </w:r>
      <w:r w:rsidR="00C964D2">
        <w:t>industrialising British cotton-spinning firms and the people that operated them</w:t>
      </w:r>
      <w:r w:rsidRPr="008A02CD">
        <w:t xml:space="preserve"> </w:t>
      </w:r>
      <w:r w:rsidR="00C964D2">
        <w:t xml:space="preserve">utilised the concepts of trust, social capital and reputation. Other aims included how these concepts were developed within the networks of people; how cultural and community influences such as family, religion, marriage, inheritance practices influenced the formation of the concepts and how effectively they were utilised within the networks. A further goal was to see how British cotton </w:t>
      </w:r>
      <w:r w:rsidRPr="008A02CD">
        <w:t>British cotton spinning mills</w:t>
      </w:r>
      <w:r w:rsidR="00C964D2">
        <w:t xml:space="preserve"> connected</w:t>
      </w:r>
      <w:r w:rsidRPr="008A02CD">
        <w:t xml:space="preserve"> to the broader global trade systems. </w:t>
      </w:r>
    </w:p>
    <w:p w14:paraId="1CA3D1E2" w14:textId="1A6E8BB2" w:rsidR="006B10A6" w:rsidRDefault="006B10A6" w:rsidP="006B10A6">
      <w:r>
        <w:t>This thesis has demonstrated that the networks connecting British industrial cotton-spinning factories to the global trade system relied heavily on trust as a currency facilitated by social capital and reputation from which to exchange resources and knowledge. These networks often overlapped between social and business connections</w:t>
      </w:r>
      <w:r w:rsidRPr="00844FC4">
        <w:t xml:space="preserve"> </w:t>
      </w:r>
      <w:r>
        <w:t>where network actors held converging and multiple roles within the networks. The business networks were often formed from social networks forged by kinship or the community. The cotton mills played a pivotal role within the communities in which they were embedded. Social capital served as the mechanism through which specific network members were allocated resources, contingent on each member's perceived trustworthiness and reputation. These perceptions were influenced by various cultural, gender, and socio-economic factors, including differing conceptions of status rooted in age, class, race, and religion. Trust formation initially evolved within the family, kinship, household, and domestic networks, fostering intergenerational relationships. This dynamic was continuously negotiated through interactions between the community and domestic networks.</w:t>
      </w:r>
    </w:p>
    <w:p w14:paraId="53B79967" w14:textId="0E714A77" w:rsidR="006B10A6" w:rsidRDefault="006B10A6" w:rsidP="006B10A6">
      <w:r>
        <w:t>Part One of the thesis established that the most robust trust in network actors’ relationships was often generated in the home, the family, and within the strong bonds of kinship.</w:t>
      </w:r>
      <w:r w:rsidR="00D81DC3">
        <w:t xml:space="preserve"> It is in these settings that the strong social ties of </w:t>
      </w:r>
      <w:proofErr w:type="spellStart"/>
      <w:r w:rsidR="00D81DC3">
        <w:t>Granovetter’s</w:t>
      </w:r>
      <w:proofErr w:type="spellEnd"/>
      <w:r w:rsidR="00D81DC3">
        <w:t xml:space="preserve"> social network theory are apparent.</w:t>
      </w:r>
      <w:r w:rsidR="00D81DC3">
        <w:rPr>
          <w:rStyle w:val="FootnoteReference"/>
        </w:rPr>
        <w:footnoteReference w:id="694"/>
      </w:r>
      <w:r>
        <w:t xml:space="preserve"> The</w:t>
      </w:r>
      <w:r w:rsidR="00D81DC3">
        <w:t xml:space="preserve"> strong bonds and</w:t>
      </w:r>
      <w:r>
        <w:t xml:space="preserve"> relationships forged in these spaces helped shape people’s identities and moral codes.</w:t>
      </w:r>
      <w:r w:rsidR="00D81DC3">
        <w:t xml:space="preserve"> It is these identities that underwent a transformation in the industrialisation period and the kinship networks of both firms identified in some form in the newly emerging middle-class. It is here that Sunderland’s middle-class trust can be seen.</w:t>
      </w:r>
      <w:r w:rsidR="00D81DC3">
        <w:rPr>
          <w:rStyle w:val="FootnoteReference"/>
        </w:rPr>
        <w:footnoteReference w:id="695"/>
      </w:r>
      <w:r>
        <w:t xml:space="preserve"> These </w:t>
      </w:r>
      <w:r w:rsidR="008130CD">
        <w:t xml:space="preserve">middle-class </w:t>
      </w:r>
      <w:r>
        <w:t xml:space="preserve">trusted connections were also informed by and intersected within the inner cores of an individual’s social, community, and family circles. Britain's schools, churches, and social associations were vital spaces where people generated trusted bonds and formed key aspects of their reputations. The kinship and community networks enabled the networks' central cores (or nodes) to form, where mutual endeavours were formulated, and cooperative partnerships were established. These included the establishment of industrial-scale cotton enterprises.  </w:t>
      </w:r>
    </w:p>
    <w:p w14:paraId="4584D724" w14:textId="6952896E" w:rsidR="006B10A6" w:rsidRDefault="0060011B" w:rsidP="0060011B">
      <w:bookmarkStart w:id="218" w:name="_Hlk170482178"/>
      <w:r w:rsidRPr="00DA310E">
        <w:rPr>
          <w:color w:val="000000" w:themeColor="text1"/>
        </w:rPr>
        <w:lastRenderedPageBreak/>
        <w:t xml:space="preserve">The findings of this research align well with </w:t>
      </w:r>
      <w:proofErr w:type="spellStart"/>
      <w:r w:rsidRPr="00DA310E">
        <w:rPr>
          <w:color w:val="000000" w:themeColor="text1"/>
        </w:rPr>
        <w:t>Granovetter's</w:t>
      </w:r>
      <w:proofErr w:type="spellEnd"/>
      <w:r w:rsidRPr="00DA310E">
        <w:rPr>
          <w:color w:val="000000" w:themeColor="text1"/>
        </w:rPr>
        <w:t xml:space="preserve"> theory of strong and weak ties within networks in terms of understanding the connectivity of networks divides along these lines, there was evidence that there were strong, weak and absent ties in the networks.</w:t>
      </w:r>
      <w:r w:rsidRPr="00DA310E">
        <w:rPr>
          <w:color w:val="000000" w:themeColor="text1"/>
          <w:vertAlign w:val="superscript"/>
        </w:rPr>
        <w:footnoteReference w:id="696"/>
      </w:r>
      <w:r w:rsidRPr="00DA310E">
        <w:rPr>
          <w:color w:val="000000" w:themeColor="text1"/>
        </w:rPr>
        <w:t xml:space="preserve"> The research findings however do not completely agree with the primacy of the strong tie in the business networks, but rather weaker ties were significant. However, while the weak-ties were of greater importance in the business networks, the strong-ties were vital in establishing the cotton mills. </w:t>
      </w:r>
      <w:bookmarkEnd w:id="218"/>
      <w:r w:rsidRPr="0060011B">
        <w:t>This can be seen in the substantial use of kinship members in management those performing trustworthy roles for both firms. he most substantial weak ties were built upon a high trust foundation from continuous interaction.</w:t>
      </w:r>
      <w:r>
        <w:t xml:space="preserve"> Many ties in the cotton trade networks were fluid and emergent, much like Haggerty’s concept of trust.</w:t>
      </w:r>
      <w:r w:rsidRPr="0060011B">
        <w:rPr>
          <w:rStyle w:val="FootnoteReference"/>
        </w:rPr>
        <w:t xml:space="preserve"> </w:t>
      </w:r>
      <w:r>
        <w:rPr>
          <w:rStyle w:val="FootnoteReference"/>
        </w:rPr>
        <w:footnoteReference w:id="697"/>
      </w:r>
      <w:r>
        <w:rPr>
          <w:rStyle w:val="FootnoteReference"/>
        </w:rPr>
        <w:t xml:space="preserve"> </w:t>
      </w:r>
      <w:r w:rsidR="006B10A6">
        <w:t xml:space="preserve">The strength of a tie could either increase or decrease rapidly, and some ties could vanish quickly due to a loss of trust or gradually lose influence over time. Notably, as demonstrated by the example of Erasmus Darwin and Charles Upton, particular ties proved strong enough to endure disputes that might have severed connections for less-connected individuals. These ties were bound by more than just mutual benefit; they were also shaped by social duty, obligation, and, in this case, shared local neighbourhood and community affiliations. Neighbours and community connections often became the basis of business partnerships and exchange relationships. Social connectivity was enhanced, and ties were strengthened by legal agreements and alliances such as business partnerships and marriage ties that reinforced the networks formed from community engagement. The business networks often stemmed from kinship networks constructed from community-formed social networks, and the two intermingled to create an ever-evolving web of connections which aimed to work together for mutual benefits.   </w:t>
      </w:r>
    </w:p>
    <w:p w14:paraId="41D83A51" w14:textId="539185E6" w:rsidR="00730677" w:rsidRDefault="006B10A6" w:rsidP="008130CD">
      <w:r>
        <w:t>Although the social and business networks were populated with a heterogeneous group of people regarding class background, this heterogeneity had limitations. Chapter Three shows that most network actors shared a common religious background – as they were all from Christian communities even though there was a mixture of Anglican and dissenters in the leading networks of the two cotton-spinning hubs. As the triple alliance of the Evans and Strutt families shows, this denominational difference was not a barrier to the cooperation between the two sections of the same wider community. The commonalities were found as the Evans family were liberal Anglican evangelicals connected to their time's progressive and radical thinking. Also, contrary to my expectations, it was the Anglican family rather than the dissenting McConnel and Kennedy families that took a strong stance against the slave trade and slavery in their respective communities. Nonetheless, all the inner network members came from similar communities, leading to a very isolationist cultural view of who should access the inner networks.</w:t>
      </w:r>
      <w:r w:rsidR="00730677">
        <w:t xml:space="preserve"> </w:t>
      </w:r>
      <w:r w:rsidR="008130CD">
        <w:t xml:space="preserve">Again, this chapter aligns well with the multitude of different forms of trust as proposed by Sunderland, and trust based </w:t>
      </w:r>
      <w:proofErr w:type="spellStart"/>
      <w:r w:rsidR="008130CD">
        <w:t>an</w:t>
      </w:r>
      <w:proofErr w:type="spellEnd"/>
      <w:r w:rsidR="008130CD">
        <w:t xml:space="preserve"> ascribed characteristics and shared beliefs can be found in the religious and community networks as explored in Chapter Three.</w:t>
      </w:r>
      <w:r w:rsidR="008130CD">
        <w:rPr>
          <w:rStyle w:val="FootnoteReference"/>
        </w:rPr>
        <w:footnoteReference w:id="698"/>
      </w:r>
      <w:r w:rsidR="008130CD">
        <w:t xml:space="preserve"> </w:t>
      </w:r>
      <w:r>
        <w:t>In summary, Part One demonstrated that society's social and cultural aspects informed the trust within the networks. The trust established in the business networks resulted from the cultural understanding of what constituted trust and trustworthy behaviour.</w:t>
      </w:r>
    </w:p>
    <w:p w14:paraId="345A7D15" w14:textId="0AC57377" w:rsidR="006B10A6" w:rsidRDefault="006B10A6" w:rsidP="006B10A6">
      <w:r>
        <w:t xml:space="preserve">Part Two of the thesis demonstrated how trust, distrust, trustworthiness, untrustworthiness, and many reputations could impact the networks and, therefore, the operations of the cotton-spinning mills. Chapter Four’s </w:t>
      </w:r>
      <w:r w:rsidR="00A47547" w:rsidRPr="004051BB">
        <w:rPr>
          <w:color w:val="000000" w:themeColor="text1"/>
        </w:rPr>
        <w:t>showed</w:t>
      </w:r>
      <w:r w:rsidR="00A47547" w:rsidRPr="00A47547">
        <w:rPr>
          <w:color w:val="FF0000"/>
        </w:rPr>
        <w:t xml:space="preserve"> </w:t>
      </w:r>
      <w:r>
        <w:t xml:space="preserve">that trust, social capital, and the system of recommendations based upon reputations and mutual connectivity were vital to creating the business networks in the industrialising cotton trade. </w:t>
      </w:r>
      <w:r w:rsidR="008130CD">
        <w:t xml:space="preserve">The findings of this chapter conform well with Newton’s reputational </w:t>
      </w:r>
      <w:r w:rsidR="008130CD">
        <w:lastRenderedPageBreak/>
        <w:t>approach to understanding trust.</w:t>
      </w:r>
      <w:r w:rsidR="009C2238">
        <w:rPr>
          <w:rStyle w:val="FootnoteReference"/>
        </w:rPr>
        <w:footnoteReference w:id="699"/>
      </w:r>
      <w:r w:rsidR="008130CD">
        <w:t xml:space="preserve"> They also once again align well with </w:t>
      </w:r>
      <w:proofErr w:type="spellStart"/>
      <w:r w:rsidR="008130CD">
        <w:t>Granovetter’s</w:t>
      </w:r>
      <w:proofErr w:type="spellEnd"/>
      <w:r w:rsidR="008130CD">
        <w:t xml:space="preserve"> weak-tie network theory, as many of the business connections were based upon these rather than the strong ties found in chapters two and there.</w:t>
      </w:r>
      <w:r w:rsidR="009C2238">
        <w:rPr>
          <w:rStyle w:val="FootnoteReference"/>
        </w:rPr>
        <w:footnoteReference w:id="700"/>
      </w:r>
      <w:r w:rsidR="008130CD">
        <w:t xml:space="preserve"> </w:t>
      </w:r>
      <w:r w:rsidR="00FB005A">
        <w:t xml:space="preserve">These concepts were crucial to connecting the firm to their European markets. </w:t>
      </w:r>
      <w:r>
        <w:t>The concepts were also crucial to the maintenance and longevity of the networks and the success of the McConnel &amp; Kennedy and W. Evans &amp; Co. firms. The need for a reputation and recommendation system responded to the perceived low levels of trust in the broader society</w:t>
      </w:r>
      <w:r w:rsidR="000D3B78">
        <w:t xml:space="preserve"> reflects well </w:t>
      </w:r>
      <w:proofErr w:type="spellStart"/>
      <w:r w:rsidR="000D3B78">
        <w:t>Nenadic’s</w:t>
      </w:r>
      <w:proofErr w:type="spellEnd"/>
      <w:r w:rsidR="000D3B78">
        <w:t xml:space="preserve"> understanding of a low trust environment outside of the closed networks</w:t>
      </w:r>
      <w:r>
        <w:t>.</w:t>
      </w:r>
      <w:r w:rsidR="000D3B78">
        <w:rPr>
          <w:rStyle w:val="FootnoteReference"/>
        </w:rPr>
        <w:footnoteReference w:id="701"/>
      </w:r>
      <w:r>
        <w:t xml:space="preserve"> This understanding of the wider society informed the cautious approaches adopted by both firms when interacting with others within the business networks to gain information, knowledge, or capital. Trust and reputation were critical in the flow of capital through kinship and business networks and, therefore, profoundly influenced how the cotton trade was undertaken. The credit system would also not have flourished without the trustworthiness of many of the members of the networks. This indicates some pockets of trust, perceived safety, and security from the fears of the unsafe world beyond. Chapter Five found that despite these pockets of trustworthiness, risks, and moral hazards profoundly impacted the networks. Many of the ideas of an unsafe, untrustworthy world beyond the inner networks were partially substantiated in the minds of network actors when many of their exchange partners acted untrustworthy. Additionally, not every hazard could be foreseen or avoided. The network system could help manage some risks but could not eliminate risk.   </w:t>
      </w:r>
    </w:p>
    <w:p w14:paraId="0E7D5FA1" w14:textId="1D99CED9" w:rsidR="006B10A6" w:rsidRDefault="006B10A6" w:rsidP="006B10A6">
      <w:r>
        <w:t xml:space="preserve">Part Three of the thesis looked beyond the inner closed networks to the </w:t>
      </w:r>
      <w:r w:rsidR="000D3B78">
        <w:t xml:space="preserve">other </w:t>
      </w:r>
      <w:r>
        <w:t xml:space="preserve">network systems and what lay beyond. The findings of Chapter Six were that middlemen were required to be the most trustworthy of all the network actors, as the planter, the manufacturer, and the consumer all required the middleman to be trustworthy. </w:t>
      </w:r>
      <w:r w:rsidR="000D3B78">
        <w:t>This aligns well with Mary B. Roses’ understanding of the trade networks in the industrialising cotton trade.</w:t>
      </w:r>
      <w:r w:rsidR="000D3B78">
        <w:rPr>
          <w:rStyle w:val="FootnoteReference"/>
        </w:rPr>
        <w:footnoteReference w:id="702"/>
      </w:r>
      <w:r w:rsidR="000D3B78">
        <w:t xml:space="preserve"> </w:t>
      </w:r>
      <w:r>
        <w:t>The use of middlemen, however, enabled the networks to fragment and operate in semi-isolationist communities. Many people could not enter the inner network system based on class, incompatible characteristics that made up entry requirements to the networks, or simply being unknown.</w:t>
      </w:r>
      <w:r w:rsidR="00290D49">
        <w:t xml:space="preserve"> This chapter also finds that many of the raw materials sourced from global markets were available due to the labours of enslaved people on plantations. This is where the global histories of Riello, Beckert and Lemire meet the local histories of W. Evans &amp; Co. and McConnel &amp; Kennedy. It is through the networks and supply chains that their connectivity can be found. These supply chains required trust but not right across the network – the most important trust was between the middlemen and their supplier and buyers. Chapter Seven then reflects on the position of a stranger in the industrialising society of Britain and in the networks beyond. Trust and reputation here were important but only if a stranger could be categorised as a knowable stranger. If the stranger was simply a business stranger, then other network connections could be drawn upon to provide the person with a reputational reference. Alternatively, resources, such as immediate payment could open the network for a potential business stranger. As Chapter Five showed retention in a network could be revoked through untrustworthy actions but sometimes a network could be off limits to someone because they were not seen as culturally similar enough to the network actors. This is where the cultural stranger and the unknowable stranger was to reside – outside of the network in terms of social acceptance but part of the network in terms of labour contributions. The networks were therefore open and closed network simultaneously</w:t>
      </w:r>
      <w:r w:rsidR="0010529E">
        <w:t xml:space="preserve"> – suggesting there were many levels at which networks could be accessed. </w:t>
      </w:r>
      <w:r w:rsidR="00290D49">
        <w:t xml:space="preserve"> </w:t>
      </w:r>
    </w:p>
    <w:p w14:paraId="7ACA6486" w14:textId="72D327D2" w:rsidR="006B10A6" w:rsidRDefault="006B10A6" w:rsidP="006B10A6">
      <w:r w:rsidRPr="00A72B82">
        <w:lastRenderedPageBreak/>
        <w:t xml:space="preserve">This study has uncovered </w:t>
      </w:r>
      <w:r>
        <w:t>many</w:t>
      </w:r>
      <w:r w:rsidRPr="00A72B82">
        <w:t xml:space="preserve"> critical </w:t>
      </w:r>
      <w:r>
        <w:t>aspects</w:t>
      </w:r>
      <w:r w:rsidRPr="00A72B82">
        <w:t xml:space="preserve"> of the trust and reputation system within the </w:t>
      </w:r>
      <w:r>
        <w:t xml:space="preserve">eighteenth and nineteenth-century </w:t>
      </w:r>
      <w:r w:rsidRPr="00A72B82">
        <w:t>network system</w:t>
      </w:r>
      <w:r>
        <w:t xml:space="preserve"> surrounding the cotton mills. It has</w:t>
      </w:r>
      <w:r w:rsidRPr="00A72B82">
        <w:t xml:space="preserve"> reveal</w:t>
      </w:r>
      <w:r>
        <w:t>ed</w:t>
      </w:r>
      <w:r w:rsidRPr="00A72B82">
        <w:t xml:space="preserve"> that trust, trustworthiness, and the constituent components of </w:t>
      </w:r>
      <w:r>
        <w:t xml:space="preserve">a </w:t>
      </w:r>
      <w:r w:rsidRPr="00A72B82">
        <w:t xml:space="preserve">positive reputation were deeply rooted in culturally constructed ideals that were often </w:t>
      </w:r>
      <w:r>
        <w:t xml:space="preserve">difficult and demanding </w:t>
      </w:r>
      <w:r w:rsidRPr="00A72B82">
        <w:t xml:space="preserve">to accomplish and sustain. The archival materials yielded insights into the prevailing ideals of the 'man of business,' the domestic women, and the ideal </w:t>
      </w:r>
      <w:r>
        <w:t>behaviours</w:t>
      </w:r>
      <w:r w:rsidRPr="00A72B82">
        <w:t xml:space="preserve">, codes of conduct, </w:t>
      </w:r>
      <w:r>
        <w:t xml:space="preserve">obligations </w:t>
      </w:r>
      <w:r w:rsidRPr="00A72B82">
        <w:t>and expectations placed upon middle-class individuals</w:t>
      </w:r>
      <w:r>
        <w:t xml:space="preserve"> in their social or business networks</w:t>
      </w:r>
      <w:r w:rsidRPr="00A72B82">
        <w:t xml:space="preserve"> to conform to these societal norms. </w:t>
      </w:r>
      <w:r w:rsidR="0010529E">
        <w:t>This all aligns with the theories of John Tosh, Karen Harvey and Davidoff and Hall.</w:t>
      </w:r>
      <w:r w:rsidR="0010529E">
        <w:rPr>
          <w:rStyle w:val="FootnoteReference"/>
        </w:rPr>
        <w:footnoteReference w:id="703"/>
      </w:r>
      <w:r w:rsidR="0010529E">
        <w:t xml:space="preserve"> There was gender demarcation throughout the networks, but they were not as absolute as a complete separation would suggest. Elizabeth Evans was an exception to the complete separation theory. However, t</w:t>
      </w:r>
      <w:r>
        <w:t xml:space="preserve">here were many examples demonstrated in Chapter Four of trusted connections conforming to the norms and expectations of the networks. The man of business was expected to be fiscally safe, as financial disaster appears to have been ever-present in the consciousness of the network actors. The central mutual aim of the networks was to create a fiscally secure economic system around their business enterprises. Those who were most likely to help the firms achieve this were welcomed into the inner circle of the business networks. </w:t>
      </w:r>
    </w:p>
    <w:p w14:paraId="417F5BFF" w14:textId="77777777" w:rsidR="006B10A6" w:rsidRDefault="006B10A6" w:rsidP="006B10A6">
      <w:r>
        <w:t>A further finding of this study has been to establish that</w:t>
      </w:r>
      <w:r w:rsidRPr="00A72B82">
        <w:t xml:space="preserve"> the trust and reputation system</w:t>
      </w:r>
      <w:r>
        <w:t xml:space="preserve">, an integral part of the </w:t>
      </w:r>
      <w:r w:rsidRPr="00A72B82">
        <w:t>network system</w:t>
      </w:r>
      <w:r>
        <w:t>,</w:t>
      </w:r>
      <w:r w:rsidRPr="00A72B82">
        <w:t xml:space="preserve"> was influenced by these intricate interplays of cultural values and class distinctions, shedding light on the complex dynamics </w:t>
      </w:r>
      <w:r>
        <w:t>underpinning</w:t>
      </w:r>
      <w:r w:rsidRPr="00A72B82">
        <w:t xml:space="preserve"> the network's operation.</w:t>
      </w:r>
      <w:r>
        <w:t xml:space="preserve"> These</w:t>
      </w:r>
      <w:r w:rsidRPr="00A72B82">
        <w:t xml:space="preserve"> ideals were</w:t>
      </w:r>
      <w:r>
        <w:t>,</w:t>
      </w:r>
      <w:r w:rsidRPr="00A72B82">
        <w:t xml:space="preserve"> </w:t>
      </w:r>
      <w:r>
        <w:t xml:space="preserve">therefore, </w:t>
      </w:r>
      <w:r w:rsidRPr="00A72B82">
        <w:t xml:space="preserve">highly class-specific and hierarchical. </w:t>
      </w:r>
      <w:r>
        <w:t xml:space="preserve">Depending on which network the individual actor acted within, they were complex and sometimes paradoxical or contradictory. An individual could hold a multitude of different reputations depending on which role they were performing at the time. Thomas Evans is the best example of a man with complex and contradictory identities that enabled him to hold a variety of reputations simultaneously depending on the context and place of his interaction. The construction of the identity of the factory master required the construction of a host of ideal employee identities that depended on the employee's role.  </w:t>
      </w:r>
    </w:p>
    <w:p w14:paraId="4DF90E18" w14:textId="39D7E03B" w:rsidR="006B10A6" w:rsidRPr="00AF3362" w:rsidRDefault="006B10A6" w:rsidP="006B10A6">
      <w:pPr>
        <w:rPr>
          <w:color w:val="FF0000"/>
        </w:rPr>
      </w:pPr>
      <w:r>
        <w:t>Throughout the study, I have analysed the documents and correspondence between the network actors – various documents penned for many reasons. First</w:t>
      </w:r>
      <w:r w:rsidR="00144D9A">
        <w:t>ly</w:t>
      </w:r>
      <w:r>
        <w:t xml:space="preserve">, </w:t>
      </w:r>
      <w:r w:rsidRPr="004051BB">
        <w:rPr>
          <w:color w:val="000000" w:themeColor="text1"/>
        </w:rPr>
        <w:t xml:space="preserve">this </w:t>
      </w:r>
      <w:r w:rsidR="00AF3362" w:rsidRPr="004051BB">
        <w:rPr>
          <w:color w:val="000000" w:themeColor="text1"/>
        </w:rPr>
        <w:t xml:space="preserve">demonstrated how </w:t>
      </w:r>
      <w:r>
        <w:t xml:space="preserve">networks were formed, who acted within which networks, and how this impacted the cotton mills. </w:t>
      </w:r>
      <w:r w:rsidR="008B5790">
        <w:t>Secondly</w:t>
      </w:r>
      <w:r w:rsidR="00144D9A">
        <w:t>,</w:t>
      </w:r>
      <w:r w:rsidR="008B5790">
        <w:t xml:space="preserve"> it </w:t>
      </w:r>
      <w:r>
        <w:t>showed that trust within the networks was generated in many ways, places, and for many reasons. Trust manifested itself differently and was constantly changing</w:t>
      </w:r>
      <w:r w:rsidR="00D14885">
        <w:t xml:space="preserve"> but was a vital part of the establishment and operation of the cotton mills that formed part of Britain’s industrialisation </w:t>
      </w:r>
      <w:r w:rsidR="00334407">
        <w:t>of the cotton trade. Trust and distrust were apparent when this industrialisation spread across the globe.</w:t>
      </w:r>
      <w:r w:rsidR="005330A7">
        <w:t xml:space="preserve"> The findings of this research </w:t>
      </w:r>
      <w:r w:rsidR="009C59A2">
        <w:t xml:space="preserve">therefore contribute a socio-economic understanding of the pattern of global </w:t>
      </w:r>
      <w:r w:rsidR="003272C1">
        <w:t xml:space="preserve">industrialisation. </w:t>
      </w:r>
      <w:r w:rsidR="003272C1" w:rsidRPr="004051BB">
        <w:rPr>
          <w:color w:val="000000" w:themeColor="text1"/>
        </w:rPr>
        <w:t xml:space="preserve">Beckert’s economic understanding of the cotton trade </w:t>
      </w:r>
      <w:r w:rsidR="008E7974" w:rsidRPr="004051BB">
        <w:rPr>
          <w:color w:val="000000" w:themeColor="text1"/>
        </w:rPr>
        <w:t xml:space="preserve">found a puzzle in explaining this pattern but following the </w:t>
      </w:r>
      <w:r w:rsidR="000A71AF" w:rsidRPr="004051BB">
        <w:rPr>
          <w:color w:val="000000" w:themeColor="text1"/>
        </w:rPr>
        <w:t xml:space="preserve">web of connections created </w:t>
      </w:r>
      <w:r w:rsidR="008E7974" w:rsidRPr="004051BB">
        <w:rPr>
          <w:color w:val="000000" w:themeColor="text1"/>
        </w:rPr>
        <w:t xml:space="preserve">by the </w:t>
      </w:r>
      <w:r w:rsidR="007B4F15" w:rsidRPr="004051BB">
        <w:rPr>
          <w:color w:val="000000" w:themeColor="text1"/>
        </w:rPr>
        <w:t>Evans-Strutt and McConnel-Kennedy network</w:t>
      </w:r>
      <w:r w:rsidR="000A71AF" w:rsidRPr="004051BB">
        <w:rPr>
          <w:color w:val="000000" w:themeColor="text1"/>
        </w:rPr>
        <w:t xml:space="preserve"> members across the globe we can start to see that it was human </w:t>
      </w:r>
      <w:r w:rsidR="006664DC" w:rsidRPr="004051BB">
        <w:rPr>
          <w:color w:val="000000" w:themeColor="text1"/>
        </w:rPr>
        <w:t xml:space="preserve">relationships, </w:t>
      </w:r>
      <w:r w:rsidR="00FB005A" w:rsidRPr="004051BB">
        <w:rPr>
          <w:color w:val="000000" w:themeColor="text1"/>
        </w:rPr>
        <w:t>culturally</w:t>
      </w:r>
      <w:r w:rsidR="006664DC" w:rsidRPr="004051BB">
        <w:rPr>
          <w:color w:val="000000" w:themeColor="text1"/>
        </w:rPr>
        <w:t xml:space="preserve"> based connectivity and the choices of these men that determined the path of industrialisation.</w:t>
      </w:r>
      <w:r w:rsidR="00213E99" w:rsidRPr="004051BB">
        <w:rPr>
          <w:rStyle w:val="FootnoteReference"/>
          <w:color w:val="000000" w:themeColor="text1"/>
        </w:rPr>
        <w:footnoteReference w:id="704"/>
      </w:r>
      <w:r w:rsidR="006664DC" w:rsidRPr="004051BB">
        <w:rPr>
          <w:color w:val="000000" w:themeColor="text1"/>
        </w:rPr>
        <w:t xml:space="preserve"> </w:t>
      </w:r>
      <w:r w:rsidR="00AF3362" w:rsidRPr="004051BB">
        <w:rPr>
          <w:color w:val="000000" w:themeColor="text1"/>
        </w:rPr>
        <w:t>For example, it was via the spread of knowledge taken by network members to Europe and the United States</w:t>
      </w:r>
      <w:r w:rsidR="00C75F3B" w:rsidRPr="004051BB">
        <w:rPr>
          <w:color w:val="000000" w:themeColor="text1"/>
        </w:rPr>
        <w:t xml:space="preserve"> that expanded industrialisation in these areas. Samuel Slater, Kirk </w:t>
      </w:r>
      <w:proofErr w:type="spellStart"/>
      <w:r w:rsidR="00C75F3B" w:rsidRPr="004051BB">
        <w:rPr>
          <w:color w:val="000000" w:themeColor="text1"/>
        </w:rPr>
        <w:t>Boott</w:t>
      </w:r>
      <w:proofErr w:type="spellEnd"/>
      <w:r w:rsidR="00C75F3B" w:rsidRPr="004051BB">
        <w:rPr>
          <w:color w:val="000000" w:themeColor="text1"/>
        </w:rPr>
        <w:t xml:space="preserve">, Robert Gillespie, and Thomas Hindley were all key network members that help facilitate </w:t>
      </w:r>
      <w:r w:rsidR="00C75F3B" w:rsidRPr="004051BB">
        <w:rPr>
          <w:color w:val="000000" w:themeColor="text1"/>
        </w:rPr>
        <w:lastRenderedPageBreak/>
        <w:t>industrialisation in the United States.</w:t>
      </w:r>
      <w:r w:rsidR="0060011B" w:rsidRPr="004051BB">
        <w:rPr>
          <w:rStyle w:val="FootnoteReference"/>
          <w:color w:val="000000" w:themeColor="text1"/>
        </w:rPr>
        <w:footnoteReference w:id="705"/>
      </w:r>
      <w:r w:rsidR="0060011B" w:rsidRPr="004051BB">
        <w:rPr>
          <w:color w:val="000000" w:themeColor="text1"/>
        </w:rPr>
        <w:t xml:space="preserve"> Connectivity with Cromford and Arkwright helped spread knowledge of machinery to Cromford in </w:t>
      </w:r>
      <w:proofErr w:type="spellStart"/>
      <w:r w:rsidR="0060011B" w:rsidRPr="004051BB">
        <w:rPr>
          <w:color w:val="000000" w:themeColor="text1"/>
        </w:rPr>
        <w:t>Rattingen</w:t>
      </w:r>
      <w:proofErr w:type="spellEnd"/>
      <w:r w:rsidR="0060011B" w:rsidRPr="004051BB">
        <w:rPr>
          <w:color w:val="000000" w:themeColor="text1"/>
        </w:rPr>
        <w:t xml:space="preserve"> and the business connections of McConnel &amp; Kennedy in Switzerland and Austria help spread industrialisation in Europe.</w:t>
      </w:r>
      <w:r w:rsidR="0060011B" w:rsidRPr="004051BB">
        <w:rPr>
          <w:rStyle w:val="FootnoteReference"/>
          <w:color w:val="000000" w:themeColor="text1"/>
        </w:rPr>
        <w:footnoteReference w:id="706"/>
      </w:r>
      <w:r w:rsidR="0060011B" w:rsidRPr="004051BB">
        <w:rPr>
          <w:color w:val="000000" w:themeColor="text1"/>
        </w:rPr>
        <w:t xml:space="preserve">  </w:t>
      </w:r>
      <w:r w:rsidR="00C75F3B" w:rsidRPr="004051BB">
        <w:rPr>
          <w:color w:val="000000" w:themeColor="text1"/>
        </w:rPr>
        <w:t xml:space="preserve"> </w:t>
      </w:r>
    </w:p>
    <w:p w14:paraId="1EEE9FCD" w14:textId="20D0722B" w:rsidR="00881BEC" w:rsidRDefault="006B10A6" w:rsidP="00881BEC">
      <w:r w:rsidRPr="000C6815">
        <w:t xml:space="preserve">This study has aimed to contribute to the historiography of the early industrialising British cotton industry with new and insightful perspectives. The work of the Global Cotton Connections </w:t>
      </w:r>
      <w:r w:rsidR="00213E99" w:rsidRPr="000C6815">
        <w:t>project</w:t>
      </w:r>
      <w:r w:rsidR="00213E99">
        <w:t xml:space="preserve">, </w:t>
      </w:r>
      <w:r w:rsidR="00213E99" w:rsidRPr="000C6815">
        <w:t>global</w:t>
      </w:r>
      <w:r w:rsidRPr="000C6815">
        <w:t xml:space="preserve"> historians of the Industrial Revolution and the cotton trade have opened the field to different global perspectives</w:t>
      </w:r>
      <w:r w:rsidR="00213E99">
        <w:t>.</w:t>
      </w:r>
      <w:r w:rsidR="00C75F3B">
        <w:rPr>
          <w:rStyle w:val="FootnoteReference"/>
        </w:rPr>
        <w:footnoteReference w:id="707"/>
      </w:r>
      <w:r w:rsidR="00213E99">
        <w:t xml:space="preserve"> This</w:t>
      </w:r>
      <w:r w:rsidRPr="000C6815">
        <w:t xml:space="preserve"> led to the question – how did the local British cotton mills connect to this system, what mechanisms enabled this connectivity, and how was this achieved? </w:t>
      </w:r>
      <w:r w:rsidR="00F23A37">
        <w:t>The findings of this research suggest that one of the mechanisms that enabled the connectivity between the local and global cotton trade networks was the utilisation of social capital and the re</w:t>
      </w:r>
      <w:r w:rsidR="00530795">
        <w:t>putation and recommendation system. Without trust the capital, credit</w:t>
      </w:r>
      <w:r w:rsidR="001D7269">
        <w:t xml:space="preserve"> and resource acquisition networks would have </w:t>
      </w:r>
      <w:r w:rsidR="001D6C3D">
        <w:t xml:space="preserve">struggled to have been as effective. </w:t>
      </w:r>
      <w:r w:rsidR="008E2954">
        <w:t xml:space="preserve">While there </w:t>
      </w:r>
      <w:r w:rsidR="00B947F3">
        <w:t>have</w:t>
      </w:r>
      <w:r w:rsidR="008E2954">
        <w:t xml:space="preserve"> been many studies on trust and </w:t>
      </w:r>
      <w:r w:rsidR="00057ADD">
        <w:t xml:space="preserve">its impact on </w:t>
      </w:r>
      <w:r w:rsidR="008E2954">
        <w:t xml:space="preserve">business in </w:t>
      </w:r>
      <w:r w:rsidR="00057ADD">
        <w:t xml:space="preserve">economics and </w:t>
      </w:r>
      <w:r w:rsidR="008E2954">
        <w:t xml:space="preserve">sociology there have been few </w:t>
      </w:r>
      <w:r w:rsidR="00B947F3">
        <w:t xml:space="preserve">within the field of </w:t>
      </w:r>
      <w:r w:rsidR="00AF3362" w:rsidRPr="004051BB">
        <w:rPr>
          <w:color w:val="000000" w:themeColor="text1"/>
        </w:rPr>
        <w:t xml:space="preserve">industrial </w:t>
      </w:r>
      <w:r w:rsidR="00B947F3" w:rsidRPr="004051BB">
        <w:rPr>
          <w:color w:val="000000" w:themeColor="text1"/>
        </w:rPr>
        <w:t xml:space="preserve">history. </w:t>
      </w:r>
      <w:r w:rsidR="00B947F3">
        <w:t xml:space="preserve">None have been done on the industrialising cotton trade. </w:t>
      </w:r>
      <w:r w:rsidR="00057ADD">
        <w:t xml:space="preserve">By adding this perspective to the </w:t>
      </w:r>
      <w:r w:rsidR="00DD4A97">
        <w:t>historiography,</w:t>
      </w:r>
      <w:r w:rsidR="0010255B">
        <w:t xml:space="preserve"> </w:t>
      </w:r>
      <w:r w:rsidR="00655CB6">
        <w:t>a more nuanced understanding of the industrialisation and expansion can be</w:t>
      </w:r>
      <w:r w:rsidR="00DE0544">
        <w:t xml:space="preserve"> appreciated. </w:t>
      </w:r>
      <w:r w:rsidRPr="000C6815">
        <w:t xml:space="preserve">   </w:t>
      </w:r>
    </w:p>
    <w:p w14:paraId="1EDDE9B2" w14:textId="31842EF4" w:rsidR="006B10A6" w:rsidRDefault="00881BEC" w:rsidP="00881BEC">
      <w:r>
        <w:t>However,</w:t>
      </w:r>
      <w:r w:rsidR="006B10A6">
        <w:t xml:space="preserve"> my comparative study has shown the diversity of explanations sidelined by the desire to understand the whole in generalised terms.</w:t>
      </w:r>
      <w:r>
        <w:t xml:space="preserve"> While the trust, and reputations were generated in a similar way by the networks that surrounded each firm – there were some differences in the case studies. The Evans family were already wealthy when the entered the cotton trade therefore they did not need to build their reputation with the business networks, they had already gone through this process. They could utilise their networks and social capital to access the resources they needed to establish and operate a cotton mill more easily than either John Kennedy or James McConnel, at least at the beginning of their enterprises. However, McConnel &amp; Kennedy were able to reinvest their assets well and their geographical location in Manchester put them at a distinct advantage when accessing global resources via a plethora of middlemen and brokers in Lancashire. The firms were in essence part of the same regional and national networks as they both used the same card makers in Halifax, the same importers in Hull and some of the same cotton brokers in Liverpool. They were also connected to each other. Their trust and reputation levels became very high within the trade. This was reinforced by their familial and kinship reputations that were enhanced by their social and community networks and behaviours. They both engaged in the urban cultures of their respective regions and built successful factories to spin globally sourced raw cotton.  </w:t>
      </w:r>
    </w:p>
    <w:p w14:paraId="4D803F0E" w14:textId="370A171D" w:rsidR="006B10A6" w:rsidRDefault="006B10A6" w:rsidP="006B10A6">
      <w:r>
        <w:t>My exploration of trust, social capital, and reputation within the networks of the cotton mills significantly contributes to the historiography of the Industrial Revolution. This research offers valuable insights into the historical development of globalisation, showcasing the networks as vital connectors between local socio-economic and cultural developments in Britain during the early Industrial Revolution (1780-1840) and the global systems that facilitated this transformation. The analysis presented in this thesis revisits the narratives surrounding local firms in the cotton trade and their connections to the broader Industrial Revolution, aligning with recent global perspectives drawn from the research of scholars like Beckert, Riello, and Lemire.</w:t>
      </w:r>
      <w:r w:rsidR="00881BEC">
        <w:rPr>
          <w:rStyle w:val="FootnoteReference"/>
        </w:rPr>
        <w:footnoteReference w:id="708"/>
      </w:r>
      <w:r>
        <w:t xml:space="preserve"> Additionally, it touches upon </w:t>
      </w:r>
      <w:r>
        <w:lastRenderedPageBreak/>
        <w:t>imperial and colonial histories by highlighting the connections between the colonies, their raw material supplies, and the individuals who contributed to this network. It explores not only how the inner networks connected to the colonies – via the middlemen – but that this was facilitated by trust and reputation. Additionally, it opens questions about how the inner networks viewed people outside the networks. Furthermore, my research contributes to social and cultural historiographies, connecting with social theories, such as network theory, and the underlying societal norms and values that shaped these networks.</w:t>
      </w:r>
    </w:p>
    <w:p w14:paraId="4BFFD4F3" w14:textId="1BBE8CAE" w:rsidR="006B10A6" w:rsidRDefault="006B10A6" w:rsidP="00AF3362">
      <w:r>
        <w:t>The geographical choice of two case studies from two of Britain’s cotton manufacturing hubs has added breadth to the study, enabling two distinct phases of the early industrialisation process within Britain to be explored in depth to draw connections between the regions and highlight the differences between the two narratives. This demonstrates the complexities and diversity even within the inner cores of the networks and shows that drawing reductive and oversimplified conclusions about the true nature of the cotton trade has led to isolationist views of the global nature of the local endeavours. However, the study has limitations, primarily stemming from its narrow geographical focus, which centres on the British impact on the global cotton trade. While valuable, starting from within Britain and looking out to the rest of the world provides just one perspective. To gain a more comprehensive understanding of how the cotton trade operated, we could enhance our insights by incorporating additional geographical perspectives and examining how different nations and groups employed trust and reputation within their networks. Expanding our view beyond how one socio-economic group utilised these concepts to shape identities and access resources, we could explore the broader impact on other groups. An intriguing avenue for further research involves investigating how various groups perceived the factory masters and the industrial class and whether these perceptions differed from one nation to another.</w:t>
      </w:r>
      <w:r w:rsidR="00FC528B">
        <w:t xml:space="preserve"> </w:t>
      </w:r>
      <w:bookmarkStart w:id="220" w:name="_Hlk170483390"/>
      <w:r w:rsidR="00FC528B" w:rsidRPr="004051BB">
        <w:rPr>
          <w:color w:val="000000" w:themeColor="text1"/>
        </w:rPr>
        <w:t>Widening the focus to include additional aspects of the manufacturing process</w:t>
      </w:r>
      <w:r w:rsidR="00AF3362" w:rsidRPr="004051BB">
        <w:rPr>
          <w:color w:val="000000" w:themeColor="text1"/>
        </w:rPr>
        <w:t>,</w:t>
      </w:r>
      <w:r w:rsidR="00FC528B" w:rsidRPr="004051BB">
        <w:rPr>
          <w:color w:val="000000" w:themeColor="text1"/>
        </w:rPr>
        <w:t xml:space="preserve"> such as </w:t>
      </w:r>
      <w:r w:rsidR="00AF3362" w:rsidRPr="004051BB">
        <w:rPr>
          <w:color w:val="000000" w:themeColor="text1"/>
        </w:rPr>
        <w:t xml:space="preserve">bleaching and </w:t>
      </w:r>
      <w:r w:rsidR="00FC528B" w:rsidRPr="004051BB">
        <w:rPr>
          <w:color w:val="000000" w:themeColor="text1"/>
        </w:rPr>
        <w:t>weaving</w:t>
      </w:r>
      <w:r w:rsidR="00AF3362" w:rsidRPr="004051BB">
        <w:rPr>
          <w:color w:val="000000" w:themeColor="text1"/>
        </w:rPr>
        <w:t>,</w:t>
      </w:r>
      <w:r w:rsidR="00FC528B" w:rsidRPr="004051BB">
        <w:rPr>
          <w:color w:val="000000" w:themeColor="text1"/>
        </w:rPr>
        <w:t xml:space="preserve"> could </w:t>
      </w:r>
      <w:r w:rsidR="00AF3362" w:rsidRPr="004051BB">
        <w:rPr>
          <w:color w:val="000000" w:themeColor="text1"/>
        </w:rPr>
        <w:t>enhance our</w:t>
      </w:r>
      <w:r w:rsidR="00FC528B" w:rsidRPr="004051BB">
        <w:rPr>
          <w:color w:val="000000" w:themeColor="text1"/>
        </w:rPr>
        <w:t xml:space="preserve"> understanding of the</w:t>
      </w:r>
      <w:r w:rsidR="00AF3362" w:rsidRPr="004051BB">
        <w:rPr>
          <w:color w:val="000000" w:themeColor="text1"/>
        </w:rPr>
        <w:t xml:space="preserve"> development and history of the</w:t>
      </w:r>
      <w:r w:rsidR="00FC528B" w:rsidRPr="004051BB">
        <w:rPr>
          <w:color w:val="000000" w:themeColor="text1"/>
        </w:rPr>
        <w:t xml:space="preserve"> cotton trade. </w:t>
      </w:r>
      <w:bookmarkEnd w:id="220"/>
      <w:r>
        <w:t>This approach promises to enrich our understanding by considering diverse perspectives and contexts in studying the global cotton trade.</w:t>
      </w:r>
    </w:p>
    <w:p w14:paraId="2EDA405C" w14:textId="7EFD013C" w:rsidR="00E73C9A" w:rsidRDefault="00E73C9A" w:rsidP="00E73C9A">
      <w:r>
        <w:t>An important finding that has emerged from this research and warrants further investigation is the 'multitude of ideals' theory, which posits that many of the networks converging in places of business, like the cotton mills, were underpinned by unachievable or unsustainable ideals. This study has unveiled several of these ideals, including the ideal character traits of men and women, the ideal characteristics of a successful businessperson, and the ideal levels of trust, honesty, and integrity within these networks, to name just a few. An intriguing aspect of these ideals is the evident gap</w:t>
      </w:r>
      <w:r w:rsidR="00474555">
        <w:t>s</w:t>
      </w:r>
      <w:r>
        <w:t xml:space="preserve"> between the ideals themselves and their actual reali</w:t>
      </w:r>
      <w:r w:rsidR="00804BE8">
        <w:t>s</w:t>
      </w:r>
      <w:r>
        <w:t>ation or attainment. This discrepancy offers valuable insights into the operations of networks in the late eighteenth and early nineteenth centuries.</w:t>
      </w:r>
    </w:p>
    <w:p w14:paraId="31396064" w14:textId="4532F4E5" w:rsidR="006B10A6" w:rsidRDefault="00E82C51" w:rsidP="0087136F">
      <w:r>
        <w:t>T</w:t>
      </w:r>
      <w:r w:rsidR="00E73C9A">
        <w:t>he potential benefits of further research, particularly with an enhanced understanding of the role of social capital and the reputation system within these networks,</w:t>
      </w:r>
      <w:r w:rsidR="004B44FD">
        <w:t xml:space="preserve"> might include gaining further insights into </w:t>
      </w:r>
      <w:r w:rsidR="00F25B79">
        <w:t xml:space="preserve">these </w:t>
      </w:r>
      <w:r w:rsidR="004B44FD">
        <w:t>gaps</w:t>
      </w:r>
      <w:r w:rsidR="00F25B79">
        <w:t xml:space="preserve">. By understanding </w:t>
      </w:r>
      <w:r w:rsidR="00385A30">
        <w:t>the limitations of the network system as well as its capabilities to connect</w:t>
      </w:r>
      <w:r w:rsidR="00605372">
        <w:t xml:space="preserve"> to local and distant resources – we can understand better the role of British cotton </w:t>
      </w:r>
      <w:r w:rsidR="00A34489">
        <w:t xml:space="preserve">manufacturing within the global systems. </w:t>
      </w:r>
      <w:r w:rsidR="006E2C7C">
        <w:t xml:space="preserve">The conceptualisation of the stranger is one </w:t>
      </w:r>
      <w:r w:rsidR="00F125C3">
        <w:t xml:space="preserve">strand of research that </w:t>
      </w:r>
      <w:r w:rsidR="006E2C7C">
        <w:t xml:space="preserve">could help us understand the limitations of the network system in the cotton industry. </w:t>
      </w:r>
      <w:r w:rsidR="00A34489">
        <w:t xml:space="preserve">One of the </w:t>
      </w:r>
      <w:r w:rsidR="00FF4D68">
        <w:t>key limitations of</w:t>
      </w:r>
      <w:r w:rsidR="00E73C9A">
        <w:t xml:space="preserve"> th</w:t>
      </w:r>
      <w:r w:rsidR="004C1D27">
        <w:t xml:space="preserve">e trust and reputation </w:t>
      </w:r>
      <w:r w:rsidR="00E73C9A">
        <w:t xml:space="preserve">system </w:t>
      </w:r>
      <w:r w:rsidR="004C1D27">
        <w:t xml:space="preserve">within the network system </w:t>
      </w:r>
      <w:r w:rsidR="00FF4D68">
        <w:t xml:space="preserve">is the </w:t>
      </w:r>
      <w:r w:rsidR="004C1D27">
        <w:t>tendency</w:t>
      </w:r>
      <w:r w:rsidR="00E73C9A">
        <w:t xml:space="preserve"> </w:t>
      </w:r>
      <w:r w:rsidR="00FF4D68">
        <w:t>to become frayed at the edges</w:t>
      </w:r>
      <w:r w:rsidR="004C1D27">
        <w:t xml:space="preserve"> o</w:t>
      </w:r>
      <w:r w:rsidR="00E73C9A">
        <w:t xml:space="preserve">f the networks. </w:t>
      </w:r>
      <w:r w:rsidR="0079263C">
        <w:t>The stronger inner core</w:t>
      </w:r>
      <w:r w:rsidR="00E73C9A">
        <w:t xml:space="preserve"> was based on mutual </w:t>
      </w:r>
      <w:r>
        <w:t>endeavours</w:t>
      </w:r>
      <w:r w:rsidR="00E73C9A">
        <w:t xml:space="preserve">, </w:t>
      </w:r>
      <w:r w:rsidR="00E73C9A" w:rsidRPr="003C1458">
        <w:rPr>
          <w:i/>
          <w:iCs/>
        </w:rPr>
        <w:t>ascribed trust</w:t>
      </w:r>
      <w:r w:rsidR="00E73C9A">
        <w:t xml:space="preserve"> gained through shared characteristics, shared community, and shared cultural and religious identities, which </w:t>
      </w:r>
      <w:r w:rsidR="00D31E18">
        <w:t xml:space="preserve">created a </w:t>
      </w:r>
      <w:r w:rsidR="000A1ED7">
        <w:t xml:space="preserve">robust system </w:t>
      </w:r>
      <w:r w:rsidR="009E2A02">
        <w:t xml:space="preserve">that benefitted those deemed </w:t>
      </w:r>
      <w:r w:rsidR="009E2A02">
        <w:lastRenderedPageBreak/>
        <w:t xml:space="preserve">eligible for entry. However, by doing so it also </w:t>
      </w:r>
      <w:r w:rsidR="00E73C9A">
        <w:t xml:space="preserve">contributed to the </w:t>
      </w:r>
      <w:r w:rsidR="00342DF9">
        <w:t>network’s</w:t>
      </w:r>
      <w:r w:rsidR="00E73C9A">
        <w:t xml:space="preserve"> isolationism and discriminatory practices in both local and global interactions. Hierarchies were prevalent throughout this system, and while many of the ideals had harmless ideologies, some led to divisions that firmly placed individuals in potentially perilous roles from which they could not escape. Additionally, these ideals often intersected with less benign ideologies.</w:t>
      </w:r>
      <w:r w:rsidR="009F53F4">
        <w:t xml:space="preserve"> </w:t>
      </w:r>
      <w:r w:rsidR="006B10A6">
        <w:t xml:space="preserve">Also, a more in-depth study of the role of slavery at the extremes of the networks and the role of abolitionism within the inner networks could prove fruitful in forming a greater understanding of the many strands of influential factors and the impacts these had on the many communities of the world that the actions of the inner networks of the British cotton trade impacted. </w:t>
      </w:r>
    </w:p>
    <w:p w14:paraId="35B87A20" w14:textId="6400A063" w:rsidR="006B10A6" w:rsidRDefault="006B10A6" w:rsidP="0087136F">
      <w:r>
        <w:t xml:space="preserve">This research has contemporary importance in terms of both political and heritage concerns. By exploring the currency of the networks in terms of their social capital to access other forms of capital and the structure and make-up of the networks themselves, we can see many issues emerge that still resonate today. The increasing openness of the world due to expansions in global communication has opened the inner communities formed from these networks to the societies that operated outside of the network. Whole communities of strangers have viewed and continue to view the British involvement in the cotton trade very differently than the </w:t>
      </w:r>
      <w:bookmarkStart w:id="221" w:name="_Hlk170483457"/>
      <w:r w:rsidR="00FC528B" w:rsidRPr="004051BB">
        <w:rPr>
          <w:color w:val="000000" w:themeColor="text1"/>
        </w:rPr>
        <w:t>Britain-centric focussed</w:t>
      </w:r>
      <w:r w:rsidRPr="004051BB">
        <w:rPr>
          <w:color w:val="000000" w:themeColor="text1"/>
        </w:rPr>
        <w:t xml:space="preserve"> </w:t>
      </w:r>
      <w:bookmarkEnd w:id="221"/>
      <w:r>
        <w:t xml:space="preserve">historians of the nineteenth and twentieth centuries. One of the findings of this research is that there was a chasm at the end of the networks, which is now being looked at by the world. </w:t>
      </w:r>
    </w:p>
    <w:p w14:paraId="1BD381A8" w14:textId="1ADAEC90" w:rsidR="00170D85" w:rsidRDefault="006B10A6" w:rsidP="001D5749">
      <w:pPr>
        <w:sectPr w:rsidR="00170D85">
          <w:footnotePr>
            <w:numRestart w:val="eachSect"/>
          </w:footnotePr>
          <w:pgSz w:w="11906" w:h="16838"/>
          <w:pgMar w:top="1440" w:right="1440" w:bottom="1440" w:left="1440" w:header="708" w:footer="708" w:gutter="0"/>
          <w:cols w:space="708"/>
          <w:docGrid w:linePitch="360"/>
        </w:sectPr>
      </w:pPr>
      <w:r>
        <w:t>Our society includes many descendants of enslaved people</w:t>
      </w:r>
      <w:r w:rsidR="00756F3A">
        <w:t xml:space="preserve"> who</w:t>
      </w:r>
      <w:r w:rsidR="0000539F">
        <w:t xml:space="preserve">se labour was crucial </w:t>
      </w:r>
      <w:r w:rsidR="003C7A41">
        <w:t>to the development and expansion of the British cotton industry. The people who</w:t>
      </w:r>
      <w:r w:rsidR="00756F3A">
        <w:t xml:space="preserve"> </w:t>
      </w:r>
      <w:r w:rsidR="00BF0EEB">
        <w:t xml:space="preserve">grew the cotton which was processed and manufactured in British cotton mills like those owned by the Evans-Strutt kinship group and </w:t>
      </w:r>
      <w:r w:rsidR="003A45CB">
        <w:t>the McConnel &amp; Kennedy</w:t>
      </w:r>
      <w:r w:rsidR="001D5749">
        <w:t xml:space="preserve"> Cotton</w:t>
      </w:r>
      <w:r w:rsidR="003A45CB">
        <w:t xml:space="preserve"> </w:t>
      </w:r>
      <w:r w:rsidR="001D5749">
        <w:t>M</w:t>
      </w:r>
      <w:r w:rsidR="003A45CB">
        <w:t>ills</w:t>
      </w:r>
      <w:r w:rsidR="003C7A41">
        <w:t xml:space="preserve">, </w:t>
      </w:r>
      <w:r w:rsidR="00CC7F8D">
        <w:t xml:space="preserve">deserve as much recognition for their efforts as the wage labourers here in Britain. It was the networks that </w:t>
      </w:r>
      <w:r w:rsidR="000A6F64">
        <w:t>connected their efforts into the supply chains – which trust, social capital and reputation allowed the</w:t>
      </w:r>
      <w:r w:rsidR="003A45CB">
        <w:t xml:space="preserve"> </w:t>
      </w:r>
      <w:r w:rsidR="000A6F64">
        <w:t>merchants and manufacturers</w:t>
      </w:r>
      <w:r w:rsidR="007B0185">
        <w:t xml:space="preserve"> to disseminate and process for consumption. </w:t>
      </w:r>
      <w:bookmarkStart w:id="222" w:name="_Hlk170483501"/>
      <w:r w:rsidRPr="004051BB">
        <w:rPr>
          <w:color w:val="000000" w:themeColor="text1"/>
        </w:rPr>
        <w:t>Today’s internal British society includes many cultural differences, which some aspects of the industrialising network system would</w:t>
      </w:r>
      <w:r w:rsidR="000B5515" w:rsidRPr="004051BB">
        <w:rPr>
          <w:color w:val="000000" w:themeColor="text1"/>
        </w:rPr>
        <w:t xml:space="preserve"> have</w:t>
      </w:r>
      <w:r w:rsidRPr="004051BB">
        <w:rPr>
          <w:color w:val="000000" w:themeColor="text1"/>
        </w:rPr>
        <w:t xml:space="preserve"> render</w:t>
      </w:r>
      <w:r w:rsidR="000B5515" w:rsidRPr="004051BB">
        <w:rPr>
          <w:color w:val="000000" w:themeColor="text1"/>
        </w:rPr>
        <w:t>ed</w:t>
      </w:r>
      <w:r w:rsidRPr="004051BB">
        <w:rPr>
          <w:color w:val="000000" w:themeColor="text1"/>
        </w:rPr>
        <w:t xml:space="preserve"> inadmissible. </w:t>
      </w:r>
      <w:r w:rsidR="009075B4" w:rsidRPr="004051BB">
        <w:rPr>
          <w:color w:val="000000" w:themeColor="text1"/>
        </w:rPr>
        <w:t>Meaning that cultural and even racial differences would not have been tolerated or integrated into the networks</w:t>
      </w:r>
      <w:r w:rsidR="00FC528B" w:rsidRPr="004051BB">
        <w:rPr>
          <w:color w:val="000000" w:themeColor="text1"/>
        </w:rPr>
        <w:t xml:space="preserve"> of the industrialising era in the same way that they might in 2024. </w:t>
      </w:r>
      <w:r w:rsidRPr="004051BB">
        <w:rPr>
          <w:color w:val="000000" w:themeColor="text1"/>
        </w:rPr>
        <w:t>Th</w:t>
      </w:r>
      <w:r w:rsidR="00FC528B" w:rsidRPr="004051BB">
        <w:rPr>
          <w:color w:val="000000" w:themeColor="text1"/>
        </w:rPr>
        <w:t xml:space="preserve">is implies that the conceptual understanding of </w:t>
      </w:r>
      <w:r w:rsidRPr="004051BB">
        <w:rPr>
          <w:color w:val="000000" w:themeColor="text1"/>
        </w:rPr>
        <w:t xml:space="preserve">mutual benefit </w:t>
      </w:r>
      <w:r w:rsidR="00FC528B" w:rsidRPr="004051BB">
        <w:rPr>
          <w:color w:val="000000" w:themeColor="text1"/>
        </w:rPr>
        <w:t>within</w:t>
      </w:r>
      <w:r w:rsidRPr="004051BB">
        <w:rPr>
          <w:color w:val="000000" w:themeColor="text1"/>
        </w:rPr>
        <w:t xml:space="preserve"> society </w:t>
      </w:r>
      <w:r w:rsidR="00FC528B" w:rsidRPr="004051BB">
        <w:rPr>
          <w:color w:val="000000" w:themeColor="text1"/>
        </w:rPr>
        <w:t>has evolved, how society defines mutual benefit has become more inclusive, recognising diverse cultural contributions to the historical narrative of cotton production</w:t>
      </w:r>
      <w:r w:rsidRPr="004051BB">
        <w:rPr>
          <w:color w:val="000000" w:themeColor="text1"/>
        </w:rPr>
        <w:t>.</w:t>
      </w:r>
      <w:bookmarkEnd w:id="222"/>
      <w:r w:rsidRPr="004051BB">
        <w:rPr>
          <w:color w:val="000000" w:themeColor="text1"/>
        </w:rPr>
        <w:t xml:space="preserve"> </w:t>
      </w:r>
      <w:r>
        <w:t xml:space="preserve">This </w:t>
      </w:r>
      <w:r w:rsidR="00FC528B">
        <w:t>has forced</w:t>
      </w:r>
      <w:r>
        <w:t xml:space="preserve"> us to look beyond </w:t>
      </w:r>
      <w:r w:rsidR="00FC528B">
        <w:t xml:space="preserve">ideas of </w:t>
      </w:r>
      <w:r>
        <w:t>internal isolationist thinking</w:t>
      </w:r>
      <w:r w:rsidR="00FC528B">
        <w:t xml:space="preserve"> of the early historiography</w:t>
      </w:r>
      <w:r>
        <w:t xml:space="preserve"> and reevaluate our understanding and perspectives of what the narratives of the cotton trade can be. This is particularly important at the museums, and heritage sites such as Arkwright’s mill at Cromford and industrial museums across the country. Trust and reputation are still valid ways to conduct social and business networks. The building of strong communities is vital for the preservation of civic society and profitable business. However, it might be that the cultural understandings will shift to ensure the cohesion between communities can be strengthened by building different cultural understandings of how we approach strangers, who we perceive as trustworthy and what parameters we judge this trustworthiness.</w:t>
      </w:r>
    </w:p>
    <w:p w14:paraId="6CC13C0C" w14:textId="45CF69F2" w:rsidR="00170D85" w:rsidRDefault="00170D85" w:rsidP="00A75D8E">
      <w:pPr>
        <w:pStyle w:val="Heading1"/>
        <w:rPr>
          <w:rFonts w:asciiTheme="minorHAnsi" w:hAnsiTheme="minorHAnsi" w:cstheme="minorHAnsi"/>
          <w:b/>
          <w:bCs/>
          <w:color w:val="auto"/>
          <w:sz w:val="28"/>
          <w:szCs w:val="28"/>
        </w:rPr>
      </w:pPr>
      <w:bookmarkStart w:id="223" w:name="_Toc170825708"/>
      <w:bookmarkEnd w:id="217"/>
      <w:r w:rsidRPr="00A75D8E">
        <w:rPr>
          <w:rFonts w:asciiTheme="minorHAnsi" w:hAnsiTheme="minorHAnsi" w:cstheme="minorHAnsi"/>
          <w:b/>
          <w:bCs/>
          <w:color w:val="auto"/>
          <w:sz w:val="28"/>
          <w:szCs w:val="28"/>
        </w:rPr>
        <w:lastRenderedPageBreak/>
        <w:t>Bibliography</w:t>
      </w:r>
      <w:bookmarkEnd w:id="223"/>
    </w:p>
    <w:p w14:paraId="49AE1AA1" w14:textId="77777777" w:rsidR="00A75D8E" w:rsidRPr="00A75D8E" w:rsidRDefault="00A75D8E" w:rsidP="00A75D8E"/>
    <w:p w14:paraId="4C299976" w14:textId="77777777" w:rsidR="00170D85" w:rsidRDefault="00170D85" w:rsidP="00A75D8E">
      <w:pPr>
        <w:pStyle w:val="Heading2"/>
        <w:rPr>
          <w:rFonts w:asciiTheme="minorHAnsi" w:hAnsiTheme="minorHAnsi" w:cstheme="minorHAnsi"/>
          <w:b/>
          <w:bCs/>
          <w:color w:val="auto"/>
          <w:sz w:val="24"/>
          <w:szCs w:val="24"/>
        </w:rPr>
      </w:pPr>
      <w:bookmarkStart w:id="224" w:name="_Toc170825709"/>
      <w:r w:rsidRPr="00A75D8E">
        <w:rPr>
          <w:rFonts w:asciiTheme="minorHAnsi" w:hAnsiTheme="minorHAnsi" w:cstheme="minorHAnsi"/>
          <w:b/>
          <w:bCs/>
          <w:color w:val="auto"/>
          <w:sz w:val="24"/>
          <w:szCs w:val="24"/>
        </w:rPr>
        <w:t>Primary Sources – Archival Material</w:t>
      </w:r>
      <w:bookmarkEnd w:id="224"/>
    </w:p>
    <w:p w14:paraId="26DF7C7F" w14:textId="77777777" w:rsidR="00170D85" w:rsidRPr="00170D85" w:rsidRDefault="00170D85" w:rsidP="00170D85">
      <w:pPr>
        <w:rPr>
          <w:b/>
          <w:bCs/>
        </w:rPr>
      </w:pPr>
      <w:r w:rsidRPr="00170D85">
        <w:rPr>
          <w:b/>
          <w:bCs/>
        </w:rPr>
        <w:t>Derbyshire Record Office</w:t>
      </w:r>
    </w:p>
    <w:p w14:paraId="5CF66D75" w14:textId="77777777" w:rsidR="008F6DF5" w:rsidRDefault="008F6DF5" w:rsidP="00170D85">
      <w:r w:rsidRPr="008F6DF5">
        <w:t xml:space="preserve">DRO: </w:t>
      </w:r>
      <w:r>
        <w:t xml:space="preserve">Diocese of Derby: Baptisms, Marriages, and Burials, 1538-1812 </w:t>
      </w:r>
    </w:p>
    <w:p w14:paraId="2B4A678C" w14:textId="2DACE5BE" w:rsidR="008F6DF5" w:rsidRDefault="008F6DF5" w:rsidP="008F6DF5">
      <w:pPr>
        <w:pStyle w:val="ListParagraph"/>
        <w:numPr>
          <w:ilvl w:val="0"/>
          <w:numId w:val="9"/>
        </w:numPr>
      </w:pPr>
      <w:r w:rsidRPr="008F6DF5">
        <w:t>Ref: FHL Film Number:</w:t>
      </w:r>
      <w:r>
        <w:t xml:space="preserve"> 0428954, 0428955, 428954</w:t>
      </w:r>
    </w:p>
    <w:p w14:paraId="39619116" w14:textId="29029AD1" w:rsidR="008F6DF5" w:rsidRPr="008F6DF5" w:rsidRDefault="008F6DF5" w:rsidP="008F6DF5">
      <w:pPr>
        <w:pStyle w:val="ListParagraph"/>
        <w:numPr>
          <w:ilvl w:val="0"/>
          <w:numId w:val="9"/>
        </w:numPr>
      </w:pPr>
      <w:r w:rsidRPr="008F6DF5">
        <w:t>D1435/ A/P14/1 Derbyshire</w:t>
      </w:r>
      <w:r>
        <w:t>, England, Church of England</w:t>
      </w:r>
      <w:r w:rsidRPr="008F6DF5">
        <w:t xml:space="preserve"> Marriag</w:t>
      </w:r>
      <w:r>
        <w:t>e Banns</w:t>
      </w:r>
    </w:p>
    <w:p w14:paraId="66B7E2E2" w14:textId="4E90FD18" w:rsidR="00170D85" w:rsidRPr="00875953" w:rsidRDefault="00170D85" w:rsidP="00170D85">
      <w:r w:rsidRPr="00875953">
        <w:t xml:space="preserve">DRO: Ref: D3202 A/PI 32/4 </w:t>
      </w:r>
    </w:p>
    <w:p w14:paraId="3787F4A2" w14:textId="77777777" w:rsidR="00170D85" w:rsidRDefault="00170D85" w:rsidP="00170D85">
      <w:r>
        <w:t xml:space="preserve">DRO: Ref: D3553/4/1-2 Evans Family Papers </w:t>
      </w:r>
    </w:p>
    <w:p w14:paraId="75C0C057" w14:textId="77777777" w:rsidR="00170D85" w:rsidRDefault="00170D85" w:rsidP="00170D85">
      <w:r>
        <w:t>DRO: Ref: D5231, 1787-1920 Records of Darley Abbey Cotton Mill</w:t>
      </w:r>
    </w:p>
    <w:p w14:paraId="7E9FD378" w14:textId="77777777" w:rsidR="00170D85" w:rsidRDefault="00170D85" w:rsidP="00170D85">
      <w:r>
        <w:t xml:space="preserve">DRO: Ref D5377, Samuel Evans of Darley Abbey: Household Accounts </w:t>
      </w:r>
    </w:p>
    <w:p w14:paraId="5480AB30" w14:textId="77777777" w:rsidR="00170D85" w:rsidRDefault="00170D85" w:rsidP="00170D85">
      <w:r>
        <w:t>DRO: Ref D3772/E40/7/1-4 Marriage settlement of Mr. William Evans and Miss Elizabeth Strutt – plus two bonds of even date, and a memorandum relating to the production of deeds relating to Newton Grange estate, dated 1796</w:t>
      </w:r>
    </w:p>
    <w:p w14:paraId="67342F5F" w14:textId="77777777" w:rsidR="00170D85" w:rsidRPr="00170D85" w:rsidRDefault="00170D85" w:rsidP="00170D85">
      <w:pPr>
        <w:rPr>
          <w:lang w:val="it-IT"/>
        </w:rPr>
      </w:pPr>
      <w:r w:rsidRPr="00170D85">
        <w:rPr>
          <w:lang w:val="it-IT"/>
        </w:rPr>
        <w:t>DRO: Ref D3772/E43/2/6 – E Strutt’s bills, 1815-1841</w:t>
      </w:r>
    </w:p>
    <w:p w14:paraId="580A2EAB" w14:textId="77777777" w:rsidR="00170D85" w:rsidRPr="00170D85" w:rsidRDefault="00170D85" w:rsidP="00170D85">
      <w:pPr>
        <w:rPr>
          <w:lang w:val="es-ES_tradnl"/>
        </w:rPr>
      </w:pPr>
      <w:r w:rsidRPr="00170D85">
        <w:rPr>
          <w:lang w:val="es-ES_tradnl"/>
        </w:rPr>
        <w:t>DRO: Ref Q/SB/9/80 Darley Abbey, 1815</w:t>
      </w:r>
    </w:p>
    <w:p w14:paraId="19AD4A30" w14:textId="77777777" w:rsidR="00170D85" w:rsidRDefault="00170D85" w:rsidP="00170D85">
      <w:r>
        <w:t xml:space="preserve">DRO: Ref D770, 1777-1882 Derbyshire estate, family, business, school, parish, and personal papers [Evans family of Darley Abbey: Correspondence] E/Z 191-344 </w:t>
      </w:r>
    </w:p>
    <w:p w14:paraId="2803D4C7" w14:textId="77777777" w:rsidR="00170D85" w:rsidRDefault="00170D85" w:rsidP="00170D85">
      <w:r>
        <w:t>DRO: Ref D1435 A/P14/1 – Derbyshire Church of England Marriage and Banns</w:t>
      </w:r>
    </w:p>
    <w:p w14:paraId="360698C1" w14:textId="77777777" w:rsidR="00170D85" w:rsidRPr="00170D85" w:rsidRDefault="00170D85" w:rsidP="00170D85">
      <w:pPr>
        <w:rPr>
          <w:b/>
          <w:bCs/>
        </w:rPr>
      </w:pPr>
      <w:r w:rsidRPr="00170D85">
        <w:rPr>
          <w:b/>
          <w:bCs/>
        </w:rPr>
        <w:t>Derby Local Studies Library</w:t>
      </w:r>
    </w:p>
    <w:p w14:paraId="361F0260" w14:textId="77777777" w:rsidR="00170D85" w:rsidRDefault="00170D85" w:rsidP="00170D85">
      <w:r>
        <w:t xml:space="preserve">Evans Family Papers also held at Derby Local Studies Library: BS 677 EVA, DL119 Evans, Microfilm Reels 1, 2, and 3. </w:t>
      </w:r>
    </w:p>
    <w:p w14:paraId="5EAAE3AE" w14:textId="77777777" w:rsidR="00170D85" w:rsidRDefault="00170D85" w:rsidP="00170D85">
      <w:r>
        <w:t>DL119 - 13 Manuscript volumes for the business of Walter Evans &amp; Co. Ltd. Of Darley Abbey, 1787-1923, including wage and cash books, a stock book (1815-1826), correspondence book (1787-1809) and business ledgers (1795-1810)</w:t>
      </w:r>
    </w:p>
    <w:p w14:paraId="5CED7D00" w14:textId="77777777" w:rsidR="00170D85" w:rsidRDefault="00170D85" w:rsidP="00170D85">
      <w:r>
        <w:t>For the McConnel and Kennedy Families</w:t>
      </w:r>
    </w:p>
    <w:p w14:paraId="1DE14D55" w14:textId="77777777" w:rsidR="00170D85" w:rsidRPr="00170D85" w:rsidRDefault="00170D85" w:rsidP="00170D85">
      <w:pPr>
        <w:rPr>
          <w:b/>
          <w:bCs/>
        </w:rPr>
      </w:pPr>
      <w:r w:rsidRPr="00170D85">
        <w:rPr>
          <w:b/>
          <w:bCs/>
        </w:rPr>
        <w:t>Manchester Archives: John Rylands Library</w:t>
      </w:r>
    </w:p>
    <w:p w14:paraId="676071AB" w14:textId="77777777" w:rsidR="00170D85" w:rsidRDefault="00170D85" w:rsidP="00170D85">
      <w:r>
        <w:t>JRL GB 133 MCK Correspondence Received MCK/2/1</w:t>
      </w:r>
    </w:p>
    <w:p w14:paraId="79F5AB5F" w14:textId="77777777" w:rsidR="00170D85" w:rsidRDefault="00170D85" w:rsidP="00170D85">
      <w:r>
        <w:t>JRL GB MCK Correspondence Sent MCK/2/2</w:t>
      </w:r>
    </w:p>
    <w:p w14:paraId="60BC5E2F" w14:textId="77777777" w:rsidR="00170D85" w:rsidRDefault="00170D85" w:rsidP="00170D85">
      <w:r>
        <w:t>JRL GB MCK Financial Records MCK/3</w:t>
      </w:r>
    </w:p>
    <w:p w14:paraId="357628E3" w14:textId="77777777" w:rsidR="00170D85" w:rsidRPr="00A75D8E" w:rsidRDefault="00170D85" w:rsidP="00A75D8E">
      <w:pPr>
        <w:pStyle w:val="Heading2"/>
        <w:rPr>
          <w:rFonts w:asciiTheme="minorHAnsi" w:hAnsiTheme="minorHAnsi" w:cstheme="minorHAnsi"/>
          <w:b/>
          <w:bCs/>
          <w:color w:val="auto"/>
          <w:sz w:val="24"/>
          <w:szCs w:val="24"/>
        </w:rPr>
      </w:pPr>
      <w:bookmarkStart w:id="225" w:name="_Toc170825710"/>
      <w:r w:rsidRPr="00A75D8E">
        <w:rPr>
          <w:rFonts w:asciiTheme="minorHAnsi" w:hAnsiTheme="minorHAnsi" w:cstheme="minorHAnsi"/>
          <w:b/>
          <w:bCs/>
          <w:color w:val="auto"/>
          <w:sz w:val="24"/>
          <w:szCs w:val="24"/>
        </w:rPr>
        <w:t>Online Sources</w:t>
      </w:r>
      <w:bookmarkEnd w:id="225"/>
    </w:p>
    <w:p w14:paraId="110B50F4" w14:textId="677A3C83" w:rsidR="00170D85" w:rsidRDefault="00170D85" w:rsidP="00170D85">
      <w:bookmarkStart w:id="226" w:name="_Hlk156738971"/>
      <w:bookmarkStart w:id="227" w:name="_Hlk156661027"/>
      <w:r>
        <w:t>Ancestry Ireland Unlimited Company</w:t>
      </w:r>
      <w:bookmarkEnd w:id="226"/>
      <w:r>
        <w:t xml:space="preserve">, Ancestry.Co.UK, 2002-2024 </w:t>
      </w:r>
      <w:bookmarkStart w:id="228" w:name="_Hlk156739025"/>
      <w:bookmarkEnd w:id="227"/>
      <w:r>
        <w:t>&lt;</w:t>
      </w:r>
      <w:bookmarkStart w:id="229" w:name="_Hlk156576057"/>
      <w:r>
        <w:t xml:space="preserve">https://www.ancestry.co.uk/ </w:t>
      </w:r>
      <w:bookmarkEnd w:id="229"/>
      <w:r>
        <w:t xml:space="preserve">[last accessed 12 January 2024]  </w:t>
      </w:r>
    </w:p>
    <w:bookmarkEnd w:id="228"/>
    <w:p w14:paraId="7A2D54DD" w14:textId="77777777" w:rsidR="00170D85" w:rsidRDefault="00170D85" w:rsidP="00170D85">
      <w:r>
        <w:t xml:space="preserve">Findmypast.co.uk, Wills and Probate, 2023 &lt;http://www.findmypast.co.uk/&gt; [last accessed 11 December 2023]   </w:t>
      </w:r>
    </w:p>
    <w:p w14:paraId="381D9347" w14:textId="57704D0C" w:rsidR="00170D85" w:rsidRDefault="00170D85" w:rsidP="00170D85">
      <w:bookmarkStart w:id="230" w:name="_Hlk156580417"/>
      <w:r>
        <w:lastRenderedPageBreak/>
        <w:t>Graces Guide Ltd, Graces Guide to British Industrial History, 2021 &lt;https://www.gracesguide.co.uk&gt; [last accessed 12 January 2024]</w:t>
      </w:r>
    </w:p>
    <w:bookmarkEnd w:id="230"/>
    <w:p w14:paraId="61A7E155" w14:textId="77777777" w:rsidR="00170D85" w:rsidRDefault="00170D85" w:rsidP="00170D85">
      <w:r>
        <w:t xml:space="preserve">Hathi Trust, delivered by the University of Illinois and Indiana University, Online Parliamentary Debate – Hansard, &lt;http://www.babel.hathitrust.org&gt; [last accessed 12 January 2024]  </w:t>
      </w:r>
    </w:p>
    <w:p w14:paraId="007C7238" w14:textId="77777777" w:rsidR="00170D85" w:rsidRDefault="00170D85" w:rsidP="00170D85">
      <w:r>
        <w:t xml:space="preserve">History of Parliament Trust, © Crown Copyright, History of Parliament Online: British Political, Social, and Local History, 1964-2020 &lt;https://historyofparliamentonline.org/&gt; [last accessed 12 January 2024]  </w:t>
      </w:r>
    </w:p>
    <w:p w14:paraId="413676E1" w14:textId="77777777" w:rsidR="00170D85" w:rsidRDefault="00170D85" w:rsidP="00170D85">
      <w:r>
        <w:t xml:space="preserve">Jisc Archives Hub, Papers of McConnel &amp; Kennedy and McConnel &amp; Co., 2020 &lt;https://www.archiveshub.jisc.ac.uk/data/gb133-mck&gt; [last accessed 12 January 2024]   </w:t>
      </w:r>
    </w:p>
    <w:p w14:paraId="617B79D8" w14:textId="77777777" w:rsidR="00170D85" w:rsidRDefault="00170D85" w:rsidP="00170D85">
      <w:r>
        <w:t xml:space="preserve">National Archives Website, Legislation.Gov.UK, University Tests Act 1871, 2011 &lt;https://www.legislation.gov.uk &gt; [last accessed 12 January 2024] </w:t>
      </w:r>
    </w:p>
    <w:p w14:paraId="58FE2C2F" w14:textId="77777777" w:rsidR="00170D85" w:rsidRDefault="00170D85" w:rsidP="00170D85">
      <w:r>
        <w:t xml:space="preserve">National Archives Website, National Archives Currency Converter, 2017 &lt;https://www.nationalarchives.gov.uk/&gt; [last accessed 12 January 2024] </w:t>
      </w:r>
    </w:p>
    <w:p w14:paraId="29F1E350" w14:textId="77777777" w:rsidR="00170D85" w:rsidRDefault="00170D85" w:rsidP="00170D85">
      <w:r>
        <w:t xml:space="preserve">&lt;https://www.nationalarchives.gov.uk/currency-converter/&gt; [last accessed January 2024] </w:t>
      </w:r>
    </w:p>
    <w:p w14:paraId="3FAA3E8B" w14:textId="77777777" w:rsidR="00170D85" w:rsidRDefault="00170D85" w:rsidP="00170D85">
      <w:bookmarkStart w:id="231" w:name="_Hlk156582044"/>
      <w:r>
        <w:t xml:space="preserve">Old </w:t>
      </w:r>
      <w:proofErr w:type="spellStart"/>
      <w:r>
        <w:t>Cestrefeldians</w:t>
      </w:r>
      <w:proofErr w:type="spellEnd"/>
      <w:r>
        <w:t xml:space="preserve"> Society, A Tribute to Excellence, 2014 &lt;http://www.oldcestrefeldians.org.uk/History.html&gt; [last accessed 12 January 2024]  </w:t>
      </w:r>
    </w:p>
    <w:bookmarkEnd w:id="231"/>
    <w:p w14:paraId="012E231B" w14:textId="77777777" w:rsidR="00170D85" w:rsidRDefault="00170D85" w:rsidP="00170D85">
      <w:r>
        <w:t xml:space="preserve">Robley, John, Robley Genealogy, 2002 &lt;https://www.robley.org.uk/jrstoke.html&gt; [last accessed 12 January 2024 </w:t>
      </w:r>
    </w:p>
    <w:p w14:paraId="620576A8" w14:textId="77777777" w:rsidR="00170D85" w:rsidRDefault="00170D85" w:rsidP="00170D85">
      <w:bookmarkStart w:id="232" w:name="_Hlk156220988"/>
      <w:r>
        <w:t xml:space="preserve">University College London History Department, Centre for the Study of the Legacies of British Slavery, &lt;https://www.ucl.ac.uk/lbs/project/details&gt; [last accessed 12 January 2024]  </w:t>
      </w:r>
    </w:p>
    <w:bookmarkEnd w:id="232"/>
    <w:p w14:paraId="06A5FF8D" w14:textId="77777777" w:rsidR="00170D85" w:rsidRDefault="00170D85" w:rsidP="00170D85">
      <w:r>
        <w:t xml:space="preserve">University of Manchester, John Rylands Research Institute and Library, 2020-2024 &lt;https://www.library.manchester.ac.uk/rylands/&gt; [last accessed 12 January 2024] </w:t>
      </w:r>
    </w:p>
    <w:p w14:paraId="29496E1C" w14:textId="77777777" w:rsidR="00170D85" w:rsidRPr="00170D85" w:rsidRDefault="00170D85" w:rsidP="00170D85">
      <w:pPr>
        <w:rPr>
          <w:b/>
          <w:bCs/>
        </w:rPr>
      </w:pPr>
      <w:r w:rsidRPr="00170D85">
        <w:rPr>
          <w:b/>
          <w:bCs/>
        </w:rPr>
        <w:t xml:space="preserve">Online Newspaper Articles </w:t>
      </w:r>
    </w:p>
    <w:p w14:paraId="0111F042" w14:textId="77777777" w:rsidR="00170D85" w:rsidRDefault="00170D85" w:rsidP="00170D85">
      <w:bookmarkStart w:id="233" w:name="_Hlk156735309"/>
      <w:r>
        <w:t xml:space="preserve">Pemberton, Rita, ‘Joseph Robley’s Journey to Wealth and Power in Tobago,’ Trinidad and Tobago – Newsday, 31 March 2021 &lt;https://newsday.co.tt/2021/03/31/joseph-robleys-journey-to-wealth-and-power-in-tobago/&gt; [last accessed 12 January 2024]  </w:t>
      </w:r>
    </w:p>
    <w:p w14:paraId="283ABD6A" w14:textId="77777777" w:rsidR="00170D85" w:rsidRDefault="00170D85" w:rsidP="00170D85">
      <w:bookmarkStart w:id="234" w:name="_Hlk156669617"/>
      <w:bookmarkEnd w:id="233"/>
      <w:r>
        <w:t xml:space="preserve">Stallard, Matthew, ‘Cotton Capital: How Slavery Made Manchester the World’s First Industrial City,’ Guardian, 3 April 2023 &lt;https://www.theguardian.com/news/ng-interactive/2023/apr/03/cotton-capital-how-slavery-made-manchester-the-worlds-first-industrial-city&gt; [last accessed 12 January 2024]  </w:t>
      </w:r>
    </w:p>
    <w:bookmarkEnd w:id="234"/>
    <w:p w14:paraId="0D0CDD1D" w14:textId="55EF5A2B" w:rsidR="008F6DF5" w:rsidRDefault="008F6DF5" w:rsidP="00170D85">
      <w:r w:rsidRPr="007171F3">
        <w:rPr>
          <w:i/>
          <w:iCs/>
        </w:rPr>
        <w:t>The London Gazette</w:t>
      </w:r>
      <w:r>
        <w:t>, No. 25723, 22 July 1887, p. 4001 [</w:t>
      </w:r>
      <w:r w:rsidR="007171F3">
        <w:t xml:space="preserve">last </w:t>
      </w:r>
      <w:r>
        <w:t>accessed via Ancestry.co.uk</w:t>
      </w:r>
      <w:r w:rsidR="007171F3">
        <w:t xml:space="preserve"> 1 November 2023] </w:t>
      </w:r>
      <w:r>
        <w:t xml:space="preserve"> </w:t>
      </w:r>
    </w:p>
    <w:p w14:paraId="70815024" w14:textId="77777777" w:rsidR="00170D85" w:rsidRPr="00A75D8E" w:rsidRDefault="00170D85" w:rsidP="00A75D8E">
      <w:pPr>
        <w:pStyle w:val="Heading2"/>
        <w:rPr>
          <w:rFonts w:asciiTheme="minorHAnsi" w:hAnsiTheme="minorHAnsi" w:cstheme="minorHAnsi"/>
          <w:b/>
          <w:bCs/>
          <w:color w:val="auto"/>
          <w:sz w:val="24"/>
          <w:szCs w:val="24"/>
        </w:rPr>
      </w:pPr>
      <w:bookmarkStart w:id="235" w:name="_Toc170825711"/>
      <w:r w:rsidRPr="00A75D8E">
        <w:rPr>
          <w:rFonts w:asciiTheme="minorHAnsi" w:hAnsiTheme="minorHAnsi" w:cstheme="minorHAnsi"/>
          <w:b/>
          <w:bCs/>
          <w:color w:val="auto"/>
          <w:sz w:val="24"/>
          <w:szCs w:val="24"/>
        </w:rPr>
        <w:t>Secondary Sources</w:t>
      </w:r>
      <w:bookmarkEnd w:id="235"/>
    </w:p>
    <w:p w14:paraId="2BEC691B" w14:textId="77777777" w:rsidR="00170D85" w:rsidRPr="00170D85" w:rsidRDefault="00170D85" w:rsidP="00170D85">
      <w:pPr>
        <w:rPr>
          <w:b/>
          <w:bCs/>
        </w:rPr>
      </w:pPr>
      <w:r w:rsidRPr="00170D85">
        <w:rPr>
          <w:b/>
          <w:bCs/>
        </w:rPr>
        <w:t xml:space="preserve">Books </w:t>
      </w:r>
    </w:p>
    <w:p w14:paraId="278901F5" w14:textId="77777777" w:rsidR="00170D85" w:rsidRDefault="00170D85" w:rsidP="00170D85">
      <w:r>
        <w:t xml:space="preserve">Alston, David, </w:t>
      </w:r>
      <w:r w:rsidRPr="00170D85">
        <w:rPr>
          <w:i/>
          <w:iCs/>
        </w:rPr>
        <w:t>Slaves and Highlanders: Silenced Histories of Scotland and the Caribbean</w:t>
      </w:r>
      <w:r>
        <w:t xml:space="preserve"> (Edinburgh: Edinburgh University Press, 2022) </w:t>
      </w:r>
    </w:p>
    <w:p w14:paraId="4E1CE2FA" w14:textId="77777777" w:rsidR="00170D85" w:rsidRDefault="00170D85" w:rsidP="00170D85">
      <w:r>
        <w:t xml:space="preserve">Barker, Hannah, </w:t>
      </w:r>
      <w:r w:rsidRPr="00170D85">
        <w:rPr>
          <w:i/>
          <w:iCs/>
        </w:rPr>
        <w:t>Family and Business during the Industrial Revolution</w:t>
      </w:r>
      <w:r>
        <w:t xml:space="preserve"> (Oxford: Oxford University Press, 2017)</w:t>
      </w:r>
    </w:p>
    <w:p w14:paraId="453C7BE5" w14:textId="77777777" w:rsidR="00170D85" w:rsidRDefault="00170D85" w:rsidP="00170D85">
      <w:r>
        <w:lastRenderedPageBreak/>
        <w:t xml:space="preserve">Beckert, Sven, </w:t>
      </w:r>
      <w:r w:rsidRPr="00170D85">
        <w:rPr>
          <w:i/>
          <w:iCs/>
        </w:rPr>
        <w:t>Empire of Cotton: A Global History</w:t>
      </w:r>
      <w:r>
        <w:t xml:space="preserve"> (New York: Vintage Books, 2015)</w:t>
      </w:r>
    </w:p>
    <w:p w14:paraId="3C69C952" w14:textId="77777777" w:rsidR="00170D85" w:rsidRDefault="00170D85" w:rsidP="00170D85">
      <w:r>
        <w:t xml:space="preserve">Boyes, Megan, </w:t>
      </w:r>
      <w:r w:rsidRPr="00170D85">
        <w:rPr>
          <w:i/>
          <w:iCs/>
        </w:rPr>
        <w:t>Allestree Hall</w:t>
      </w:r>
      <w:r>
        <w:t xml:space="preserve"> (Derby: © Megan Boyes, 1982)</w:t>
      </w:r>
    </w:p>
    <w:p w14:paraId="415D336B" w14:textId="77777777" w:rsidR="00170D85" w:rsidRDefault="00170D85" w:rsidP="00170D85">
      <w:r>
        <w:t xml:space="preserve">Boyson, Rhodes, </w:t>
      </w:r>
      <w:r w:rsidRPr="00170D85">
        <w:rPr>
          <w:i/>
          <w:iCs/>
        </w:rPr>
        <w:t>The Ashworth Cotton Enterprise: The Rise and Fall of a Family Firm, 1818-1880</w:t>
      </w:r>
      <w:r>
        <w:t xml:space="preserve"> (Oxford: Oxford University Press, 1970)</w:t>
      </w:r>
    </w:p>
    <w:p w14:paraId="2F8A678A" w14:textId="77777777" w:rsidR="00170D85" w:rsidRDefault="00170D85" w:rsidP="00170D85">
      <w:r>
        <w:t xml:space="preserve">Burkholder, Mark A., and Johnson, Lyman, </w:t>
      </w:r>
      <w:r w:rsidRPr="00170D85">
        <w:rPr>
          <w:i/>
          <w:iCs/>
        </w:rPr>
        <w:t>Colonial Latin America</w:t>
      </w:r>
      <w:r>
        <w:t xml:space="preserve"> (Oxford: Oxford University Press, 2010)</w:t>
      </w:r>
    </w:p>
    <w:p w14:paraId="6BB2E08A" w14:textId="77777777" w:rsidR="00170D85" w:rsidRDefault="00170D85" w:rsidP="00170D85">
      <w:proofErr w:type="spellStart"/>
      <w:r>
        <w:t>Certeau</w:t>
      </w:r>
      <w:proofErr w:type="spellEnd"/>
      <w:r>
        <w:t xml:space="preserve"> de, Michel, </w:t>
      </w:r>
      <w:r w:rsidRPr="00170D85">
        <w:rPr>
          <w:i/>
          <w:iCs/>
        </w:rPr>
        <w:t>The Writing of History</w:t>
      </w:r>
      <w:r>
        <w:t xml:space="preserve"> (Columbia: Columbia University Press, 1998)</w:t>
      </w:r>
    </w:p>
    <w:p w14:paraId="485CEBF1" w14:textId="77777777" w:rsidR="00170D85" w:rsidRDefault="00170D85" w:rsidP="00170D85">
      <w:r>
        <w:t xml:space="preserve">Chapman, Stanley D., </w:t>
      </w:r>
      <w:r w:rsidRPr="00170D85">
        <w:rPr>
          <w:i/>
          <w:iCs/>
        </w:rPr>
        <w:t>The Cotton Industry in the Industrial Revolution</w:t>
      </w:r>
      <w:r>
        <w:t xml:space="preserve"> (London: MacMillan Education, 3rd Edition, 1979)</w:t>
      </w:r>
    </w:p>
    <w:p w14:paraId="2FD46647" w14:textId="77777777" w:rsidR="00170D85" w:rsidRDefault="00170D85" w:rsidP="00170D85">
      <w:r>
        <w:t xml:space="preserve">Chapman, Stanley D., </w:t>
      </w:r>
      <w:r w:rsidRPr="00170D85">
        <w:rPr>
          <w:i/>
          <w:iCs/>
        </w:rPr>
        <w:t>The Early Factory Masters: The Transition to the Factory System in the Midlands Textile Industry</w:t>
      </w:r>
      <w:r>
        <w:t xml:space="preserve"> (Newton Abbot: David &amp; Charles, 1967)</w:t>
      </w:r>
    </w:p>
    <w:p w14:paraId="02647096" w14:textId="77777777" w:rsidR="00170D85" w:rsidRDefault="00170D85" w:rsidP="00170D85">
      <w:r>
        <w:t xml:space="preserve">Collyer, John, </w:t>
      </w:r>
      <w:r w:rsidRPr="00170D85">
        <w:rPr>
          <w:i/>
          <w:iCs/>
        </w:rPr>
        <w:t>A Practical Treatise on the Law of Partnership, Book I and Book III</w:t>
      </w:r>
      <w:r>
        <w:t xml:space="preserve"> (Springfield: G. &amp; C. Merriam, 1839) </w:t>
      </w:r>
    </w:p>
    <w:p w14:paraId="623FE635" w14:textId="77777777" w:rsidR="00170D85" w:rsidRDefault="00170D85" w:rsidP="00170D85">
      <w:r>
        <w:t xml:space="preserve">Conca Messina, Silvia A., </w:t>
      </w:r>
      <w:r w:rsidRPr="00170D85">
        <w:rPr>
          <w:i/>
          <w:iCs/>
        </w:rPr>
        <w:t>Cotton Enterprises: Networks and Strategies: Lombardy in the Industrial Revolution, 1815-1860</w:t>
      </w:r>
      <w:r>
        <w:t xml:space="preserve"> (London: Routledge, 2015)  </w:t>
      </w:r>
    </w:p>
    <w:p w14:paraId="486F768B" w14:textId="77777777" w:rsidR="00170D85" w:rsidRDefault="00170D85" w:rsidP="00170D85">
      <w:r>
        <w:t xml:space="preserve">Cooke, Anthony, </w:t>
      </w:r>
      <w:r w:rsidRPr="00170D85">
        <w:rPr>
          <w:i/>
          <w:iCs/>
        </w:rPr>
        <w:t>The Rise and Fall of the Scottish Cotton Industry, 1778-1914</w:t>
      </w:r>
      <w:r>
        <w:t xml:space="preserve"> (Manchester: Manchester University Press, 2010)</w:t>
      </w:r>
    </w:p>
    <w:p w14:paraId="77238391" w14:textId="77777777" w:rsidR="00170D85" w:rsidRDefault="00170D85" w:rsidP="00170D85">
      <w:r>
        <w:t xml:space="preserve">Cooper, Brian, </w:t>
      </w:r>
      <w:r w:rsidRPr="00170D85">
        <w:rPr>
          <w:i/>
          <w:iCs/>
        </w:rPr>
        <w:t>Transformation of a Valley: The Derbyshire Derwent</w:t>
      </w:r>
      <w:r>
        <w:t xml:space="preserve"> (Cromford: </w:t>
      </w:r>
      <w:proofErr w:type="spellStart"/>
      <w:r>
        <w:t>Scarthin</w:t>
      </w:r>
      <w:proofErr w:type="spellEnd"/>
      <w:r>
        <w:t xml:space="preserve"> Books, 1991)</w:t>
      </w:r>
    </w:p>
    <w:p w14:paraId="287B400C" w14:textId="77777777" w:rsidR="00170D85" w:rsidRDefault="00170D85" w:rsidP="00170D85">
      <w:r>
        <w:t xml:space="preserve">Craven, Maxwell, </w:t>
      </w:r>
      <w:r w:rsidRPr="00170D85">
        <w:rPr>
          <w:i/>
          <w:iCs/>
        </w:rPr>
        <w:t>An Illustrated History of Derby</w:t>
      </w:r>
      <w:r>
        <w:t xml:space="preserve"> (Derby: Breedon Books, 2007) </w:t>
      </w:r>
    </w:p>
    <w:p w14:paraId="1B54D544" w14:textId="77777777" w:rsidR="00170D85" w:rsidRDefault="00170D85" w:rsidP="00170D85">
      <w:r>
        <w:t xml:space="preserve">Craven, Maxwell, </w:t>
      </w:r>
      <w:proofErr w:type="spellStart"/>
      <w:r w:rsidRPr="00170D85">
        <w:rPr>
          <w:i/>
          <w:iCs/>
        </w:rPr>
        <w:t>Derbeians</w:t>
      </w:r>
      <w:proofErr w:type="spellEnd"/>
      <w:r w:rsidRPr="00170D85">
        <w:rPr>
          <w:i/>
          <w:iCs/>
        </w:rPr>
        <w:t xml:space="preserve"> of Distinction</w:t>
      </w:r>
      <w:r>
        <w:t xml:space="preserve"> (Derby: Breedon Books, 1998)</w:t>
      </w:r>
    </w:p>
    <w:p w14:paraId="2086616E" w14:textId="77777777" w:rsidR="00170D85" w:rsidRDefault="00170D85" w:rsidP="00170D85">
      <w:r>
        <w:t xml:space="preserve">Darwin, Erasmus, </w:t>
      </w:r>
      <w:r w:rsidRPr="00170D85">
        <w:rPr>
          <w:i/>
          <w:iCs/>
        </w:rPr>
        <w:t>A Plan for the Conduct of Female Education, in Boarding Schools, Private Families, and Public Seminaries</w:t>
      </w:r>
      <w:r>
        <w:t xml:space="preserve"> (London: J. Johnson of St. Paul’s Churchyard, 1797) </w:t>
      </w:r>
    </w:p>
    <w:p w14:paraId="5E5476A0" w14:textId="77777777" w:rsidR="00170D85" w:rsidRDefault="00170D85" w:rsidP="00170D85">
      <w:bookmarkStart w:id="236" w:name="_Hlk156579664"/>
      <w:r>
        <w:t xml:space="preserve">Davidoff, Leonore, and Hall, Catherine, </w:t>
      </w:r>
      <w:r w:rsidRPr="00170D85">
        <w:rPr>
          <w:i/>
          <w:iCs/>
        </w:rPr>
        <w:t>Family Fortunes: Men and Women of the English Middle Class 1780-1850</w:t>
      </w:r>
      <w:r>
        <w:t xml:space="preserve"> (London: Routledge, 1987) </w:t>
      </w:r>
    </w:p>
    <w:bookmarkEnd w:id="236"/>
    <w:p w14:paraId="6957C4C5" w14:textId="77777777" w:rsidR="00170D85" w:rsidRDefault="00170D85" w:rsidP="00170D85">
      <w:r>
        <w:t xml:space="preserve">Dawes, Margaret, and Selwyn, Nesta, </w:t>
      </w:r>
      <w:r w:rsidRPr="00170D85">
        <w:rPr>
          <w:i/>
          <w:iCs/>
        </w:rPr>
        <w:t>Women Who Made Money: Women Partners in British Private Banks 1752-1906</w:t>
      </w:r>
      <w:r>
        <w:t xml:space="preserve"> (United States of America: Trafford Publishing, 2010) </w:t>
      </w:r>
    </w:p>
    <w:p w14:paraId="6724A1F0" w14:textId="77777777" w:rsidR="00170D85" w:rsidRDefault="00170D85" w:rsidP="00170D85">
      <w:r>
        <w:t xml:space="preserve">Derrida, Jacques, </w:t>
      </w:r>
      <w:r w:rsidRPr="00170D85">
        <w:rPr>
          <w:i/>
          <w:iCs/>
        </w:rPr>
        <w:t>Archive Fever: A Freudian Impression</w:t>
      </w:r>
      <w:r>
        <w:t xml:space="preserve"> (Chicago: University of Chicago Press, 1995)</w:t>
      </w:r>
    </w:p>
    <w:p w14:paraId="0365755E" w14:textId="77777777" w:rsidR="00170D85" w:rsidRDefault="00170D85" w:rsidP="00170D85">
      <w:r>
        <w:t xml:space="preserve">Donington, Katie, </w:t>
      </w:r>
      <w:r w:rsidRPr="00170D85">
        <w:rPr>
          <w:i/>
          <w:iCs/>
        </w:rPr>
        <w:t>The Bonds of Family: Slavery, Commerce and Culture in the British Atlantic World</w:t>
      </w:r>
      <w:r>
        <w:t xml:space="preserve"> (Manchester: Manchester University Press, 2020) </w:t>
      </w:r>
    </w:p>
    <w:p w14:paraId="66545051" w14:textId="77777777" w:rsidR="00170D85" w:rsidRDefault="00170D85" w:rsidP="00170D85">
      <w:r>
        <w:t xml:space="preserve">Edwards, D. G., </w:t>
      </w:r>
      <w:r w:rsidRPr="00170D85">
        <w:rPr>
          <w:i/>
          <w:iCs/>
        </w:rPr>
        <w:t>Derbyshire Hearth Tax Assessments, 1662-70</w:t>
      </w:r>
      <w:r>
        <w:t xml:space="preserve"> (Chesterfield: Derbyshire Record Society, 1982) </w:t>
      </w:r>
    </w:p>
    <w:p w14:paraId="4B9A23F8" w14:textId="77777777" w:rsidR="00170D85" w:rsidRPr="00170D85" w:rsidRDefault="00170D85" w:rsidP="00170D85">
      <w:pPr>
        <w:rPr>
          <w:lang w:val="de-DE"/>
        </w:rPr>
      </w:pPr>
      <w:r w:rsidRPr="00170D85">
        <w:rPr>
          <w:lang w:val="de-DE"/>
        </w:rPr>
        <w:t xml:space="preserve">Eisenberg, Elizabeth, </w:t>
      </w:r>
      <w:r w:rsidRPr="00170D85">
        <w:rPr>
          <w:i/>
          <w:iCs/>
          <w:lang w:val="de-DE"/>
        </w:rPr>
        <w:t>Allestree</w:t>
      </w:r>
      <w:r w:rsidRPr="00170D85">
        <w:rPr>
          <w:lang w:val="de-DE"/>
        </w:rPr>
        <w:t xml:space="preserve"> (Derby: Tranter, 1983) </w:t>
      </w:r>
    </w:p>
    <w:p w14:paraId="7362B430" w14:textId="77777777" w:rsidR="00170D85" w:rsidRDefault="00170D85" w:rsidP="00170D85">
      <w:r>
        <w:t xml:space="preserve">Elliott, Paul, </w:t>
      </w:r>
      <w:r w:rsidRPr="00170D85">
        <w:rPr>
          <w:i/>
          <w:iCs/>
        </w:rPr>
        <w:t>The Derby Philosophers: Science and Culture in British Urban Society, 1700-1850</w:t>
      </w:r>
      <w:r>
        <w:t xml:space="preserve"> (Manchester: Manchester University Press, 2009)  </w:t>
      </w:r>
    </w:p>
    <w:p w14:paraId="2CA78023" w14:textId="77777777" w:rsidR="00170D85" w:rsidRDefault="00170D85" w:rsidP="00170D85">
      <w:bookmarkStart w:id="237" w:name="_Hlk156738058"/>
      <w:r>
        <w:t xml:space="preserve">Ellison, Thomas, </w:t>
      </w:r>
      <w:r w:rsidRPr="00170D85">
        <w:rPr>
          <w:i/>
          <w:iCs/>
        </w:rPr>
        <w:t>The Cotton Trade of Great Britain</w:t>
      </w:r>
      <w:r>
        <w:t xml:space="preserve"> (London: Effingham Wilson, 1886) </w:t>
      </w:r>
    </w:p>
    <w:bookmarkEnd w:id="237"/>
    <w:p w14:paraId="30EB8B5E" w14:textId="77777777" w:rsidR="00170D85" w:rsidRDefault="00170D85" w:rsidP="00170D85">
      <w:r>
        <w:lastRenderedPageBreak/>
        <w:t xml:space="preserve">Ferguson, Alan, </w:t>
      </w:r>
      <w:r w:rsidRPr="00170D85">
        <w:rPr>
          <w:i/>
          <w:iCs/>
        </w:rPr>
        <w:t>Darley Abbey and the Evans Family (Including the Florence Nightingale/Evans Connection)</w:t>
      </w:r>
      <w:r>
        <w:t xml:space="preserve"> (Darley Abbey: Self Published © Alan Ferguson, 2005)</w:t>
      </w:r>
    </w:p>
    <w:p w14:paraId="574E6805" w14:textId="77777777" w:rsidR="00170D85" w:rsidRDefault="00170D85" w:rsidP="00170D85">
      <w:bookmarkStart w:id="238" w:name="_Hlk156651656"/>
      <w:r>
        <w:t xml:space="preserve">Fitton, Robert S., and Wadsworth, Alfred P., </w:t>
      </w:r>
      <w:r w:rsidRPr="00170D85">
        <w:rPr>
          <w:i/>
          <w:iCs/>
        </w:rPr>
        <w:t xml:space="preserve">The </w:t>
      </w:r>
      <w:proofErr w:type="spellStart"/>
      <w:r w:rsidRPr="00170D85">
        <w:rPr>
          <w:i/>
          <w:iCs/>
        </w:rPr>
        <w:t>Strutts</w:t>
      </w:r>
      <w:proofErr w:type="spellEnd"/>
      <w:r w:rsidRPr="00170D85">
        <w:rPr>
          <w:i/>
          <w:iCs/>
        </w:rPr>
        <w:t xml:space="preserve"> and the </w:t>
      </w:r>
      <w:proofErr w:type="spellStart"/>
      <w:r w:rsidRPr="00170D85">
        <w:rPr>
          <w:i/>
          <w:iCs/>
        </w:rPr>
        <w:t>Arkwrights</w:t>
      </w:r>
      <w:proofErr w:type="spellEnd"/>
      <w:r w:rsidRPr="00170D85">
        <w:rPr>
          <w:i/>
          <w:iCs/>
        </w:rPr>
        <w:t>, 1758-1830</w:t>
      </w:r>
      <w:r>
        <w:t xml:space="preserve"> (Manchester: Manchester University Press, 1958)</w:t>
      </w:r>
    </w:p>
    <w:bookmarkEnd w:id="238"/>
    <w:p w14:paraId="75F95D9B" w14:textId="77777777" w:rsidR="00170D85" w:rsidRDefault="00170D85" w:rsidP="00170D85">
      <w:r>
        <w:t xml:space="preserve">Fitton, Robert S., </w:t>
      </w:r>
      <w:r w:rsidRPr="00170D85">
        <w:rPr>
          <w:i/>
          <w:iCs/>
        </w:rPr>
        <w:t xml:space="preserve">The </w:t>
      </w:r>
      <w:proofErr w:type="spellStart"/>
      <w:r w:rsidRPr="00170D85">
        <w:rPr>
          <w:i/>
          <w:iCs/>
        </w:rPr>
        <w:t>Arkwrights</w:t>
      </w:r>
      <w:proofErr w:type="spellEnd"/>
      <w:r w:rsidRPr="00170D85">
        <w:rPr>
          <w:i/>
          <w:iCs/>
        </w:rPr>
        <w:t>: Spinners of Fortune</w:t>
      </w:r>
      <w:r>
        <w:t xml:space="preserve"> (Manchester: Manchester, University Press 1989)</w:t>
      </w:r>
    </w:p>
    <w:p w14:paraId="7A8902AF" w14:textId="77777777" w:rsidR="00170D85" w:rsidRDefault="00170D85" w:rsidP="00170D85">
      <w:r>
        <w:t xml:space="preserve">Finn, Margot, </w:t>
      </w:r>
      <w:r w:rsidRPr="00170D85">
        <w:rPr>
          <w:i/>
          <w:iCs/>
        </w:rPr>
        <w:t>The Character of Credit: Personal Debt in English Culture, 1740-1914</w:t>
      </w:r>
      <w:r>
        <w:t xml:space="preserve"> (Cambridge: Cambridge University Press, 2003)</w:t>
      </w:r>
    </w:p>
    <w:p w14:paraId="7538EBAE" w14:textId="77777777" w:rsidR="00170D85" w:rsidRDefault="00170D85" w:rsidP="00170D85">
      <w:r>
        <w:t xml:space="preserve">Foucault, Michel, </w:t>
      </w:r>
      <w:r w:rsidRPr="00170D85">
        <w:rPr>
          <w:i/>
          <w:iCs/>
        </w:rPr>
        <w:t>The Archaeology of Knowledge</w:t>
      </w:r>
      <w:r>
        <w:t xml:space="preserve"> (London: Routledge, 1972)</w:t>
      </w:r>
    </w:p>
    <w:p w14:paraId="19736C13" w14:textId="33994811" w:rsidR="005C2FAF" w:rsidRDefault="005C2FAF" w:rsidP="00170D85">
      <w:r w:rsidRPr="005C2FAF">
        <w:t xml:space="preserve">Galor Oded, </w:t>
      </w:r>
      <w:r w:rsidRPr="005C2FAF">
        <w:rPr>
          <w:i/>
          <w:iCs/>
        </w:rPr>
        <w:t>Unified Growth Theory</w:t>
      </w:r>
      <w:r w:rsidRPr="005C2FAF">
        <w:t xml:space="preserve"> (Princeton: Princeton University Press, 2011)</w:t>
      </w:r>
    </w:p>
    <w:p w14:paraId="23B67902" w14:textId="3A70EE51" w:rsidR="00170D85" w:rsidRDefault="00170D85" w:rsidP="00170D85">
      <w:r>
        <w:t xml:space="preserve">Gillis, John R., </w:t>
      </w:r>
      <w:r w:rsidRPr="00170D85">
        <w:rPr>
          <w:i/>
          <w:iCs/>
        </w:rPr>
        <w:t>For Better, For Worse: British Marriage, 1600 to the Present</w:t>
      </w:r>
      <w:r>
        <w:t xml:space="preserve"> (New York and Oxford: Oxford University Press, 1986) </w:t>
      </w:r>
    </w:p>
    <w:p w14:paraId="4019F2EE" w14:textId="192BAB41" w:rsidR="003A4425" w:rsidRDefault="003A4425" w:rsidP="00170D85">
      <w:r w:rsidRPr="003A4425">
        <w:t>Griffin, Emma</w:t>
      </w:r>
      <w:r>
        <w:t>,</w:t>
      </w:r>
      <w:r w:rsidRPr="003A4425">
        <w:t xml:space="preserve"> </w:t>
      </w:r>
      <w:r w:rsidRPr="003A4425">
        <w:rPr>
          <w:i/>
          <w:iCs/>
        </w:rPr>
        <w:t>Liberty’s Dawn: A People’s History of the Industrial Revolution</w:t>
      </w:r>
      <w:r w:rsidRPr="003A4425">
        <w:t xml:space="preserve"> (New Haven</w:t>
      </w:r>
      <w:r>
        <w:t>: Yale University Press</w:t>
      </w:r>
      <w:r w:rsidRPr="003A4425">
        <w:t>, 2013)</w:t>
      </w:r>
    </w:p>
    <w:p w14:paraId="2A4D12E0" w14:textId="3AED63C9" w:rsidR="00170D85" w:rsidRDefault="00170D85" w:rsidP="00170D85">
      <w:r>
        <w:t xml:space="preserve">Guest, Richard, </w:t>
      </w:r>
      <w:r w:rsidRPr="00170D85">
        <w:rPr>
          <w:i/>
          <w:iCs/>
        </w:rPr>
        <w:t>A Compendious History of Cotton Manufacture</w:t>
      </w:r>
      <w:r>
        <w:t xml:space="preserve"> (Abingdon: Frank Cass &amp; Co., Ltd, New Impression, 1968 [First Edition,1823])</w:t>
      </w:r>
    </w:p>
    <w:p w14:paraId="69D9EA59" w14:textId="77777777" w:rsidR="00170D85" w:rsidRDefault="00170D85" w:rsidP="00170D85">
      <w:r>
        <w:t xml:space="preserve">Haggerty, </w:t>
      </w:r>
      <w:proofErr w:type="spellStart"/>
      <w:r>
        <w:t>Sheryllynne</w:t>
      </w:r>
      <w:proofErr w:type="spellEnd"/>
      <w:r>
        <w:t xml:space="preserve">, </w:t>
      </w:r>
      <w:r w:rsidRPr="00170D85">
        <w:rPr>
          <w:i/>
          <w:iCs/>
        </w:rPr>
        <w:t xml:space="preserve">Merely for </w:t>
      </w:r>
      <w:proofErr w:type="gramStart"/>
      <w:r w:rsidRPr="00170D85">
        <w:rPr>
          <w:i/>
          <w:iCs/>
        </w:rPr>
        <w:t>Money?:</w:t>
      </w:r>
      <w:proofErr w:type="gramEnd"/>
      <w:r w:rsidRPr="00170D85">
        <w:rPr>
          <w:i/>
          <w:iCs/>
        </w:rPr>
        <w:t xml:space="preserve"> Business Culture in the British Atlantic, 1750-1815</w:t>
      </w:r>
      <w:r>
        <w:t xml:space="preserve"> (Liverpool: Liverpool University Press, 2012)</w:t>
      </w:r>
    </w:p>
    <w:p w14:paraId="40D74861" w14:textId="25BA9E1B" w:rsidR="00DD1CD2" w:rsidRDefault="00DD1CD2" w:rsidP="00170D85">
      <w:r w:rsidRPr="00DD1CD2">
        <w:t>Hamilton</w:t>
      </w:r>
      <w:r>
        <w:t>,</w:t>
      </w:r>
      <w:r w:rsidRPr="00DD1CD2">
        <w:t xml:space="preserve"> Douglas, </w:t>
      </w:r>
      <w:r w:rsidRPr="00DD1CD2">
        <w:rPr>
          <w:i/>
          <w:iCs/>
        </w:rPr>
        <w:t>Scotland, the Caribbean, and the Atlantic World, 1750 - 1820</w:t>
      </w:r>
      <w:r w:rsidRPr="00DD1CD2">
        <w:t xml:space="preserve"> (Manchester: Manchester University Press, 2016)</w:t>
      </w:r>
    </w:p>
    <w:p w14:paraId="68004367" w14:textId="23139211" w:rsidR="00170D85" w:rsidRDefault="00170D85" w:rsidP="00170D85">
      <w:r>
        <w:t xml:space="preserve">Henderson, William O., </w:t>
      </w:r>
      <w:r w:rsidRPr="00170D85">
        <w:rPr>
          <w:i/>
          <w:iCs/>
        </w:rPr>
        <w:t>Industrial Britain under the Regency, 1814-1818</w:t>
      </w:r>
      <w:r>
        <w:t xml:space="preserve"> (London: Frank Cass &amp; Co., Ltd., 1968) </w:t>
      </w:r>
    </w:p>
    <w:p w14:paraId="6D26B5E9" w14:textId="77777777" w:rsidR="00170D85" w:rsidRDefault="00170D85" w:rsidP="00170D85">
      <w:r>
        <w:t xml:space="preserve">Higman, Barry W., </w:t>
      </w:r>
      <w:r w:rsidRPr="00170D85">
        <w:rPr>
          <w:i/>
          <w:iCs/>
        </w:rPr>
        <w:t>Jamaica Surveyed: Plantation Maps and Plans of the Eighteenth and Nineteenth Centuries</w:t>
      </w:r>
      <w:r>
        <w:t xml:space="preserve"> (Jamaica: University of West India Press, 2001)</w:t>
      </w:r>
    </w:p>
    <w:p w14:paraId="011D9047" w14:textId="77777777" w:rsidR="00170D85" w:rsidRDefault="00170D85" w:rsidP="00170D85">
      <w:r>
        <w:t xml:space="preserve">Hill, Michael R., </w:t>
      </w:r>
      <w:r w:rsidRPr="00170D85">
        <w:rPr>
          <w:i/>
          <w:iCs/>
        </w:rPr>
        <w:t>Archival Strategies and Techniques</w:t>
      </w:r>
      <w:r>
        <w:t xml:space="preserve"> (London: Sage: 1993)</w:t>
      </w:r>
    </w:p>
    <w:p w14:paraId="6634A52B" w14:textId="77777777" w:rsidR="00170D85" w:rsidRDefault="00170D85" w:rsidP="00170D85">
      <w:r>
        <w:t xml:space="preserve">Hills, Richard L., </w:t>
      </w:r>
      <w:r w:rsidRPr="00170D85">
        <w:rPr>
          <w:i/>
          <w:iCs/>
        </w:rPr>
        <w:t>Richard Arkwright and Cotton Spinning</w:t>
      </w:r>
      <w:r>
        <w:t xml:space="preserve"> (London: Priory Press Limited, 1973)</w:t>
      </w:r>
    </w:p>
    <w:p w14:paraId="0CB1575D" w14:textId="77777777" w:rsidR="00170D85" w:rsidRDefault="00170D85" w:rsidP="00170D85">
      <w:r>
        <w:t xml:space="preserve">Hobson, John M., </w:t>
      </w:r>
      <w:r w:rsidRPr="00170D85">
        <w:rPr>
          <w:i/>
          <w:iCs/>
        </w:rPr>
        <w:t>The Eastern Origins of Western Civilisation</w:t>
      </w:r>
      <w:r>
        <w:t xml:space="preserve"> (Cambridge: Cambridge University Press, 2004)</w:t>
      </w:r>
    </w:p>
    <w:p w14:paraId="0A714994" w14:textId="77777777" w:rsidR="00170D85" w:rsidRDefault="00170D85" w:rsidP="00170D85">
      <w:bookmarkStart w:id="239" w:name="_Hlk156642356"/>
      <w:r>
        <w:t xml:space="preserve">Honeyman, Katrina, </w:t>
      </w:r>
      <w:r w:rsidRPr="00170D85">
        <w:rPr>
          <w:i/>
          <w:iCs/>
        </w:rPr>
        <w:t>Origins of Enterprise: Business leadership in the Industrial Revolution</w:t>
      </w:r>
      <w:r>
        <w:t xml:space="preserve"> (Manchester: Manchester University Press, 1983)</w:t>
      </w:r>
    </w:p>
    <w:p w14:paraId="37206E7C" w14:textId="77777777" w:rsidR="00170D85" w:rsidRDefault="00170D85" w:rsidP="00170D85">
      <w:bookmarkStart w:id="240" w:name="_Hlk156583913"/>
      <w:bookmarkEnd w:id="239"/>
      <w:r>
        <w:t xml:space="preserve">Honeyman, Katrina, </w:t>
      </w:r>
      <w:r w:rsidRPr="00170D85">
        <w:rPr>
          <w:i/>
          <w:iCs/>
        </w:rPr>
        <w:t>Women, Gender, and Industrialisation in England, 1700-1870</w:t>
      </w:r>
      <w:r>
        <w:t xml:space="preserve"> (Basingstoke and London: Macmillan Press, 2000) </w:t>
      </w:r>
    </w:p>
    <w:bookmarkEnd w:id="240"/>
    <w:p w14:paraId="723B5BF7" w14:textId="77777777" w:rsidR="00170D85" w:rsidRDefault="00170D85" w:rsidP="00170D85">
      <w:r>
        <w:t xml:space="preserve">Hudson, Pat, </w:t>
      </w:r>
      <w:r w:rsidRPr="00170D85">
        <w:rPr>
          <w:i/>
          <w:iCs/>
        </w:rPr>
        <w:t>The Genesis of Industrial Capital: A study of West Riding Wool Textile Industry, c. 1750-1850</w:t>
      </w:r>
      <w:r>
        <w:t xml:space="preserve"> (Cambridge: Cambridge University Press, 2002)</w:t>
      </w:r>
    </w:p>
    <w:p w14:paraId="6A441986" w14:textId="77777777" w:rsidR="00170D85" w:rsidRDefault="00170D85" w:rsidP="00170D85">
      <w:r>
        <w:t xml:space="preserve">Hudson, Pat, </w:t>
      </w:r>
      <w:r w:rsidRPr="00170D85">
        <w:rPr>
          <w:i/>
          <w:iCs/>
        </w:rPr>
        <w:t>The Industrial Revolution</w:t>
      </w:r>
      <w:r>
        <w:t xml:space="preserve"> (London and New York: Routledge, 1992) </w:t>
      </w:r>
    </w:p>
    <w:p w14:paraId="51942131" w14:textId="77777777" w:rsidR="00170D85" w:rsidRDefault="00170D85" w:rsidP="00170D85">
      <w:bookmarkStart w:id="241" w:name="_Hlk156573853"/>
      <w:r>
        <w:t xml:space="preserve">Hunt, Margaret R., </w:t>
      </w:r>
      <w:r w:rsidRPr="00170D85">
        <w:rPr>
          <w:i/>
          <w:iCs/>
        </w:rPr>
        <w:t>The Middling Sort: Commerce, Gender and the Family in England, 1680-1780</w:t>
      </w:r>
      <w:r>
        <w:t xml:space="preserve"> (London: University of California Press, 1996)  </w:t>
      </w:r>
    </w:p>
    <w:bookmarkEnd w:id="241"/>
    <w:p w14:paraId="3ACA23C7" w14:textId="77777777" w:rsidR="00170D85" w:rsidRDefault="00170D85" w:rsidP="00170D85">
      <w:r>
        <w:lastRenderedPageBreak/>
        <w:t xml:space="preserve">Jones, Eric, </w:t>
      </w:r>
      <w:r w:rsidRPr="00170D85">
        <w:rPr>
          <w:i/>
          <w:iCs/>
        </w:rPr>
        <w:t>The European Miracle: Environments, Economies and Geopolitics in the History of Europe and Asia</w:t>
      </w:r>
      <w:r>
        <w:t xml:space="preserve"> (Cambridge: Cambridge University Press, 1981)  </w:t>
      </w:r>
    </w:p>
    <w:p w14:paraId="77CB4E00" w14:textId="77777777" w:rsidR="00170D85" w:rsidRDefault="00170D85" w:rsidP="00170D85">
      <w:r>
        <w:t xml:space="preserve">Jones-Jackson, Patricia, </w:t>
      </w:r>
      <w:r w:rsidRPr="00170D85">
        <w:rPr>
          <w:i/>
          <w:iCs/>
        </w:rPr>
        <w:t>When Roots Die: Endangered Traditions on the Sea Islands</w:t>
      </w:r>
      <w:r>
        <w:t xml:space="preserve"> (Athens and London: University of Georgia Press, 1987) </w:t>
      </w:r>
    </w:p>
    <w:p w14:paraId="4D7C457E" w14:textId="77777777" w:rsidR="00170D85" w:rsidRDefault="00170D85" w:rsidP="00170D85">
      <w:r>
        <w:t xml:space="preserve">King-Hele, Desmond, </w:t>
      </w:r>
      <w:r w:rsidRPr="00170D85">
        <w:rPr>
          <w:i/>
          <w:iCs/>
        </w:rPr>
        <w:t>The Collected Letters of Erasmus Darwin</w:t>
      </w:r>
      <w:r>
        <w:t xml:space="preserve"> (Cambridge: Cambridge University Press, 2007)</w:t>
      </w:r>
    </w:p>
    <w:p w14:paraId="3382D767" w14:textId="47AE726F" w:rsidR="00170D85" w:rsidRDefault="00170D85" w:rsidP="00170D85">
      <w:r w:rsidRPr="00642B26">
        <w:t xml:space="preserve">Kurz, Heinz D., and Salvadori, Neri, ed., </w:t>
      </w:r>
      <w:r w:rsidRPr="00170D85">
        <w:rPr>
          <w:i/>
          <w:iCs/>
        </w:rPr>
        <w:t>The Elgar Companion to David Ricardo</w:t>
      </w:r>
      <w:r>
        <w:t xml:space="preserve"> (Cheltenham: Edward Elgar Publishing, 2015)</w:t>
      </w:r>
    </w:p>
    <w:p w14:paraId="3D8E6216" w14:textId="77777777" w:rsidR="00170D85" w:rsidRDefault="00170D85" w:rsidP="00170D85">
      <w:bookmarkStart w:id="242" w:name="_Hlk156640758"/>
      <w:r>
        <w:t xml:space="preserve">Lee, Clive H., </w:t>
      </w:r>
      <w:r w:rsidRPr="00642B26">
        <w:rPr>
          <w:i/>
          <w:iCs/>
        </w:rPr>
        <w:t xml:space="preserve">A Cotton Enterprise 1795-1840: </w:t>
      </w:r>
      <w:proofErr w:type="spellStart"/>
      <w:r w:rsidRPr="00642B26">
        <w:rPr>
          <w:i/>
          <w:iCs/>
        </w:rPr>
        <w:t>M’Connel</w:t>
      </w:r>
      <w:proofErr w:type="spellEnd"/>
      <w:r w:rsidRPr="00642B26">
        <w:rPr>
          <w:i/>
          <w:iCs/>
        </w:rPr>
        <w:t xml:space="preserve"> and Kennedy Fine Cotton Spinners</w:t>
      </w:r>
      <w:r>
        <w:t xml:space="preserve"> (Manchester: Manchester University Press, 1972) </w:t>
      </w:r>
    </w:p>
    <w:bookmarkEnd w:id="242"/>
    <w:p w14:paraId="1A55AD67" w14:textId="77777777" w:rsidR="00170D85" w:rsidRDefault="00170D85" w:rsidP="00170D85">
      <w:r>
        <w:t xml:space="preserve">Lemire, Beverly, </w:t>
      </w:r>
      <w:r w:rsidRPr="00642B26">
        <w:rPr>
          <w:i/>
          <w:iCs/>
        </w:rPr>
        <w:t>Cotton</w:t>
      </w:r>
      <w:r>
        <w:t xml:space="preserve"> (Oxford: Berg, 2011)</w:t>
      </w:r>
    </w:p>
    <w:p w14:paraId="63E9FFDD" w14:textId="77777777" w:rsidR="00170D85" w:rsidRDefault="00170D85" w:rsidP="00170D85">
      <w:r>
        <w:t xml:space="preserve">Lemire, Beverly, </w:t>
      </w:r>
      <w:r w:rsidRPr="00642B26">
        <w:rPr>
          <w:i/>
          <w:iCs/>
        </w:rPr>
        <w:t>Fashion’s Favourite: The Cotton Trade and the Consumer in Britain 1660-1800</w:t>
      </w:r>
      <w:r>
        <w:t xml:space="preserve"> (Oxford: Oxford University Press, 1991) </w:t>
      </w:r>
    </w:p>
    <w:p w14:paraId="2309AB03" w14:textId="77777777" w:rsidR="00170D85" w:rsidRDefault="00170D85" w:rsidP="00170D85">
      <w:proofErr w:type="spellStart"/>
      <w:r>
        <w:t>Leveaux</w:t>
      </w:r>
      <w:proofErr w:type="spellEnd"/>
      <w:r>
        <w:t xml:space="preserve">, V. M., </w:t>
      </w:r>
      <w:r w:rsidRPr="00642B26">
        <w:rPr>
          <w:i/>
          <w:iCs/>
        </w:rPr>
        <w:t>The History of the Derbyshire General Infirmary, 1810-1894</w:t>
      </w:r>
      <w:r>
        <w:t xml:space="preserve"> (Cromford: </w:t>
      </w:r>
      <w:proofErr w:type="spellStart"/>
      <w:r>
        <w:t>Scarthin</w:t>
      </w:r>
      <w:proofErr w:type="spellEnd"/>
      <w:r>
        <w:t xml:space="preserve"> Books, 1999) </w:t>
      </w:r>
    </w:p>
    <w:p w14:paraId="44F250E1" w14:textId="77777777" w:rsidR="00170D85" w:rsidRDefault="00170D85" w:rsidP="00170D85">
      <w:r>
        <w:t xml:space="preserve">Lonergan, Bernard, </w:t>
      </w:r>
      <w:r w:rsidRPr="00642B26">
        <w:rPr>
          <w:i/>
          <w:iCs/>
        </w:rPr>
        <w:t>A Third Collection</w:t>
      </w:r>
      <w:r>
        <w:t xml:space="preserve"> (New York: Paulist Press, 1985)</w:t>
      </w:r>
    </w:p>
    <w:p w14:paraId="6E3ECC17" w14:textId="5DAF11E9" w:rsidR="00285EB3" w:rsidRDefault="00285EB3" w:rsidP="00170D85">
      <w:proofErr w:type="spellStart"/>
      <w:r w:rsidRPr="00285EB3">
        <w:t>Luckin</w:t>
      </w:r>
      <w:proofErr w:type="spellEnd"/>
      <w:r w:rsidRPr="00285EB3">
        <w:t>, Bill</w:t>
      </w:r>
      <w:r>
        <w:t>,</w:t>
      </w:r>
      <w:r w:rsidRPr="00285EB3">
        <w:t xml:space="preserve"> </w:t>
      </w:r>
      <w:r w:rsidRPr="00285EB3">
        <w:rPr>
          <w:i/>
          <w:iCs/>
        </w:rPr>
        <w:t>Death and Survival in Urban Britain: Disease, Pollution and Environment, 1800-1950</w:t>
      </w:r>
      <w:r w:rsidRPr="00285EB3">
        <w:t xml:space="preserve"> (New York and London: Bloomsbury, 2015)  </w:t>
      </w:r>
    </w:p>
    <w:p w14:paraId="1F15A9D2" w14:textId="2B6C211B" w:rsidR="00170D85" w:rsidRDefault="00170D85" w:rsidP="00170D85">
      <w:r>
        <w:t xml:space="preserve">Mathias, Peter, </w:t>
      </w:r>
      <w:r w:rsidRPr="00642B26">
        <w:rPr>
          <w:i/>
          <w:iCs/>
        </w:rPr>
        <w:t>The First Industrial Nation: The Economic History of Britain, 1700-1914</w:t>
      </w:r>
      <w:r>
        <w:t xml:space="preserve"> (London and New York: Routledge, 2nd edition, 1983)</w:t>
      </w:r>
    </w:p>
    <w:p w14:paraId="1D20AE37" w14:textId="77777777" w:rsidR="00170D85" w:rsidRDefault="00170D85" w:rsidP="00170D85">
      <w:r>
        <w:t xml:space="preserve">McCarthy, Jane R., and Edwards, Rosalind, </w:t>
      </w:r>
      <w:r w:rsidRPr="00642B26">
        <w:rPr>
          <w:i/>
          <w:iCs/>
        </w:rPr>
        <w:t>Key Concepts in Family Studies</w:t>
      </w:r>
      <w:r>
        <w:t xml:space="preserve"> (London: Sage, 2011)</w:t>
      </w:r>
    </w:p>
    <w:p w14:paraId="09C82E0E" w14:textId="77777777" w:rsidR="00170D85" w:rsidRDefault="00170D85" w:rsidP="00170D85">
      <w:r>
        <w:t xml:space="preserve">Messina, Silvia C., </w:t>
      </w:r>
      <w:r w:rsidRPr="00642B26">
        <w:rPr>
          <w:i/>
          <w:iCs/>
        </w:rPr>
        <w:t>Cotton Enterprises: Networks and Strategies: Lombardy in the Industrial Revolution, 1815-1860</w:t>
      </w:r>
      <w:r>
        <w:t xml:space="preserve"> (London: Routledge, 2015)</w:t>
      </w:r>
    </w:p>
    <w:p w14:paraId="5F9B79CB" w14:textId="77777777" w:rsidR="00170D85" w:rsidRDefault="00170D85" w:rsidP="00170D85">
      <w:r>
        <w:t xml:space="preserve">Moore, Niamh, Salter, Andrea, Stanley, Liz, and </w:t>
      </w:r>
      <w:proofErr w:type="spellStart"/>
      <w:r>
        <w:t>Tamboukou</w:t>
      </w:r>
      <w:proofErr w:type="spellEnd"/>
      <w:r>
        <w:t xml:space="preserve"> Maria, </w:t>
      </w:r>
      <w:r w:rsidRPr="00642B26">
        <w:rPr>
          <w:i/>
          <w:iCs/>
        </w:rPr>
        <w:t>Archive Project: Archival Research in the Social Sciences</w:t>
      </w:r>
      <w:r>
        <w:t xml:space="preserve"> (London: Routledge, 2016)</w:t>
      </w:r>
    </w:p>
    <w:p w14:paraId="6A9C4F1D" w14:textId="77777777" w:rsidR="00170D85" w:rsidRDefault="00170D85" w:rsidP="00170D85">
      <w:r>
        <w:t xml:space="preserve">North, Douglass C., and Thomas, Robert P., </w:t>
      </w:r>
      <w:r w:rsidRPr="00642B26">
        <w:rPr>
          <w:i/>
          <w:iCs/>
        </w:rPr>
        <w:t>The Rise of the Western World; A New Economic History</w:t>
      </w:r>
      <w:r>
        <w:t xml:space="preserve"> (Cambridge: Cambridge University Press)  </w:t>
      </w:r>
    </w:p>
    <w:p w14:paraId="0993FABB" w14:textId="77777777" w:rsidR="00170D85" w:rsidRDefault="00170D85" w:rsidP="00170D85">
      <w:bookmarkStart w:id="243" w:name="_Hlk156576536"/>
      <w:r>
        <w:t xml:space="preserve">Owen, Colin C., </w:t>
      </w:r>
      <w:r w:rsidRPr="00642B26">
        <w:rPr>
          <w:i/>
          <w:iCs/>
        </w:rPr>
        <w:t>Burton upon Trent: The Development of Industry</w:t>
      </w:r>
      <w:r>
        <w:t xml:space="preserve"> (Chichester: Phillimore, 1978) </w:t>
      </w:r>
    </w:p>
    <w:bookmarkEnd w:id="243"/>
    <w:p w14:paraId="0D06A0B1" w14:textId="77777777" w:rsidR="00170D85" w:rsidRDefault="00170D85" w:rsidP="00170D85">
      <w:r>
        <w:t xml:space="preserve">Owen, Colin C., </w:t>
      </w:r>
      <w:r w:rsidRPr="00642B26">
        <w:rPr>
          <w:i/>
          <w:iCs/>
        </w:rPr>
        <w:t>‘The Greatest Brewery in the World’: A History of Bass, Ratcliff &amp; Gretton</w:t>
      </w:r>
      <w:r>
        <w:t xml:space="preserve"> (Chesterfield: Derbyshire Record Society, Volume XIX, 1992) </w:t>
      </w:r>
    </w:p>
    <w:p w14:paraId="524F6816" w14:textId="77777777" w:rsidR="00170D85" w:rsidRDefault="00170D85" w:rsidP="00170D85">
      <w:r>
        <w:t xml:space="preserve">Peters, Don, </w:t>
      </w:r>
      <w:r w:rsidRPr="00642B26">
        <w:rPr>
          <w:i/>
          <w:iCs/>
        </w:rPr>
        <w:t>Darley Abbey from Monastery to Industrial Community</w:t>
      </w:r>
      <w:r>
        <w:t xml:space="preserve"> (Hartington: Moorland Publishing Company, 1974) </w:t>
      </w:r>
    </w:p>
    <w:p w14:paraId="4B590043" w14:textId="77777777" w:rsidR="00170D85" w:rsidRDefault="00170D85" w:rsidP="00170D85">
      <w:r>
        <w:t xml:space="preserve">Polanyi, Karl, </w:t>
      </w:r>
      <w:r w:rsidRPr="00642B26">
        <w:rPr>
          <w:i/>
          <w:iCs/>
        </w:rPr>
        <w:t>The Great Transformation</w:t>
      </w:r>
      <w:r>
        <w:t xml:space="preserve"> (New York: Holt, Rinehart, 1944) </w:t>
      </w:r>
    </w:p>
    <w:p w14:paraId="306BF63D" w14:textId="77777777" w:rsidR="00170D85" w:rsidRDefault="00170D85" w:rsidP="00170D85">
      <w:r>
        <w:t xml:space="preserve">Pomeranz, Kenneth, </w:t>
      </w:r>
      <w:r w:rsidRPr="00642B26">
        <w:rPr>
          <w:i/>
          <w:iCs/>
        </w:rPr>
        <w:t>The Great Divergence: China, Europe, and the Making of the Modern World Economy</w:t>
      </w:r>
      <w:r>
        <w:t xml:space="preserve"> (Princeton: Princeton University Press, 2000)</w:t>
      </w:r>
    </w:p>
    <w:p w14:paraId="38D24B37" w14:textId="77777777" w:rsidR="00170D85" w:rsidRDefault="00170D85" w:rsidP="00170D85">
      <w:r>
        <w:t xml:space="preserve">Porcher, Richard D., and Fick, Sarah, </w:t>
      </w:r>
      <w:r w:rsidRPr="00642B26">
        <w:rPr>
          <w:i/>
          <w:iCs/>
        </w:rPr>
        <w:t>The Story of Sea Island Cotton</w:t>
      </w:r>
      <w:r>
        <w:t xml:space="preserve"> (Charleston: Gibbs Smith, 2005) </w:t>
      </w:r>
    </w:p>
    <w:p w14:paraId="769C5AA3" w14:textId="77777777" w:rsidR="00170D85" w:rsidRDefault="00170D85" w:rsidP="00170D85">
      <w:r>
        <w:lastRenderedPageBreak/>
        <w:t xml:space="preserve">Putnam, Robert, </w:t>
      </w:r>
      <w:r w:rsidRPr="00642B26">
        <w:rPr>
          <w:i/>
          <w:iCs/>
        </w:rPr>
        <w:t>Bowling Alone: The Collapse and Revival of American Community</w:t>
      </w:r>
      <w:r>
        <w:t xml:space="preserve"> (New York: Simon &amp; Schuster, 2000) </w:t>
      </w:r>
    </w:p>
    <w:p w14:paraId="674E215D" w14:textId="77777777" w:rsidR="00170D85" w:rsidRDefault="00170D85" w:rsidP="00170D85">
      <w:r>
        <w:t xml:space="preserve">Riden, Philip, </w:t>
      </w:r>
      <w:r w:rsidRPr="00642B26">
        <w:rPr>
          <w:i/>
          <w:iCs/>
        </w:rPr>
        <w:t>A History of Chesterfield Grammar School</w:t>
      </w:r>
      <w:r>
        <w:t xml:space="preserve"> (Chesterfield: Merton Publishing, 2017) </w:t>
      </w:r>
    </w:p>
    <w:p w14:paraId="3B62DA42" w14:textId="77777777" w:rsidR="00170D85" w:rsidRDefault="00170D85" w:rsidP="00170D85">
      <w:r>
        <w:t xml:space="preserve">Riello, Giorgio, </w:t>
      </w:r>
      <w:r w:rsidRPr="00642B26">
        <w:rPr>
          <w:i/>
          <w:iCs/>
        </w:rPr>
        <w:t>Cotton: The Fabric that Made the Modern World</w:t>
      </w:r>
      <w:r>
        <w:t xml:space="preserve"> (Cambridge: Cambridge University Press, 2013) </w:t>
      </w:r>
    </w:p>
    <w:p w14:paraId="5A5BD7EA" w14:textId="77777777" w:rsidR="00170D85" w:rsidRDefault="00170D85" w:rsidP="00170D85">
      <w:r>
        <w:t xml:space="preserve">Riello, Giorgio, Roy, </w:t>
      </w:r>
      <w:proofErr w:type="spellStart"/>
      <w:r>
        <w:t>Trithanker</w:t>
      </w:r>
      <w:proofErr w:type="spellEnd"/>
      <w:r>
        <w:t xml:space="preserve"> and Prakash, Om, </w:t>
      </w:r>
      <w:r w:rsidRPr="00642B26">
        <w:rPr>
          <w:i/>
          <w:iCs/>
        </w:rPr>
        <w:t>How India Clothed the World</w:t>
      </w:r>
      <w:r>
        <w:t xml:space="preserve"> (Leiden and Boston: Brill, 2009)</w:t>
      </w:r>
    </w:p>
    <w:p w14:paraId="1076FFDB" w14:textId="77777777" w:rsidR="00170D85" w:rsidRDefault="00170D85" w:rsidP="00170D85">
      <w:r>
        <w:t xml:space="preserve">Rose, Mary B., </w:t>
      </w:r>
      <w:r w:rsidRPr="00642B26">
        <w:rPr>
          <w:i/>
          <w:iCs/>
        </w:rPr>
        <w:t>The Gregs of Quarry Bank Mill: The Rise and Decline of a Family Firm 1750-1914</w:t>
      </w:r>
      <w:r>
        <w:t xml:space="preserve"> (New York: Cambridge University Press, 1986)</w:t>
      </w:r>
    </w:p>
    <w:p w14:paraId="404231DA" w14:textId="77777777" w:rsidR="00170D85" w:rsidRDefault="00170D85" w:rsidP="00170D85">
      <w:r>
        <w:t xml:space="preserve">Rose, Mary B., </w:t>
      </w:r>
      <w:r w:rsidRPr="00642B26">
        <w:rPr>
          <w:i/>
          <w:iCs/>
        </w:rPr>
        <w:t>Firms, Networks and Business Values: The British and American Cotton Industries since 1750</w:t>
      </w:r>
      <w:r>
        <w:t xml:space="preserve"> (Cambridge: Cambridge University Press, 2000) </w:t>
      </w:r>
    </w:p>
    <w:p w14:paraId="467F4200" w14:textId="77777777" w:rsidR="00170D85" w:rsidRDefault="00170D85" w:rsidP="00170D85">
      <w:r>
        <w:t xml:space="preserve">Rothschild, Emma, </w:t>
      </w:r>
      <w:r w:rsidRPr="00642B26">
        <w:rPr>
          <w:i/>
          <w:iCs/>
        </w:rPr>
        <w:t>Inner Life of Empires: An Eighteenth-Century History</w:t>
      </w:r>
      <w:r>
        <w:t xml:space="preserve"> (Princeton: Princeton University Press, 2011)</w:t>
      </w:r>
    </w:p>
    <w:p w14:paraId="67853ED5" w14:textId="1E2BE847" w:rsidR="001A2BD1" w:rsidRDefault="001A2BD1" w:rsidP="00170D85">
      <w:r w:rsidRPr="001A2BD1">
        <w:t>Sharpe,</w:t>
      </w:r>
      <w:r>
        <w:t xml:space="preserve"> </w:t>
      </w:r>
      <w:r w:rsidRPr="001A2BD1">
        <w:t>Thomasin Elizabeth</w:t>
      </w:r>
      <w:r>
        <w:t>,</w:t>
      </w:r>
      <w:r w:rsidRPr="001A2BD1">
        <w:t xml:space="preserve"> </w:t>
      </w:r>
      <w:r w:rsidRPr="001A2BD1">
        <w:rPr>
          <w:i/>
          <w:iCs/>
        </w:rPr>
        <w:t>A Royal Descent; with other Pedigrees and Memorials</w:t>
      </w:r>
      <w:r w:rsidRPr="001A2BD1">
        <w:t xml:space="preserve"> (London: Mitchell and Hughes, 1875)</w:t>
      </w:r>
    </w:p>
    <w:p w14:paraId="1B13D09F" w14:textId="77777777" w:rsidR="00170D85" w:rsidRDefault="00170D85" w:rsidP="00170D85">
      <w:r>
        <w:t xml:space="preserve">Smail, John, </w:t>
      </w:r>
      <w:r w:rsidRPr="00642B26">
        <w:rPr>
          <w:i/>
          <w:iCs/>
        </w:rPr>
        <w:t>The Origins of Middle-Class Culture: Halifax, Yorkshire, 1660-1780</w:t>
      </w:r>
      <w:r>
        <w:t xml:space="preserve"> (Ithaca and London: Cornell University Press, 1994) </w:t>
      </w:r>
    </w:p>
    <w:p w14:paraId="62371656" w14:textId="77777777" w:rsidR="00170D85" w:rsidRDefault="00170D85" w:rsidP="00170D85">
      <w:r>
        <w:t xml:space="preserve">Smith, Simon D., </w:t>
      </w:r>
      <w:r w:rsidRPr="00642B26">
        <w:rPr>
          <w:i/>
          <w:iCs/>
        </w:rPr>
        <w:t>Slavery, Family and Gentry Capitalism in the British Atlantic: The World of the Lascelles, 1648-1834</w:t>
      </w:r>
      <w:r>
        <w:t xml:space="preserve"> (Cambridge: Cambridge University Press, 2006) </w:t>
      </w:r>
    </w:p>
    <w:p w14:paraId="7660D262" w14:textId="77777777" w:rsidR="00170D85" w:rsidRDefault="00170D85" w:rsidP="00170D85">
      <w:r>
        <w:t xml:space="preserve">Stephen, Leslie and Lee, Sidney, </w:t>
      </w:r>
      <w:r w:rsidRPr="00642B26">
        <w:rPr>
          <w:i/>
          <w:iCs/>
        </w:rPr>
        <w:t>Dictionary of National Biography, Volumes 1-22</w:t>
      </w:r>
      <w:r>
        <w:t xml:space="preserve"> (London: Smith, Elder and Company, 1888) [Volume 10] </w:t>
      </w:r>
    </w:p>
    <w:p w14:paraId="7B73DE14" w14:textId="77777777" w:rsidR="00170D85" w:rsidRDefault="00170D85" w:rsidP="00170D85">
      <w:r>
        <w:t xml:space="preserve">Sunderland, David, </w:t>
      </w:r>
      <w:r w:rsidRPr="00642B26">
        <w:rPr>
          <w:i/>
          <w:iCs/>
        </w:rPr>
        <w:t>Social Capital, Trust and the Industrial Revolution, 1780-1880</w:t>
      </w:r>
      <w:r>
        <w:t xml:space="preserve"> (London: Routledge, 2007)</w:t>
      </w:r>
    </w:p>
    <w:p w14:paraId="271B956F" w14:textId="77777777" w:rsidR="00170D85" w:rsidRDefault="00170D85" w:rsidP="00170D85">
      <w:proofErr w:type="spellStart"/>
      <w:r>
        <w:t>Tacchella</w:t>
      </w:r>
      <w:proofErr w:type="spellEnd"/>
      <w:r>
        <w:t xml:space="preserve">, Benjamin, </w:t>
      </w:r>
      <w:r w:rsidRPr="00642B26">
        <w:rPr>
          <w:i/>
          <w:iCs/>
        </w:rPr>
        <w:t>The Derby School Register, 1570-1901</w:t>
      </w:r>
      <w:r>
        <w:t xml:space="preserve"> (Derby: Bemrose &amp; Sons Limited, 1902) </w:t>
      </w:r>
    </w:p>
    <w:p w14:paraId="23A6C65B" w14:textId="27CFAC4B" w:rsidR="003A4425" w:rsidRDefault="003A4425" w:rsidP="00170D85">
      <w:r w:rsidRPr="003A4425">
        <w:t>Thompson,</w:t>
      </w:r>
      <w:r>
        <w:t xml:space="preserve"> E. P.,</w:t>
      </w:r>
      <w:r w:rsidRPr="003A4425">
        <w:t xml:space="preserve"> </w:t>
      </w:r>
      <w:r w:rsidRPr="003A4425">
        <w:rPr>
          <w:i/>
          <w:iCs/>
        </w:rPr>
        <w:t>The Making of the English Working Class</w:t>
      </w:r>
      <w:r w:rsidRPr="003A4425">
        <w:t xml:space="preserve"> (London</w:t>
      </w:r>
      <w:r>
        <w:t xml:space="preserve"> and New York: Vintage Books</w:t>
      </w:r>
      <w:r w:rsidRPr="003A4425">
        <w:t>, 1963)</w:t>
      </w:r>
    </w:p>
    <w:p w14:paraId="68409A04" w14:textId="30D2D79F" w:rsidR="00170D85" w:rsidRDefault="00170D85" w:rsidP="00170D85">
      <w:proofErr w:type="spellStart"/>
      <w:r>
        <w:t>Trivallato</w:t>
      </w:r>
      <w:proofErr w:type="spellEnd"/>
      <w:r>
        <w:t xml:space="preserve">, Francesca, </w:t>
      </w:r>
      <w:r w:rsidRPr="00642B26">
        <w:rPr>
          <w:i/>
          <w:iCs/>
        </w:rPr>
        <w:t xml:space="preserve">The Familiarity of Strangers: The Sephardic Diaspora, Livorno, and Cross-cultural Trade in the Early Modern Period </w:t>
      </w:r>
      <w:r>
        <w:t xml:space="preserve">(New Haven: Yale University Press, 2009) </w:t>
      </w:r>
    </w:p>
    <w:p w14:paraId="11616B5D" w14:textId="77777777" w:rsidR="00170D85" w:rsidRDefault="00170D85" w:rsidP="00170D85">
      <w:proofErr w:type="spellStart"/>
      <w:r>
        <w:t>Trouillot</w:t>
      </w:r>
      <w:proofErr w:type="spellEnd"/>
      <w:r>
        <w:t xml:space="preserve">, Michel-Rolph, </w:t>
      </w:r>
      <w:r w:rsidRPr="00642B26">
        <w:rPr>
          <w:i/>
          <w:iCs/>
        </w:rPr>
        <w:t>Silencing the Past: Power and the Production of History</w:t>
      </w:r>
      <w:r>
        <w:t xml:space="preserve"> (Boston: Beacon Press, 1995)</w:t>
      </w:r>
    </w:p>
    <w:p w14:paraId="61609571" w14:textId="77777777" w:rsidR="00170D85" w:rsidRDefault="00170D85" w:rsidP="00170D85">
      <w:r>
        <w:t xml:space="preserve">Tucker, Barbara M., </w:t>
      </w:r>
      <w:r w:rsidRPr="00642B26">
        <w:rPr>
          <w:i/>
          <w:iCs/>
        </w:rPr>
        <w:t>Samuel Slater and the Origins of the American Textile Industry, 1790-1869</w:t>
      </w:r>
      <w:r>
        <w:t xml:space="preserve"> (New York: Cornell University Press, 1984) </w:t>
      </w:r>
    </w:p>
    <w:p w14:paraId="5151F4E7" w14:textId="77777777" w:rsidR="00170D85" w:rsidRDefault="00170D85" w:rsidP="00170D85">
      <w:r>
        <w:t xml:space="preserve">Unwin, George, </w:t>
      </w:r>
      <w:r w:rsidRPr="00642B26">
        <w:rPr>
          <w:i/>
          <w:iCs/>
        </w:rPr>
        <w:t xml:space="preserve">Samuel Oldknow and the </w:t>
      </w:r>
      <w:proofErr w:type="spellStart"/>
      <w:r w:rsidRPr="00642B26">
        <w:rPr>
          <w:i/>
          <w:iCs/>
        </w:rPr>
        <w:t>Arkwrights</w:t>
      </w:r>
      <w:proofErr w:type="spellEnd"/>
      <w:r>
        <w:t xml:space="preserve"> (Manchester: Manchester University Press, 1924) </w:t>
      </w:r>
    </w:p>
    <w:p w14:paraId="502D2E7D" w14:textId="77777777" w:rsidR="00170D85" w:rsidRDefault="00170D85" w:rsidP="00170D85">
      <w:r>
        <w:t xml:space="preserve">Wallerstein Immanuel, </w:t>
      </w:r>
      <w:r w:rsidRPr="00642B26">
        <w:rPr>
          <w:i/>
          <w:iCs/>
        </w:rPr>
        <w:t>World-systems Analysis: An Introduction</w:t>
      </w:r>
      <w:r>
        <w:t xml:space="preserve"> (</w:t>
      </w:r>
      <w:bookmarkStart w:id="244" w:name="_Hlk156220283"/>
      <w:r>
        <w:t>Durham and London</w:t>
      </w:r>
      <w:bookmarkEnd w:id="244"/>
      <w:r>
        <w:t>: Duke University Press, 2004)</w:t>
      </w:r>
    </w:p>
    <w:p w14:paraId="705D52D0" w14:textId="77777777" w:rsidR="00170D85" w:rsidRDefault="00170D85" w:rsidP="00170D85">
      <w:r>
        <w:lastRenderedPageBreak/>
        <w:t xml:space="preserve">Williams, Mike, with </w:t>
      </w:r>
      <w:proofErr w:type="spellStart"/>
      <w:r>
        <w:t>Farnie</w:t>
      </w:r>
      <w:proofErr w:type="spellEnd"/>
      <w:r>
        <w:t xml:space="preserve">, Douglas A., </w:t>
      </w:r>
      <w:r w:rsidRPr="00642B26">
        <w:rPr>
          <w:i/>
          <w:iCs/>
        </w:rPr>
        <w:t>Cotton Mills in Greater Manchester</w:t>
      </w:r>
      <w:r>
        <w:t xml:space="preserve"> (Lancaster: Carnegie Publishing, 1992) </w:t>
      </w:r>
    </w:p>
    <w:p w14:paraId="473EFADC" w14:textId="77777777" w:rsidR="00170D85" w:rsidRDefault="00170D85" w:rsidP="00170D85">
      <w:r>
        <w:t xml:space="preserve">Woodcock, Henry I., </w:t>
      </w:r>
      <w:r w:rsidRPr="00642B26">
        <w:rPr>
          <w:i/>
          <w:iCs/>
        </w:rPr>
        <w:t>A History of Tobago</w:t>
      </w:r>
      <w:r>
        <w:t xml:space="preserve"> (Ayr: Smith and Grant, 1867) </w:t>
      </w:r>
    </w:p>
    <w:p w14:paraId="5E6AC334" w14:textId="45F1ED71" w:rsidR="00285EB3" w:rsidRDefault="00285EB3" w:rsidP="00170D85">
      <w:r w:rsidRPr="00285EB3">
        <w:t>Wrigley, E. A.</w:t>
      </w:r>
      <w:r>
        <w:t>,</w:t>
      </w:r>
      <w:r w:rsidRPr="00285EB3">
        <w:t xml:space="preserve"> </w:t>
      </w:r>
      <w:r w:rsidRPr="00285EB3">
        <w:rPr>
          <w:i/>
          <w:iCs/>
        </w:rPr>
        <w:t>Poverty, Progress and Population</w:t>
      </w:r>
      <w:r w:rsidRPr="00285EB3">
        <w:t xml:space="preserve"> (Cambridge: Cambridge University Press, 2004)</w:t>
      </w:r>
    </w:p>
    <w:p w14:paraId="562AA928" w14:textId="4FB1432C" w:rsidR="00170D85" w:rsidRDefault="00170D85" w:rsidP="00170D85">
      <w:r>
        <w:t xml:space="preserve">Young, Michael, and Willmott, Peter, </w:t>
      </w:r>
      <w:r w:rsidRPr="00642B26">
        <w:rPr>
          <w:i/>
          <w:iCs/>
        </w:rPr>
        <w:t>Family and Kinship in East London</w:t>
      </w:r>
      <w:r>
        <w:t xml:space="preserve"> (London: Routledge, 1986) </w:t>
      </w:r>
    </w:p>
    <w:p w14:paraId="3DA83833" w14:textId="77777777" w:rsidR="00170D85" w:rsidRPr="00642B26" w:rsidRDefault="00170D85" w:rsidP="00170D85">
      <w:pPr>
        <w:rPr>
          <w:b/>
          <w:bCs/>
        </w:rPr>
      </w:pPr>
      <w:r w:rsidRPr="00642B26">
        <w:rPr>
          <w:b/>
          <w:bCs/>
        </w:rPr>
        <w:t>Journal Articles and Reports</w:t>
      </w:r>
    </w:p>
    <w:p w14:paraId="7980E01B" w14:textId="77777777" w:rsidR="00170D85" w:rsidRDefault="00170D85" w:rsidP="00170D85">
      <w:r>
        <w:t xml:space="preserve">Ajzen, Icek, ‘The Theory of Planned Behaviour,’ </w:t>
      </w:r>
      <w:r w:rsidRPr="00642B26">
        <w:rPr>
          <w:i/>
          <w:iCs/>
        </w:rPr>
        <w:t xml:space="preserve">Organizational </w:t>
      </w:r>
      <w:proofErr w:type="spellStart"/>
      <w:r w:rsidRPr="00642B26">
        <w:rPr>
          <w:i/>
          <w:iCs/>
        </w:rPr>
        <w:t>Behavior</w:t>
      </w:r>
      <w:proofErr w:type="spellEnd"/>
      <w:r w:rsidRPr="00642B26">
        <w:rPr>
          <w:i/>
          <w:iCs/>
        </w:rPr>
        <w:t xml:space="preserve"> and Human Decision Processes</w:t>
      </w:r>
      <w:r>
        <w:t>, 50:2 (1991), 179-211</w:t>
      </w:r>
    </w:p>
    <w:p w14:paraId="60225502" w14:textId="77777777" w:rsidR="00170D85" w:rsidRDefault="00170D85" w:rsidP="00170D85">
      <w:r>
        <w:t xml:space="preserve">Ashton, Thomas S., ‘The Bill of Exchange and Private Banks in Lancashire, 1790-1830,’ </w:t>
      </w:r>
      <w:r w:rsidRPr="00642B26">
        <w:rPr>
          <w:i/>
          <w:iCs/>
        </w:rPr>
        <w:t>Economic History Review</w:t>
      </w:r>
      <w:r>
        <w:t>, 15:1/2 (1945), 25-25</w:t>
      </w:r>
    </w:p>
    <w:p w14:paraId="20240878" w14:textId="77777777" w:rsidR="00170D85" w:rsidRDefault="00170D85" w:rsidP="00170D85">
      <w:r>
        <w:t xml:space="preserve">Berg, Maxine, ‘Small Producer Capitalism in Eighteenth-Century England,’ </w:t>
      </w:r>
      <w:r w:rsidRPr="00642B26">
        <w:rPr>
          <w:i/>
          <w:iCs/>
        </w:rPr>
        <w:t>Business History</w:t>
      </w:r>
      <w:r>
        <w:t>, 35:1 (1993), 17-39</w:t>
      </w:r>
    </w:p>
    <w:p w14:paraId="216595CC" w14:textId="77777777" w:rsidR="00170D85" w:rsidRDefault="00170D85" w:rsidP="00170D85">
      <w:r>
        <w:t xml:space="preserve">Bosma, Usma, ‘Empire of Cotton and the Global Countryside,’ </w:t>
      </w:r>
      <w:r w:rsidRPr="00642B26">
        <w:rPr>
          <w:i/>
          <w:iCs/>
        </w:rPr>
        <w:t>Journal of World History</w:t>
      </w:r>
      <w:r>
        <w:t>, 28:1 (2017), 121-130,</w:t>
      </w:r>
    </w:p>
    <w:p w14:paraId="51308169" w14:textId="77777777" w:rsidR="00170D85" w:rsidRDefault="00170D85" w:rsidP="00170D85">
      <w:r>
        <w:t xml:space="preserve">Bourdieu, Pierre, ‘The Scholastic Point of View,’ </w:t>
      </w:r>
      <w:r w:rsidRPr="00642B26">
        <w:rPr>
          <w:i/>
          <w:iCs/>
        </w:rPr>
        <w:t>Cultural Anthropology</w:t>
      </w:r>
      <w:r>
        <w:t>, 5:4 (1990), 380-391</w:t>
      </w:r>
    </w:p>
    <w:p w14:paraId="4CE16BDD" w14:textId="77777777" w:rsidR="00170D85" w:rsidRDefault="00170D85" w:rsidP="00170D85">
      <w:r>
        <w:t xml:space="preserve">Carter, Rodney G, S., ‘Of Things Said and Unsaid: Power, Archival Silences, and Power in Silence,’ </w:t>
      </w:r>
      <w:proofErr w:type="spellStart"/>
      <w:r w:rsidRPr="00642B26">
        <w:rPr>
          <w:i/>
          <w:iCs/>
        </w:rPr>
        <w:t>Archivaria</w:t>
      </w:r>
      <w:proofErr w:type="spellEnd"/>
      <w:r>
        <w:t>, 61 (2006), 215-233</w:t>
      </w:r>
    </w:p>
    <w:p w14:paraId="7EF3EB80" w14:textId="77777777" w:rsidR="00170D85" w:rsidRDefault="00170D85" w:rsidP="00170D85">
      <w:r>
        <w:t xml:space="preserve">Casson, Marl, ‘Cultural Determinants of Economic Performance,’ </w:t>
      </w:r>
      <w:r w:rsidRPr="00642B26">
        <w:rPr>
          <w:i/>
          <w:iCs/>
        </w:rPr>
        <w:t>Journal of Comparative Economics</w:t>
      </w:r>
      <w:r>
        <w:t>, 17:2 (1993), 418-442</w:t>
      </w:r>
    </w:p>
    <w:p w14:paraId="6E9E951E" w14:textId="77777777" w:rsidR="00170D85" w:rsidRDefault="00170D85" w:rsidP="00170D85">
      <w:r>
        <w:t xml:space="preserve">Casson, Mark, and </w:t>
      </w:r>
      <w:proofErr w:type="spellStart"/>
      <w:r>
        <w:t>Giusta</w:t>
      </w:r>
      <w:proofErr w:type="spellEnd"/>
      <w:r>
        <w:t xml:space="preserve"> Marina D., ‘Entrepreneurship and Social Capital: Analysing the Impact of Social Networks on Entrepreneurial Activity from a Rational Action Perspective,’ </w:t>
      </w:r>
      <w:r w:rsidRPr="00642B26">
        <w:rPr>
          <w:i/>
          <w:iCs/>
        </w:rPr>
        <w:t>International Small Business Journal</w:t>
      </w:r>
      <w:r>
        <w:t xml:space="preserve">, 25:2 (2007), 220-244 </w:t>
      </w:r>
    </w:p>
    <w:p w14:paraId="54CB9768" w14:textId="77777777" w:rsidR="00170D85" w:rsidRDefault="00170D85" w:rsidP="00170D85">
      <w:r>
        <w:t xml:space="preserve">Chapman, Stanley D., ‘Fixed Capital Formation in the British Cotton Industry, 1770-1815,’ </w:t>
      </w:r>
      <w:r w:rsidRPr="00642B26">
        <w:rPr>
          <w:i/>
          <w:iCs/>
        </w:rPr>
        <w:t>Economic History Review</w:t>
      </w:r>
      <w:r>
        <w:t xml:space="preserve">, 23:2 (1970), 235-266 </w:t>
      </w:r>
    </w:p>
    <w:p w14:paraId="217C6632" w14:textId="77777777" w:rsidR="00170D85" w:rsidRDefault="00170D85" w:rsidP="00170D85">
      <w:r>
        <w:t xml:space="preserve">Chapman, Stanley D., ‘James </w:t>
      </w:r>
      <w:proofErr w:type="spellStart"/>
      <w:r>
        <w:t>Longsdon</w:t>
      </w:r>
      <w:proofErr w:type="spellEnd"/>
      <w:r>
        <w:t xml:space="preserve"> (1745–1821), Farmer and Fustian Manufacturer: The Small Firm in the Early English Cotton Industry,’ </w:t>
      </w:r>
      <w:r w:rsidRPr="00642B26">
        <w:rPr>
          <w:i/>
          <w:iCs/>
        </w:rPr>
        <w:t>Textile History</w:t>
      </w:r>
      <w:r>
        <w:t>, 1:3 (1970), 265-292</w:t>
      </w:r>
    </w:p>
    <w:p w14:paraId="3C6957D8" w14:textId="77777777" w:rsidR="00170D85" w:rsidRDefault="00170D85" w:rsidP="00170D85">
      <w:r>
        <w:t xml:space="preserve">Chapman, Stanley D., 'The Transition to the Factory System in the Midlands Cotton-Spinning Industry,' </w:t>
      </w:r>
      <w:r w:rsidRPr="00642B26">
        <w:rPr>
          <w:i/>
          <w:iCs/>
        </w:rPr>
        <w:t>Economic History Review</w:t>
      </w:r>
      <w:r>
        <w:t>, New Series, 18:3 (1965), 526–543</w:t>
      </w:r>
    </w:p>
    <w:p w14:paraId="305BBE7B" w14:textId="77777777" w:rsidR="00170D85" w:rsidRDefault="00170D85" w:rsidP="00170D85">
      <w:r>
        <w:t xml:space="preserve">Crowhurst, Patrick, ‘The Effect of War on the Swiss Cotton Trade: Christophe Burckhardt of Basel, 1793-1810,’ </w:t>
      </w:r>
      <w:r w:rsidRPr="00642B26">
        <w:rPr>
          <w:i/>
          <w:iCs/>
        </w:rPr>
        <w:t>Textile History</w:t>
      </w:r>
      <w:r>
        <w:t>, 18:2 (1987), 17-31</w:t>
      </w:r>
    </w:p>
    <w:p w14:paraId="4AA73353" w14:textId="77777777" w:rsidR="00170D85" w:rsidRDefault="00170D85" w:rsidP="00170D85">
      <w:r>
        <w:t xml:space="preserve">Coghlan, Francis, ‘Pierce Butler, 1744-1822, First Senator from South Carolina,’ </w:t>
      </w:r>
      <w:r w:rsidRPr="00642B26">
        <w:rPr>
          <w:i/>
          <w:iCs/>
        </w:rPr>
        <w:t>South Carolina Historical Magazine</w:t>
      </w:r>
      <w:r>
        <w:t xml:space="preserve">, 77:2 (1977), 104-119 </w:t>
      </w:r>
    </w:p>
    <w:p w14:paraId="0B68CB4D" w14:textId="77777777" w:rsidR="00170D85" w:rsidRDefault="00170D85" w:rsidP="00170D85">
      <w:r>
        <w:t xml:space="preserve">Coli, Andrea and Rose, Mary B., ‘Families and Firms: The Culture and Evolution of Family Firms in Britain and Italy in the Nineteenth and Twentieth Centuries,’ </w:t>
      </w:r>
      <w:r w:rsidRPr="00642B26">
        <w:rPr>
          <w:i/>
          <w:iCs/>
        </w:rPr>
        <w:t>Scandinavian Economic History Review</w:t>
      </w:r>
      <w:r>
        <w:t xml:space="preserve">, 47:1 (1999), 24-47 </w:t>
      </w:r>
    </w:p>
    <w:p w14:paraId="4E4BFBC6" w14:textId="77777777" w:rsidR="00170D85" w:rsidRDefault="00170D85" w:rsidP="00170D85">
      <w:r>
        <w:t xml:space="preserve">Cookson, Gillian, ‘Family Firms and Business Networks: Textile Engineering in Yorkshire, 1780-1830,’ </w:t>
      </w:r>
      <w:r w:rsidRPr="00642B26">
        <w:rPr>
          <w:i/>
          <w:iCs/>
        </w:rPr>
        <w:t>Business History</w:t>
      </w:r>
      <w:r>
        <w:t>, 39:1 (1997), 1-20</w:t>
      </w:r>
    </w:p>
    <w:p w14:paraId="5406BA9D" w14:textId="77777777" w:rsidR="00170D85" w:rsidRDefault="00170D85" w:rsidP="00170D85">
      <w:r>
        <w:lastRenderedPageBreak/>
        <w:t xml:space="preserve">Costa, Leonor F., Rocha, Maria M., and Araújo, Tanya, ‘Social Capital and Economic Performance: Trust and Distrust in Eighteenth-century Gold Shipments from Brazil,’ </w:t>
      </w:r>
      <w:r w:rsidRPr="00642B26">
        <w:rPr>
          <w:i/>
          <w:iCs/>
        </w:rPr>
        <w:t>European Review of Economic History</w:t>
      </w:r>
      <w:r>
        <w:t>, 15 (2010), 1-27</w:t>
      </w:r>
    </w:p>
    <w:p w14:paraId="2131F127" w14:textId="77777777" w:rsidR="00170D85" w:rsidRDefault="00170D85" w:rsidP="00170D85">
      <w:r>
        <w:t xml:space="preserve">Craven, Maxwell, ‘Littleover Grange, Derbyshire,’ </w:t>
      </w:r>
      <w:r w:rsidRPr="00642B26">
        <w:rPr>
          <w:i/>
          <w:iCs/>
        </w:rPr>
        <w:t>Georgian Group Journal</w:t>
      </w:r>
      <w:r>
        <w:t xml:space="preserve">, 15 (2006), 215-228 </w:t>
      </w:r>
    </w:p>
    <w:p w14:paraId="13FD3006" w14:textId="77777777" w:rsidR="00170D85" w:rsidRDefault="00170D85" w:rsidP="00170D85">
      <w:r>
        <w:t xml:space="preserve">Custer, Paul A., ‘The M Yarn: Price and Social Imagination in Early Industrial Britain,’ </w:t>
      </w:r>
      <w:r w:rsidRPr="00642B26">
        <w:rPr>
          <w:i/>
          <w:iCs/>
        </w:rPr>
        <w:t>Enterprise and Society</w:t>
      </w:r>
      <w:r>
        <w:t>, 15:3 (2014), 417-441</w:t>
      </w:r>
    </w:p>
    <w:p w14:paraId="73281B43" w14:textId="77777777" w:rsidR="00170D85" w:rsidRDefault="00170D85" w:rsidP="00170D85">
      <w:r>
        <w:t xml:space="preserve">Daniels, George W., ‘The Early Records of a Great Manchester Cotton Spinning Firm,’ </w:t>
      </w:r>
      <w:r w:rsidRPr="00642B26">
        <w:rPr>
          <w:i/>
          <w:iCs/>
        </w:rPr>
        <w:t>Economic Journal</w:t>
      </w:r>
      <w:r>
        <w:t xml:space="preserve">, 25:98 (1915), 175-188  </w:t>
      </w:r>
    </w:p>
    <w:p w14:paraId="64AAC54F" w14:textId="77777777" w:rsidR="00170D85" w:rsidRDefault="00170D85" w:rsidP="00170D85">
      <w:r>
        <w:t xml:space="preserve">Davison, Kate, ‘Early Modern Social Networks: Antecedents, Opportunities, and Challenges,’ </w:t>
      </w:r>
      <w:r w:rsidRPr="00642B26">
        <w:rPr>
          <w:i/>
          <w:iCs/>
        </w:rPr>
        <w:t>American Historical Review</w:t>
      </w:r>
      <w:r>
        <w:t>, 124:2 (2019), 456-482</w:t>
      </w:r>
    </w:p>
    <w:p w14:paraId="06605E2A" w14:textId="77777777" w:rsidR="00170D85" w:rsidRDefault="00170D85" w:rsidP="00170D85">
      <w:r>
        <w:t xml:space="preserve">Deane, Phyllis, ‘The Role of Capital in the Industrial Revolution,’ </w:t>
      </w:r>
      <w:r w:rsidRPr="00642B26">
        <w:rPr>
          <w:i/>
          <w:iCs/>
        </w:rPr>
        <w:t>Explorations in Economic History</w:t>
      </w:r>
      <w:r>
        <w:t>, 10:4 (1973), 349-364</w:t>
      </w:r>
    </w:p>
    <w:p w14:paraId="3A092B67" w14:textId="77777777" w:rsidR="00170D85" w:rsidRDefault="00170D85" w:rsidP="00170D85">
      <w:r>
        <w:t xml:space="preserve">Demant, Jakob, and Järvinen Margaretha, ‘Social Capital as norms and resources: Focus groups discussing alcohol,’ </w:t>
      </w:r>
      <w:r w:rsidRPr="00642B26">
        <w:rPr>
          <w:i/>
          <w:iCs/>
        </w:rPr>
        <w:t>Addition Research Theory</w:t>
      </w:r>
      <w:r>
        <w:t>, 19:2 (2011), 91-101</w:t>
      </w:r>
    </w:p>
    <w:p w14:paraId="0CD2E676" w14:textId="77777777" w:rsidR="00170D85" w:rsidRDefault="00170D85" w:rsidP="00170D85">
      <w:r>
        <w:t xml:space="preserve">Downs, Carolyn, ‘Networks, trust, and risk mitigation during the American Revolutionary War: a case study,’ </w:t>
      </w:r>
      <w:r w:rsidRPr="00642B26">
        <w:rPr>
          <w:i/>
          <w:iCs/>
        </w:rPr>
        <w:t>Economic History Review</w:t>
      </w:r>
      <w:r>
        <w:t xml:space="preserve">, 70:2 (2017), 509-528 </w:t>
      </w:r>
    </w:p>
    <w:p w14:paraId="11E000C1" w14:textId="77777777" w:rsidR="00170D85" w:rsidRDefault="00170D85" w:rsidP="00170D85">
      <w:proofErr w:type="spellStart"/>
      <w:r>
        <w:t>Dumbell</w:t>
      </w:r>
      <w:proofErr w:type="spellEnd"/>
      <w:r>
        <w:t xml:space="preserve">, Stanley, ‘The Cotton Market in 1799,’ </w:t>
      </w:r>
      <w:r w:rsidRPr="00642B26">
        <w:rPr>
          <w:i/>
          <w:iCs/>
        </w:rPr>
        <w:t>Economic History</w:t>
      </w:r>
      <w:r>
        <w:t xml:space="preserve">, 36:1 (1926), 141-148 </w:t>
      </w:r>
    </w:p>
    <w:p w14:paraId="5885D677" w14:textId="62180552" w:rsidR="008F6DF5" w:rsidRDefault="008F6DF5" w:rsidP="00170D85">
      <w:r>
        <w:t xml:space="preserve">Elliott, Paul, ‘The Birth of Public Science in the English Provinces: Natural Philosophy in Derby, c. 1690-1760,’ </w:t>
      </w:r>
      <w:r w:rsidRPr="008F6DF5">
        <w:rPr>
          <w:i/>
          <w:iCs/>
        </w:rPr>
        <w:t>Annals of Science</w:t>
      </w:r>
      <w:r>
        <w:t>, 57:1 (2000), 61-100</w:t>
      </w:r>
    </w:p>
    <w:p w14:paraId="5989B551" w14:textId="3D3C9751" w:rsidR="00170D85" w:rsidRDefault="00170D85" w:rsidP="00170D85">
      <w:r>
        <w:t xml:space="preserve">Goode, William J., ‘The Role of the Family in Industrialization,’ </w:t>
      </w:r>
      <w:r w:rsidRPr="00642B26">
        <w:rPr>
          <w:i/>
          <w:iCs/>
        </w:rPr>
        <w:t>Science, Technology, and Development</w:t>
      </w:r>
      <w:r>
        <w:t xml:space="preserve">, 7 (1962), 32-38 </w:t>
      </w:r>
    </w:p>
    <w:p w14:paraId="12FDD007" w14:textId="77777777" w:rsidR="00170D85" w:rsidRDefault="00170D85" w:rsidP="00170D85">
      <w:r>
        <w:t xml:space="preserve">Granovetter, Mark S., ‘The Strength of Weak Ties,’ </w:t>
      </w:r>
      <w:r w:rsidRPr="00642B26">
        <w:rPr>
          <w:i/>
          <w:iCs/>
        </w:rPr>
        <w:t>American Journal of Sociology</w:t>
      </w:r>
      <w:r>
        <w:t>, 78:6 (1973), 1360-1380</w:t>
      </w:r>
    </w:p>
    <w:p w14:paraId="2E2249BA" w14:textId="77777777" w:rsidR="00170D85" w:rsidRDefault="00170D85" w:rsidP="00170D85">
      <w:r>
        <w:t xml:space="preserve">Greif, </w:t>
      </w:r>
      <w:proofErr w:type="spellStart"/>
      <w:r>
        <w:t>Anver</w:t>
      </w:r>
      <w:proofErr w:type="spellEnd"/>
      <w:r>
        <w:t xml:space="preserve">, ‘Reputation and Coalitions in Medieval Trade: The Evidence of the Maghribi Traders,’ </w:t>
      </w:r>
      <w:r w:rsidRPr="00642B26">
        <w:rPr>
          <w:i/>
          <w:iCs/>
        </w:rPr>
        <w:t>Journal of Economic History</w:t>
      </w:r>
      <w:r>
        <w:t>, 49:4 (1989), 857-882</w:t>
      </w:r>
    </w:p>
    <w:p w14:paraId="2EF223D6" w14:textId="4E892D2E" w:rsidR="00BD03EA" w:rsidRDefault="00BD03EA" w:rsidP="00170D85">
      <w:r w:rsidRPr="00BD03EA">
        <w:t>Griffin, Emma</w:t>
      </w:r>
      <w:r>
        <w:t>,</w:t>
      </w:r>
      <w:r w:rsidRPr="00BD03EA">
        <w:t xml:space="preserve"> ‘Diets, Hunger and Living Standards during the British Industrial Revolution,’ </w:t>
      </w:r>
      <w:r w:rsidRPr="00BD03EA">
        <w:rPr>
          <w:i/>
          <w:iCs/>
        </w:rPr>
        <w:t>Past and Present</w:t>
      </w:r>
      <w:r w:rsidRPr="00BD03EA">
        <w:t>,</w:t>
      </w:r>
      <w:r>
        <w:t xml:space="preserve"> </w:t>
      </w:r>
      <w:r w:rsidRPr="00BD03EA">
        <w:t>239:1 (2018)</w:t>
      </w:r>
      <w:r>
        <w:t>,</w:t>
      </w:r>
      <w:r w:rsidRPr="00BD03EA">
        <w:t xml:space="preserve"> pp. 71-111.</w:t>
      </w:r>
    </w:p>
    <w:p w14:paraId="74732C59" w14:textId="6C8E6CD5" w:rsidR="00170D85" w:rsidRDefault="00170D85" w:rsidP="00170D85">
      <w:r>
        <w:t xml:space="preserve">Hall, Nigel, ‘The Emergence of the Raw Cotton Market, 1800-1850,’ </w:t>
      </w:r>
      <w:r w:rsidRPr="00642B26">
        <w:rPr>
          <w:i/>
          <w:iCs/>
        </w:rPr>
        <w:t>International Journal of Phytoremediation</w:t>
      </w:r>
      <w:r>
        <w:t>, 38:1 (2001), 65-81</w:t>
      </w:r>
    </w:p>
    <w:p w14:paraId="017952FD" w14:textId="77777777" w:rsidR="00170D85" w:rsidRDefault="00170D85" w:rsidP="00170D85">
      <w:r>
        <w:t xml:space="preserve">Hamilton, Douglas, ‘Local Connection, Global Ambitions: Creating a Transoceanic Network in the Eighteenth-Century British Atlantic Empire,’ </w:t>
      </w:r>
      <w:r w:rsidRPr="00642B26">
        <w:rPr>
          <w:i/>
          <w:iCs/>
        </w:rPr>
        <w:t>International Journal of Maritime History</w:t>
      </w:r>
      <w:r>
        <w:t>, 23:2 (2011), 283-300</w:t>
      </w:r>
    </w:p>
    <w:p w14:paraId="267162BE" w14:textId="77777777" w:rsidR="00170D85" w:rsidRDefault="00170D85" w:rsidP="00170D85">
      <w:r>
        <w:t xml:space="preserve">Harris, Verne, ‘The Archival Sliver: Power, Memory, and Archives in South Africa,’ </w:t>
      </w:r>
      <w:r w:rsidRPr="00642B26">
        <w:rPr>
          <w:i/>
          <w:iCs/>
        </w:rPr>
        <w:t>Archival Science</w:t>
      </w:r>
      <w:r>
        <w:t>, 2: 1-2 (2002), 63-86</w:t>
      </w:r>
    </w:p>
    <w:p w14:paraId="66E5DAA7" w14:textId="77777777" w:rsidR="00170D85" w:rsidRDefault="00170D85" w:rsidP="00170D85">
      <w:bookmarkStart w:id="245" w:name="_Hlk156578380"/>
      <w:r>
        <w:t xml:space="preserve">Harvey, Karen, ‘Men Making Home: Masculinity and Domesticity in Eighteenth-Century Britain,’ </w:t>
      </w:r>
      <w:r w:rsidRPr="00642B26">
        <w:rPr>
          <w:i/>
          <w:iCs/>
        </w:rPr>
        <w:t>Gender &amp; History</w:t>
      </w:r>
      <w:r>
        <w:t>, 21:3 (2009), 520-540</w:t>
      </w:r>
    </w:p>
    <w:bookmarkEnd w:id="245"/>
    <w:p w14:paraId="1B0236E3" w14:textId="77777777" w:rsidR="00170D85" w:rsidRDefault="00170D85" w:rsidP="00170D85">
      <w:r>
        <w:t xml:space="preserve">Hobbs, John L., ‘The Boot and Haden Families and the Founding of Lowell,’ </w:t>
      </w:r>
      <w:r w:rsidRPr="00642B26">
        <w:rPr>
          <w:i/>
          <w:iCs/>
        </w:rPr>
        <w:t>Derbyshire Archaeological and Natural History Society’s Journal</w:t>
      </w:r>
      <w:r>
        <w:t xml:space="preserve">, (1946), 59-74 </w:t>
      </w:r>
    </w:p>
    <w:p w14:paraId="41320942" w14:textId="0042D7E2" w:rsidR="00F434A4" w:rsidRDefault="00F434A4" w:rsidP="00170D85">
      <w:r w:rsidRPr="00F434A4">
        <w:lastRenderedPageBreak/>
        <w:t xml:space="preserve">Hodgson, Geoffrey M., </w:t>
      </w:r>
      <w:r>
        <w:t>‘</w:t>
      </w:r>
      <w:r w:rsidRPr="00F434A4">
        <w:t xml:space="preserve">Financial Institutions and the British Industrial Revolution: Did Financial Underdevelopment Hold Back </w:t>
      </w:r>
      <w:proofErr w:type="gramStart"/>
      <w:r w:rsidRPr="00F434A4">
        <w:t>Growth?,</w:t>
      </w:r>
      <w:proofErr w:type="gramEnd"/>
      <w:r>
        <w:t>’</w:t>
      </w:r>
      <w:r w:rsidRPr="00F434A4">
        <w:t> </w:t>
      </w:r>
      <w:r w:rsidRPr="00F434A4">
        <w:rPr>
          <w:i/>
          <w:iCs/>
        </w:rPr>
        <w:t>Journal of Institutional Economics</w:t>
      </w:r>
      <w:r w:rsidRPr="00F434A4">
        <w:t>, 17</w:t>
      </w:r>
      <w:r>
        <w:t>:3</w:t>
      </w:r>
      <w:r w:rsidRPr="00F434A4">
        <w:t xml:space="preserve"> (2021), 429–48</w:t>
      </w:r>
    </w:p>
    <w:p w14:paraId="3F006826" w14:textId="7BE124ED" w:rsidR="00170D85" w:rsidRDefault="00170D85" w:rsidP="00170D85">
      <w:bookmarkStart w:id="246" w:name="_Hlk156668684"/>
      <w:proofErr w:type="spellStart"/>
      <w:r>
        <w:t>Hoppit</w:t>
      </w:r>
      <w:proofErr w:type="spellEnd"/>
      <w:r>
        <w:t>, J</w:t>
      </w:r>
      <w:r w:rsidR="00047AB8">
        <w:t>ulian</w:t>
      </w:r>
      <w:r>
        <w:t xml:space="preserve">, ‘Financial Crises in Eighteenth-Century England,’ </w:t>
      </w:r>
      <w:r w:rsidRPr="00642B26">
        <w:rPr>
          <w:i/>
          <w:iCs/>
        </w:rPr>
        <w:t>Economic History Review</w:t>
      </w:r>
      <w:r>
        <w:t xml:space="preserve">, 39:1 (1986), 39-58 </w:t>
      </w:r>
    </w:p>
    <w:bookmarkEnd w:id="246"/>
    <w:p w14:paraId="0DA850CD" w14:textId="77777777" w:rsidR="00170D85" w:rsidRDefault="00170D85" w:rsidP="00170D85">
      <w:r>
        <w:t xml:space="preserve">Hudson, Pat, ‘Industrialization in Britain: The Challenge of Micro-history,’ </w:t>
      </w:r>
      <w:r w:rsidRPr="00642B26">
        <w:rPr>
          <w:i/>
          <w:iCs/>
        </w:rPr>
        <w:t>Family and Community History</w:t>
      </w:r>
      <w:r>
        <w:t>, 2:1 (1999), 5-16</w:t>
      </w:r>
    </w:p>
    <w:p w14:paraId="0D307788" w14:textId="77777777" w:rsidR="00170D85" w:rsidRDefault="00170D85" w:rsidP="00170D85">
      <w:r>
        <w:t xml:space="preserve">Inkpen, Andrew C., and Tsang, Eric W. K., ‘Social Capital, Network and Knowledge Transfer,’ </w:t>
      </w:r>
      <w:r w:rsidRPr="00642B26">
        <w:rPr>
          <w:i/>
          <w:iCs/>
        </w:rPr>
        <w:t>Academy of Management Review</w:t>
      </w:r>
      <w:r>
        <w:t xml:space="preserve">, 30:1 (2005), 146-165 </w:t>
      </w:r>
    </w:p>
    <w:p w14:paraId="17665295" w14:textId="77777777" w:rsidR="00170D85" w:rsidRDefault="00170D85" w:rsidP="00170D85">
      <w:r>
        <w:t xml:space="preserve">Jackson, Juanita, Slaughter, Sabra, and Blake, J. Herman, ‘The Sea Islands as a Cultural Resource,’ </w:t>
      </w:r>
      <w:r w:rsidRPr="00642B26">
        <w:rPr>
          <w:i/>
          <w:iCs/>
        </w:rPr>
        <w:t>Black Scholar: Journal of Black Studies and Research</w:t>
      </w:r>
      <w:r>
        <w:t xml:space="preserve">, 5:6 (1974), 32-39 </w:t>
      </w:r>
    </w:p>
    <w:p w14:paraId="4B7ADE1E" w14:textId="77777777" w:rsidR="00170D85" w:rsidRDefault="00170D85" w:rsidP="00170D85">
      <w:r>
        <w:t xml:space="preserve">Johnson, Howard, ‘The Emergence of a Peasantry in the Bahamas during Slavery,’ </w:t>
      </w:r>
      <w:r w:rsidRPr="00642B26">
        <w:rPr>
          <w:i/>
          <w:iCs/>
        </w:rPr>
        <w:t>Slavery and Abolition: A Journal of Slave and Post-Slave Studies</w:t>
      </w:r>
      <w:r>
        <w:t xml:space="preserve">, 10:2 (1989), 172-186  </w:t>
      </w:r>
    </w:p>
    <w:p w14:paraId="43A80362" w14:textId="77777777" w:rsidR="00170D85" w:rsidRDefault="00170D85" w:rsidP="00170D85">
      <w:r>
        <w:t xml:space="preserve">Jones, Geoffrey, and Rose, Mary B., ‘Family Capitalism,’ </w:t>
      </w:r>
      <w:r w:rsidRPr="00642B26">
        <w:rPr>
          <w:i/>
          <w:iCs/>
        </w:rPr>
        <w:t>Business History</w:t>
      </w:r>
      <w:r>
        <w:t>, 35:4 (1993), 1-16</w:t>
      </w:r>
    </w:p>
    <w:p w14:paraId="1F96A251" w14:textId="77777777" w:rsidR="00170D85" w:rsidRDefault="00170D85" w:rsidP="00170D85">
      <w:proofErr w:type="spellStart"/>
      <w:r>
        <w:t>Karaçuka</w:t>
      </w:r>
      <w:proofErr w:type="spellEnd"/>
      <w:r>
        <w:t xml:space="preserve">, Mehmet, ‘Religion and Economic Development in History: Institutions and the Role of Religious Networks,’ </w:t>
      </w:r>
      <w:r w:rsidRPr="00642B26">
        <w:rPr>
          <w:i/>
          <w:iCs/>
        </w:rPr>
        <w:t>Journal of Economic Issues</w:t>
      </w:r>
      <w:r>
        <w:t>, 52:1 (2018), 57-79</w:t>
      </w:r>
    </w:p>
    <w:p w14:paraId="2E61B542" w14:textId="3169A71B" w:rsidR="008F6DF5" w:rsidRDefault="008F6DF5" w:rsidP="00170D85">
      <w:r>
        <w:t xml:space="preserve">Kirkham, Nellie, ‘Early Lead Smelting in Derbyshire,’ </w:t>
      </w:r>
      <w:r w:rsidRPr="008F6DF5">
        <w:rPr>
          <w:i/>
          <w:iCs/>
        </w:rPr>
        <w:t>Transactions of the Newcomen Society</w:t>
      </w:r>
      <w:r>
        <w:t>, 41:1 (1968), 119-138</w:t>
      </w:r>
    </w:p>
    <w:p w14:paraId="70DDBD7D" w14:textId="1686045A" w:rsidR="00170D85" w:rsidRDefault="00170D85" w:rsidP="00170D85">
      <w:r>
        <w:t xml:space="preserve">Lindsay, Jean, ‘An Industrial Community – The Evans’ Cotton Mill at Darley Abbey Derbyshire, 1783-1810’, </w:t>
      </w:r>
      <w:r w:rsidRPr="00642B26">
        <w:rPr>
          <w:i/>
          <w:iCs/>
        </w:rPr>
        <w:t>Business History Review</w:t>
      </w:r>
      <w:r>
        <w:t>, 34:3 (1960), 277-301</w:t>
      </w:r>
    </w:p>
    <w:p w14:paraId="05BB49DE" w14:textId="77777777" w:rsidR="00170D85" w:rsidRDefault="00170D85" w:rsidP="00170D85">
      <w:r>
        <w:t xml:space="preserve">Livingston, Alistair, ‘The </w:t>
      </w:r>
      <w:proofErr w:type="spellStart"/>
      <w:r>
        <w:t>Glenkens</w:t>
      </w:r>
      <w:proofErr w:type="spellEnd"/>
      <w:r>
        <w:t xml:space="preserve">, Cattle, Cotton, and Capitalism,’ </w:t>
      </w:r>
      <w:r w:rsidRPr="00642B26">
        <w:rPr>
          <w:i/>
          <w:iCs/>
        </w:rPr>
        <w:t>Transactions of the Dumfriesshire and Galloway Natural History and Antiquarian Society</w:t>
      </w:r>
      <w:r>
        <w:t>, Third Series, 90 (2016), 67-78</w:t>
      </w:r>
    </w:p>
    <w:p w14:paraId="7D0D7B06" w14:textId="77777777" w:rsidR="00170D85" w:rsidRDefault="00170D85" w:rsidP="00170D85">
      <w:proofErr w:type="gramStart"/>
      <w:r>
        <w:t>Lloyd-Jones</w:t>
      </w:r>
      <w:proofErr w:type="gramEnd"/>
      <w:r>
        <w:t xml:space="preserve">, Roger and Le Roux, A. A., ‘The Size of Firms in the Cotton Industry: Manchester 1815-41,’ </w:t>
      </w:r>
      <w:r w:rsidRPr="00642B26">
        <w:rPr>
          <w:i/>
          <w:iCs/>
        </w:rPr>
        <w:t>Economic History Review</w:t>
      </w:r>
      <w:r>
        <w:t xml:space="preserve">, 33:1 (1980), 72-82  </w:t>
      </w:r>
    </w:p>
    <w:p w14:paraId="093589EC" w14:textId="77777777" w:rsidR="00170D85" w:rsidRDefault="00170D85" w:rsidP="00170D85">
      <w:r>
        <w:t xml:space="preserve">Majima, Shinobu, ‘Business History,’ </w:t>
      </w:r>
      <w:r w:rsidRPr="00642B26">
        <w:rPr>
          <w:i/>
          <w:iCs/>
        </w:rPr>
        <w:t>Textile History</w:t>
      </w:r>
      <w:r>
        <w:t xml:space="preserve">, 50:1 (2019), 55-61 </w:t>
      </w:r>
    </w:p>
    <w:p w14:paraId="65F8D635" w14:textId="77777777" w:rsidR="00170D85" w:rsidRDefault="00170D85" w:rsidP="00170D85">
      <w:r>
        <w:t xml:space="preserve">Melo, Filipe Souza and Martins, Diego de </w:t>
      </w:r>
      <w:proofErr w:type="spellStart"/>
      <w:r>
        <w:t>Cambraia</w:t>
      </w:r>
      <w:proofErr w:type="spellEnd"/>
      <w:r>
        <w:t xml:space="preserve">, ‘Reassessing the Productivity of Enslavement on Large-scale Plantations and Small Farms in Brazilian Cotton Production, (c.1750-1810),’ </w:t>
      </w:r>
      <w:r w:rsidRPr="00642B26">
        <w:rPr>
          <w:i/>
          <w:iCs/>
        </w:rPr>
        <w:t>Historical Research</w:t>
      </w:r>
      <w:r>
        <w:t xml:space="preserve">, 96:272 (2023), 193-221  </w:t>
      </w:r>
    </w:p>
    <w:p w14:paraId="163EA74B" w14:textId="77777777" w:rsidR="00170D85" w:rsidRDefault="00170D85" w:rsidP="00170D85">
      <w:proofErr w:type="spellStart"/>
      <w:r>
        <w:t>Menuge</w:t>
      </w:r>
      <w:proofErr w:type="spellEnd"/>
      <w:r>
        <w:t xml:space="preserve">, Adam, ‘Boar’s Head Mills, Darley Abbey, Derby: A Survey and Investigation of the Cotton Mills and Ancillary Buildings, Historic Buildings Report,’ </w:t>
      </w:r>
      <w:r w:rsidRPr="00642B26">
        <w:rPr>
          <w:i/>
          <w:iCs/>
        </w:rPr>
        <w:t>English Heritage Research Department Report</w:t>
      </w:r>
      <w:r>
        <w:t xml:space="preserve">, Series No. 35 (2006) </w:t>
      </w:r>
    </w:p>
    <w:p w14:paraId="7CA49B45" w14:textId="77777777" w:rsidR="00170D85" w:rsidRPr="00170D85" w:rsidRDefault="00170D85" w:rsidP="00170D85">
      <w:pPr>
        <w:rPr>
          <w:lang w:val="de-DE"/>
        </w:rPr>
      </w:pPr>
      <w:r w:rsidRPr="00170D85">
        <w:rPr>
          <w:lang w:val="de-DE"/>
        </w:rPr>
        <w:t xml:space="preserve">Motter, Barbara, ‘Industrieschauplätze im Walgau,’ </w:t>
      </w:r>
      <w:r w:rsidRPr="00642B26">
        <w:rPr>
          <w:i/>
          <w:iCs/>
          <w:lang w:val="de-DE"/>
        </w:rPr>
        <w:t>Kulturgut Walgau</w:t>
      </w:r>
      <w:r w:rsidRPr="00170D85">
        <w:rPr>
          <w:lang w:val="de-DE"/>
        </w:rPr>
        <w:t>, Edition 1 (2021), 5-21</w:t>
      </w:r>
    </w:p>
    <w:p w14:paraId="51E59AA7" w14:textId="77777777" w:rsidR="00170D85" w:rsidRDefault="00170D85" w:rsidP="00170D85">
      <w:r>
        <w:t xml:space="preserve">Mouzas, Stefanos, Henneberg, Stephan, and Naudé, Peter, ‘Trust and Reliance in Business Relationships,’ </w:t>
      </w:r>
      <w:r w:rsidRPr="00642B26">
        <w:rPr>
          <w:i/>
          <w:iCs/>
        </w:rPr>
        <w:t>European Journal of Marketing</w:t>
      </w:r>
      <w:r>
        <w:t>, 41:9/10 (2007), 1016-1032</w:t>
      </w:r>
    </w:p>
    <w:p w14:paraId="706AEAC8" w14:textId="77777777" w:rsidR="00170D85" w:rsidRDefault="00170D85" w:rsidP="00170D85">
      <w:r>
        <w:t xml:space="preserve">Meyers, Allan D., ‘Striking for Freedom: The 1831 Uprising at Golden Grove Plantation, Cat Island,’ </w:t>
      </w:r>
      <w:r w:rsidRPr="00642B26">
        <w:rPr>
          <w:i/>
          <w:iCs/>
        </w:rPr>
        <w:t>International Journal of Bahamian Studies</w:t>
      </w:r>
      <w:r>
        <w:t>, 21:1 (2015), 74-90</w:t>
      </w:r>
    </w:p>
    <w:p w14:paraId="50BDECFF" w14:textId="77777777" w:rsidR="00170D85" w:rsidRDefault="00170D85" w:rsidP="00170D85">
      <w:proofErr w:type="spellStart"/>
      <w:r>
        <w:t>Nahapiet</w:t>
      </w:r>
      <w:proofErr w:type="spellEnd"/>
      <w:r>
        <w:t xml:space="preserve">, Janine, and Ghosal, Sumantra, ‘Social Capital, Intellectual Capital, and the Organizational Advantage,’ </w:t>
      </w:r>
      <w:r w:rsidRPr="00642B26">
        <w:rPr>
          <w:i/>
          <w:iCs/>
        </w:rPr>
        <w:t>Academy of Management Review</w:t>
      </w:r>
      <w:r>
        <w:t>, 23 (1998), 242-266</w:t>
      </w:r>
    </w:p>
    <w:p w14:paraId="2139D3AC" w14:textId="77777777" w:rsidR="00170D85" w:rsidRDefault="00170D85" w:rsidP="00170D85">
      <w:proofErr w:type="spellStart"/>
      <w:r>
        <w:lastRenderedPageBreak/>
        <w:t>Nenadic</w:t>
      </w:r>
      <w:proofErr w:type="spellEnd"/>
      <w:r>
        <w:t xml:space="preserve">, Stana., ‘The Small Family Firm in Victorian Britain,’ </w:t>
      </w:r>
      <w:r w:rsidRPr="00642B26">
        <w:rPr>
          <w:i/>
          <w:iCs/>
        </w:rPr>
        <w:t>Business History</w:t>
      </w:r>
      <w:r>
        <w:t>, 35:4 (1993), 86-114</w:t>
      </w:r>
    </w:p>
    <w:p w14:paraId="427A2994" w14:textId="77777777" w:rsidR="00170D85" w:rsidRDefault="00170D85" w:rsidP="00170D85">
      <w:bookmarkStart w:id="247" w:name="_Hlk156643376"/>
      <w:r>
        <w:t xml:space="preserve">Newton, Lucy, ‘Trust and Virtue in English Banking: The Assessment of Borrowers by Bank Managements at the Turn of the Nineteenth Century,’ </w:t>
      </w:r>
      <w:r w:rsidRPr="00642B26">
        <w:rPr>
          <w:i/>
          <w:iCs/>
        </w:rPr>
        <w:t>Financial History Review</w:t>
      </w:r>
      <w:r>
        <w:t>, 7 (2000), 177-199</w:t>
      </w:r>
    </w:p>
    <w:bookmarkEnd w:id="247"/>
    <w:p w14:paraId="6399E02A" w14:textId="77777777" w:rsidR="00170D85" w:rsidRDefault="00170D85" w:rsidP="00170D85">
      <w:r>
        <w:t xml:space="preserve">O’Brien, John F., ‘The Character of Credit: </w:t>
      </w:r>
      <w:proofErr w:type="spellStart"/>
      <w:r>
        <w:t>Defore’s</w:t>
      </w:r>
      <w:proofErr w:type="spellEnd"/>
      <w:r>
        <w:t xml:space="preserve"> “Lady Credit,” “The Fortune Mistress,” and the Resources of Inconsistency in Early Eighteenth-Century Britain,’ </w:t>
      </w:r>
      <w:r w:rsidRPr="00642B26">
        <w:rPr>
          <w:i/>
          <w:iCs/>
        </w:rPr>
        <w:t>ELH</w:t>
      </w:r>
      <w:r>
        <w:t>, 63:3 (1996), 603-631</w:t>
      </w:r>
    </w:p>
    <w:p w14:paraId="21399D73" w14:textId="77777777" w:rsidR="00170D85" w:rsidRDefault="00170D85" w:rsidP="00170D85">
      <w:r>
        <w:t xml:space="preserve">Owens, Alastair, ‘Inheritance and the Life Cycle of Family Firms in the Early Industrial Revolution,’ </w:t>
      </w:r>
      <w:r w:rsidRPr="00642B26">
        <w:rPr>
          <w:i/>
          <w:iCs/>
        </w:rPr>
        <w:t>Business History</w:t>
      </w:r>
      <w:r>
        <w:t xml:space="preserve">, 44:1 (2002), 21-47 </w:t>
      </w:r>
    </w:p>
    <w:p w14:paraId="1FBFEB25" w14:textId="0B2407B3" w:rsidR="00312A75" w:rsidRDefault="00312A75" w:rsidP="00170D85">
      <w:r w:rsidRPr="00312A75">
        <w:t>Owens</w:t>
      </w:r>
      <w:r>
        <w:t>,</w:t>
      </w:r>
      <w:r w:rsidRPr="00312A75">
        <w:t xml:space="preserve"> Alastair, ‘A Hidden Investment? Women and Business in England, c. 1750–1900,’ English language version of ‘</w:t>
      </w:r>
      <w:r w:rsidRPr="00312A75">
        <w:rPr>
          <w:i/>
          <w:iCs/>
        </w:rPr>
        <w:t xml:space="preserve">Una </w:t>
      </w:r>
      <w:proofErr w:type="spellStart"/>
      <w:r w:rsidRPr="00312A75">
        <w:rPr>
          <w:i/>
          <w:iCs/>
        </w:rPr>
        <w:t>Inverió</w:t>
      </w:r>
      <w:proofErr w:type="spellEnd"/>
      <w:r w:rsidRPr="00312A75">
        <w:rPr>
          <w:i/>
          <w:iCs/>
        </w:rPr>
        <w:t xml:space="preserve"> </w:t>
      </w:r>
      <w:proofErr w:type="spellStart"/>
      <w:r w:rsidRPr="00312A75">
        <w:rPr>
          <w:i/>
          <w:iCs/>
        </w:rPr>
        <w:t>Oculta</w:t>
      </w:r>
      <w:proofErr w:type="spellEnd"/>
      <w:r w:rsidRPr="00312A75">
        <w:t xml:space="preserve"> (1750)</w:t>
      </w:r>
      <w:r>
        <w:t>,</w:t>
      </w:r>
      <w:r w:rsidRPr="00312A75">
        <w:t xml:space="preserve"> 1750-1900</w:t>
      </w:r>
    </w:p>
    <w:p w14:paraId="3A5A17B9" w14:textId="77777777" w:rsidR="00170D85" w:rsidRDefault="00170D85" w:rsidP="00170D85">
      <w:r>
        <w:t xml:space="preserve">Pearson, Robin, and Richardson, David, ‘Business Networking in the Industrial Revolution,’ </w:t>
      </w:r>
      <w:r w:rsidRPr="00642B26">
        <w:rPr>
          <w:i/>
          <w:iCs/>
        </w:rPr>
        <w:t>Economic History Review</w:t>
      </w:r>
      <w:r>
        <w:t>, 54:4 (2001), 657-679</w:t>
      </w:r>
    </w:p>
    <w:p w14:paraId="2D4CF0F8" w14:textId="77777777" w:rsidR="00170D85" w:rsidRDefault="00170D85" w:rsidP="00170D85">
      <w:bookmarkStart w:id="248" w:name="_Hlk170474415"/>
      <w:r>
        <w:t xml:space="preserve">Pereira, Thales A. Zamberlan, ‘The Rise of the Brazilian Cotton Trade in Britain during the Industrial Revolution,’ </w:t>
      </w:r>
      <w:r w:rsidRPr="00642B26">
        <w:rPr>
          <w:i/>
          <w:iCs/>
        </w:rPr>
        <w:t>Journal of Latin American Studies</w:t>
      </w:r>
      <w:r>
        <w:t>, 50:4 (2018), 919-949</w:t>
      </w:r>
    </w:p>
    <w:bookmarkEnd w:id="248"/>
    <w:p w14:paraId="7BC52EFC" w14:textId="77777777" w:rsidR="00170D85" w:rsidRDefault="00170D85" w:rsidP="00170D85">
      <w:r>
        <w:t xml:space="preserve">Pohle, Monika, and Fraser Iain L., ‘Risk, Information and Noise: Risk Perceptions and Risk Management of French and German Banks during the Nineteenth Century,’ </w:t>
      </w:r>
      <w:r w:rsidRPr="00642B26">
        <w:rPr>
          <w:i/>
          <w:iCs/>
        </w:rPr>
        <w:t>Financial History Review</w:t>
      </w:r>
      <w:r>
        <w:t>, 2 (1995), 25-39</w:t>
      </w:r>
    </w:p>
    <w:p w14:paraId="56A87208" w14:textId="77777777" w:rsidR="00170D85" w:rsidRDefault="00170D85" w:rsidP="00170D85">
      <w:r>
        <w:t xml:space="preserve">Pond, Kristen, ‘” A Desire to Look Respectable in the Eyes of Strangers”: The Victorian Press and the Figure of the Stranger at the Great Exhibition of 1851,’ </w:t>
      </w:r>
      <w:r w:rsidRPr="00642B26">
        <w:rPr>
          <w:i/>
          <w:iCs/>
        </w:rPr>
        <w:t>Victorian Periodicals Review</w:t>
      </w:r>
      <w:r>
        <w:t>, 53:1 (2020), 57-75</w:t>
      </w:r>
    </w:p>
    <w:p w14:paraId="172B79BF" w14:textId="77777777" w:rsidR="00170D85" w:rsidRDefault="00170D85" w:rsidP="00170D85">
      <w:r>
        <w:t xml:space="preserve">Ring, Peter S., ‘Fragile and Resilient Trust and their Roles in Economic Exchange,’ </w:t>
      </w:r>
      <w:r w:rsidRPr="00642B26">
        <w:rPr>
          <w:i/>
          <w:iCs/>
        </w:rPr>
        <w:t>Business &amp; Society</w:t>
      </w:r>
      <w:r>
        <w:t>, 35:2 (1996), 148-175</w:t>
      </w:r>
    </w:p>
    <w:p w14:paraId="79EA49E2" w14:textId="77777777" w:rsidR="00170D85" w:rsidRDefault="00170D85" w:rsidP="00170D85">
      <w:r>
        <w:t xml:space="preserve">Roberts, Justin, ‘Working between the Lines: Labor and Agriculture in Two Barbadian Sugar Plantations, 1796-97,’ </w:t>
      </w:r>
      <w:r w:rsidRPr="00642B26">
        <w:rPr>
          <w:i/>
          <w:iCs/>
        </w:rPr>
        <w:t>William &amp; Mary Quarterly</w:t>
      </w:r>
      <w:r>
        <w:t xml:space="preserve">, 63:3 (2006), 551-586  </w:t>
      </w:r>
    </w:p>
    <w:p w14:paraId="2C215777" w14:textId="77777777" w:rsidR="00170D85" w:rsidRDefault="00170D85" w:rsidP="00170D85">
      <w:proofErr w:type="spellStart"/>
      <w:r>
        <w:t>Rosenbrand</w:t>
      </w:r>
      <w:proofErr w:type="spellEnd"/>
      <w:r>
        <w:t xml:space="preserve">, Leonard N., ‘Social Capital in the Early Industrial Revolution,’ </w:t>
      </w:r>
      <w:r w:rsidRPr="00642B26">
        <w:rPr>
          <w:i/>
          <w:iCs/>
        </w:rPr>
        <w:t>Journal of Interdisciplinary History</w:t>
      </w:r>
      <w:r>
        <w:t>, 29:3 (1999), 435-457</w:t>
      </w:r>
    </w:p>
    <w:p w14:paraId="16254D85" w14:textId="77777777" w:rsidR="00170D85" w:rsidRDefault="00170D85" w:rsidP="00170D85">
      <w:r>
        <w:t xml:space="preserve">Ryden, David B., ‘“One of the Finest and Most Fruitful Spots in America:” An Analysis of Eighteenth-Century </w:t>
      </w:r>
      <w:proofErr w:type="spellStart"/>
      <w:r>
        <w:t>Carriacou</w:t>
      </w:r>
      <w:proofErr w:type="spellEnd"/>
      <w:r>
        <w:t xml:space="preserve">,’ </w:t>
      </w:r>
      <w:r w:rsidRPr="00642B26">
        <w:rPr>
          <w:i/>
          <w:iCs/>
        </w:rPr>
        <w:t>Journal of Interdisciplinary History</w:t>
      </w:r>
      <w:r>
        <w:t xml:space="preserve">, 43:3 (2013), 539-570 </w:t>
      </w:r>
    </w:p>
    <w:p w14:paraId="301BA043" w14:textId="77777777" w:rsidR="00170D85" w:rsidRDefault="00170D85" w:rsidP="00170D85">
      <w:r>
        <w:t xml:space="preserve">Sauer, James B., ‘Christian Faith, Economy, and Economics: What Do Christian Ethics Contribute to Understanding Economies?’ </w:t>
      </w:r>
      <w:r w:rsidRPr="00642B26">
        <w:rPr>
          <w:i/>
          <w:iCs/>
        </w:rPr>
        <w:t>Faith &amp; Economics</w:t>
      </w:r>
      <w:r>
        <w:t>, 42 (2003), 17-25</w:t>
      </w:r>
    </w:p>
    <w:p w14:paraId="2EE005FA" w14:textId="77777777" w:rsidR="00170D85" w:rsidRDefault="00170D85" w:rsidP="00170D85">
      <w:r>
        <w:t xml:space="preserve">Seed, John, ‘Unitarianism, Political Economy and the Antinomies of Liberal Culture in Manchester, 1830-50,’ </w:t>
      </w:r>
      <w:r w:rsidRPr="00642B26">
        <w:rPr>
          <w:i/>
          <w:iCs/>
        </w:rPr>
        <w:t>Social History</w:t>
      </w:r>
      <w:r>
        <w:t>, 7:1 (1982), 1-25</w:t>
      </w:r>
    </w:p>
    <w:p w14:paraId="63522747" w14:textId="77777777" w:rsidR="00170D85" w:rsidRDefault="00170D85" w:rsidP="00170D85">
      <w:r>
        <w:t xml:space="preserve">Seed, John, and Wolff, Janet, ‘Class and Culture in Nineteenth Century Manchester,’ </w:t>
      </w:r>
      <w:r w:rsidRPr="00642B26">
        <w:rPr>
          <w:i/>
          <w:iCs/>
        </w:rPr>
        <w:t>Theory, Culture and Society</w:t>
      </w:r>
      <w:r>
        <w:t>, 2:2 (1984), 38-53</w:t>
      </w:r>
    </w:p>
    <w:p w14:paraId="61B9B85D" w14:textId="77777777" w:rsidR="00170D85" w:rsidRDefault="00170D85" w:rsidP="00170D85">
      <w:r>
        <w:t xml:space="preserve">Smail, John, ‘The Culture of Credit in Eighteenth-Century Commerce: The English Textile Industry,’ </w:t>
      </w:r>
      <w:r w:rsidRPr="00642B26">
        <w:rPr>
          <w:i/>
          <w:iCs/>
        </w:rPr>
        <w:t>Enterprise and Society</w:t>
      </w:r>
      <w:r>
        <w:t>, 4:2 (2003), 299-325</w:t>
      </w:r>
    </w:p>
    <w:p w14:paraId="2CE2C55E" w14:textId="77777777" w:rsidR="00170D85" w:rsidRDefault="00170D85" w:rsidP="00170D85">
      <w:r>
        <w:t xml:space="preserve">Smith, D. M., ‘The Cotton Industry in the East Midlands,’ </w:t>
      </w:r>
      <w:r w:rsidRPr="00642B26">
        <w:rPr>
          <w:i/>
          <w:iCs/>
        </w:rPr>
        <w:t>Geography,</w:t>
      </w:r>
      <w:r>
        <w:t xml:space="preserve"> 47.3 (1962), 256-269</w:t>
      </w:r>
    </w:p>
    <w:p w14:paraId="12BA6B1D" w14:textId="77777777" w:rsidR="00170D85" w:rsidRDefault="00170D85" w:rsidP="00170D85">
      <w:r>
        <w:t xml:space="preserve">Sorbel, Joel, ‘Can We Trust Social Capital?’ </w:t>
      </w:r>
      <w:r w:rsidRPr="00642B26">
        <w:rPr>
          <w:i/>
          <w:iCs/>
        </w:rPr>
        <w:t>Journal of Economic Literature</w:t>
      </w:r>
      <w:r>
        <w:t xml:space="preserve">, 40:1 (2002), 139-154 </w:t>
      </w:r>
    </w:p>
    <w:p w14:paraId="14ABE159" w14:textId="77777777" w:rsidR="00170D85" w:rsidRDefault="00170D85" w:rsidP="00170D85">
      <w:r>
        <w:lastRenderedPageBreak/>
        <w:t xml:space="preserve">Tadmor, Naomi, ‘The Concept of the Household-family in Eighteenth-Century England,’ </w:t>
      </w:r>
      <w:r w:rsidRPr="00642B26">
        <w:rPr>
          <w:i/>
          <w:iCs/>
        </w:rPr>
        <w:t>Past &amp; Present</w:t>
      </w:r>
      <w:r>
        <w:t>, 151:1 (1996), 111-140</w:t>
      </w:r>
    </w:p>
    <w:p w14:paraId="20F0D472" w14:textId="77777777" w:rsidR="00170D85" w:rsidRDefault="00170D85" w:rsidP="00170D85">
      <w:proofErr w:type="spellStart"/>
      <w:r>
        <w:t>Yli</w:t>
      </w:r>
      <w:proofErr w:type="spellEnd"/>
      <w:r>
        <w:t xml:space="preserve">-Renko, Helena, Autio, Erkko, and Sapienza, Harry J., ‘Social Capital, Knowledge Acquisition and Knowledge Exploitation in young technology-based firms,’ </w:t>
      </w:r>
      <w:r w:rsidRPr="00642B26">
        <w:rPr>
          <w:i/>
          <w:iCs/>
        </w:rPr>
        <w:t>Strategic Management Journal</w:t>
      </w:r>
      <w:r>
        <w:t xml:space="preserve">, 22 (2001), 587-613 </w:t>
      </w:r>
    </w:p>
    <w:p w14:paraId="5212ED55" w14:textId="77777777" w:rsidR="00170D85" w:rsidRPr="00642B26" w:rsidRDefault="00170D85" w:rsidP="00170D85">
      <w:pPr>
        <w:rPr>
          <w:b/>
          <w:bCs/>
        </w:rPr>
      </w:pPr>
      <w:r w:rsidRPr="00642B26">
        <w:rPr>
          <w:b/>
          <w:bCs/>
        </w:rPr>
        <w:t>Book Chapters in Edited Collections</w:t>
      </w:r>
    </w:p>
    <w:p w14:paraId="3B27C081" w14:textId="77777777" w:rsidR="00170D85" w:rsidRDefault="00170D85" w:rsidP="00170D85">
      <w:r>
        <w:t xml:space="preserve">Ester, Peter, ‘Still Bowling Together: Social Capital of Dutch Protestant Immigrant Groups in North America,’ in </w:t>
      </w:r>
      <w:r w:rsidRPr="00642B26">
        <w:rPr>
          <w:i/>
          <w:iCs/>
        </w:rPr>
        <w:t>Morsels in the Melting Pot</w:t>
      </w:r>
      <w:r>
        <w:t xml:space="preserve">, ed. by George </w:t>
      </w:r>
      <w:proofErr w:type="spellStart"/>
      <w:r>
        <w:t>Hanrick</w:t>
      </w:r>
      <w:proofErr w:type="spellEnd"/>
      <w:r>
        <w:t xml:space="preserve">, and Hans </w:t>
      </w:r>
      <w:proofErr w:type="spellStart"/>
      <w:r>
        <w:t>Krabbendam</w:t>
      </w:r>
      <w:proofErr w:type="spellEnd"/>
      <w:r>
        <w:t xml:space="preserve">, (Amsterdam: VU University Press, 2005), pp. 21-31  </w:t>
      </w:r>
    </w:p>
    <w:p w14:paraId="7F10DA8B" w14:textId="0614FBDD" w:rsidR="00170D85" w:rsidRDefault="00170D85" w:rsidP="00170D85">
      <w:r>
        <w:t xml:space="preserve">Faulkner, Paul, ‘Norms of Trust,’ in </w:t>
      </w:r>
      <w:r w:rsidRPr="00642B26">
        <w:rPr>
          <w:i/>
          <w:iCs/>
        </w:rPr>
        <w:t>Social Epistemology</w:t>
      </w:r>
      <w:r>
        <w:t xml:space="preserve">, ed. by Adrian Haddock, Alan Millar, and Duncan Prichard, (Oxford: Oxford University Press, 2010) accessed online via eprints.whiterose.ac.uk e-book  </w:t>
      </w:r>
      <w:hyperlink r:id="rId13" w:history="1">
        <w:r w:rsidR="00642B26" w:rsidRPr="006F1058">
          <w:rPr>
            <w:rStyle w:val="Hyperlink"/>
          </w:rPr>
          <w:t>https://eprints.whiterose.ac.uk/93988/1/Norms%20of%20Trust%20v2_2.pdf</w:t>
        </w:r>
      </w:hyperlink>
      <w:r w:rsidR="00642B26">
        <w:t xml:space="preserve"> </w:t>
      </w:r>
      <w:r>
        <w:t xml:space="preserve"> </w:t>
      </w:r>
    </w:p>
    <w:p w14:paraId="449D03DA" w14:textId="4EF21D54" w:rsidR="00170D85" w:rsidRDefault="00170D85" w:rsidP="00170D85">
      <w:r>
        <w:t xml:space="preserve">Granovetter, Mark, ‘Economic Action and Social Structure: The Problem of Embeddedness,’ in </w:t>
      </w:r>
      <w:r w:rsidRPr="00642B26">
        <w:rPr>
          <w:i/>
          <w:iCs/>
        </w:rPr>
        <w:t>The Sociology of Economic Life</w:t>
      </w:r>
      <w:r>
        <w:t xml:space="preserve">, ed. by Mark Granovetter, and Richard Swedberg, (Oxford: Westview Press, 1992) accessed online via Google Books e-book  </w:t>
      </w:r>
      <w:hyperlink r:id="rId14" w:anchor="v=onepage&amp;q=Sociology%20of%20Economic%20Life%2C%20ed.%20by%20Mark%20Granovetter&amp;f=false" w:history="1">
        <w:r w:rsidR="00642B26" w:rsidRPr="006F1058">
          <w:rPr>
            <w:rStyle w:val="Hyperlink"/>
          </w:rPr>
          <w:t>https://books.google.co.uk/books?hl=en&amp;lr=&amp;id=_xZWDwAAQBAJ&amp;oi=fnd&amp;pg=PT9&amp;dq=Sociology+of+Economic+Life,+ed.+by+Mark+Granovetter&amp;ots=mKDwK0Pbl3&amp;sig=ptf-End5puhznmQ9Ngru0zHOEMI#v=onepage&amp;q=Sociology%20of%20Economic%20Life%2C%20ed.%20by%20Mark%20Granovetter&amp;f=false</w:t>
        </w:r>
      </w:hyperlink>
      <w:r w:rsidR="00642B26">
        <w:t xml:space="preserve"> </w:t>
      </w:r>
      <w:r>
        <w:t xml:space="preserve"> </w:t>
      </w:r>
    </w:p>
    <w:p w14:paraId="56A997B0" w14:textId="77777777" w:rsidR="00170D85" w:rsidRDefault="00170D85" w:rsidP="00170D85">
      <w:r>
        <w:t xml:space="preserve">Hudson, Pat, ‘Financing Firms,’ in </w:t>
      </w:r>
      <w:r w:rsidRPr="00642B26">
        <w:rPr>
          <w:i/>
          <w:iCs/>
        </w:rPr>
        <w:t>Business Enterprise in Modern Britain from the Eighteenth to the Twentieth Century</w:t>
      </w:r>
      <w:r>
        <w:t>, ed. by Maurice W. Kirby, and Mary B. Rose, (London: Routledge, 1994), pp. 88-112</w:t>
      </w:r>
    </w:p>
    <w:p w14:paraId="432D1E71" w14:textId="77777777" w:rsidR="00170D85" w:rsidRDefault="00170D85" w:rsidP="00170D85">
      <w:r>
        <w:t xml:space="preserve">Mathias, Peter ‘Financing the Industrial Revolution,’ in </w:t>
      </w:r>
      <w:r w:rsidRPr="00642B26">
        <w:rPr>
          <w:i/>
          <w:iCs/>
        </w:rPr>
        <w:t>The First Industrial Revolution</w:t>
      </w:r>
      <w:r>
        <w:t xml:space="preserve">, ed. by Peter Mathias and John A. Davis, (Oxford: Basil Blackwell, 1989), pp. 69-85 </w:t>
      </w:r>
    </w:p>
    <w:p w14:paraId="34F5B748" w14:textId="77777777" w:rsidR="00170D85" w:rsidRDefault="00170D85" w:rsidP="00170D85">
      <w:r>
        <w:t xml:space="preserve">Philip, Mark ‘Introduction,’ in </w:t>
      </w:r>
      <w:r w:rsidRPr="00642B26">
        <w:rPr>
          <w:i/>
          <w:iCs/>
        </w:rPr>
        <w:t>An Enquiry Concerning Political Justice</w:t>
      </w:r>
      <w:r>
        <w:t>, by Godwin W., (Oxford: World Classics Oxford University Press, 2013), pp. ix-xxxiv</w:t>
      </w:r>
    </w:p>
    <w:p w14:paraId="51852404" w14:textId="77777777" w:rsidR="00170D85" w:rsidRDefault="00170D85" w:rsidP="00170D85">
      <w:r>
        <w:t xml:space="preserve">Popp, Andrew, ‘Trust in an industrial district: the Potteries, c. 1850-1900,’ in </w:t>
      </w:r>
      <w:r w:rsidRPr="00642B26">
        <w:rPr>
          <w:i/>
          <w:iCs/>
        </w:rPr>
        <w:t>Management and Industry</w:t>
      </w:r>
      <w:r>
        <w:t>, ed. by John F. Wilson, Nicholas D. Wong, and Steven Toms, (London: Routledge, 2020), pp. 111-144</w:t>
      </w:r>
    </w:p>
    <w:p w14:paraId="7BC385A4" w14:textId="77777777" w:rsidR="00170D85" w:rsidRDefault="00170D85" w:rsidP="00170D85">
      <w:r>
        <w:t xml:space="preserve">Rose, Mary B., ‘The Family Firm in British Business, 1780-1914,’ in </w:t>
      </w:r>
      <w:r w:rsidRPr="00642B26">
        <w:rPr>
          <w:i/>
          <w:iCs/>
        </w:rPr>
        <w:t>Business Enterprise in Modern Britain: From the Eighteenth Century to the Twentieth Century</w:t>
      </w:r>
      <w:r>
        <w:t>, ed. by Maurice W. Kirkby and Mary B. Rose, (London and New York: Routledge, 1994), pp. 67-77</w:t>
      </w:r>
    </w:p>
    <w:p w14:paraId="16EADCC4" w14:textId="77777777" w:rsidR="00170D85" w:rsidRDefault="00170D85" w:rsidP="00170D85">
      <w:r>
        <w:t xml:space="preserve">Saunders, Gail, ‘Slavery and Cotton Culture in the Bahamas,’ in </w:t>
      </w:r>
      <w:r w:rsidRPr="008F6DF5">
        <w:rPr>
          <w:i/>
          <w:iCs/>
        </w:rPr>
        <w:t>Slavery without Sugar: Diversity in Caribbean Economy and Society since the 17th Century</w:t>
      </w:r>
      <w:r>
        <w:t xml:space="preserve">, ed. by Verene Shepherd, (Gainesville: University Press of Florida, 2002), pp. 129-151 </w:t>
      </w:r>
    </w:p>
    <w:p w14:paraId="4B240C2A" w14:textId="77777777" w:rsidR="00170D85" w:rsidRDefault="00170D85" w:rsidP="00170D85">
      <w:r>
        <w:t xml:space="preserve">Stanley, Liz, ‘Archival methodology inside the black box: Noise in the archive!’ in </w:t>
      </w:r>
      <w:r w:rsidRPr="008F6DF5">
        <w:rPr>
          <w:i/>
          <w:iCs/>
        </w:rPr>
        <w:t>Archive Project: Archival Research in the Social Sciences</w:t>
      </w:r>
      <w:r>
        <w:t xml:space="preserve">, ed. by Niamh Moore, Andrea Salter, Liz Stanley, and Maria </w:t>
      </w:r>
      <w:proofErr w:type="spellStart"/>
      <w:r>
        <w:t>Tamboukou</w:t>
      </w:r>
      <w:proofErr w:type="spellEnd"/>
      <w:r>
        <w:t>, (London: Routledge, 2016), pp. 33-45</w:t>
      </w:r>
    </w:p>
    <w:p w14:paraId="40F3939B" w14:textId="77777777" w:rsidR="00170D85" w:rsidRPr="00170D85" w:rsidRDefault="00170D85" w:rsidP="00170D85">
      <w:pPr>
        <w:rPr>
          <w:b/>
          <w:bCs/>
          <w:sz w:val="24"/>
          <w:szCs w:val="24"/>
        </w:rPr>
      </w:pPr>
      <w:r w:rsidRPr="00170D85">
        <w:rPr>
          <w:b/>
          <w:bCs/>
          <w:sz w:val="24"/>
          <w:szCs w:val="24"/>
        </w:rPr>
        <w:t>MA and PhD Theses</w:t>
      </w:r>
    </w:p>
    <w:p w14:paraId="5B726DCF" w14:textId="064A5E49" w:rsidR="00170D85" w:rsidRDefault="00170D85" w:rsidP="00170D85">
      <w:r>
        <w:lastRenderedPageBreak/>
        <w:t>Elliott, P</w:t>
      </w:r>
      <w:r w:rsidR="00801949">
        <w:t>aul</w:t>
      </w:r>
      <w:r>
        <w:t xml:space="preserve"> A., </w:t>
      </w:r>
      <w:r w:rsidRPr="00170D85">
        <w:rPr>
          <w:i/>
          <w:iCs/>
        </w:rPr>
        <w:t>The Derby Philosophers: Urban Scientific Culture and Society in Provincial England, c. 1750-1850,</w:t>
      </w:r>
      <w:r>
        <w:t xml:space="preserve"> [Thesis submitted for the degree of Doctor of Philosophy at the University of Leicester, 19 June 2000] </w:t>
      </w:r>
    </w:p>
    <w:p w14:paraId="4FEB897F" w14:textId="777AC57F" w:rsidR="00170D85" w:rsidRDefault="00170D85" w:rsidP="00170D85">
      <w:proofErr w:type="spellStart"/>
      <w:r>
        <w:t>Krichtal</w:t>
      </w:r>
      <w:proofErr w:type="spellEnd"/>
      <w:r>
        <w:t>, A</w:t>
      </w:r>
      <w:r w:rsidR="00801949">
        <w:t>lexey</w:t>
      </w:r>
      <w:r>
        <w:t xml:space="preserve">, </w:t>
      </w:r>
      <w:r w:rsidRPr="00170D85">
        <w:rPr>
          <w:i/>
          <w:iCs/>
        </w:rPr>
        <w:t>Liverpool and the Raw Cotton Trade: A Study of the Port and its Merchant Community, 1770-1815,</w:t>
      </w:r>
      <w:r>
        <w:t xml:space="preserve"> [Thesis submitted for the degree of Master of Arts at the University of Wellington, 2013] </w:t>
      </w:r>
    </w:p>
    <w:p w14:paraId="5F7F21A6" w14:textId="1F04A4D2" w:rsidR="00801949" w:rsidRDefault="00801949" w:rsidP="00170D85">
      <w:r w:rsidRPr="00801949">
        <w:t xml:space="preserve">Soar Katherine, Global Cotton Connections of the Evans Family Cotton Spinning Mill at Darley Abbey, Derby 1788-1834 </w:t>
      </w:r>
      <w:bookmarkStart w:id="249" w:name="_Hlk156554410"/>
      <w:r>
        <w:t xml:space="preserve">[Thesis submitted for the degree of Master of Arts at the </w:t>
      </w:r>
      <w:r w:rsidRPr="00801949">
        <w:t xml:space="preserve">University of Sheffield, 2015) </w:t>
      </w:r>
    </w:p>
    <w:bookmarkEnd w:id="249"/>
    <w:p w14:paraId="1A06AB2D" w14:textId="77777777" w:rsidR="00170D85" w:rsidRPr="00170D85" w:rsidRDefault="00170D85" w:rsidP="00170D85">
      <w:pPr>
        <w:rPr>
          <w:b/>
          <w:bCs/>
          <w:sz w:val="24"/>
          <w:szCs w:val="24"/>
        </w:rPr>
      </w:pPr>
      <w:r w:rsidRPr="00170D85">
        <w:rPr>
          <w:b/>
          <w:bCs/>
          <w:sz w:val="24"/>
          <w:szCs w:val="24"/>
        </w:rPr>
        <w:t>Unpublished Works and other sources</w:t>
      </w:r>
    </w:p>
    <w:p w14:paraId="0CE18F41" w14:textId="42EEF4B0" w:rsidR="00170D85" w:rsidRDefault="00170D85" w:rsidP="00170D85">
      <w:r>
        <w:t>African Institution</w:t>
      </w:r>
      <w:r w:rsidRPr="008F6DF5">
        <w:rPr>
          <w:i/>
          <w:iCs/>
        </w:rPr>
        <w:t>. Sixteenth Report of the Directors of the African Institution</w:t>
      </w:r>
      <w:r>
        <w:t xml:space="preserve">, (London: J. Hatchard &amp; Sons, 1822) accessed via google books </w:t>
      </w:r>
      <w:hyperlink r:id="rId15" w:anchor="v=onepage&amp;q=sixteenth%20report%20of%20the%20directors%20of%20the%20african%20institutions&amp;f=false" w:history="1">
        <w:r w:rsidRPr="006F1058">
          <w:rPr>
            <w:rStyle w:val="Hyperlink"/>
          </w:rPr>
          <w:t>https://books.google.co.uk/books?hl=en&amp;lr=&amp;id=r_s9AAAAcAAJ&amp;oi=fnd&amp;pg=PR9&amp;dq=sixteenth+report+of+the+directors+of+the+african+institutions&amp;ots=JJtYds9g8r&amp;sig=OLPIXWIlKrWPWRsrj9ybVQMioZk#v=onepage&amp;q=sixteenth%20report%20of%20the%20directors%20of%20the%20african%20institutions&amp;f=false</w:t>
        </w:r>
      </w:hyperlink>
      <w:r>
        <w:t xml:space="preserve">  </w:t>
      </w:r>
    </w:p>
    <w:p w14:paraId="4441630A" w14:textId="77777777" w:rsidR="00170D85" w:rsidRPr="00170D85" w:rsidRDefault="00170D85" w:rsidP="00170D85">
      <w:pPr>
        <w:rPr>
          <w:lang w:val="de-DE"/>
        </w:rPr>
      </w:pPr>
      <w:r w:rsidRPr="00170D85">
        <w:rPr>
          <w:lang w:val="de-DE"/>
        </w:rPr>
        <w:t xml:space="preserve">Bolenz, E., </w:t>
      </w:r>
      <w:r w:rsidRPr="00170D85">
        <w:rPr>
          <w:i/>
          <w:iCs/>
          <w:lang w:val="de-DE"/>
        </w:rPr>
        <w:t xml:space="preserve">Textilfabrik Cromford in Ratingen – Die </w:t>
      </w:r>
      <w:r w:rsidRPr="00170D85">
        <w:rPr>
          <w:i/>
          <w:iCs/>
        </w:rPr>
        <w:t>Ӓ</w:t>
      </w:r>
      <w:r w:rsidRPr="00170D85">
        <w:rPr>
          <w:i/>
          <w:iCs/>
          <w:lang w:val="de-DE"/>
        </w:rPr>
        <w:t>lteste Fabrik auf dem Kontinent</w:t>
      </w:r>
      <w:r w:rsidRPr="00170D85">
        <w:rPr>
          <w:lang w:val="de-DE"/>
        </w:rPr>
        <w:t xml:space="preserve">, (München – Berlin: Deutscher Kunstverlaf GmbH, 2002) Heritage site booklet </w:t>
      </w:r>
    </w:p>
    <w:p w14:paraId="1B8159D7" w14:textId="77777777" w:rsidR="00170D85" w:rsidRPr="00170D85" w:rsidRDefault="00170D85" w:rsidP="00170D85">
      <w:pPr>
        <w:rPr>
          <w:lang w:val="de-DE"/>
        </w:rPr>
      </w:pPr>
      <w:r w:rsidRPr="00170D85">
        <w:rPr>
          <w:lang w:val="de-DE"/>
        </w:rPr>
        <w:t xml:space="preserve">Bolenz E., ‘Vom Ende des Ancien regime bis zum Ende des Deutschen Bundes (ca. 1780-1870),’ in </w:t>
      </w:r>
      <w:r w:rsidRPr="00170D85">
        <w:rPr>
          <w:i/>
          <w:iCs/>
          <w:lang w:val="de-DE"/>
        </w:rPr>
        <w:t>Ratingen Geschichte 1780 Bis 1975</w:t>
      </w:r>
      <w:r w:rsidRPr="00170D85">
        <w:rPr>
          <w:lang w:val="de-DE"/>
        </w:rPr>
        <w:t xml:space="preserve"> (Essen: Klartext Verlag, 2000)  </w:t>
      </w:r>
    </w:p>
    <w:p w14:paraId="4C605376" w14:textId="711B6E4B" w:rsidR="00170D85" w:rsidRPr="00170D85" w:rsidRDefault="00170D85" w:rsidP="00170D85">
      <w:pPr>
        <w:rPr>
          <w:lang w:val="de-DE"/>
        </w:rPr>
      </w:pPr>
      <w:r w:rsidRPr="00170D85">
        <w:rPr>
          <w:lang w:val="de-DE"/>
        </w:rPr>
        <w:t>Livingston, Alistair, ‘Some Dumfries and Galloway Pioneers in the Industrial Revolution,’ accessed via academia.edu Dumfries_Galloway_Industrial_Revolution_2-libre.pdf</w:t>
      </w:r>
      <w:r>
        <w:rPr>
          <w:lang w:val="de-DE"/>
        </w:rPr>
        <w:t xml:space="preserve"> </w:t>
      </w:r>
      <w:r w:rsidRPr="00170D85">
        <w:rPr>
          <w:lang w:val="de-DE"/>
        </w:rPr>
        <w:t xml:space="preserve">(d1wqtxts1xzle7.cloudfront.net) </w:t>
      </w:r>
    </w:p>
    <w:p w14:paraId="7670902D" w14:textId="77777777" w:rsidR="00875953" w:rsidRDefault="00170D85" w:rsidP="00170D85">
      <w:pPr>
        <w:sectPr w:rsidR="00875953">
          <w:footnotePr>
            <w:numRestart w:val="eachSect"/>
          </w:footnotePr>
          <w:pgSz w:w="11906" w:h="16838"/>
          <w:pgMar w:top="1440" w:right="1440" w:bottom="1440" w:left="1440" w:header="708" w:footer="708" w:gutter="0"/>
          <w:cols w:space="708"/>
          <w:docGrid w:linePitch="360"/>
        </w:sectPr>
      </w:pPr>
      <w:r>
        <w:t xml:space="preserve">John Lawson Kennedy, </w:t>
      </w:r>
      <w:r w:rsidRPr="00170D85">
        <w:rPr>
          <w:i/>
          <w:iCs/>
        </w:rPr>
        <w:t xml:space="preserve">Memoir of John Kennedy of </w:t>
      </w:r>
      <w:proofErr w:type="spellStart"/>
      <w:r w:rsidRPr="00170D85">
        <w:rPr>
          <w:i/>
          <w:iCs/>
        </w:rPr>
        <w:t>Knocknalling</w:t>
      </w:r>
      <w:proofErr w:type="spellEnd"/>
      <w:r w:rsidRPr="00170D85">
        <w:rPr>
          <w:i/>
          <w:iCs/>
        </w:rPr>
        <w:t xml:space="preserve">, in Galloway, and of his Descendants with a Short Sketch of the Family of </w:t>
      </w:r>
      <w:proofErr w:type="spellStart"/>
      <w:r w:rsidRPr="00170D85">
        <w:rPr>
          <w:i/>
          <w:iCs/>
        </w:rPr>
        <w:t>Dunure</w:t>
      </w:r>
      <w:proofErr w:type="spellEnd"/>
      <w:r>
        <w:t>, (Unpublished, 1858)</w:t>
      </w:r>
    </w:p>
    <w:p w14:paraId="76412383" w14:textId="54F45438" w:rsidR="002A4659" w:rsidRPr="00AB24FB" w:rsidRDefault="002A4659" w:rsidP="00AB24FB">
      <w:pPr>
        <w:pStyle w:val="Heading1"/>
        <w:rPr>
          <w:rFonts w:asciiTheme="minorHAnsi" w:hAnsiTheme="minorHAnsi" w:cstheme="minorHAnsi"/>
          <w:b/>
          <w:bCs/>
          <w:color w:val="auto"/>
          <w:sz w:val="28"/>
          <w:szCs w:val="28"/>
        </w:rPr>
      </w:pPr>
      <w:bookmarkStart w:id="250" w:name="_Toc170825712"/>
      <w:r w:rsidRPr="00AB24FB">
        <w:rPr>
          <w:rFonts w:asciiTheme="minorHAnsi" w:hAnsiTheme="minorHAnsi" w:cstheme="minorHAnsi"/>
          <w:b/>
          <w:bCs/>
          <w:color w:val="auto"/>
          <w:sz w:val="28"/>
          <w:szCs w:val="28"/>
        </w:rPr>
        <w:lastRenderedPageBreak/>
        <w:t>Appendix One: The Evans Family Case Study</w:t>
      </w:r>
      <w:bookmarkEnd w:id="250"/>
    </w:p>
    <w:p w14:paraId="0B0BA83C" w14:textId="77777777" w:rsidR="002A4659" w:rsidRPr="00A75D8E" w:rsidRDefault="002A4659" w:rsidP="00AB24FB">
      <w:pPr>
        <w:pStyle w:val="Heading2"/>
        <w:rPr>
          <w:rFonts w:asciiTheme="minorHAnsi" w:hAnsiTheme="minorHAnsi" w:cstheme="minorHAnsi"/>
          <w:b/>
          <w:bCs/>
          <w:color w:val="auto"/>
          <w:sz w:val="24"/>
          <w:szCs w:val="24"/>
        </w:rPr>
      </w:pPr>
      <w:bookmarkStart w:id="251" w:name="_Toc170825713"/>
      <w:r w:rsidRPr="00A75D8E">
        <w:rPr>
          <w:rFonts w:asciiTheme="minorHAnsi" w:hAnsiTheme="minorHAnsi" w:cstheme="minorHAnsi"/>
          <w:b/>
          <w:bCs/>
          <w:color w:val="auto"/>
          <w:sz w:val="24"/>
          <w:szCs w:val="24"/>
        </w:rPr>
        <w:t>Short Biographies of Key Network Members</w:t>
      </w:r>
      <w:bookmarkEnd w:id="251"/>
    </w:p>
    <w:p w14:paraId="4FC8F136" w14:textId="77777777" w:rsidR="00AB24FB" w:rsidRPr="00AB24FB" w:rsidRDefault="00AB24FB" w:rsidP="00AB24FB"/>
    <w:p w14:paraId="5941C0D7" w14:textId="4528A9A7" w:rsidR="002A4659" w:rsidRPr="008C6272" w:rsidRDefault="002A4659" w:rsidP="002A4659">
      <w:pPr>
        <w:rPr>
          <w:b/>
          <w:bCs/>
        </w:rPr>
      </w:pPr>
      <w:r w:rsidRPr="008C6272">
        <w:rPr>
          <w:b/>
          <w:bCs/>
        </w:rPr>
        <w:t>Sir Richard Arkwright (1732-1792)</w:t>
      </w:r>
      <w:r w:rsidR="008C6272" w:rsidRPr="008C6272">
        <w:t xml:space="preserve"> </w:t>
      </w:r>
      <w:r w:rsidR="008C6272" w:rsidRPr="008C6272">
        <w:rPr>
          <w:b/>
          <w:bCs/>
        </w:rPr>
        <w:t>Founding Partner of the Boar’s Head Cotton Mills</w:t>
      </w:r>
    </w:p>
    <w:p w14:paraId="4A8FD70A" w14:textId="77777777" w:rsidR="002A4659" w:rsidRPr="002A4659" w:rsidRDefault="002A4659" w:rsidP="002A4659">
      <w:r w:rsidRPr="002A4659">
        <w:t xml:space="preserve">Arkwright was an inventor and leading entrepreneur of the Industrial Revolution. He was born in Preston in 1732 to Thomas Arkwright, a tailor and burgess of the Preston guild. With a limited formative education, Arkwright was apprenticed to a barber and worked as a wig maker in Preston before moving to Nottingham. Arkwright married twice, first to Patience Holt in 1755 and to Margaret Biggins in 1761. He became the father of four children. In 1769, Arkwright patented the Spinning Frame, which was fundamental in developing the British cotton industry. He became a business partner in many cotton spinning enterprises across Britain, and of relevance to this study, he was a founding business partner in the Boar’s Head Cotton Mills at Darley Abbey. Arkwright also served as High Sheriff of Derbyshire and was knighted in 1786. He died in 1792. </w:t>
      </w:r>
    </w:p>
    <w:p w14:paraId="0B3979CC" w14:textId="77777777" w:rsidR="002A4659" w:rsidRPr="008C6272" w:rsidRDefault="002A4659" w:rsidP="002A4659">
      <w:pPr>
        <w:rPr>
          <w:b/>
          <w:bCs/>
        </w:rPr>
      </w:pPr>
      <w:r w:rsidRPr="008C6272">
        <w:rPr>
          <w:b/>
          <w:bCs/>
        </w:rPr>
        <w:t>Reverend Anthony Carr (1709-1799)</w:t>
      </w:r>
    </w:p>
    <w:p w14:paraId="37022E73" w14:textId="39BB6EE2" w:rsidR="002A4659" w:rsidRPr="002A4659" w:rsidRDefault="002A4659" w:rsidP="002A4659">
      <w:r w:rsidRPr="002A4659">
        <w:t xml:space="preserve">Born in Derbyshire in 1709, Anthony was the son of John Carr and his wife Susannah Cokayne. He married Hannah Evans, the sister of Thomas Evans, the founder of the Boar’s Head Cotton Mills. Anthony and Hannah were the parents of both George and Anthony Carr, hosiers of Leicester who became customers of the Boar’s Head Cotton Mills. Reverend Anthony Carr became the vicar of Alfreton, </w:t>
      </w:r>
      <w:r w:rsidR="008C6272">
        <w:t xml:space="preserve">the parish </w:t>
      </w:r>
      <w:r w:rsidRPr="002A4659">
        <w:t>where his brother-in-law Henry Evans married his wife Martha Wood of Swanwick. Reverend Anthony Carr died on the 11</w:t>
      </w:r>
      <w:r w:rsidRPr="002A4659">
        <w:rPr>
          <w:vertAlign w:val="superscript"/>
        </w:rPr>
        <w:t xml:space="preserve">th </w:t>
      </w:r>
      <w:r w:rsidRPr="002A4659">
        <w:t xml:space="preserve">of February 1799. </w:t>
      </w:r>
    </w:p>
    <w:p w14:paraId="69BCB31D" w14:textId="77777777" w:rsidR="002A4659" w:rsidRPr="008C6272" w:rsidRDefault="002A4659" w:rsidP="002A4659">
      <w:pPr>
        <w:rPr>
          <w:b/>
          <w:bCs/>
        </w:rPr>
      </w:pPr>
      <w:r w:rsidRPr="008C6272">
        <w:rPr>
          <w:b/>
          <w:bCs/>
        </w:rPr>
        <w:t>Edmund Evans (1689-1746)</w:t>
      </w:r>
    </w:p>
    <w:p w14:paraId="0730485D" w14:textId="3FFBD7D4" w:rsidR="002A4659" w:rsidRPr="002A4659" w:rsidRDefault="002A4659" w:rsidP="002A4659">
      <w:r w:rsidRPr="002A4659">
        <w:t>Born at Winster</w:t>
      </w:r>
      <w:r w:rsidR="008C6272">
        <w:t>, in Derbyshire</w:t>
      </w:r>
      <w:r w:rsidRPr="002A4659">
        <w:t xml:space="preserve"> in 1689. The son of Anthony Evans and Hannah Ferne. He married Rebecca Gell from Middleton-by-Wirksworth. The couple became the parents of Thomas Evans, the founder of Boar’s Head Cotton Mill</w:t>
      </w:r>
      <w:r w:rsidR="00100A7A">
        <w:t>s</w:t>
      </w:r>
      <w:r w:rsidRPr="002A4659">
        <w:t xml:space="preserve">, and his seven siblings. </w:t>
      </w:r>
      <w:r w:rsidR="008C6272">
        <w:t xml:space="preserve">In </w:t>
      </w:r>
      <w:r w:rsidRPr="002A4659">
        <w:t>Edmund’s will</w:t>
      </w:r>
      <w:r w:rsidR="008C6272">
        <w:t xml:space="preserve"> it states</w:t>
      </w:r>
      <w:r w:rsidRPr="002A4659">
        <w:t xml:space="preserve"> that he owned interests in lead and calamine mines, which were part of a flourishing industry within eighteenth-century Derbyshire. He died in Bonsall in 1746. </w:t>
      </w:r>
    </w:p>
    <w:p w14:paraId="6254CFAE" w14:textId="77777777" w:rsidR="002A4659" w:rsidRPr="008C6272" w:rsidRDefault="002A4659" w:rsidP="002A4659">
      <w:pPr>
        <w:rPr>
          <w:b/>
          <w:bCs/>
        </w:rPr>
      </w:pPr>
      <w:r w:rsidRPr="008C6272">
        <w:rPr>
          <w:b/>
          <w:bCs/>
        </w:rPr>
        <w:t>George Evans (1726-1808)</w:t>
      </w:r>
    </w:p>
    <w:p w14:paraId="6AB03361" w14:textId="395467C3" w:rsidR="002A4659" w:rsidRPr="002A4659" w:rsidRDefault="002A4659" w:rsidP="002A4659">
      <w:r w:rsidRPr="002A4659">
        <w:t>Born at Bonsall</w:t>
      </w:r>
      <w:r w:rsidR="008C6272">
        <w:t>, in Derbyshire</w:t>
      </w:r>
      <w:r w:rsidRPr="002A4659">
        <w:t xml:space="preserve"> in 1726. The son of Edmund Evans and Rebecca Gell. He married Ann Nightingale, the daughter and sister of cotton mill owners Peter Nightingale I and Peter Nightingale II of Lea in Derbyshire. One of George Evans' descendants was Florence Nightingale. George became a leading industrialist in the Cromford area. He died at Bonsall in 1808. </w:t>
      </w:r>
    </w:p>
    <w:p w14:paraId="04B00308" w14:textId="77777777" w:rsidR="002A4659" w:rsidRPr="008C6272" w:rsidRDefault="002A4659" w:rsidP="002A4659">
      <w:pPr>
        <w:rPr>
          <w:b/>
          <w:bCs/>
        </w:rPr>
      </w:pPr>
      <w:r w:rsidRPr="008C6272">
        <w:rPr>
          <w:b/>
          <w:bCs/>
        </w:rPr>
        <w:t>Henry Evans (1731-1805)</w:t>
      </w:r>
    </w:p>
    <w:p w14:paraId="6F7107DF" w14:textId="77777777" w:rsidR="002A4659" w:rsidRPr="002A4659" w:rsidRDefault="002A4659" w:rsidP="002A4659">
      <w:r w:rsidRPr="002A4659">
        <w:t xml:space="preserve">Henry was born at Bonsall in 1731, and he was the youngest son of Edmund Evans and Rebecca Gell. He married Martha Wood, the daughter of John Wood of Swanwick Hall. Henry and Martha became the parents of Sarah and Martha Evans, who would marry into the renowned brewing Worthington family. Henry Evans was a brewer in Burton-on-Trent and a key industrialist in the Derbyshire and Staffordshire area and along the Trent navigation. Henry died at Caldwell Hall in 1805. </w:t>
      </w:r>
    </w:p>
    <w:p w14:paraId="5E47D82B" w14:textId="6C893180" w:rsidR="002A4659" w:rsidRDefault="002A4659" w:rsidP="002A4659">
      <w:pPr>
        <w:rPr>
          <w:b/>
          <w:bCs/>
        </w:rPr>
      </w:pPr>
      <w:r w:rsidRPr="008C6272">
        <w:rPr>
          <w:b/>
          <w:bCs/>
        </w:rPr>
        <w:t>Thomas Evans (1723-1814)</w:t>
      </w:r>
      <w:r w:rsidR="008C6272">
        <w:rPr>
          <w:b/>
          <w:bCs/>
        </w:rPr>
        <w:t xml:space="preserve"> </w:t>
      </w:r>
      <w:bookmarkStart w:id="252" w:name="_Hlk156216944"/>
      <w:r w:rsidR="008C6272">
        <w:rPr>
          <w:b/>
          <w:bCs/>
        </w:rPr>
        <w:t xml:space="preserve">Founding Partner of the Boar’s Head Cotton Mills </w:t>
      </w:r>
    </w:p>
    <w:bookmarkEnd w:id="252"/>
    <w:p w14:paraId="5D3855CF" w14:textId="6760181D" w:rsidR="008C6272" w:rsidRDefault="008C6272" w:rsidP="002A4659">
      <w:r>
        <w:t xml:space="preserve">Thomas was born at Bonsall in 1723 and was the second surviving son of Edmund Evans and his wife Rebecca. In 1746 Thomas inherited £400 from his father and he became an iron master in the town </w:t>
      </w:r>
      <w:r>
        <w:lastRenderedPageBreak/>
        <w:t>of Derby. He operated iron, copper, and lead mills in Derby. In 1771 he became a banker in Derby and acquired lands in Darley Abbey, where he founded the Boar’s Head Mills. In 1750 he married Sarah Evans, daughter of an Alderman and later Mayor of Derby. Thomas and Sarah had four children</w:t>
      </w:r>
      <w:r w:rsidR="0055418B">
        <w:t xml:space="preserve">. After the death of Sarah, Thomas then married Barbara Stubbs, the daughter of Walter Stubbs and Judith </w:t>
      </w:r>
      <w:proofErr w:type="spellStart"/>
      <w:r w:rsidR="0055418B">
        <w:t>Goldsmyth</w:t>
      </w:r>
      <w:proofErr w:type="spellEnd"/>
      <w:r w:rsidR="0055418B">
        <w:t xml:space="preserve"> of </w:t>
      </w:r>
      <w:proofErr w:type="spellStart"/>
      <w:r w:rsidR="0055418B">
        <w:t>Beckbury</w:t>
      </w:r>
      <w:proofErr w:type="spellEnd"/>
      <w:r w:rsidR="0055418B">
        <w:t xml:space="preserve"> in Shropshire. Thomas and Barbara had three children. Their daughter Barbara Evans married William Strutt FRS and became the mother of Edward Strutt 1</w:t>
      </w:r>
      <w:r w:rsidR="0055418B" w:rsidRPr="0055418B">
        <w:rPr>
          <w:vertAlign w:val="superscript"/>
        </w:rPr>
        <w:t>st</w:t>
      </w:r>
      <w:r w:rsidR="0055418B">
        <w:t xml:space="preserve"> Baron Belper. </w:t>
      </w:r>
    </w:p>
    <w:p w14:paraId="053CC1AA" w14:textId="77777777" w:rsidR="002A4659" w:rsidRPr="008C6272" w:rsidRDefault="002A4659" w:rsidP="002A4659">
      <w:pPr>
        <w:rPr>
          <w:b/>
          <w:bCs/>
        </w:rPr>
      </w:pPr>
      <w:r w:rsidRPr="008C6272">
        <w:rPr>
          <w:b/>
          <w:bCs/>
        </w:rPr>
        <w:t>Samuel Evans (1785-1874)</w:t>
      </w:r>
    </w:p>
    <w:p w14:paraId="06DE5AA6" w14:textId="6ED252BA" w:rsidR="002A4659" w:rsidRPr="002A4659" w:rsidRDefault="002A4659" w:rsidP="002A4659">
      <w:r w:rsidRPr="002A4659">
        <w:t xml:space="preserve">Born around 1785, Samuel was the illegitimate son of William Evans and raised by Elizabeth Evans (née Strutt) as her own. Samuel married Caroline Wollaston at Duffield in Derbyshire. </w:t>
      </w:r>
      <w:r w:rsidR="00FD2847">
        <w:t xml:space="preserve">The couple had four children. The eldest Walter also became a manager of the Cotton Mills. </w:t>
      </w:r>
      <w:r w:rsidRPr="002A4659">
        <w:t>He became a crucial figure in the Boar’s Head Mills, first as their agent in Manchester and then as the manager at Darley Abbey. His son Walter Evans (II) also became a key figure at the mill.</w:t>
      </w:r>
      <w:r w:rsidR="00FD2847">
        <w:t xml:space="preserve"> Samuel also ran the family’s Paper Mill at Darley Abbey.</w:t>
      </w:r>
      <w:r w:rsidRPr="002A4659">
        <w:t xml:space="preserve"> Samuel died at Darley Abbey in 1874.  </w:t>
      </w:r>
    </w:p>
    <w:p w14:paraId="1B483526" w14:textId="77777777" w:rsidR="002A4659" w:rsidRPr="008C6272" w:rsidRDefault="002A4659" w:rsidP="002A4659">
      <w:pPr>
        <w:rPr>
          <w:b/>
          <w:bCs/>
        </w:rPr>
      </w:pPr>
      <w:r w:rsidRPr="008C6272">
        <w:rPr>
          <w:b/>
          <w:bCs/>
        </w:rPr>
        <w:t>Walter Evans (I) (1764-1839)</w:t>
      </w:r>
    </w:p>
    <w:p w14:paraId="3C2BB80A" w14:textId="77777777" w:rsidR="002A4659" w:rsidRPr="002A4659" w:rsidRDefault="002A4659" w:rsidP="002A4659">
      <w:r w:rsidRPr="002A4659">
        <w:t>Born at Darley Abbey and baptised on the 28</w:t>
      </w:r>
      <w:r w:rsidRPr="002A4659">
        <w:rPr>
          <w:vertAlign w:val="superscript"/>
        </w:rPr>
        <w:t>th</w:t>
      </w:r>
      <w:r w:rsidRPr="002A4659">
        <w:t xml:space="preserve"> of July 1764 at All Saints Church in Derby. Walter was the son of Thomas Evans and Barbara Stubbs. Walter played a significant role in managing the Boar’s Head Mills. He was a partner in the Derby Bank with his father and half-brother, William Evans. He married the widow of his half-brother – Elizabeth Evans (née Strutt). The will of Walter Evans holds a wealth of information regarding the character of both Walter and the structure of the Evans family. Walter Evans died in 1839.   </w:t>
      </w:r>
    </w:p>
    <w:p w14:paraId="74402B2D" w14:textId="77777777" w:rsidR="002A4659" w:rsidRPr="008C6272" w:rsidRDefault="002A4659" w:rsidP="002A4659">
      <w:pPr>
        <w:rPr>
          <w:b/>
          <w:bCs/>
        </w:rPr>
      </w:pPr>
      <w:r w:rsidRPr="008C6272">
        <w:rPr>
          <w:b/>
          <w:bCs/>
        </w:rPr>
        <w:t>Walter Evans (II) (1827-1903)</w:t>
      </w:r>
    </w:p>
    <w:p w14:paraId="5CC54B7E" w14:textId="560E65E9" w:rsidR="002A4659" w:rsidRPr="002A4659" w:rsidRDefault="002A4659" w:rsidP="002A4659">
      <w:r w:rsidRPr="002A4659">
        <w:t>Born in Derby in 1826 and baptised on the 5</w:t>
      </w:r>
      <w:r w:rsidRPr="002A4659">
        <w:rPr>
          <w:vertAlign w:val="superscript"/>
        </w:rPr>
        <w:t>th</w:t>
      </w:r>
      <w:r w:rsidRPr="002A4659">
        <w:t xml:space="preserve"> of January at All Saints Church in Derby. Walter was the son of Samuel Evans and Caroline Wollaston. Walter became a crucial figure in managing the Boar’s Head Cotton Mills in their later years. Further research into the later years of the mill’s operation could shed further light on Walter’s role in the firm. Walter was educated at Derby School and Trinity College Cambridge. Walter married twice, in 1854 to Susan Eliza Gisborne and in 1896 to Ada Roscow. Walter and Susan had one son, Arthur (1855-1870). Walter died in 1903 and </w:t>
      </w:r>
      <w:r w:rsidR="00395FF2">
        <w:t xml:space="preserve">his death </w:t>
      </w:r>
      <w:r w:rsidRPr="002A4659">
        <w:t xml:space="preserve">ushered in the end of the Evans family’s management of the Boar’s Head Cotton Mills. </w:t>
      </w:r>
      <w:r w:rsidR="00395FF2">
        <w:t xml:space="preserve">The death of his widow Ada in 1929 saw the end of the Evans family involvement in Darley Abbey. </w:t>
      </w:r>
    </w:p>
    <w:p w14:paraId="17EDFB37" w14:textId="77777777" w:rsidR="002A4659" w:rsidRPr="008C6272" w:rsidRDefault="002A4659" w:rsidP="002A4659">
      <w:pPr>
        <w:rPr>
          <w:b/>
          <w:bCs/>
        </w:rPr>
      </w:pPr>
      <w:r w:rsidRPr="008C6272">
        <w:rPr>
          <w:b/>
          <w:bCs/>
        </w:rPr>
        <w:t>William Evans (1754-1796)</w:t>
      </w:r>
    </w:p>
    <w:p w14:paraId="1FCB29AD" w14:textId="2B63862D" w:rsidR="002A4659" w:rsidRPr="002A4659" w:rsidRDefault="002A4659" w:rsidP="002A4659">
      <w:r w:rsidRPr="002A4659">
        <w:t>Born in 1754 in Derbyshire, William was the son of Thomas Evans and his first wife, Sarah Evans. William was a key industrialist and a partner in the family’s Derby bank. William was integral to the Boar’s Head Cotton Mills management structure.</w:t>
      </w:r>
      <w:r w:rsidR="00FD2847">
        <w:t xml:space="preserve"> Until his death in 1796 he oversaw the cotton mills under the firm W. Evans &amp; Co. while his father Thomas focused on the bank and Thomas Evans &amp; Sons. </w:t>
      </w:r>
      <w:r w:rsidRPr="002A4659">
        <w:t xml:space="preserve">William was the father of seven children, six with his wife Elizabeth Strutt. William died aged 42 in 1796. William Evan’s Will is an essential historical document that offers insights into the internal structure of the kinship network. </w:t>
      </w:r>
    </w:p>
    <w:p w14:paraId="4A2C1075" w14:textId="60947342" w:rsidR="007C7CC8" w:rsidRDefault="002A4659" w:rsidP="007C7CC8">
      <w:pPr>
        <w:rPr>
          <w:b/>
          <w:bCs/>
        </w:rPr>
      </w:pPr>
      <w:r w:rsidRPr="008C6272">
        <w:rPr>
          <w:b/>
          <w:bCs/>
        </w:rPr>
        <w:t>William Evans</w:t>
      </w:r>
      <w:r w:rsidR="007C7CC8">
        <w:rPr>
          <w:b/>
          <w:bCs/>
        </w:rPr>
        <w:t xml:space="preserve"> MP</w:t>
      </w:r>
      <w:r w:rsidRPr="008C6272">
        <w:rPr>
          <w:b/>
          <w:bCs/>
        </w:rPr>
        <w:t xml:space="preserve"> (1788-1856) </w:t>
      </w:r>
    </w:p>
    <w:p w14:paraId="7E9C8FC1" w14:textId="4C268759" w:rsidR="007C7CC8" w:rsidRPr="007C7CC8" w:rsidRDefault="007C7CC8" w:rsidP="007C7CC8">
      <w:r w:rsidRPr="007C7CC8">
        <w:t xml:space="preserve">Born in 1788 William was the son of William Evans and Elizabeth Strutt. William was a partner in the Evans family bank, the Boar’s Head Cotton Mills, the Evans family Bonsall lead smelting business and he held shares in the Derby Waterworks. William entered the Yeomanry and became a Captain in 1816, he also served as the Sheriff of Derby in 1829-30. He served in national politics and became an </w:t>
      </w:r>
      <w:r w:rsidRPr="007C7CC8">
        <w:lastRenderedPageBreak/>
        <w:t>MP on three occasions in East Retford</w:t>
      </w:r>
      <w:r>
        <w:t xml:space="preserve"> (1818-1826)</w:t>
      </w:r>
      <w:r w:rsidRPr="007C7CC8">
        <w:t>, Leicester</w:t>
      </w:r>
      <w:r>
        <w:t xml:space="preserve"> (1830-1834)</w:t>
      </w:r>
      <w:r w:rsidRPr="007C7CC8">
        <w:t xml:space="preserve"> and Derby North</w:t>
      </w:r>
      <w:r>
        <w:t xml:space="preserve"> (1837-1853). Although he was initially elected as an independent, he then became a liberal. He was strongly aligned with the abolitionists and for </w:t>
      </w:r>
      <w:r w:rsidR="000F0A75">
        <w:t xml:space="preserve">the reform cause in the 1820s. He also supported a bill to address animal cruelty and he supported the need to improve working conditions for cotton mill workers in the Cotton Factories Regulation Bill in 1825. He was an advocate for the cessation of the slave trade and became a patron and later a director of the African Institution. He was closely associated with the Clapham Sect. He married Mary Gisborne in 1820. Mary was the daughter of Reverend Thomas Gisborne of </w:t>
      </w:r>
      <w:proofErr w:type="spellStart"/>
      <w:r w:rsidR="000F0A75">
        <w:t>Yoxhall</w:t>
      </w:r>
      <w:proofErr w:type="spellEnd"/>
      <w:r w:rsidR="000F0A75">
        <w:t xml:space="preserve"> Lodge – a key member of the Clapham Sect and close associate of William Wilberforce. William and Mary had a son Sir (Thomas) William Evans, 1</w:t>
      </w:r>
      <w:r w:rsidR="000F0A75" w:rsidRPr="000F0A75">
        <w:rPr>
          <w:vertAlign w:val="superscript"/>
        </w:rPr>
        <w:t>st</w:t>
      </w:r>
      <w:r w:rsidR="000F0A75">
        <w:t xml:space="preserve"> Baronet. William died in 1856.  </w:t>
      </w:r>
      <w:r>
        <w:t xml:space="preserve">   </w:t>
      </w:r>
      <w:r w:rsidRPr="007C7CC8">
        <w:t xml:space="preserve">  </w:t>
      </w:r>
    </w:p>
    <w:p w14:paraId="7899CED3" w14:textId="77777777" w:rsidR="002A4659" w:rsidRPr="008C6272" w:rsidRDefault="002A4659" w:rsidP="002A4659">
      <w:pPr>
        <w:rPr>
          <w:b/>
          <w:bCs/>
        </w:rPr>
      </w:pPr>
      <w:r w:rsidRPr="008C6272">
        <w:rPr>
          <w:b/>
          <w:bCs/>
        </w:rPr>
        <w:t xml:space="preserve">Rebecca Gell (1686-1767) </w:t>
      </w:r>
    </w:p>
    <w:p w14:paraId="3FA05B9B" w14:textId="77777777" w:rsidR="002A4659" w:rsidRPr="002A4659" w:rsidRDefault="002A4659" w:rsidP="002A4659">
      <w:r w:rsidRPr="002A4659">
        <w:t>Rebecca Gell was born at Middleton-by-Wirksworth in 1686. She was baptised on the 21</w:t>
      </w:r>
      <w:r w:rsidRPr="002A4659">
        <w:rPr>
          <w:vertAlign w:val="superscript"/>
        </w:rPr>
        <w:t>st</w:t>
      </w:r>
      <w:r w:rsidRPr="002A4659">
        <w:t xml:space="preserve"> of</w:t>
      </w:r>
      <w:r w:rsidRPr="002A4659">
        <w:rPr>
          <w:vertAlign w:val="superscript"/>
        </w:rPr>
        <w:t xml:space="preserve"> </w:t>
      </w:r>
      <w:r w:rsidRPr="002A4659">
        <w:t xml:space="preserve">July 1686 at Middleton. Rebecca was the daughter of Thomas Gell and his wife, Mary Spencer. Through her father’s paternal lineage, she was a descendant of Sir Ralph Gell of Hopton Hall (1491-1564), showing clear connections with the gentry of Derbyshire. Rebecca married Edmund Evans (see Edmund’s entry). Rebecca died at Bonsall in Derbyshire. </w:t>
      </w:r>
    </w:p>
    <w:p w14:paraId="05E712F8" w14:textId="77777777" w:rsidR="002A4659" w:rsidRPr="008C6272" w:rsidRDefault="002A4659" w:rsidP="002A4659">
      <w:pPr>
        <w:rPr>
          <w:b/>
          <w:bCs/>
        </w:rPr>
      </w:pPr>
      <w:r w:rsidRPr="008C6272">
        <w:rPr>
          <w:b/>
          <w:bCs/>
        </w:rPr>
        <w:t>Elizabeth Strutt (1758-1836)</w:t>
      </w:r>
    </w:p>
    <w:p w14:paraId="0CCF566A" w14:textId="3F6467F8" w:rsidR="002A4659" w:rsidRPr="002A4659" w:rsidRDefault="002A4659" w:rsidP="002A4659">
      <w:r w:rsidRPr="002A4659">
        <w:t xml:space="preserve">Elizabeth was a critical figure in the Evans-Strutt kinship network and a key thinker within the group. She was born in Derbyshire in 1758 and was the eldest daughter of Jedediah Strutt and his first wife Elizabeth </w:t>
      </w:r>
      <w:proofErr w:type="spellStart"/>
      <w:r w:rsidRPr="002A4659">
        <w:t>Woollatt</w:t>
      </w:r>
      <w:proofErr w:type="spellEnd"/>
      <w:r w:rsidRPr="002A4659">
        <w:t>. Elizabeth married both William Evans and</w:t>
      </w:r>
      <w:r w:rsidR="00FD2847">
        <w:t xml:space="preserve"> his younger half-brother</w:t>
      </w:r>
      <w:r w:rsidRPr="002A4659">
        <w:t xml:space="preserve"> Walter Evans.</w:t>
      </w:r>
      <w:r w:rsidR="00FD2847">
        <w:t xml:space="preserve"> Elizabeth was responsible for the running of the domestic lives of the Evans family as the wife of both William and Walter. The Boar’s Head </w:t>
      </w:r>
      <w:r w:rsidR="00100A7A">
        <w:t xml:space="preserve">Cotton </w:t>
      </w:r>
      <w:r w:rsidR="00FD2847">
        <w:t>Mill</w:t>
      </w:r>
      <w:r w:rsidR="00100A7A">
        <w:t>s</w:t>
      </w:r>
      <w:r w:rsidR="00FD2847">
        <w:t xml:space="preserve"> documents contain ledgers of Mrs Evans which shine a light on the range and depth of her responsibilities within the family. She was also a correspondent of Dr Erasmus Darwin, where he asked for her opinions regarding his book on female education. This shows that Elizabeth was highly regarded and influential in matters of education and politics. Elizabeth had considered appointing Samuel Taylor Coleridge as tutor to her children – but this was not approved by the rest of the family. Elizabeth was the mother of four sons and two daughters.   </w:t>
      </w:r>
      <w:r w:rsidRPr="002A4659">
        <w:t xml:space="preserve"> </w:t>
      </w:r>
    </w:p>
    <w:p w14:paraId="0932DB55" w14:textId="799CC460" w:rsidR="002A4659" w:rsidRPr="008C6272" w:rsidRDefault="002A4659" w:rsidP="002A4659">
      <w:pPr>
        <w:rPr>
          <w:b/>
          <w:bCs/>
        </w:rPr>
      </w:pPr>
      <w:r w:rsidRPr="008C6272">
        <w:rPr>
          <w:b/>
          <w:bCs/>
        </w:rPr>
        <w:t>Jedediah Strutt (1726-1797)</w:t>
      </w:r>
      <w:r w:rsidR="008C6272">
        <w:rPr>
          <w:b/>
          <w:bCs/>
        </w:rPr>
        <w:t xml:space="preserve"> Founding Partner of the Boar’s Head Cotton Mills</w:t>
      </w:r>
    </w:p>
    <w:p w14:paraId="7F14EF8B" w14:textId="77777777" w:rsidR="002A4659" w:rsidRDefault="002A4659" w:rsidP="002A4659">
      <w:r w:rsidRPr="002A4659">
        <w:t xml:space="preserve">Jedediah Strutt was born in 1726 at South Normanton near Alfreton in Derbyshire. He was the son of William Strutt and Martha Statham. In 1740, he became an apprentice Wheelwright in Findern. In 1755, he married Elizabeth </w:t>
      </w:r>
      <w:proofErr w:type="spellStart"/>
      <w:r w:rsidRPr="002A4659">
        <w:t>Woollatt</w:t>
      </w:r>
      <w:proofErr w:type="spellEnd"/>
      <w:r w:rsidRPr="002A4659">
        <w:t xml:space="preserve">, and later he married Ann Cantrell. Jedediah and Elizabeth had five children (William, Elizabeth, Martha, George Benson, and Joseph). From his kinship networks, Strutt inherited farmland and livestock. He was also able to utilise his kinship network to aid his invention of the Derby Rib – an attachment to the stocking frame – changing the processes of the hosiery trade. Jedediah became a business partner with Arkwright and Samuel Need in Nottingham and Cromford – establishing the pioneering factories of the Midlands. Strutt then became a business partner in the Boar’s Head Cotton Mills and aligned his kinship network with the Evans family network. Strutt’s daughter Elizabeth married two sons of Thomas Evans, and his son William married Evans’s daughter Barbara Evans. Jedediah Strutt died in 1797. </w:t>
      </w:r>
    </w:p>
    <w:p w14:paraId="17131A8C" w14:textId="665C633F" w:rsidR="002A4659" w:rsidRDefault="002A4659" w:rsidP="002A4659">
      <w:r w:rsidRPr="002A4659">
        <w:rPr>
          <w:noProof/>
        </w:rPr>
        <w:lastRenderedPageBreak/>
        <w:drawing>
          <wp:inline distT="0" distB="0" distL="0" distR="0" wp14:anchorId="2917F4B2" wp14:editId="4066960E">
            <wp:extent cx="4572000" cy="7305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66" t="2657" r="8764" b="4740"/>
                    <a:stretch/>
                  </pic:blipFill>
                  <pic:spPr bwMode="auto">
                    <a:xfrm rot="10800000">
                      <a:off x="0" y="0"/>
                      <a:ext cx="4572000" cy="7305675"/>
                    </a:xfrm>
                    <a:prstGeom prst="rect">
                      <a:avLst/>
                    </a:prstGeom>
                    <a:noFill/>
                    <a:ln>
                      <a:noFill/>
                    </a:ln>
                    <a:extLst>
                      <a:ext uri="{53640926-AAD7-44D8-BBD7-CCE9431645EC}">
                        <a14:shadowObscured xmlns:a14="http://schemas.microsoft.com/office/drawing/2010/main"/>
                      </a:ext>
                    </a:extLst>
                  </pic:spPr>
                </pic:pic>
              </a:graphicData>
            </a:graphic>
          </wp:inline>
        </w:drawing>
      </w:r>
    </w:p>
    <w:p w14:paraId="340A8542" w14:textId="308F3380" w:rsidR="002A4659" w:rsidRDefault="002A4659" w:rsidP="002A4659">
      <w:r>
        <w:t xml:space="preserve">Family Tree Chart </w:t>
      </w:r>
      <w:r w:rsidR="00604BB7">
        <w:t xml:space="preserve">1 </w:t>
      </w:r>
      <w:r>
        <w:t xml:space="preserve">of the Evans Family – Sourced from my genealogical research via Ancestry.co.uk. </w:t>
      </w:r>
    </w:p>
    <w:p w14:paraId="7A584748" w14:textId="77777777" w:rsidR="00604BB7" w:rsidRDefault="00604BB7" w:rsidP="002A4659"/>
    <w:p w14:paraId="2B67882C" w14:textId="2381F38F" w:rsidR="00604BB7" w:rsidRDefault="00604BB7" w:rsidP="00604BB7">
      <w:r w:rsidRPr="00604BB7">
        <w:rPr>
          <w:noProof/>
        </w:rPr>
        <w:lastRenderedPageBreak/>
        <w:drawing>
          <wp:inline distT="0" distB="0" distL="0" distR="0" wp14:anchorId="02D473B5" wp14:editId="67B19D84">
            <wp:extent cx="5505450" cy="7496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44" t="4983"/>
                    <a:stretch/>
                  </pic:blipFill>
                  <pic:spPr bwMode="auto">
                    <a:xfrm rot="10800000">
                      <a:off x="0" y="0"/>
                      <a:ext cx="5505450" cy="7496175"/>
                    </a:xfrm>
                    <a:prstGeom prst="rect">
                      <a:avLst/>
                    </a:prstGeom>
                    <a:noFill/>
                    <a:ln>
                      <a:noFill/>
                    </a:ln>
                    <a:extLst>
                      <a:ext uri="{53640926-AAD7-44D8-BBD7-CCE9431645EC}">
                        <a14:shadowObscured xmlns:a14="http://schemas.microsoft.com/office/drawing/2010/main"/>
                      </a:ext>
                    </a:extLst>
                  </pic:spPr>
                </pic:pic>
              </a:graphicData>
            </a:graphic>
          </wp:inline>
        </w:drawing>
      </w:r>
    </w:p>
    <w:p w14:paraId="4E7EC203" w14:textId="19B517DE" w:rsidR="00604BB7" w:rsidRDefault="00604BB7" w:rsidP="00604BB7">
      <w:bookmarkStart w:id="253" w:name="_Hlk156214873"/>
      <w:r w:rsidRPr="00604BB7">
        <w:t xml:space="preserve">Family Tree Chart </w:t>
      </w:r>
      <w:r>
        <w:t>2</w:t>
      </w:r>
      <w:r w:rsidRPr="00604BB7">
        <w:t xml:space="preserve"> of the Evans Family – Sourced from my genealogical research via Ancestry.co.uk. </w:t>
      </w:r>
    </w:p>
    <w:bookmarkEnd w:id="253"/>
    <w:p w14:paraId="5C287178" w14:textId="77777777" w:rsidR="00604BB7" w:rsidRDefault="00604BB7" w:rsidP="00604BB7"/>
    <w:p w14:paraId="154F8F92" w14:textId="52122BCF" w:rsidR="00604BB7" w:rsidRDefault="00604BB7" w:rsidP="00604BB7">
      <w:r w:rsidRPr="00604BB7">
        <w:rPr>
          <w:noProof/>
        </w:rPr>
        <w:lastRenderedPageBreak/>
        <w:drawing>
          <wp:inline distT="0" distB="0" distL="0" distR="0" wp14:anchorId="60EA3DBE" wp14:editId="2281C6BA">
            <wp:extent cx="5731510" cy="284924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p w14:paraId="28185C5A" w14:textId="286C55E4" w:rsidR="00604BB7" w:rsidRPr="00604BB7" w:rsidRDefault="00604BB7" w:rsidP="00604BB7">
      <w:r w:rsidRPr="00604BB7">
        <w:t xml:space="preserve">Family Tree Chart </w:t>
      </w:r>
      <w:r>
        <w:t>3</w:t>
      </w:r>
      <w:r w:rsidRPr="00604BB7">
        <w:t xml:space="preserve"> of the Evans Family – Sourced from my genealogical research via Ancestry.co.uk.</w:t>
      </w:r>
    </w:p>
    <w:p w14:paraId="138BFAEA" w14:textId="77777777" w:rsidR="00604BB7" w:rsidRPr="00604BB7" w:rsidRDefault="00604BB7" w:rsidP="00604BB7"/>
    <w:p w14:paraId="43C3ED1D" w14:textId="18DE96B0" w:rsidR="00604BB7" w:rsidRDefault="00604BB7" w:rsidP="00604BB7">
      <w:r w:rsidRPr="00604BB7">
        <w:rPr>
          <w:noProof/>
        </w:rPr>
        <w:drawing>
          <wp:inline distT="0" distB="0" distL="0" distR="0" wp14:anchorId="61A9A24A" wp14:editId="70D124E8">
            <wp:extent cx="5962650" cy="3905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93" b="6207"/>
                    <a:stretch/>
                  </pic:blipFill>
                  <pic:spPr bwMode="auto">
                    <a:xfrm>
                      <a:off x="0" y="0"/>
                      <a:ext cx="5962650" cy="3905250"/>
                    </a:xfrm>
                    <a:prstGeom prst="rect">
                      <a:avLst/>
                    </a:prstGeom>
                    <a:noFill/>
                    <a:ln>
                      <a:noFill/>
                    </a:ln>
                    <a:extLst>
                      <a:ext uri="{53640926-AAD7-44D8-BBD7-CCE9431645EC}">
                        <a14:shadowObscured xmlns:a14="http://schemas.microsoft.com/office/drawing/2010/main"/>
                      </a:ext>
                    </a:extLst>
                  </pic:spPr>
                </pic:pic>
              </a:graphicData>
            </a:graphic>
          </wp:inline>
        </w:drawing>
      </w:r>
    </w:p>
    <w:p w14:paraId="7331B031" w14:textId="77777777" w:rsidR="00604BB7" w:rsidRPr="00604BB7" w:rsidRDefault="00604BB7" w:rsidP="00604BB7"/>
    <w:p w14:paraId="4B4C7058" w14:textId="11464C32" w:rsidR="00604BB7" w:rsidRPr="00604BB7" w:rsidRDefault="00604BB7" w:rsidP="00604BB7">
      <w:r w:rsidRPr="00604BB7">
        <w:t xml:space="preserve">Family Tree Chart </w:t>
      </w:r>
      <w:r>
        <w:t>4</w:t>
      </w:r>
      <w:r w:rsidRPr="00604BB7">
        <w:t xml:space="preserve"> of the Evans Family – Sourced from my genealogical research via Ancestry.co.uk</w:t>
      </w:r>
      <w:r>
        <w:t xml:space="preserve">. </w:t>
      </w:r>
    </w:p>
    <w:p w14:paraId="2D5F143A" w14:textId="77777777" w:rsidR="00604BB7" w:rsidRPr="002A4659" w:rsidRDefault="00604BB7" w:rsidP="002A4659"/>
    <w:p w14:paraId="0A2D1C8B" w14:textId="77777777" w:rsidR="002A4659" w:rsidRPr="002A4659" w:rsidRDefault="002A4659" w:rsidP="002A4659"/>
    <w:p w14:paraId="5AEA8B95" w14:textId="74D2088A" w:rsidR="00875953" w:rsidRPr="00AB24FB" w:rsidRDefault="00875953" w:rsidP="00AB24FB">
      <w:pPr>
        <w:pStyle w:val="Heading1"/>
        <w:rPr>
          <w:rFonts w:asciiTheme="minorHAnsi" w:hAnsiTheme="minorHAnsi" w:cstheme="minorHAnsi"/>
          <w:b/>
          <w:bCs/>
          <w:color w:val="auto"/>
        </w:rPr>
      </w:pPr>
      <w:bookmarkStart w:id="254" w:name="_Toc170825714"/>
      <w:r w:rsidRPr="00AB24FB">
        <w:rPr>
          <w:rFonts w:asciiTheme="minorHAnsi" w:hAnsiTheme="minorHAnsi" w:cstheme="minorHAnsi"/>
          <w:b/>
          <w:bCs/>
          <w:color w:val="auto"/>
        </w:rPr>
        <w:lastRenderedPageBreak/>
        <w:t>Appendix Two</w:t>
      </w:r>
      <w:r w:rsidR="002A4659" w:rsidRPr="00AB24FB">
        <w:rPr>
          <w:rFonts w:asciiTheme="minorHAnsi" w:hAnsiTheme="minorHAnsi" w:cstheme="minorHAnsi"/>
          <w:b/>
          <w:bCs/>
          <w:color w:val="auto"/>
        </w:rPr>
        <w:t>: The McConnel &amp; Kennedy Case Study</w:t>
      </w:r>
      <w:bookmarkEnd w:id="254"/>
    </w:p>
    <w:p w14:paraId="73CBA574" w14:textId="77777777" w:rsidR="00875953" w:rsidRPr="00A75D8E" w:rsidRDefault="00875953" w:rsidP="00AB24FB">
      <w:pPr>
        <w:pStyle w:val="Heading2"/>
        <w:rPr>
          <w:rFonts w:asciiTheme="minorHAnsi" w:hAnsiTheme="minorHAnsi" w:cstheme="minorHAnsi"/>
          <w:b/>
          <w:bCs/>
          <w:color w:val="auto"/>
          <w:sz w:val="24"/>
          <w:szCs w:val="24"/>
        </w:rPr>
      </w:pPr>
      <w:bookmarkStart w:id="255" w:name="_Toc170825715"/>
      <w:r w:rsidRPr="00A75D8E">
        <w:rPr>
          <w:rFonts w:asciiTheme="minorHAnsi" w:hAnsiTheme="minorHAnsi" w:cstheme="minorHAnsi"/>
          <w:b/>
          <w:bCs/>
          <w:color w:val="auto"/>
          <w:sz w:val="24"/>
          <w:szCs w:val="24"/>
        </w:rPr>
        <w:t>Short biographies</w:t>
      </w:r>
      <w:bookmarkEnd w:id="255"/>
    </w:p>
    <w:p w14:paraId="66975B22" w14:textId="77777777" w:rsidR="00875953" w:rsidRPr="00875953" w:rsidRDefault="00875953" w:rsidP="00875953">
      <w:pPr>
        <w:rPr>
          <w:b/>
          <w:bCs/>
        </w:rPr>
      </w:pPr>
      <w:r w:rsidRPr="00875953">
        <w:rPr>
          <w:b/>
          <w:bCs/>
        </w:rPr>
        <w:t xml:space="preserve">Escher, Gustavus Albert </w:t>
      </w:r>
    </w:p>
    <w:p w14:paraId="57901B44" w14:textId="61429E61" w:rsidR="00875953" w:rsidRPr="00875953" w:rsidRDefault="00875953" w:rsidP="00875953">
      <w:r w:rsidRPr="00875953">
        <w:t>(Gustavus) Albert Escher was born on the 13</w:t>
      </w:r>
      <w:r w:rsidRPr="00875953">
        <w:rPr>
          <w:vertAlign w:val="superscript"/>
        </w:rPr>
        <w:t>th</w:t>
      </w:r>
      <w:r w:rsidRPr="00875953">
        <w:t xml:space="preserve"> of March 1807 in Zürich, Switzerland. He was the son of Johann [Hans] Casper Escher, an architect, engineer, and cotton manufacturer also from Zürich. W. O. Henderson’s collections of ‘foreign’ reports on industrial Britain between 1814 and 1818 document his father’s time in Britain before Albert was apprenticed to the engineering works of Fairbairn and Lillie in Manchester between 1824 and 1826. Connections between the father and son Hans and Albert Escher and the McConnel and Kennedy wider kinship group and business networks were maintained following their initial meetings. Albert returned to Zürich, where he successfully built a machine-making business and cotton spinning mills at Vorarlberg, Vienna, and Salerno in Italy. In the 1840s, he married Anne Kennedy, John Kennedy, and Mary Stuart's youngest daughter. In 1844, Albert and Anne had a daughter, Marion Olga Escher, born in Switzerland. On the 1861 census, she lived with her mother and stepfather, James Heywood, at 26 Palace Gardens, Kensington, London. Sadly, on the 14</w:t>
      </w:r>
      <w:r w:rsidRPr="00875953">
        <w:rPr>
          <w:vertAlign w:val="superscript"/>
        </w:rPr>
        <w:t>th</w:t>
      </w:r>
      <w:r w:rsidRPr="00875953">
        <w:t xml:space="preserve"> of September 1845, only a year after the birth of Marion, Albert died in Chorlton, Manchester, aged 38. He is buried at the Rusholme Cemetery, Manchester. </w:t>
      </w:r>
    </w:p>
    <w:p w14:paraId="4E72D977" w14:textId="77777777" w:rsidR="00875953" w:rsidRPr="00875953" w:rsidRDefault="00875953" w:rsidP="00875953">
      <w:pPr>
        <w:rPr>
          <w:b/>
          <w:bCs/>
        </w:rPr>
      </w:pPr>
      <w:r w:rsidRPr="00875953">
        <w:rPr>
          <w:b/>
          <w:bCs/>
        </w:rPr>
        <w:t xml:space="preserve">Escher, Johann (Hans) Casper </w:t>
      </w:r>
    </w:p>
    <w:p w14:paraId="270D9B4D" w14:textId="1A3B58A4" w:rsidR="00875953" w:rsidRPr="00875953" w:rsidRDefault="00875953" w:rsidP="00875953">
      <w:r w:rsidRPr="00875953">
        <w:t>Johann (Hans) Casper Escher was the son of a prosperous silk merchant in Zürich. His father allowed him to study architecture under Friedrich Weinbrenner, a leading German architect at Leghorn. Escher became an associate of Angelica Kaufmann. In July 1797, Escher returned to Switzerland</w:t>
      </w:r>
      <w:r w:rsidR="002A4659">
        <w:t>.</w:t>
      </w:r>
    </w:p>
    <w:p w14:paraId="500B901F" w14:textId="77777777" w:rsidR="00875953" w:rsidRPr="00875953" w:rsidRDefault="00875953" w:rsidP="00875953">
      <w:pPr>
        <w:rPr>
          <w:b/>
          <w:bCs/>
        </w:rPr>
      </w:pPr>
      <w:r w:rsidRPr="00875953">
        <w:rPr>
          <w:b/>
          <w:bCs/>
        </w:rPr>
        <w:t>Heywood, James (1810-1897)</w:t>
      </w:r>
    </w:p>
    <w:p w14:paraId="66A4C31C" w14:textId="71C45A2D" w:rsidR="00875953" w:rsidRPr="00875953" w:rsidRDefault="00875953" w:rsidP="00875953">
      <w:r w:rsidRPr="00875953">
        <w:t>James was born on the 28th of</w:t>
      </w:r>
      <w:r w:rsidRPr="00875953">
        <w:rPr>
          <w:vertAlign w:val="superscript"/>
        </w:rPr>
        <w:t xml:space="preserve"> </w:t>
      </w:r>
      <w:r w:rsidRPr="00875953">
        <w:t>May 1810 in Manchester. He was the son of the banker Nathaniel Heywood and Ann (née Percival). James was the brother of Benjamin and Thomas Heywood. James matriculated from Trinity College Cambridge and was elected a fellow of the Royal Society. He became a liberal MP for North Lancashire and served between 1847 and 1857. McConnel &amp; Kennedy were closely entwined with the Heywood’s bank</w:t>
      </w:r>
      <w:r w:rsidR="002A4659">
        <w:t>.</w:t>
      </w:r>
    </w:p>
    <w:p w14:paraId="59DDFECF" w14:textId="77777777" w:rsidR="00875953" w:rsidRPr="00875953" w:rsidRDefault="00875953" w:rsidP="00875953">
      <w:pPr>
        <w:rPr>
          <w:b/>
          <w:bCs/>
        </w:rPr>
      </w:pPr>
      <w:r w:rsidRPr="00875953">
        <w:rPr>
          <w:b/>
          <w:bCs/>
        </w:rPr>
        <w:t xml:space="preserve">Kennedy, Robert </w:t>
      </w:r>
    </w:p>
    <w:p w14:paraId="34852BC8" w14:textId="77777777" w:rsidR="00875953" w:rsidRDefault="00875953" w:rsidP="00875953">
      <w:r w:rsidRPr="00875953">
        <w:t xml:space="preserve">Robert Kennedy was a younger brother of John Kennedy, and he worked in Glasgow as an agent for McConnel &amp; Kennedy in Manchester and a cotton spinner in his own right. His marriage to Robina Henderson produced fourteen children, who were vital components to the wider kinship network of McConnel &amp; Kennedy. Robert’s son, Peter Kennedy, established cotton manufactories in Feldkirch in Austria. </w:t>
      </w:r>
    </w:p>
    <w:p w14:paraId="1C0EB2BE" w14:textId="72222161" w:rsidR="00604BB7" w:rsidRPr="00D5426B" w:rsidRDefault="00604BB7" w:rsidP="00875953">
      <w:pPr>
        <w:rPr>
          <w:b/>
          <w:bCs/>
        </w:rPr>
      </w:pPr>
      <w:r w:rsidRPr="00D5426B">
        <w:rPr>
          <w:b/>
          <w:bCs/>
        </w:rPr>
        <w:t>John Kennedy</w:t>
      </w:r>
      <w:r w:rsidR="00D5426B">
        <w:rPr>
          <w:b/>
          <w:bCs/>
        </w:rPr>
        <w:t xml:space="preserve"> (1769-1855)</w:t>
      </w:r>
      <w:r w:rsidR="00F21149" w:rsidRPr="00D5426B">
        <w:rPr>
          <w:b/>
          <w:bCs/>
        </w:rPr>
        <w:t xml:space="preserve"> Founding Partner of the McConnel &amp; Kennedy Cotton Mills</w:t>
      </w:r>
    </w:p>
    <w:p w14:paraId="2439E398" w14:textId="2B75898D" w:rsidR="00D5426B" w:rsidRDefault="00D5426B" w:rsidP="00875953">
      <w:r>
        <w:t>John Kennedy was born on the 4</w:t>
      </w:r>
      <w:r w:rsidRPr="00D5426B">
        <w:rPr>
          <w:vertAlign w:val="superscript"/>
        </w:rPr>
        <w:t>th</w:t>
      </w:r>
      <w:r>
        <w:t xml:space="preserve"> of July 1769 in the Kells parish of Kirkcudbrightshire. He was the third son of Robert Kennedy and his wife Margaret Alexander. John’s father died when he was ten years old and his mother sent him to be an apprentice of her neighbour’s son – William Cannan, a machine maker at </w:t>
      </w:r>
      <w:proofErr w:type="spellStart"/>
      <w:r>
        <w:t>Chowbent</w:t>
      </w:r>
      <w:proofErr w:type="spellEnd"/>
      <w:r>
        <w:t xml:space="preserve">. After his apprenticeship in 1791, John entered a partnership with James McConnel and the Sandford brother (William and Benjamin) as machine makers in Manchester. Following the dissolution of this partnership John and James formed their own firm McConnel &amp; Kennedy. This was primarily, at first, a </w:t>
      </w:r>
      <w:r w:rsidR="009727B9">
        <w:t>machine making firm</w:t>
      </w:r>
      <w:r>
        <w:t xml:space="preserve"> but then they began to focus on spinning cotton. Their firm became the second largest in Manchester during the nineteenth century. In 1804 John married Mary Stuart in Manchester Cathedral. This joined John’s family to a </w:t>
      </w:r>
      <w:r>
        <w:lastRenderedPageBreak/>
        <w:t>respectable merchant family in Manchester, aiding the cotton spinning business. The couple had eight children, seven daughters and a son. Their son John became a barrister-at-law. All their children were baptised at the</w:t>
      </w:r>
      <w:r w:rsidR="00893286">
        <w:t xml:space="preserve"> Mosley Street and Upper Brook Street</w:t>
      </w:r>
      <w:r>
        <w:t xml:space="preserve"> non-conformist chapel</w:t>
      </w:r>
      <w:r w:rsidR="00893286">
        <w:t>s</w:t>
      </w:r>
      <w:r>
        <w:t xml:space="preserve"> in Manchester</w:t>
      </w:r>
      <w:r w:rsidR="009727B9">
        <w:t xml:space="preserve">. John retired from McConnel &amp; Kennedy in 1826. He was a key benefactor of the Liverpool and Manchester Railway and in 1829 he presided as a judge at the Rainhill Locomotive Trials. John died in 1855 at his home Ardwick House, in Manchester. </w:t>
      </w:r>
      <w:r>
        <w:t xml:space="preserve"> </w:t>
      </w:r>
    </w:p>
    <w:p w14:paraId="33D9399F" w14:textId="0F848224" w:rsidR="00A969BE" w:rsidRPr="006F29B5" w:rsidRDefault="00A969BE" w:rsidP="00875953">
      <w:pPr>
        <w:rPr>
          <w:b/>
          <w:bCs/>
          <w:lang w:val="it-IT"/>
        </w:rPr>
      </w:pPr>
      <w:r w:rsidRPr="006F29B5">
        <w:rPr>
          <w:b/>
          <w:bCs/>
          <w:lang w:val="it-IT"/>
        </w:rPr>
        <w:t xml:space="preserve">Henry McConnel (1801-1871) </w:t>
      </w:r>
      <w:r w:rsidR="00F40A40" w:rsidRPr="006F29B5">
        <w:rPr>
          <w:b/>
          <w:bCs/>
          <w:lang w:val="it-IT"/>
        </w:rPr>
        <w:t xml:space="preserve">Partner in McConnel &amp; Kennedy (McConnel &amp; Co.) </w:t>
      </w:r>
    </w:p>
    <w:p w14:paraId="0F73CEA9" w14:textId="127A0CF3" w:rsidR="00A969BE" w:rsidRPr="00F40A40" w:rsidRDefault="00F40A40" w:rsidP="00875953">
      <w:r>
        <w:t>Henry McConnel was born on the 16</w:t>
      </w:r>
      <w:r w:rsidRPr="00F40A40">
        <w:rPr>
          <w:vertAlign w:val="superscript"/>
        </w:rPr>
        <w:t>th</w:t>
      </w:r>
      <w:r>
        <w:t xml:space="preserve"> of July 1801 in Manchester. Henry was the first son of James McConnel and Margaret Houldsworth. He was baptised at the Upper Brook Street Chapel on the 5</w:t>
      </w:r>
      <w:r w:rsidRPr="00F40A40">
        <w:rPr>
          <w:vertAlign w:val="superscript"/>
        </w:rPr>
        <w:t>th</w:t>
      </w:r>
      <w:r>
        <w:t xml:space="preserve"> of August 1801. Henry became a partner in McConnel &amp; Kennedy in 1829. In the same year he married Margaret Alexander Kennedy, the eldest daughter of his father’s business partner John Kennedy. The couple had two children, a daughter Mary and a son James. Margaret died in 1831 and Henry remarried in 1837 to Isabella Aitchison Murray, the daughter of the cotton manufacturer George Murray and granddaughter of his father’s apprentice master William Cannan. </w:t>
      </w:r>
      <w:r w:rsidR="00051EF5">
        <w:t>Henry and Isabella had two daughters and a son. Henry McConnel died on the 28</w:t>
      </w:r>
      <w:r w:rsidR="00051EF5" w:rsidRPr="00051EF5">
        <w:rPr>
          <w:vertAlign w:val="superscript"/>
        </w:rPr>
        <w:t>th</w:t>
      </w:r>
      <w:r w:rsidR="00051EF5">
        <w:t xml:space="preserve"> of September 1871 at Cresswell in Derbyshire where he had managed a cotton mill. </w:t>
      </w:r>
    </w:p>
    <w:p w14:paraId="4FD3837C" w14:textId="4BB9D97C" w:rsidR="00604BB7" w:rsidRPr="005E249B" w:rsidRDefault="00604BB7" w:rsidP="00875953">
      <w:pPr>
        <w:rPr>
          <w:b/>
          <w:bCs/>
        </w:rPr>
      </w:pPr>
      <w:r w:rsidRPr="005E249B">
        <w:rPr>
          <w:b/>
          <w:bCs/>
        </w:rPr>
        <w:t xml:space="preserve">James McConnel </w:t>
      </w:r>
      <w:r w:rsidR="005E249B" w:rsidRPr="005E249B">
        <w:rPr>
          <w:b/>
          <w:bCs/>
        </w:rPr>
        <w:t>(1762-1831) Founding Partner of the McConnel &amp; Kennedy Cotton Mills</w:t>
      </w:r>
    </w:p>
    <w:p w14:paraId="2EC73A8C" w14:textId="44B0BFC6" w:rsidR="005E249B" w:rsidRDefault="005E249B" w:rsidP="00875953">
      <w:r>
        <w:t xml:space="preserve">James McConnel was born in 1762 in the Kells parish of Kirkcudbrightshire. He was the only surviving child of his parents James McConnel (1729-1809) and Mary Cannan (1741-1768). James was only six years old when his mother died. His father remarried and it was his half-brother through this marriage, John McConnel, who would later work with James in the cotton industry. James became an apprentice with his maternal uncle William Cannan at </w:t>
      </w:r>
      <w:proofErr w:type="spellStart"/>
      <w:r>
        <w:t>Chowbent</w:t>
      </w:r>
      <w:proofErr w:type="spellEnd"/>
      <w:r>
        <w:t xml:space="preserve">. He then partnered with John Kennedy and the Sandford brothers in a machine making firm in Manchester. </w:t>
      </w:r>
      <w:r w:rsidRPr="005E249B">
        <w:t>Following the dissolution of this partnership James and John formed their own firm McConnel &amp; Kennedy. This was primarily, at first, a machine making firm but then they began to focus on spinning cotton. Their firm became the second largest in Manchester during the nineteenth century.</w:t>
      </w:r>
      <w:r>
        <w:t xml:space="preserve"> In 1799 James married Margaret Houldsworth</w:t>
      </w:r>
      <w:r w:rsidR="00A969BE">
        <w:t xml:space="preserve"> (1778-1845)</w:t>
      </w:r>
      <w:r>
        <w:t xml:space="preserve">, the daughter of another cotton manufacturer </w:t>
      </w:r>
      <w:r w:rsidR="00893286">
        <w:t>Henry Houldsworth</w:t>
      </w:r>
      <w:r w:rsidR="00A969BE">
        <w:t xml:space="preserve"> (1733-1822)</w:t>
      </w:r>
      <w:r w:rsidR="00893286">
        <w:t>. The couple had thirteen children, eight sons and five daughters. Three of their sons went into the management structure of McConnel &amp; Kennedy – forming McConnel &amp; Co. after the death of James in 1831. All their children were baptised in the Mosley Street and Upper Brook Street non-conformist chapels in Manchester. James McConnel was a founding member of the Manchester</w:t>
      </w:r>
      <w:r w:rsidR="00893286" w:rsidRPr="00893286">
        <w:t xml:space="preserve"> Literary and Philosophical Society</w:t>
      </w:r>
      <w:r w:rsidR="00A969BE">
        <w:t xml:space="preserve"> and played an active role in the urban culture of Manchester. James died in 1831 at his home, The Polygon in Ardwick, Manchester. </w:t>
      </w:r>
      <w:r w:rsidR="00893286">
        <w:t xml:space="preserve"> </w:t>
      </w:r>
    </w:p>
    <w:p w14:paraId="57D928F5" w14:textId="29709603" w:rsidR="00051EF5" w:rsidRPr="006F29B5" w:rsidRDefault="00051EF5" w:rsidP="00875953">
      <w:pPr>
        <w:rPr>
          <w:b/>
          <w:bCs/>
          <w:lang w:val="it-IT"/>
        </w:rPr>
      </w:pPr>
      <w:r w:rsidRPr="006F29B5">
        <w:rPr>
          <w:b/>
          <w:bCs/>
          <w:lang w:val="it-IT"/>
        </w:rPr>
        <w:t xml:space="preserve">James McConnel (1803-1879) </w:t>
      </w:r>
      <w:r w:rsidR="009F0FCC" w:rsidRPr="006F29B5">
        <w:rPr>
          <w:b/>
          <w:bCs/>
          <w:lang w:val="it-IT"/>
        </w:rPr>
        <w:t>Partner in McConnel &amp; Kennedy (McConnel &amp; Co.)</w:t>
      </w:r>
    </w:p>
    <w:p w14:paraId="2D97BED3" w14:textId="56A0AF20" w:rsidR="00051EF5" w:rsidRDefault="00051EF5" w:rsidP="00875953">
      <w:r w:rsidRPr="00051EF5">
        <w:t>James McConnel was born in</w:t>
      </w:r>
      <w:r w:rsidR="009F0FCC">
        <w:t xml:space="preserve"> 1803 at</w:t>
      </w:r>
      <w:r>
        <w:t xml:space="preserve"> Manchester, the second son of James McConnel and Margaret Houldsworth. He was baptised at the Upper Brook Street Chapel on the </w:t>
      </w:r>
      <w:r w:rsidR="009F0FCC">
        <w:t>13</w:t>
      </w:r>
      <w:r w:rsidR="009F0FCC" w:rsidRPr="00051EF5">
        <w:rPr>
          <w:vertAlign w:val="superscript"/>
        </w:rPr>
        <w:t>th of</w:t>
      </w:r>
      <w:r>
        <w:t xml:space="preserve"> September 1803. James became a partner in McConnel &amp; Kennedy in 1829. </w:t>
      </w:r>
      <w:r w:rsidR="009F0FCC">
        <w:t>On</w:t>
      </w:r>
      <w:r>
        <w:t xml:space="preserve"> the 5</w:t>
      </w:r>
      <w:r w:rsidRPr="00051EF5">
        <w:rPr>
          <w:vertAlign w:val="superscript"/>
        </w:rPr>
        <w:t>th</w:t>
      </w:r>
      <w:r>
        <w:t xml:space="preserve"> of October 1842 James married Ann </w:t>
      </w:r>
      <w:proofErr w:type="spellStart"/>
      <w:r>
        <w:t>Morewood</w:t>
      </w:r>
      <w:proofErr w:type="spellEnd"/>
      <w:r>
        <w:t xml:space="preserve"> at Ashford in Derbyshire. The couple did not have any children. James died on the 2</w:t>
      </w:r>
      <w:r w:rsidRPr="00051EF5">
        <w:rPr>
          <w:vertAlign w:val="superscript"/>
        </w:rPr>
        <w:t>nd</w:t>
      </w:r>
      <w:r>
        <w:t xml:space="preserve"> of March 1879 at Moore Place in Surrey. </w:t>
      </w:r>
    </w:p>
    <w:p w14:paraId="45462F75" w14:textId="0284E224" w:rsidR="00051EF5" w:rsidRPr="006F29B5" w:rsidRDefault="00051EF5" w:rsidP="00875953">
      <w:pPr>
        <w:rPr>
          <w:b/>
          <w:bCs/>
          <w:lang w:val="it-IT"/>
        </w:rPr>
      </w:pPr>
      <w:r w:rsidRPr="006F29B5">
        <w:rPr>
          <w:b/>
          <w:bCs/>
          <w:lang w:val="it-IT"/>
        </w:rPr>
        <w:t>William McConnel</w:t>
      </w:r>
      <w:r w:rsidR="009F0FCC" w:rsidRPr="006F29B5">
        <w:rPr>
          <w:b/>
          <w:bCs/>
          <w:lang w:val="it-IT"/>
        </w:rPr>
        <w:t xml:space="preserve"> (1808-1902) Partner in McConnel &amp; Kennedy (McConnel &amp; Co.)</w:t>
      </w:r>
    </w:p>
    <w:p w14:paraId="17A01426" w14:textId="5B8B1441" w:rsidR="009F0FCC" w:rsidRDefault="009F0FCC" w:rsidP="009F0FCC">
      <w:r>
        <w:t>William</w:t>
      </w:r>
      <w:r w:rsidRPr="009F0FCC">
        <w:t xml:space="preserve"> McConnel was born </w:t>
      </w:r>
      <w:r>
        <w:t>on the 31</w:t>
      </w:r>
      <w:r w:rsidRPr="009F0FCC">
        <w:rPr>
          <w:vertAlign w:val="superscript"/>
        </w:rPr>
        <w:t>st of</w:t>
      </w:r>
      <w:r>
        <w:t xml:space="preserve"> August 1808 at</w:t>
      </w:r>
      <w:r w:rsidRPr="009F0FCC">
        <w:t xml:space="preserve"> Manchester</w:t>
      </w:r>
      <w:r>
        <w:t xml:space="preserve">. He was </w:t>
      </w:r>
      <w:r w:rsidRPr="009F0FCC">
        <w:t xml:space="preserve">the </w:t>
      </w:r>
      <w:r>
        <w:t>fourth surviving</w:t>
      </w:r>
      <w:r w:rsidRPr="009F0FCC">
        <w:t xml:space="preserve"> son of James McConnel and Margaret Houldsworth. </w:t>
      </w:r>
      <w:r>
        <w:t xml:space="preserve">He married in 1824 Margaret Bradshaw </w:t>
      </w:r>
      <w:proofErr w:type="spellStart"/>
      <w:proofErr w:type="gramStart"/>
      <w:r>
        <w:t>Wanklyn</w:t>
      </w:r>
      <w:proofErr w:type="spellEnd"/>
      <w:proofErr w:type="gramEnd"/>
      <w:r>
        <w:t xml:space="preserve"> </w:t>
      </w:r>
      <w:r>
        <w:lastRenderedPageBreak/>
        <w:t xml:space="preserve">and the couple had eight children, three daughters and five sons. William died in 1902 in Ayrshire, Scotland. </w:t>
      </w:r>
    </w:p>
    <w:p w14:paraId="7D60236E" w14:textId="44534879" w:rsidR="00604BB7" w:rsidRPr="00875953" w:rsidRDefault="009F0FCC" w:rsidP="00875953">
      <w:r w:rsidRPr="00604BB7">
        <w:rPr>
          <w:noProof/>
        </w:rPr>
        <w:drawing>
          <wp:inline distT="0" distB="0" distL="0" distR="0" wp14:anchorId="4A101E1A" wp14:editId="680F71C7">
            <wp:extent cx="5340789" cy="7515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25" t="3269" r="2752"/>
                    <a:stretch/>
                  </pic:blipFill>
                  <pic:spPr bwMode="auto">
                    <a:xfrm rot="10800000">
                      <a:off x="0" y="0"/>
                      <a:ext cx="5344659" cy="7520671"/>
                    </a:xfrm>
                    <a:prstGeom prst="rect">
                      <a:avLst/>
                    </a:prstGeom>
                    <a:noFill/>
                    <a:ln>
                      <a:noFill/>
                    </a:ln>
                    <a:extLst>
                      <a:ext uri="{53640926-AAD7-44D8-BBD7-CCE9431645EC}">
                        <a14:shadowObscured xmlns:a14="http://schemas.microsoft.com/office/drawing/2010/main"/>
                      </a:ext>
                    </a:extLst>
                  </pic:spPr>
                </pic:pic>
              </a:graphicData>
            </a:graphic>
          </wp:inline>
        </w:drawing>
      </w:r>
    </w:p>
    <w:p w14:paraId="0F7D93F4" w14:textId="59324CBD" w:rsidR="00604BB7" w:rsidRDefault="00604BB7" w:rsidP="00604BB7"/>
    <w:p w14:paraId="239329E6" w14:textId="77777777" w:rsidR="009F0FCC" w:rsidRPr="00604BB7" w:rsidRDefault="009F0FCC" w:rsidP="009F0FCC">
      <w:r w:rsidRPr="00604BB7">
        <w:t xml:space="preserve">Family Tree Chart </w:t>
      </w:r>
      <w:r>
        <w:t>5</w:t>
      </w:r>
      <w:r w:rsidRPr="00604BB7">
        <w:t xml:space="preserve"> of the </w:t>
      </w:r>
      <w:r>
        <w:t>Kennedy</w:t>
      </w:r>
      <w:r w:rsidRPr="00604BB7">
        <w:t xml:space="preserve"> Family – Sourced from my genealogical research via Ancestry.co.uk.</w:t>
      </w:r>
    </w:p>
    <w:p w14:paraId="69E394DE" w14:textId="5D8AC329" w:rsidR="00604BB7" w:rsidRDefault="00BD03EA" w:rsidP="00604BB7">
      <w:r w:rsidRPr="00604BB7">
        <w:rPr>
          <w:noProof/>
        </w:rPr>
        <w:lastRenderedPageBreak/>
        <w:drawing>
          <wp:inline distT="0" distB="0" distL="0" distR="0" wp14:anchorId="2F6DD7C2" wp14:editId="23FAFB7B">
            <wp:extent cx="5108028" cy="805605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574" t="3870" r="8527"/>
                    <a:stretch/>
                  </pic:blipFill>
                  <pic:spPr bwMode="auto">
                    <a:xfrm rot="10800000">
                      <a:off x="0" y="0"/>
                      <a:ext cx="5109529" cy="8058419"/>
                    </a:xfrm>
                    <a:prstGeom prst="rect">
                      <a:avLst/>
                    </a:prstGeom>
                    <a:noFill/>
                    <a:ln>
                      <a:noFill/>
                    </a:ln>
                    <a:extLst>
                      <a:ext uri="{53640926-AAD7-44D8-BBD7-CCE9431645EC}">
                        <a14:shadowObscured xmlns:a14="http://schemas.microsoft.com/office/drawing/2010/main"/>
                      </a:ext>
                    </a:extLst>
                  </pic:spPr>
                </pic:pic>
              </a:graphicData>
            </a:graphic>
          </wp:inline>
        </w:drawing>
      </w:r>
    </w:p>
    <w:p w14:paraId="5C5240FC" w14:textId="0296D2AD" w:rsidR="00604BB7" w:rsidRPr="00604BB7" w:rsidRDefault="00604BB7" w:rsidP="00604BB7">
      <w:r w:rsidRPr="00604BB7">
        <w:t xml:space="preserve">Family Tree Chart </w:t>
      </w:r>
      <w:r>
        <w:t>6</w:t>
      </w:r>
      <w:r w:rsidRPr="00604BB7">
        <w:t xml:space="preserve"> of the </w:t>
      </w:r>
      <w:r>
        <w:t>McConnel</w:t>
      </w:r>
      <w:r w:rsidRPr="00604BB7">
        <w:t xml:space="preserve"> Family – Sourced from my genealogical research via Ancestry.co.uk.</w:t>
      </w:r>
    </w:p>
    <w:p w14:paraId="55CD9A2B" w14:textId="2B83227E" w:rsidR="006B10A6" w:rsidRDefault="006B10A6" w:rsidP="00170D85"/>
    <w:sectPr w:rsidR="006B10A6">
      <w:footnotePr>
        <w:numRestart w:val="eachSect"/>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0B721" w14:textId="77777777" w:rsidR="00905C63" w:rsidRDefault="00905C63" w:rsidP="005A05DF">
      <w:pPr>
        <w:spacing w:after="0" w:line="240" w:lineRule="auto"/>
      </w:pPr>
      <w:r>
        <w:separator/>
      </w:r>
    </w:p>
  </w:endnote>
  <w:endnote w:type="continuationSeparator" w:id="0">
    <w:p w14:paraId="2EEF7DE8" w14:textId="77777777" w:rsidR="00905C63" w:rsidRDefault="00905C63" w:rsidP="005A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688197"/>
      <w:docPartObj>
        <w:docPartGallery w:val="Page Numbers (Bottom of Page)"/>
        <w:docPartUnique/>
      </w:docPartObj>
    </w:sdtPr>
    <w:sdtEndPr/>
    <w:sdtContent>
      <w:p w14:paraId="7858D329" w14:textId="77777777" w:rsidR="00EA5B11" w:rsidRDefault="00F81A43">
        <w:pPr>
          <w:pStyle w:val="Footer"/>
          <w:jc w:val="right"/>
        </w:pPr>
        <w:r>
          <w:fldChar w:fldCharType="begin"/>
        </w:r>
        <w:r>
          <w:instrText>PAGE   \* MERGEFORMAT</w:instrText>
        </w:r>
        <w:r>
          <w:fldChar w:fldCharType="separate"/>
        </w:r>
        <w:r>
          <w:t>2</w:t>
        </w:r>
        <w:r>
          <w:fldChar w:fldCharType="end"/>
        </w:r>
      </w:p>
    </w:sdtContent>
  </w:sdt>
  <w:p w14:paraId="02A9B40D" w14:textId="77777777" w:rsidR="00EA5B11" w:rsidRDefault="00EA5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23CB6" w14:textId="77777777" w:rsidR="00905C63" w:rsidRDefault="00905C63" w:rsidP="005A05DF">
      <w:pPr>
        <w:spacing w:after="0" w:line="240" w:lineRule="auto"/>
      </w:pPr>
      <w:r>
        <w:separator/>
      </w:r>
    </w:p>
  </w:footnote>
  <w:footnote w:type="continuationSeparator" w:id="0">
    <w:p w14:paraId="01103E96" w14:textId="77777777" w:rsidR="00905C63" w:rsidRDefault="00905C63" w:rsidP="005A05DF">
      <w:pPr>
        <w:spacing w:after="0" w:line="240" w:lineRule="auto"/>
      </w:pPr>
      <w:r>
        <w:continuationSeparator/>
      </w:r>
    </w:p>
  </w:footnote>
  <w:footnote w:id="1">
    <w:p w14:paraId="16F238B5" w14:textId="4305F316" w:rsidR="00543331" w:rsidRPr="001230C5" w:rsidRDefault="00543331" w:rsidP="00801949">
      <w:pPr>
        <w:pStyle w:val="FootnoteText"/>
        <w:rPr>
          <w:b/>
          <w:bCs/>
          <w:sz w:val="16"/>
          <w:szCs w:val="16"/>
        </w:rPr>
      </w:pPr>
      <w:r w:rsidRPr="001230C5">
        <w:rPr>
          <w:rStyle w:val="FootnoteReference"/>
          <w:sz w:val="16"/>
          <w:szCs w:val="16"/>
        </w:rPr>
        <w:footnoteRef/>
      </w:r>
      <w:r w:rsidRPr="001230C5">
        <w:rPr>
          <w:sz w:val="16"/>
          <w:szCs w:val="16"/>
        </w:rPr>
        <w:t xml:space="preserve"> </w:t>
      </w:r>
      <w:bookmarkStart w:id="8" w:name="_Hlk156660122"/>
      <w:r w:rsidRPr="001230C5">
        <w:rPr>
          <w:sz w:val="16"/>
          <w:szCs w:val="16"/>
        </w:rPr>
        <w:t xml:space="preserve">Katherine Soar, </w:t>
      </w:r>
      <w:r w:rsidRPr="001230C5">
        <w:rPr>
          <w:i/>
          <w:iCs/>
          <w:sz w:val="16"/>
          <w:szCs w:val="16"/>
        </w:rPr>
        <w:t>Global Cotton Connections</w:t>
      </w:r>
      <w:r w:rsidR="00AD10B3" w:rsidRPr="001230C5">
        <w:rPr>
          <w:i/>
          <w:iCs/>
          <w:sz w:val="16"/>
          <w:szCs w:val="16"/>
        </w:rPr>
        <w:t xml:space="preserve"> of the Evans Family Cotton Spinning Mill</w:t>
      </w:r>
      <w:r w:rsidR="00395FF2" w:rsidRPr="001230C5">
        <w:rPr>
          <w:i/>
          <w:iCs/>
          <w:sz w:val="16"/>
          <w:szCs w:val="16"/>
        </w:rPr>
        <w:t xml:space="preserve"> at Darley Abbey</w:t>
      </w:r>
      <w:r w:rsidR="00AD10B3" w:rsidRPr="001230C5">
        <w:rPr>
          <w:i/>
          <w:iCs/>
          <w:sz w:val="16"/>
          <w:szCs w:val="16"/>
        </w:rPr>
        <w:t>, Derby 1788-1834</w:t>
      </w:r>
      <w:r w:rsidR="00801949" w:rsidRPr="001230C5">
        <w:rPr>
          <w:sz w:val="16"/>
          <w:szCs w:val="16"/>
        </w:rPr>
        <w:t xml:space="preserve"> [Thesis submitted for the degree of Master of Arts at the University of Sheffield, 2015).</w:t>
      </w:r>
      <w:bookmarkEnd w:id="8"/>
    </w:p>
  </w:footnote>
  <w:footnote w:id="2">
    <w:p w14:paraId="4DDCD276" w14:textId="044F0FBD" w:rsidR="001230C5" w:rsidRPr="001230C5" w:rsidRDefault="001230C5">
      <w:pPr>
        <w:pStyle w:val="FootnoteText"/>
        <w:rPr>
          <w:sz w:val="16"/>
          <w:szCs w:val="16"/>
        </w:rPr>
      </w:pPr>
      <w:r w:rsidRPr="001230C5">
        <w:rPr>
          <w:rStyle w:val="FootnoteReference"/>
          <w:sz w:val="16"/>
          <w:szCs w:val="16"/>
        </w:rPr>
        <w:footnoteRef/>
      </w:r>
      <w:r w:rsidR="003A4425">
        <w:rPr>
          <w:sz w:val="16"/>
          <w:szCs w:val="16"/>
        </w:rPr>
        <w:t xml:space="preserve"> </w:t>
      </w:r>
      <w:r w:rsidRPr="001230C5">
        <w:rPr>
          <w:sz w:val="16"/>
          <w:szCs w:val="16"/>
        </w:rPr>
        <w:t xml:space="preserve">Sven Beckert, </w:t>
      </w:r>
      <w:r w:rsidRPr="001230C5">
        <w:rPr>
          <w:i/>
          <w:iCs/>
          <w:sz w:val="16"/>
          <w:szCs w:val="16"/>
        </w:rPr>
        <w:t>Empire of Cotton: A Global History</w:t>
      </w:r>
      <w:r w:rsidRPr="001230C5">
        <w:rPr>
          <w:sz w:val="16"/>
          <w:szCs w:val="16"/>
        </w:rPr>
        <w:t xml:space="preserve"> (New York: Vintage Books, 2014). </w:t>
      </w:r>
    </w:p>
  </w:footnote>
  <w:footnote w:id="3">
    <w:p w14:paraId="1B5B8184" w14:textId="45487F71" w:rsidR="003613A1" w:rsidRDefault="003613A1">
      <w:pPr>
        <w:pStyle w:val="FootnoteText"/>
      </w:pPr>
      <w:r>
        <w:rPr>
          <w:rStyle w:val="FootnoteReference"/>
        </w:rPr>
        <w:footnoteRef/>
      </w:r>
      <w:r>
        <w:t xml:space="preserve"> </w:t>
      </w:r>
      <w:r w:rsidR="00E9084C">
        <w:rPr>
          <w:sz w:val="16"/>
          <w:szCs w:val="16"/>
        </w:rPr>
        <w:t xml:space="preserve">Sheryllynne </w:t>
      </w:r>
      <w:r w:rsidR="00E9084C" w:rsidRPr="00F26263">
        <w:rPr>
          <w:sz w:val="16"/>
          <w:szCs w:val="16"/>
        </w:rPr>
        <w:t xml:space="preserve">Haggerty, </w:t>
      </w:r>
      <w:r w:rsidR="00E9084C" w:rsidRPr="00F26263">
        <w:rPr>
          <w:i/>
          <w:iCs/>
          <w:sz w:val="16"/>
          <w:szCs w:val="16"/>
        </w:rPr>
        <w:t xml:space="preserve">Merely for </w:t>
      </w:r>
      <w:r w:rsidR="00E9084C" w:rsidRPr="00F26263">
        <w:rPr>
          <w:i/>
          <w:iCs/>
          <w:sz w:val="16"/>
          <w:szCs w:val="16"/>
        </w:rPr>
        <w:t>Money?: Business Culture in The British Atlantic, 1750-1815</w:t>
      </w:r>
      <w:r w:rsidR="00E9084C">
        <w:rPr>
          <w:sz w:val="16"/>
          <w:szCs w:val="16"/>
        </w:rPr>
        <w:t xml:space="preserve"> (Liverpool: Liverpool University Press, 2012), pp 66-97. </w:t>
      </w:r>
      <w:r w:rsidR="00E9084C" w:rsidRPr="00F26263">
        <w:rPr>
          <w:sz w:val="16"/>
          <w:szCs w:val="16"/>
        </w:rPr>
        <w:t xml:space="preserve"> </w:t>
      </w:r>
    </w:p>
  </w:footnote>
  <w:footnote w:id="4">
    <w:p w14:paraId="474B4314" w14:textId="23AAD82C" w:rsidR="00872D48" w:rsidRPr="00872D48" w:rsidRDefault="00872D48">
      <w:pPr>
        <w:pStyle w:val="FootnoteText"/>
        <w:rPr>
          <w:sz w:val="16"/>
          <w:szCs w:val="16"/>
        </w:rPr>
      </w:pPr>
      <w:r w:rsidRPr="00872D48">
        <w:rPr>
          <w:rStyle w:val="FootnoteReference"/>
          <w:sz w:val="16"/>
          <w:szCs w:val="16"/>
        </w:rPr>
        <w:footnoteRef/>
      </w:r>
      <w:r w:rsidRPr="00872D48">
        <w:rPr>
          <w:sz w:val="16"/>
          <w:szCs w:val="16"/>
        </w:rPr>
        <w:t xml:space="preserve"> E</w:t>
      </w:r>
      <w:bookmarkStart w:id="10" w:name="_Hlk170483646"/>
      <w:r w:rsidRPr="00872D48">
        <w:rPr>
          <w:sz w:val="16"/>
          <w:szCs w:val="16"/>
        </w:rPr>
        <w:t xml:space="preserve">. P. Thompson, </w:t>
      </w:r>
      <w:r w:rsidRPr="00872D48">
        <w:rPr>
          <w:i/>
          <w:iCs/>
          <w:sz w:val="16"/>
          <w:szCs w:val="16"/>
        </w:rPr>
        <w:t>The Making of the English Working Class</w:t>
      </w:r>
      <w:r w:rsidRPr="00872D48">
        <w:rPr>
          <w:sz w:val="16"/>
          <w:szCs w:val="16"/>
        </w:rPr>
        <w:t xml:space="preserve"> (London</w:t>
      </w:r>
      <w:r w:rsidR="003A4425">
        <w:rPr>
          <w:sz w:val="16"/>
          <w:szCs w:val="16"/>
        </w:rPr>
        <w:t xml:space="preserve"> and New York: Vintage Books</w:t>
      </w:r>
      <w:r w:rsidRPr="00872D48">
        <w:rPr>
          <w:sz w:val="16"/>
          <w:szCs w:val="16"/>
        </w:rPr>
        <w:t>, 1963)</w:t>
      </w:r>
      <w:bookmarkEnd w:id="10"/>
      <w:r w:rsidRPr="00872D48">
        <w:rPr>
          <w:sz w:val="16"/>
          <w:szCs w:val="16"/>
        </w:rPr>
        <w:t xml:space="preserve">, </w:t>
      </w:r>
      <w:bookmarkStart w:id="11" w:name="_Hlk170483809"/>
      <w:r w:rsidRPr="00872D48">
        <w:rPr>
          <w:sz w:val="16"/>
          <w:szCs w:val="16"/>
        </w:rPr>
        <w:t xml:space="preserve">Emma Griffin, </w:t>
      </w:r>
      <w:r w:rsidR="003A4425">
        <w:rPr>
          <w:sz w:val="16"/>
          <w:szCs w:val="16"/>
        </w:rPr>
        <w:t xml:space="preserve">Liberty’s Dawn: </w:t>
      </w:r>
      <w:r w:rsidRPr="00872D48">
        <w:rPr>
          <w:i/>
          <w:iCs/>
          <w:sz w:val="16"/>
          <w:szCs w:val="16"/>
        </w:rPr>
        <w:t>A People’s History of the Industrial Revolution</w:t>
      </w:r>
      <w:r w:rsidRPr="00872D48">
        <w:rPr>
          <w:sz w:val="16"/>
          <w:szCs w:val="16"/>
        </w:rPr>
        <w:t xml:space="preserve"> (New Haven, 2013)</w:t>
      </w:r>
      <w:bookmarkEnd w:id="11"/>
      <w:r w:rsidRPr="00872D48">
        <w:rPr>
          <w:sz w:val="16"/>
          <w:szCs w:val="16"/>
        </w:rPr>
        <w:t xml:space="preserve">, E. A. Wrigley, </w:t>
      </w:r>
      <w:r w:rsidRPr="00872D48">
        <w:rPr>
          <w:i/>
          <w:iCs/>
          <w:sz w:val="16"/>
          <w:szCs w:val="16"/>
        </w:rPr>
        <w:t>Poverty, Progress and Population</w:t>
      </w:r>
      <w:r w:rsidRPr="00872D48">
        <w:rPr>
          <w:sz w:val="16"/>
          <w:szCs w:val="16"/>
        </w:rPr>
        <w:t xml:space="preserve"> (Cambridge: Cambridge University Press, 2004) and Bill </w:t>
      </w:r>
      <w:r w:rsidRPr="00872D48">
        <w:rPr>
          <w:sz w:val="16"/>
          <w:szCs w:val="16"/>
        </w:rPr>
        <w:t xml:space="preserve">Luckin, </w:t>
      </w:r>
      <w:r w:rsidRPr="00872D48">
        <w:rPr>
          <w:i/>
          <w:iCs/>
          <w:sz w:val="16"/>
          <w:szCs w:val="16"/>
        </w:rPr>
        <w:t>Death and Survival in Urban Britain: Disease, Pollution and Environment, 1800-1950</w:t>
      </w:r>
      <w:r>
        <w:rPr>
          <w:i/>
          <w:iCs/>
          <w:sz w:val="16"/>
          <w:szCs w:val="16"/>
        </w:rPr>
        <w:t xml:space="preserve"> </w:t>
      </w:r>
      <w:r>
        <w:rPr>
          <w:sz w:val="16"/>
          <w:szCs w:val="16"/>
        </w:rPr>
        <w:t>(</w:t>
      </w:r>
      <w:r w:rsidR="00E9084C">
        <w:rPr>
          <w:sz w:val="16"/>
          <w:szCs w:val="16"/>
        </w:rPr>
        <w:t xml:space="preserve">New York and London: Bloomsbury, 2015) </w:t>
      </w:r>
      <w:r>
        <w:rPr>
          <w:sz w:val="16"/>
          <w:szCs w:val="16"/>
        </w:rPr>
        <w:t xml:space="preserve"> </w:t>
      </w:r>
    </w:p>
  </w:footnote>
  <w:footnote w:id="5">
    <w:p w14:paraId="2B93CB94" w14:textId="3DE6AA8A" w:rsidR="00872D48" w:rsidRPr="00893BA1" w:rsidRDefault="00872D48" w:rsidP="00872D48">
      <w:pPr>
        <w:pStyle w:val="FootnoteText"/>
        <w:rPr>
          <w:sz w:val="16"/>
          <w:szCs w:val="16"/>
        </w:rPr>
      </w:pPr>
      <w:r w:rsidRPr="00893BA1">
        <w:rPr>
          <w:rStyle w:val="FootnoteReference"/>
          <w:sz w:val="16"/>
          <w:szCs w:val="16"/>
        </w:rPr>
        <w:footnoteRef/>
      </w:r>
      <w:r w:rsidRPr="00893BA1">
        <w:rPr>
          <w:sz w:val="16"/>
          <w:szCs w:val="16"/>
        </w:rPr>
        <w:t xml:space="preserve"> </w:t>
      </w:r>
      <w:bookmarkStart w:id="12" w:name="_Hlk170484253"/>
      <w:r w:rsidRPr="00893BA1">
        <w:rPr>
          <w:sz w:val="16"/>
          <w:szCs w:val="16"/>
        </w:rPr>
        <w:t xml:space="preserve">Emma Griffin, ‘Diets, Hunger and Living Standards during the British Industrial Revolution,’ </w:t>
      </w:r>
      <w:r w:rsidRPr="00893BA1">
        <w:rPr>
          <w:i/>
          <w:iCs/>
          <w:sz w:val="16"/>
          <w:szCs w:val="16"/>
        </w:rPr>
        <w:t>Past and Present</w:t>
      </w:r>
      <w:r w:rsidRPr="00893BA1">
        <w:rPr>
          <w:sz w:val="16"/>
          <w:szCs w:val="16"/>
        </w:rPr>
        <w:t>,</w:t>
      </w:r>
      <w:r w:rsidR="00BD03EA">
        <w:rPr>
          <w:sz w:val="16"/>
          <w:szCs w:val="16"/>
        </w:rPr>
        <w:t xml:space="preserve"> </w:t>
      </w:r>
      <w:r w:rsidRPr="00893BA1">
        <w:rPr>
          <w:sz w:val="16"/>
          <w:szCs w:val="16"/>
        </w:rPr>
        <w:t>pp. 71-111.</w:t>
      </w:r>
      <w:bookmarkEnd w:id="12"/>
      <w:r w:rsidRPr="00893BA1">
        <w:rPr>
          <w:sz w:val="16"/>
          <w:szCs w:val="16"/>
        </w:rPr>
        <w:t xml:space="preserve">  </w:t>
      </w:r>
    </w:p>
  </w:footnote>
  <w:footnote w:id="6">
    <w:p w14:paraId="5FF5C208" w14:textId="535EB9E9" w:rsidR="00872D48" w:rsidRPr="00814422" w:rsidRDefault="00872D48" w:rsidP="00872D48">
      <w:pPr>
        <w:pStyle w:val="FootnoteText"/>
        <w:rPr>
          <w:sz w:val="16"/>
          <w:szCs w:val="16"/>
        </w:rPr>
      </w:pPr>
      <w:r w:rsidRPr="00814422">
        <w:rPr>
          <w:rStyle w:val="FootnoteReference"/>
          <w:sz w:val="16"/>
          <w:szCs w:val="16"/>
        </w:rPr>
        <w:footnoteRef/>
      </w:r>
      <w:r w:rsidR="00A06B6A" w:rsidRPr="00814422">
        <w:rPr>
          <w:sz w:val="16"/>
          <w:szCs w:val="16"/>
        </w:rPr>
        <w:t xml:space="preserve"> </w:t>
      </w:r>
      <w:r w:rsidR="00814422" w:rsidRPr="00814422">
        <w:rPr>
          <w:sz w:val="16"/>
          <w:szCs w:val="16"/>
        </w:rPr>
        <w:t xml:space="preserve">N. F. R. </w:t>
      </w:r>
      <w:r w:rsidR="00A06B6A" w:rsidRPr="00814422">
        <w:rPr>
          <w:sz w:val="16"/>
          <w:szCs w:val="16"/>
        </w:rPr>
        <w:t>Crafts</w:t>
      </w:r>
      <w:r w:rsidR="00814422" w:rsidRPr="00814422">
        <w:rPr>
          <w:sz w:val="16"/>
          <w:szCs w:val="16"/>
        </w:rPr>
        <w:t xml:space="preserve">, </w:t>
      </w:r>
      <w:r w:rsidR="00814422" w:rsidRPr="00814422">
        <w:rPr>
          <w:i/>
          <w:iCs/>
          <w:sz w:val="16"/>
          <w:szCs w:val="16"/>
        </w:rPr>
        <w:t>British Economic Growth during the British Industrial Revolution</w:t>
      </w:r>
      <w:r w:rsidR="00814422" w:rsidRPr="00814422">
        <w:rPr>
          <w:sz w:val="16"/>
          <w:szCs w:val="16"/>
        </w:rPr>
        <w:t xml:space="preserve"> (Oxford: Oxford University Press, 1985) </w:t>
      </w:r>
      <w:r w:rsidR="00A06B6A" w:rsidRPr="00814422">
        <w:rPr>
          <w:sz w:val="16"/>
          <w:szCs w:val="16"/>
        </w:rPr>
        <w:t xml:space="preserve"> </w:t>
      </w:r>
    </w:p>
  </w:footnote>
  <w:footnote w:id="7">
    <w:p w14:paraId="7221A1DE" w14:textId="1415A7A2" w:rsidR="00872D48" w:rsidRDefault="00872D48" w:rsidP="00872D48">
      <w:pPr>
        <w:pStyle w:val="FootnoteText"/>
      </w:pPr>
      <w:r w:rsidRPr="00814422">
        <w:rPr>
          <w:rStyle w:val="FootnoteReference"/>
          <w:sz w:val="16"/>
          <w:szCs w:val="16"/>
        </w:rPr>
        <w:footnoteRef/>
      </w:r>
      <w:r w:rsidRPr="00814422">
        <w:rPr>
          <w:sz w:val="16"/>
          <w:szCs w:val="16"/>
        </w:rPr>
        <w:t xml:space="preserve"> </w:t>
      </w:r>
      <w:bookmarkStart w:id="13" w:name="_Hlk170479873"/>
      <w:r w:rsidRPr="00814422">
        <w:rPr>
          <w:sz w:val="16"/>
          <w:szCs w:val="16"/>
        </w:rPr>
        <w:t xml:space="preserve">Oded </w:t>
      </w:r>
      <w:r w:rsidRPr="00814422">
        <w:rPr>
          <w:sz w:val="16"/>
          <w:szCs w:val="16"/>
        </w:rPr>
        <w:t xml:space="preserve">Galor, </w:t>
      </w:r>
      <w:r w:rsidRPr="005C2FAF">
        <w:rPr>
          <w:i/>
          <w:iCs/>
          <w:sz w:val="16"/>
          <w:szCs w:val="16"/>
        </w:rPr>
        <w:t>Unified Growth Theory</w:t>
      </w:r>
      <w:r w:rsidR="00E9084C">
        <w:rPr>
          <w:sz w:val="16"/>
          <w:szCs w:val="16"/>
        </w:rPr>
        <w:t xml:space="preserve"> (Princeton: Princeton University Press, 2011), pp. 3-6.  </w:t>
      </w:r>
      <w:bookmarkEnd w:id="13"/>
    </w:p>
  </w:footnote>
  <w:footnote w:id="8">
    <w:p w14:paraId="0F4BB03F" w14:textId="5D6B5543"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Fitton and Wadsworth, </w:t>
      </w:r>
      <w:r w:rsidRPr="00A16E25">
        <w:rPr>
          <w:i/>
          <w:iCs/>
          <w:sz w:val="16"/>
          <w:szCs w:val="16"/>
        </w:rPr>
        <w:t xml:space="preserve">The </w:t>
      </w:r>
      <w:r w:rsidRPr="00A16E25">
        <w:rPr>
          <w:i/>
          <w:iCs/>
          <w:sz w:val="16"/>
          <w:szCs w:val="16"/>
        </w:rPr>
        <w:t xml:space="preserve">Strutts and the Arkwrights 1758-1830 </w:t>
      </w:r>
      <w:r w:rsidRPr="00A16E25">
        <w:rPr>
          <w:sz w:val="16"/>
          <w:szCs w:val="16"/>
        </w:rPr>
        <w:t xml:space="preserve">and Chapman, 'The Transition to the Factory System in the Midlands Cotton-Spinning Industry,' </w:t>
      </w:r>
      <w:r w:rsidRPr="00A16E25">
        <w:rPr>
          <w:i/>
          <w:iCs/>
          <w:sz w:val="16"/>
          <w:szCs w:val="16"/>
        </w:rPr>
        <w:t>Economic History Review</w:t>
      </w:r>
      <w:r w:rsidRPr="00A16E25">
        <w:rPr>
          <w:sz w:val="16"/>
          <w:szCs w:val="16"/>
        </w:rPr>
        <w:t>,</w:t>
      </w:r>
      <w:r w:rsidR="006746D7">
        <w:rPr>
          <w:sz w:val="16"/>
          <w:szCs w:val="16"/>
        </w:rPr>
        <w:t xml:space="preserve"> 18:3, (1965),</w:t>
      </w:r>
      <w:r w:rsidRPr="00A16E25">
        <w:rPr>
          <w:sz w:val="16"/>
          <w:szCs w:val="16"/>
        </w:rPr>
        <w:t xml:space="preserve"> pp. 526–543.</w:t>
      </w:r>
    </w:p>
  </w:footnote>
  <w:footnote w:id="9">
    <w:p w14:paraId="65B51842" w14:textId="24A548CF"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Lindsay, ‘An Industrial Community – The Evans’ Cotton Mill at Darley Abbey Derbyshire, 1783-1810,’ </w:t>
      </w:r>
      <w:r w:rsidRPr="00A16E25">
        <w:rPr>
          <w:i/>
          <w:iCs/>
          <w:sz w:val="16"/>
          <w:szCs w:val="16"/>
        </w:rPr>
        <w:t>Business History Review</w:t>
      </w:r>
      <w:r w:rsidRPr="00A16E25">
        <w:rPr>
          <w:sz w:val="16"/>
          <w:szCs w:val="16"/>
        </w:rPr>
        <w:t xml:space="preserve">, </w:t>
      </w:r>
      <w:r w:rsidR="006746D7">
        <w:rPr>
          <w:sz w:val="16"/>
          <w:szCs w:val="16"/>
        </w:rPr>
        <w:t xml:space="preserve">34:3 (1960). </w:t>
      </w:r>
      <w:r w:rsidRPr="00A16E25">
        <w:rPr>
          <w:sz w:val="16"/>
          <w:szCs w:val="16"/>
        </w:rPr>
        <w:t xml:space="preserve">pp. 277-301. </w:t>
      </w:r>
    </w:p>
  </w:footnote>
  <w:footnote w:id="10">
    <w:p w14:paraId="6F707EBB" w14:textId="77777777" w:rsidR="00872D48" w:rsidRDefault="00872D48" w:rsidP="00872D48">
      <w:pPr>
        <w:pStyle w:val="FootnoteText"/>
      </w:pPr>
      <w:r w:rsidRPr="00A16E25">
        <w:rPr>
          <w:rStyle w:val="FootnoteReference"/>
          <w:sz w:val="16"/>
          <w:szCs w:val="16"/>
        </w:rPr>
        <w:footnoteRef/>
      </w:r>
      <w:r w:rsidRPr="00A16E25">
        <w:rPr>
          <w:sz w:val="16"/>
          <w:szCs w:val="16"/>
        </w:rPr>
        <w:t xml:space="preserve"> </w:t>
      </w:r>
      <w:r w:rsidRPr="00A16E25">
        <w:rPr>
          <w:i/>
          <w:iCs/>
          <w:sz w:val="16"/>
          <w:szCs w:val="16"/>
        </w:rPr>
        <w:t>Ibid</w:t>
      </w:r>
      <w:r w:rsidRPr="00A16E25">
        <w:rPr>
          <w:sz w:val="16"/>
          <w:szCs w:val="16"/>
        </w:rPr>
        <w:t>, p</w:t>
      </w:r>
      <w:r>
        <w:rPr>
          <w:sz w:val="16"/>
          <w:szCs w:val="16"/>
        </w:rPr>
        <w:t>p</w:t>
      </w:r>
      <w:r w:rsidRPr="00A16E25">
        <w:rPr>
          <w:sz w:val="16"/>
          <w:szCs w:val="16"/>
        </w:rPr>
        <w:t>. 277-301.</w:t>
      </w:r>
      <w:r>
        <w:rPr>
          <w:sz w:val="18"/>
          <w:szCs w:val="18"/>
        </w:rPr>
        <w:t xml:space="preserve"> </w:t>
      </w:r>
    </w:p>
  </w:footnote>
  <w:footnote w:id="11">
    <w:p w14:paraId="49BAB535"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Chapman, 'The Transition to the Factory System in the Midlands Cotton-Spinning Industry,' </w:t>
      </w:r>
      <w:r w:rsidRPr="00A16E25">
        <w:rPr>
          <w:i/>
          <w:iCs/>
          <w:sz w:val="16"/>
          <w:szCs w:val="16"/>
        </w:rPr>
        <w:t>Economic History Review</w:t>
      </w:r>
      <w:r w:rsidRPr="00A16E25">
        <w:rPr>
          <w:sz w:val="16"/>
          <w:szCs w:val="16"/>
        </w:rPr>
        <w:t>, pp. 526–543.</w:t>
      </w:r>
    </w:p>
  </w:footnote>
  <w:footnote w:id="12">
    <w:p w14:paraId="1AC6940A"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Lindsay, ‘An Industrial Community – The Evans’ Cotton Mill at Darley Abbey Derbyshire, 1783-1810,’ </w:t>
      </w:r>
      <w:r w:rsidRPr="00A16E25">
        <w:rPr>
          <w:i/>
          <w:iCs/>
          <w:sz w:val="16"/>
          <w:szCs w:val="16"/>
        </w:rPr>
        <w:t>Business History Review</w:t>
      </w:r>
      <w:r w:rsidRPr="00A16E25">
        <w:rPr>
          <w:sz w:val="16"/>
          <w:szCs w:val="16"/>
        </w:rPr>
        <w:t>, pp. 277-301.</w:t>
      </w:r>
    </w:p>
  </w:footnote>
  <w:footnote w:id="13">
    <w:p w14:paraId="4F29F8AE"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bookmarkStart w:id="14" w:name="_Hlk156569119"/>
      <w:r w:rsidRPr="00A16E25">
        <w:rPr>
          <w:sz w:val="16"/>
          <w:szCs w:val="16"/>
        </w:rPr>
        <w:t xml:space="preserve">Lee, </w:t>
      </w:r>
      <w:r w:rsidRPr="00A16E25">
        <w:rPr>
          <w:i/>
          <w:iCs/>
          <w:sz w:val="16"/>
          <w:szCs w:val="16"/>
        </w:rPr>
        <w:t>A Cotton Enterprise 1795-1849</w:t>
      </w:r>
      <w:r w:rsidRPr="00A16E25">
        <w:rPr>
          <w:sz w:val="16"/>
          <w:szCs w:val="16"/>
        </w:rPr>
        <w:t xml:space="preserve"> </w:t>
      </w:r>
      <w:bookmarkEnd w:id="14"/>
      <w:r w:rsidRPr="00A16E25">
        <w:rPr>
          <w:sz w:val="16"/>
          <w:szCs w:val="16"/>
        </w:rPr>
        <w:t xml:space="preserve">and George W. Daniels, ‘The Early Records of a Great Manchester Cotton-Spinning Firm,’ </w:t>
      </w:r>
      <w:r w:rsidRPr="00A16E25">
        <w:rPr>
          <w:i/>
          <w:iCs/>
          <w:sz w:val="16"/>
          <w:szCs w:val="16"/>
        </w:rPr>
        <w:t>Economic Journal,</w:t>
      </w:r>
      <w:r w:rsidRPr="00A16E25">
        <w:rPr>
          <w:sz w:val="16"/>
          <w:szCs w:val="16"/>
        </w:rPr>
        <w:t xml:space="preserve"> 25:98 (1915), pp. 175-188.</w:t>
      </w:r>
    </w:p>
  </w:footnote>
  <w:footnote w:id="14">
    <w:p w14:paraId="18361C21"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Lee, </w:t>
      </w:r>
      <w:r w:rsidRPr="00A16E25">
        <w:rPr>
          <w:i/>
          <w:iCs/>
          <w:sz w:val="16"/>
          <w:szCs w:val="16"/>
        </w:rPr>
        <w:t>A Cotton Enterprise 1795-1849.</w:t>
      </w:r>
    </w:p>
  </w:footnote>
  <w:footnote w:id="15">
    <w:p w14:paraId="6EE1ED8F"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See Rose, </w:t>
      </w:r>
      <w:r w:rsidRPr="00A16E25">
        <w:rPr>
          <w:i/>
          <w:iCs/>
          <w:sz w:val="16"/>
          <w:szCs w:val="16"/>
        </w:rPr>
        <w:t xml:space="preserve">The </w:t>
      </w:r>
      <w:r w:rsidRPr="00A16E25">
        <w:rPr>
          <w:i/>
          <w:iCs/>
          <w:sz w:val="16"/>
          <w:szCs w:val="16"/>
        </w:rPr>
        <w:t xml:space="preserve">Gregs of Quarry Bank Mill </w:t>
      </w:r>
      <w:r w:rsidRPr="00A16E25">
        <w:rPr>
          <w:sz w:val="16"/>
          <w:szCs w:val="16"/>
        </w:rPr>
        <w:t xml:space="preserve">and Rhodes Boyson, </w:t>
      </w:r>
      <w:r w:rsidRPr="00A16E25">
        <w:rPr>
          <w:i/>
          <w:iCs/>
          <w:sz w:val="16"/>
          <w:szCs w:val="16"/>
        </w:rPr>
        <w:t>The Ashworth Cotton Enterprise: The Rise and Fall of a Family Firm, 1818-1880</w:t>
      </w:r>
      <w:r w:rsidRPr="00A16E25">
        <w:rPr>
          <w:sz w:val="16"/>
          <w:szCs w:val="16"/>
        </w:rPr>
        <w:t xml:space="preserve"> (Oxford: Oxford University Press, 1979) </w:t>
      </w:r>
    </w:p>
  </w:footnote>
  <w:footnote w:id="16">
    <w:p w14:paraId="6C638367"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Stanley Chapman, </w:t>
      </w:r>
      <w:r w:rsidRPr="00A16E25">
        <w:rPr>
          <w:i/>
          <w:iCs/>
          <w:sz w:val="16"/>
          <w:szCs w:val="16"/>
        </w:rPr>
        <w:t>The Early Factory Masters: The Transition to the Factory System in the Midlands Textile Industry</w:t>
      </w:r>
      <w:r w:rsidRPr="00A16E25">
        <w:rPr>
          <w:sz w:val="16"/>
          <w:szCs w:val="16"/>
        </w:rPr>
        <w:t xml:space="preserve"> (Newton Abbot: David &amp; Charles, 1967), Stanley Chapman, 'The Transition to the Factory System in the Midlands Cotton-Spinning Industry,'</w:t>
      </w:r>
      <w:r w:rsidRPr="00A16E25">
        <w:rPr>
          <w:i/>
          <w:iCs/>
          <w:sz w:val="16"/>
          <w:szCs w:val="16"/>
        </w:rPr>
        <w:t xml:space="preserve"> Economic History Review</w:t>
      </w:r>
      <w:r w:rsidRPr="00A16E25">
        <w:rPr>
          <w:sz w:val="16"/>
          <w:szCs w:val="16"/>
        </w:rPr>
        <w:t xml:space="preserve">, New Series, 18:3 (1965), pp. 526–543 and Peter Maw, ‘Provincial Merchants in Eighteenth-Century England: The ‘Great Oaks of Manchester,’ </w:t>
      </w:r>
      <w:r w:rsidRPr="004C3F55">
        <w:rPr>
          <w:i/>
          <w:iCs/>
          <w:sz w:val="16"/>
          <w:szCs w:val="16"/>
        </w:rPr>
        <w:t>English Historical Review</w:t>
      </w:r>
      <w:r w:rsidRPr="00A16E25">
        <w:rPr>
          <w:sz w:val="16"/>
          <w:szCs w:val="16"/>
        </w:rPr>
        <w:t xml:space="preserve">, 136:580 (2021), pp. 568-618. </w:t>
      </w:r>
    </w:p>
  </w:footnote>
  <w:footnote w:id="17">
    <w:p w14:paraId="40B4FB62" w14:textId="77777777" w:rsidR="00872D48" w:rsidRPr="00653711" w:rsidRDefault="00872D48" w:rsidP="00872D48">
      <w:pPr>
        <w:pStyle w:val="FootnoteText"/>
        <w:rPr>
          <w:sz w:val="18"/>
          <w:szCs w:val="18"/>
        </w:rPr>
      </w:pPr>
      <w:r w:rsidRPr="00A16E25">
        <w:rPr>
          <w:rStyle w:val="FootnoteReference"/>
          <w:sz w:val="16"/>
          <w:szCs w:val="16"/>
        </w:rPr>
        <w:footnoteRef/>
      </w:r>
      <w:r w:rsidRPr="00A16E25">
        <w:rPr>
          <w:sz w:val="16"/>
          <w:szCs w:val="16"/>
        </w:rPr>
        <w:t xml:space="preserve"> Maw, ‘Provincial Merchants in Eighteenth-Century England: The ‘Great Oaks of Manchester,’ </w:t>
      </w:r>
      <w:r w:rsidRPr="00A16E25">
        <w:rPr>
          <w:i/>
          <w:iCs/>
          <w:sz w:val="16"/>
          <w:szCs w:val="16"/>
        </w:rPr>
        <w:t>English Historical Review</w:t>
      </w:r>
      <w:r w:rsidRPr="00A16E25">
        <w:rPr>
          <w:sz w:val="16"/>
          <w:szCs w:val="16"/>
        </w:rPr>
        <w:t>, pp. 568-618.</w:t>
      </w:r>
      <w:r>
        <w:rPr>
          <w:sz w:val="18"/>
          <w:szCs w:val="18"/>
        </w:rPr>
        <w:t xml:space="preserve"> </w:t>
      </w:r>
    </w:p>
  </w:footnote>
  <w:footnote w:id="18">
    <w:p w14:paraId="7A1CA6E7"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r>
        <w:rPr>
          <w:sz w:val="16"/>
          <w:szCs w:val="16"/>
        </w:rPr>
        <w:t xml:space="preserve">DLSL, BS 677 EVA, DL119 CB R1 [Letter sent to Samuel Evans of 5 Newmarket, Manchester, 19 August 1808]. </w:t>
      </w:r>
    </w:p>
  </w:footnote>
  <w:footnote w:id="19">
    <w:p w14:paraId="383BF6FC"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r>
        <w:rPr>
          <w:sz w:val="16"/>
          <w:szCs w:val="16"/>
        </w:rPr>
        <w:t xml:space="preserve">JRL, GB 133 MCK/2/1/14, MCK/2/1/15. MCK/2/1/16, MCK/2/1/17, MCK/2/1/18, MCK/2/1/19, MCK/2/1/20 AND DLSL, BS 677 EVA, DL119 CB R1 </w:t>
      </w:r>
    </w:p>
  </w:footnote>
  <w:footnote w:id="20">
    <w:p w14:paraId="6F7F002E"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r w:rsidRPr="0064503F">
        <w:rPr>
          <w:sz w:val="16"/>
          <w:szCs w:val="16"/>
        </w:rPr>
        <w:t xml:space="preserve">Fitton and Wadsworth, </w:t>
      </w:r>
      <w:r w:rsidRPr="0064503F">
        <w:rPr>
          <w:i/>
          <w:iCs/>
          <w:sz w:val="16"/>
          <w:szCs w:val="16"/>
        </w:rPr>
        <w:t xml:space="preserve">The </w:t>
      </w:r>
      <w:r w:rsidRPr="0064503F">
        <w:rPr>
          <w:i/>
          <w:iCs/>
          <w:sz w:val="16"/>
          <w:szCs w:val="16"/>
        </w:rPr>
        <w:t>Strutts and the Arkwrights 1758-1830</w:t>
      </w:r>
      <w:r>
        <w:rPr>
          <w:i/>
          <w:iCs/>
          <w:sz w:val="16"/>
          <w:szCs w:val="16"/>
        </w:rPr>
        <w:t xml:space="preserve">, </w:t>
      </w:r>
      <w:r w:rsidRPr="0064503F">
        <w:rPr>
          <w:sz w:val="16"/>
          <w:szCs w:val="16"/>
        </w:rPr>
        <w:t>pp. 81-97</w:t>
      </w:r>
      <w:r>
        <w:rPr>
          <w:i/>
          <w:iCs/>
          <w:sz w:val="16"/>
          <w:szCs w:val="16"/>
        </w:rPr>
        <w:t xml:space="preserve">.  </w:t>
      </w:r>
    </w:p>
  </w:footnote>
  <w:footnote w:id="21">
    <w:p w14:paraId="7636CE5B"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r>
        <w:rPr>
          <w:sz w:val="16"/>
          <w:szCs w:val="16"/>
        </w:rPr>
        <w:t xml:space="preserve">Mike Williams with D. A. </w:t>
      </w:r>
      <w:r>
        <w:rPr>
          <w:sz w:val="16"/>
          <w:szCs w:val="16"/>
        </w:rPr>
        <w:t xml:space="preserve">Farnie, </w:t>
      </w:r>
      <w:r w:rsidRPr="0064503F">
        <w:rPr>
          <w:i/>
          <w:iCs/>
          <w:sz w:val="16"/>
          <w:szCs w:val="16"/>
        </w:rPr>
        <w:t>Cotton Mills in Greater Manchester</w:t>
      </w:r>
      <w:r>
        <w:rPr>
          <w:sz w:val="16"/>
          <w:szCs w:val="16"/>
        </w:rPr>
        <w:t xml:space="preserve"> (Lancaster: Carnegie Publishing, 1992), p.164.  </w:t>
      </w:r>
    </w:p>
  </w:footnote>
  <w:footnote w:id="22">
    <w:p w14:paraId="2F977DC2"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Examples included Stanley Chapman, 'Fixed Capital Formation in the British Cotton Industry, 1770-1815'</w:t>
      </w:r>
      <w:r w:rsidRPr="00A16E25">
        <w:rPr>
          <w:i/>
          <w:iCs/>
          <w:sz w:val="16"/>
          <w:szCs w:val="16"/>
        </w:rPr>
        <w:t>, Economic History Review</w:t>
      </w:r>
      <w:r w:rsidRPr="00A16E25">
        <w:rPr>
          <w:sz w:val="16"/>
          <w:szCs w:val="16"/>
        </w:rPr>
        <w:t xml:space="preserve">, 23:2 (1970), pp. 235–266 and Phyllis Deane, ‘The Role of Capital in the Industrial Revolution’, </w:t>
      </w:r>
      <w:r w:rsidRPr="00A16E25">
        <w:rPr>
          <w:i/>
          <w:iCs/>
          <w:sz w:val="16"/>
          <w:szCs w:val="16"/>
        </w:rPr>
        <w:t>Explorations in Economic History</w:t>
      </w:r>
      <w:r w:rsidRPr="00A16E25">
        <w:rPr>
          <w:sz w:val="16"/>
          <w:szCs w:val="16"/>
        </w:rPr>
        <w:t xml:space="preserve">, 10:4 (1973), pp. 349-364. Also see Nigel Hall, ‘The Emergence of the Raw Cotton Market, 1800-1850,’ </w:t>
      </w:r>
      <w:r w:rsidRPr="00A16E25">
        <w:rPr>
          <w:i/>
          <w:iCs/>
          <w:sz w:val="16"/>
          <w:szCs w:val="16"/>
        </w:rPr>
        <w:t>International Journal of Phytoremediation</w:t>
      </w:r>
      <w:r w:rsidRPr="00A16E25">
        <w:rPr>
          <w:sz w:val="16"/>
          <w:szCs w:val="16"/>
        </w:rPr>
        <w:t xml:space="preserve">, 38:1 (2001), pp. 65-81. </w:t>
      </w:r>
    </w:p>
  </w:footnote>
  <w:footnote w:id="23">
    <w:p w14:paraId="4FFEA031" w14:textId="77777777" w:rsidR="005C2FAF" w:rsidRPr="00A16E25" w:rsidRDefault="005C2FAF" w:rsidP="005C2FAF">
      <w:pPr>
        <w:pStyle w:val="FootnoteText"/>
        <w:rPr>
          <w:rFonts w:ascii="Calibri" w:hAnsi="Calibri" w:cs="Calibri"/>
          <w:sz w:val="16"/>
          <w:szCs w:val="16"/>
        </w:rPr>
      </w:pPr>
      <w:r w:rsidRPr="00A16E25">
        <w:rPr>
          <w:rStyle w:val="FootnoteReference"/>
          <w:sz w:val="16"/>
          <w:szCs w:val="16"/>
        </w:rPr>
        <w:footnoteRef/>
      </w:r>
      <w:r w:rsidRPr="00A16E25">
        <w:rPr>
          <w:sz w:val="16"/>
          <w:szCs w:val="16"/>
        </w:rPr>
        <w:t xml:space="preserve"> </w:t>
      </w:r>
      <w:bookmarkStart w:id="15" w:name="_Hlk149486713"/>
      <w:r w:rsidRPr="00A16E25">
        <w:rPr>
          <w:sz w:val="16"/>
          <w:szCs w:val="16"/>
        </w:rPr>
        <w:t xml:space="preserve">Immanuel Wallerstein, </w:t>
      </w:r>
      <w:r w:rsidRPr="00A16E25">
        <w:rPr>
          <w:i/>
          <w:iCs/>
          <w:sz w:val="16"/>
          <w:szCs w:val="16"/>
        </w:rPr>
        <w:t>World-systems Analysis: An Introduction</w:t>
      </w:r>
      <w:r w:rsidRPr="00A16E25">
        <w:rPr>
          <w:sz w:val="16"/>
          <w:szCs w:val="16"/>
        </w:rPr>
        <w:t xml:space="preserve"> (Durham and London: Duke University Press. 2004)</w:t>
      </w:r>
      <w:bookmarkEnd w:id="15"/>
      <w:r w:rsidRPr="00A16E25">
        <w:rPr>
          <w:sz w:val="16"/>
          <w:szCs w:val="16"/>
        </w:rPr>
        <w:t>, pp. 23–24.</w:t>
      </w:r>
    </w:p>
  </w:footnote>
  <w:footnote w:id="24">
    <w:p w14:paraId="22D0D617" w14:textId="1785A5BF" w:rsidR="005C2FAF" w:rsidRPr="005C2FAF" w:rsidRDefault="005C2FAF" w:rsidP="005C2FAF">
      <w:pPr>
        <w:pStyle w:val="FootnoteText"/>
        <w:rPr>
          <w:sz w:val="16"/>
          <w:szCs w:val="16"/>
        </w:rPr>
      </w:pPr>
      <w:r w:rsidRPr="005C2FAF">
        <w:rPr>
          <w:rStyle w:val="FootnoteReference"/>
          <w:sz w:val="16"/>
          <w:szCs w:val="16"/>
        </w:rPr>
        <w:footnoteRef/>
      </w:r>
      <w:r w:rsidRPr="005C2FAF">
        <w:rPr>
          <w:sz w:val="16"/>
          <w:szCs w:val="16"/>
        </w:rPr>
        <w:t xml:space="preserve"> Giorgio Riello, </w:t>
      </w:r>
      <w:r w:rsidRPr="005C2FAF">
        <w:rPr>
          <w:i/>
          <w:iCs/>
          <w:sz w:val="16"/>
          <w:szCs w:val="16"/>
        </w:rPr>
        <w:t>Cotton: The Fabric that Made the Modern World</w:t>
      </w:r>
      <w:r w:rsidRPr="005C2FAF">
        <w:rPr>
          <w:sz w:val="16"/>
          <w:szCs w:val="16"/>
        </w:rPr>
        <w:t xml:space="preserve"> (Cambridge: Cambridge University Press, 2013).</w:t>
      </w:r>
    </w:p>
  </w:footnote>
  <w:footnote w:id="25">
    <w:p w14:paraId="28C9EACB" w14:textId="77777777" w:rsidR="00872D48" w:rsidRPr="00105E87" w:rsidRDefault="00872D48" w:rsidP="00872D48">
      <w:pPr>
        <w:pStyle w:val="FootnoteText"/>
        <w:rPr>
          <w:sz w:val="18"/>
          <w:szCs w:val="18"/>
        </w:rPr>
      </w:pPr>
      <w:r w:rsidRPr="00A16E25">
        <w:rPr>
          <w:rStyle w:val="FootnoteReference"/>
          <w:sz w:val="16"/>
          <w:szCs w:val="16"/>
        </w:rPr>
        <w:footnoteRef/>
      </w:r>
      <w:r w:rsidRPr="00A16E25">
        <w:rPr>
          <w:sz w:val="16"/>
          <w:szCs w:val="16"/>
        </w:rPr>
        <w:t xml:space="preserve"> Sven Beckert, </w:t>
      </w:r>
      <w:r w:rsidRPr="00A16E25">
        <w:rPr>
          <w:i/>
          <w:iCs/>
          <w:sz w:val="16"/>
          <w:szCs w:val="16"/>
        </w:rPr>
        <w:t>Empire of Cotton</w:t>
      </w:r>
      <w:bookmarkStart w:id="16" w:name="_Hlk156220763"/>
      <w:r w:rsidRPr="00A16E25">
        <w:rPr>
          <w:i/>
          <w:iCs/>
          <w:sz w:val="16"/>
          <w:szCs w:val="16"/>
        </w:rPr>
        <w:t>: A Global History</w:t>
      </w:r>
      <w:r w:rsidRPr="00A16E25">
        <w:rPr>
          <w:sz w:val="16"/>
          <w:szCs w:val="16"/>
        </w:rPr>
        <w:t xml:space="preserve"> (New York: Vintage Books, 2014).</w:t>
      </w:r>
    </w:p>
    <w:bookmarkEnd w:id="16"/>
  </w:footnote>
  <w:footnote w:id="26">
    <w:p w14:paraId="654127F7" w14:textId="5D977C3A" w:rsidR="00872D48" w:rsidRPr="00A16E25" w:rsidRDefault="00872D48" w:rsidP="005C2FAF">
      <w:pPr>
        <w:pStyle w:val="FootnoteText"/>
        <w:rPr>
          <w:sz w:val="16"/>
          <w:szCs w:val="16"/>
        </w:rPr>
      </w:pPr>
      <w:r w:rsidRPr="00A16E25">
        <w:rPr>
          <w:rStyle w:val="FootnoteReference"/>
          <w:sz w:val="16"/>
          <w:szCs w:val="16"/>
        </w:rPr>
        <w:footnoteRef/>
      </w:r>
      <w:r w:rsidRPr="00A16E25">
        <w:rPr>
          <w:sz w:val="16"/>
          <w:szCs w:val="16"/>
        </w:rPr>
        <w:t xml:space="preserve"> Sven Beckert, </w:t>
      </w:r>
      <w:r w:rsidRPr="00A16E25">
        <w:rPr>
          <w:i/>
          <w:iCs/>
          <w:sz w:val="16"/>
          <w:szCs w:val="16"/>
        </w:rPr>
        <w:t>Empire of Cotton: A Global History (New York: Vintage Books, 2014)</w:t>
      </w:r>
      <w:r w:rsidRPr="00A16E25">
        <w:rPr>
          <w:sz w:val="16"/>
          <w:szCs w:val="16"/>
        </w:rPr>
        <w:t>, pp. xi-xvii.</w:t>
      </w:r>
    </w:p>
  </w:footnote>
  <w:footnote w:id="27">
    <w:p w14:paraId="0FA70DBE"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Beckert,</w:t>
      </w:r>
      <w:r w:rsidRPr="00A16E25">
        <w:t xml:space="preserve"> </w:t>
      </w:r>
      <w:r w:rsidRPr="00A16E25">
        <w:rPr>
          <w:i/>
          <w:iCs/>
          <w:sz w:val="16"/>
          <w:szCs w:val="16"/>
        </w:rPr>
        <w:t>Empire of Cotton</w:t>
      </w:r>
      <w:r>
        <w:rPr>
          <w:sz w:val="16"/>
          <w:szCs w:val="16"/>
        </w:rPr>
        <w:t>,</w:t>
      </w:r>
      <w:r w:rsidRPr="00A16E25">
        <w:rPr>
          <w:sz w:val="16"/>
          <w:szCs w:val="16"/>
        </w:rPr>
        <w:t xml:space="preserve"> pp. 136-174.</w:t>
      </w:r>
      <w:r>
        <w:rPr>
          <w:sz w:val="16"/>
          <w:szCs w:val="16"/>
        </w:rPr>
        <w:t xml:space="preserve"> </w:t>
      </w:r>
    </w:p>
  </w:footnote>
  <w:footnote w:id="28">
    <w:p w14:paraId="16C6F1CA" w14:textId="1329D4AA" w:rsidR="00872D48" w:rsidRPr="004C3F55" w:rsidRDefault="00872D48" w:rsidP="00872D48">
      <w:pPr>
        <w:pStyle w:val="FootnoteText"/>
        <w:rPr>
          <w:color w:val="FF0000"/>
          <w:sz w:val="16"/>
          <w:szCs w:val="16"/>
        </w:rPr>
      </w:pPr>
      <w:r w:rsidRPr="00A16E25">
        <w:rPr>
          <w:rStyle w:val="FootnoteReference"/>
          <w:sz w:val="16"/>
          <w:szCs w:val="16"/>
        </w:rPr>
        <w:footnoteRef/>
      </w:r>
      <w:r w:rsidRPr="00A16E25">
        <w:rPr>
          <w:sz w:val="16"/>
          <w:szCs w:val="16"/>
        </w:rPr>
        <w:t xml:space="preserve"> See </w:t>
      </w:r>
      <w:bookmarkStart w:id="17" w:name="_Hlk156222088"/>
      <w:r w:rsidRPr="00A16E25">
        <w:rPr>
          <w:sz w:val="16"/>
          <w:szCs w:val="16"/>
        </w:rPr>
        <w:t xml:space="preserve">Stanley Chapman, </w:t>
      </w:r>
      <w:r w:rsidRPr="00A16E25">
        <w:rPr>
          <w:i/>
          <w:iCs/>
          <w:sz w:val="16"/>
          <w:szCs w:val="16"/>
        </w:rPr>
        <w:t>The Early Factory Masters: The Transition to the Factory System in the Midlands Textile Industry</w:t>
      </w:r>
      <w:r w:rsidRPr="00A16E25">
        <w:rPr>
          <w:sz w:val="16"/>
          <w:szCs w:val="16"/>
        </w:rPr>
        <w:t xml:space="preserve"> (Newton Abbot: David &amp; Charles, 1967) and </w:t>
      </w:r>
      <w:bookmarkStart w:id="18" w:name="_Hlk156568263"/>
      <w:r w:rsidRPr="00A16E25">
        <w:rPr>
          <w:sz w:val="16"/>
          <w:szCs w:val="16"/>
        </w:rPr>
        <w:t xml:space="preserve">Stanley Chapman, 'The Transition to the Factory System in the Midlands Cotton-Spinning Industry,' </w:t>
      </w:r>
      <w:r w:rsidRPr="00A16E25">
        <w:rPr>
          <w:i/>
          <w:iCs/>
          <w:sz w:val="16"/>
          <w:szCs w:val="16"/>
        </w:rPr>
        <w:t>Economic History Review</w:t>
      </w:r>
      <w:r w:rsidRPr="00A16E25">
        <w:rPr>
          <w:sz w:val="16"/>
          <w:szCs w:val="16"/>
        </w:rPr>
        <w:t>, New Series, 18:3 (1965), pp. 526–543</w:t>
      </w:r>
      <w:bookmarkEnd w:id="18"/>
      <w:r w:rsidRPr="00A16E25">
        <w:rPr>
          <w:sz w:val="16"/>
          <w:szCs w:val="16"/>
        </w:rPr>
        <w:t>.</w:t>
      </w:r>
      <w:bookmarkEnd w:id="17"/>
      <w:r w:rsidRPr="00A16E25">
        <w:rPr>
          <w:sz w:val="16"/>
          <w:szCs w:val="16"/>
        </w:rPr>
        <w:t xml:space="preserve"> Other explanations include the ‘Great men’ explanations of the development of the factory system; see R. S. Fitton and A. P. Wadsworth, </w:t>
      </w:r>
      <w:r w:rsidRPr="00A16E25">
        <w:rPr>
          <w:i/>
          <w:iCs/>
          <w:sz w:val="16"/>
          <w:szCs w:val="16"/>
        </w:rPr>
        <w:t xml:space="preserve">The </w:t>
      </w:r>
      <w:r w:rsidRPr="00A16E25">
        <w:rPr>
          <w:i/>
          <w:iCs/>
          <w:sz w:val="16"/>
          <w:szCs w:val="16"/>
        </w:rPr>
        <w:t>Strutts and the Arkwrights</w:t>
      </w:r>
      <w:r w:rsidRPr="00A16E25">
        <w:rPr>
          <w:sz w:val="16"/>
          <w:szCs w:val="16"/>
        </w:rPr>
        <w:t xml:space="preserve"> </w:t>
      </w:r>
      <w:r w:rsidRPr="00A16E25">
        <w:rPr>
          <w:i/>
          <w:iCs/>
          <w:sz w:val="16"/>
          <w:szCs w:val="16"/>
        </w:rPr>
        <w:t>1758-1830</w:t>
      </w:r>
      <w:r w:rsidRPr="00A16E25">
        <w:rPr>
          <w:sz w:val="16"/>
          <w:szCs w:val="16"/>
        </w:rPr>
        <w:t xml:space="preserve"> (Manchester: Manchester University Press, 1958) for a good example. </w:t>
      </w:r>
    </w:p>
  </w:footnote>
  <w:footnote w:id="29">
    <w:p w14:paraId="69369BF6"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Beckert,</w:t>
      </w:r>
      <w:r w:rsidRPr="00A16E25">
        <w:t xml:space="preserve"> </w:t>
      </w:r>
      <w:r w:rsidRPr="00A16E25">
        <w:rPr>
          <w:i/>
          <w:iCs/>
          <w:sz w:val="16"/>
          <w:szCs w:val="16"/>
        </w:rPr>
        <w:t>Empire of Cotton</w:t>
      </w:r>
      <w:r>
        <w:rPr>
          <w:sz w:val="16"/>
          <w:szCs w:val="16"/>
        </w:rPr>
        <w:t>,</w:t>
      </w:r>
      <w:r w:rsidRPr="00A16E25">
        <w:rPr>
          <w:sz w:val="16"/>
          <w:szCs w:val="16"/>
        </w:rPr>
        <w:t xml:space="preserve"> pp. 56-57 and 60-63.</w:t>
      </w:r>
    </w:p>
  </w:footnote>
  <w:footnote w:id="30">
    <w:p w14:paraId="6F0A1471"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For a complete history, see Mary B. Rose</w:t>
      </w:r>
      <w:r w:rsidRPr="00A16E25">
        <w:rPr>
          <w:i/>
          <w:iCs/>
          <w:sz w:val="16"/>
          <w:szCs w:val="16"/>
        </w:rPr>
        <w:t xml:space="preserve">, The </w:t>
      </w:r>
      <w:r w:rsidRPr="00A16E25">
        <w:rPr>
          <w:i/>
          <w:iCs/>
          <w:sz w:val="16"/>
          <w:szCs w:val="16"/>
        </w:rPr>
        <w:t>Gregs of Quarry Bank Mill: The Rise and Decline of a Family Firm 1750-1914</w:t>
      </w:r>
      <w:r w:rsidRPr="00A16E25">
        <w:rPr>
          <w:sz w:val="16"/>
          <w:szCs w:val="16"/>
        </w:rPr>
        <w:t xml:space="preserve"> (Cambridge University Press, 1986).</w:t>
      </w:r>
    </w:p>
  </w:footnote>
  <w:footnote w:id="31">
    <w:p w14:paraId="70BF185A"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Beckert, </w:t>
      </w:r>
      <w:r w:rsidRPr="00A16E25">
        <w:rPr>
          <w:i/>
          <w:iCs/>
          <w:sz w:val="16"/>
          <w:szCs w:val="16"/>
        </w:rPr>
        <w:t>Empire of Cotton</w:t>
      </w:r>
      <w:r>
        <w:rPr>
          <w:sz w:val="16"/>
          <w:szCs w:val="16"/>
        </w:rPr>
        <w:t>,</w:t>
      </w:r>
      <w:r w:rsidRPr="00A16E25">
        <w:rPr>
          <w:sz w:val="16"/>
          <w:szCs w:val="16"/>
        </w:rPr>
        <w:t xml:space="preserve"> p.57. </w:t>
      </w:r>
    </w:p>
  </w:footnote>
  <w:footnote w:id="32">
    <w:p w14:paraId="6E1624B6" w14:textId="051509E9"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w:t>
      </w:r>
      <w:bookmarkStart w:id="19" w:name="_Hlk156567790"/>
      <w:bookmarkStart w:id="20" w:name="_Hlk156750791"/>
      <w:r w:rsidRPr="00A16E25">
        <w:rPr>
          <w:sz w:val="16"/>
          <w:szCs w:val="16"/>
        </w:rPr>
        <w:t xml:space="preserve">Giorgio Riello, </w:t>
      </w:r>
      <w:r w:rsidRPr="00A16E25">
        <w:rPr>
          <w:i/>
          <w:iCs/>
          <w:sz w:val="16"/>
          <w:szCs w:val="16"/>
        </w:rPr>
        <w:t>Cotton: The Fabric that Made the Modern World</w:t>
      </w:r>
      <w:r w:rsidRPr="00A16E25">
        <w:rPr>
          <w:sz w:val="16"/>
          <w:szCs w:val="16"/>
        </w:rPr>
        <w:t xml:space="preserve"> </w:t>
      </w:r>
      <w:bookmarkEnd w:id="19"/>
    </w:p>
    <w:bookmarkEnd w:id="20"/>
  </w:footnote>
  <w:footnote w:id="33">
    <w:p w14:paraId="628B493C"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Riello, </w:t>
      </w:r>
      <w:r w:rsidRPr="00A16E25">
        <w:rPr>
          <w:i/>
          <w:iCs/>
          <w:sz w:val="16"/>
          <w:szCs w:val="16"/>
        </w:rPr>
        <w:t>Cotton: The Fabric that Made the Modern World.</w:t>
      </w:r>
      <w:r w:rsidRPr="00A16E25">
        <w:rPr>
          <w:sz w:val="16"/>
          <w:szCs w:val="16"/>
        </w:rPr>
        <w:t xml:space="preserve"> </w:t>
      </w:r>
    </w:p>
  </w:footnote>
  <w:footnote w:id="34">
    <w:p w14:paraId="14856B06"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See Eric Jones, </w:t>
      </w:r>
      <w:r w:rsidRPr="00A16E25">
        <w:rPr>
          <w:i/>
          <w:iCs/>
          <w:sz w:val="16"/>
          <w:szCs w:val="16"/>
        </w:rPr>
        <w:t xml:space="preserve">The European Miracle: Environments, Economies and Geopolitics in the History of Europe and Asia </w:t>
      </w:r>
      <w:r w:rsidRPr="00A16E25">
        <w:rPr>
          <w:sz w:val="16"/>
          <w:szCs w:val="16"/>
        </w:rPr>
        <w:t xml:space="preserve">(Cambridge: Cambridge University Press, 1981).  </w:t>
      </w:r>
    </w:p>
  </w:footnote>
  <w:footnote w:id="35">
    <w:p w14:paraId="5D67920E"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Kenneth Pomeranz, The Great Divergence: China, Europe, and the Making of the Modern World, Economy (Princeton: Princeton University Press, 2000).</w:t>
      </w:r>
    </w:p>
  </w:footnote>
  <w:footnote w:id="36">
    <w:p w14:paraId="695B0ADC" w14:textId="77777777" w:rsidR="00872D48" w:rsidRPr="000A3EFE" w:rsidRDefault="00872D48" w:rsidP="00872D48">
      <w:pPr>
        <w:pStyle w:val="FootnoteText"/>
        <w:rPr>
          <w:sz w:val="18"/>
          <w:szCs w:val="18"/>
        </w:rPr>
      </w:pPr>
      <w:r w:rsidRPr="00A16E25">
        <w:rPr>
          <w:rStyle w:val="FootnoteReference"/>
          <w:sz w:val="16"/>
          <w:szCs w:val="16"/>
        </w:rPr>
        <w:footnoteRef/>
      </w:r>
      <w:r w:rsidRPr="00A16E25">
        <w:rPr>
          <w:sz w:val="16"/>
          <w:szCs w:val="16"/>
        </w:rPr>
        <w:t xml:space="preserve"> Pomeranz, </w:t>
      </w:r>
      <w:r w:rsidRPr="00A16E25">
        <w:rPr>
          <w:i/>
          <w:iCs/>
          <w:sz w:val="16"/>
          <w:szCs w:val="16"/>
        </w:rPr>
        <w:t>The Great Divergence.</w:t>
      </w:r>
    </w:p>
  </w:footnote>
  <w:footnote w:id="37">
    <w:p w14:paraId="64BC89B7"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Beckert, </w:t>
      </w:r>
      <w:r w:rsidRPr="00A16E25">
        <w:rPr>
          <w:i/>
          <w:iCs/>
          <w:sz w:val="16"/>
          <w:szCs w:val="16"/>
        </w:rPr>
        <w:t>Empire of Cotton,</w:t>
      </w:r>
      <w:r w:rsidRPr="00A16E25">
        <w:rPr>
          <w:sz w:val="16"/>
          <w:szCs w:val="16"/>
        </w:rPr>
        <w:t xml:space="preserve"> p. xv.</w:t>
      </w:r>
    </w:p>
  </w:footnote>
  <w:footnote w:id="38">
    <w:p w14:paraId="2FFC0B9F"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Riello, </w:t>
      </w:r>
      <w:r w:rsidRPr="00A16E25">
        <w:rPr>
          <w:i/>
          <w:iCs/>
          <w:sz w:val="16"/>
          <w:szCs w:val="16"/>
        </w:rPr>
        <w:t>Cotton: The Fabric that Made the Modern World</w:t>
      </w:r>
      <w:r w:rsidRPr="00A16E25">
        <w:rPr>
          <w:sz w:val="16"/>
          <w:szCs w:val="16"/>
        </w:rPr>
        <w:t>, pp. 4-5.</w:t>
      </w:r>
    </w:p>
  </w:footnote>
  <w:footnote w:id="39">
    <w:p w14:paraId="735699F1"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See Pomeranz, </w:t>
      </w:r>
      <w:r w:rsidRPr="00A16E25">
        <w:rPr>
          <w:i/>
          <w:iCs/>
          <w:sz w:val="16"/>
          <w:szCs w:val="16"/>
        </w:rPr>
        <w:t>The Great Divergence</w:t>
      </w:r>
      <w:r w:rsidRPr="00A16E25">
        <w:rPr>
          <w:sz w:val="16"/>
          <w:szCs w:val="16"/>
        </w:rPr>
        <w:t xml:space="preserve">, pp. 3-27. </w:t>
      </w:r>
    </w:p>
  </w:footnote>
  <w:footnote w:id="40">
    <w:p w14:paraId="5C5CA1D1" w14:textId="77777777" w:rsidR="00872D48" w:rsidRPr="009C5321" w:rsidRDefault="00872D48" w:rsidP="00872D48">
      <w:pPr>
        <w:pStyle w:val="FootnoteText"/>
        <w:rPr>
          <w:sz w:val="16"/>
          <w:szCs w:val="16"/>
        </w:rPr>
      </w:pPr>
      <w:r w:rsidRPr="00A16E25">
        <w:rPr>
          <w:rStyle w:val="FootnoteReference"/>
          <w:sz w:val="16"/>
          <w:szCs w:val="16"/>
        </w:rPr>
        <w:footnoteRef/>
      </w:r>
      <w:r w:rsidRPr="009C5321">
        <w:rPr>
          <w:sz w:val="16"/>
          <w:szCs w:val="16"/>
        </w:rPr>
        <w:t xml:space="preserve"> Riello, </w:t>
      </w:r>
      <w:r w:rsidRPr="009C5321">
        <w:rPr>
          <w:i/>
          <w:iCs/>
          <w:sz w:val="16"/>
          <w:szCs w:val="16"/>
        </w:rPr>
        <w:t>Cotton: The Fabric that Made the Modern World</w:t>
      </w:r>
      <w:r w:rsidRPr="009C5321">
        <w:rPr>
          <w:sz w:val="16"/>
          <w:szCs w:val="16"/>
        </w:rPr>
        <w:t>, p.4.</w:t>
      </w:r>
    </w:p>
  </w:footnote>
  <w:footnote w:id="41">
    <w:p w14:paraId="68B8C516" w14:textId="77777777" w:rsidR="00872D48" w:rsidRPr="009C5321" w:rsidRDefault="00872D48" w:rsidP="00872D48">
      <w:pPr>
        <w:pStyle w:val="FootnoteText"/>
        <w:rPr>
          <w:sz w:val="16"/>
          <w:szCs w:val="16"/>
        </w:rPr>
      </w:pPr>
      <w:r w:rsidRPr="00A16E25">
        <w:rPr>
          <w:rStyle w:val="FootnoteReference"/>
          <w:sz w:val="16"/>
          <w:szCs w:val="16"/>
        </w:rPr>
        <w:footnoteRef/>
      </w:r>
      <w:r w:rsidRPr="009C5321">
        <w:rPr>
          <w:sz w:val="16"/>
          <w:szCs w:val="16"/>
        </w:rPr>
        <w:t xml:space="preserve"> Lemire, </w:t>
      </w:r>
      <w:r w:rsidRPr="009C5321">
        <w:rPr>
          <w:i/>
          <w:iCs/>
          <w:sz w:val="16"/>
          <w:szCs w:val="16"/>
        </w:rPr>
        <w:t>Cotton</w:t>
      </w:r>
      <w:r w:rsidRPr="009C5321">
        <w:rPr>
          <w:sz w:val="16"/>
          <w:szCs w:val="16"/>
        </w:rPr>
        <w:t xml:space="preserve"> (Oxford: Berg, 2011).   </w:t>
      </w:r>
    </w:p>
  </w:footnote>
  <w:footnote w:id="42">
    <w:p w14:paraId="136DC7FE" w14:textId="77777777" w:rsidR="00872D48" w:rsidRPr="009C5321" w:rsidRDefault="00872D48" w:rsidP="00872D48">
      <w:pPr>
        <w:pStyle w:val="FootnoteText"/>
        <w:rPr>
          <w:sz w:val="16"/>
          <w:szCs w:val="16"/>
        </w:rPr>
      </w:pPr>
      <w:r w:rsidRPr="00A16E25">
        <w:rPr>
          <w:rStyle w:val="FootnoteReference"/>
          <w:sz w:val="16"/>
          <w:szCs w:val="16"/>
        </w:rPr>
        <w:footnoteRef/>
      </w:r>
      <w:r w:rsidRPr="009C5321">
        <w:rPr>
          <w:sz w:val="16"/>
          <w:szCs w:val="16"/>
        </w:rPr>
        <w:t xml:space="preserve"> Lemire,</w:t>
      </w:r>
      <w:r w:rsidRPr="00A16E25">
        <w:rPr>
          <w:sz w:val="16"/>
          <w:szCs w:val="16"/>
        </w:rPr>
        <w:t xml:space="preserve"> </w:t>
      </w:r>
      <w:r w:rsidRPr="009C5321">
        <w:rPr>
          <w:i/>
          <w:iCs/>
          <w:sz w:val="16"/>
          <w:szCs w:val="16"/>
        </w:rPr>
        <w:t>Cotton,</w:t>
      </w:r>
      <w:r w:rsidRPr="009C5321">
        <w:rPr>
          <w:sz w:val="16"/>
          <w:szCs w:val="16"/>
        </w:rPr>
        <w:t xml:space="preserve"> pp. 7-33 and 65-99.  </w:t>
      </w:r>
    </w:p>
  </w:footnote>
  <w:footnote w:id="43">
    <w:p w14:paraId="759E1D6F" w14:textId="77777777" w:rsidR="00872D48" w:rsidRPr="005C50F3" w:rsidRDefault="00872D48" w:rsidP="00872D48">
      <w:pPr>
        <w:pStyle w:val="FootnoteText"/>
        <w:rPr>
          <w:sz w:val="18"/>
          <w:szCs w:val="18"/>
        </w:rPr>
      </w:pPr>
      <w:r w:rsidRPr="00A16E25">
        <w:rPr>
          <w:rStyle w:val="FootnoteReference"/>
          <w:sz w:val="16"/>
          <w:szCs w:val="16"/>
        </w:rPr>
        <w:footnoteRef/>
      </w:r>
      <w:r w:rsidRPr="00A16E25">
        <w:rPr>
          <w:sz w:val="16"/>
          <w:szCs w:val="16"/>
        </w:rPr>
        <w:t xml:space="preserve"> </w:t>
      </w:r>
      <w:r w:rsidRPr="00A16E25">
        <w:rPr>
          <w:i/>
          <w:iCs/>
          <w:sz w:val="16"/>
          <w:szCs w:val="16"/>
        </w:rPr>
        <w:t>Ibid,</w:t>
      </w:r>
      <w:r w:rsidRPr="00A16E25">
        <w:rPr>
          <w:sz w:val="16"/>
          <w:szCs w:val="16"/>
        </w:rPr>
        <w:t xml:space="preserve"> pp. 65-99.</w:t>
      </w:r>
      <w:r>
        <w:rPr>
          <w:sz w:val="18"/>
          <w:szCs w:val="18"/>
        </w:rPr>
        <w:t xml:space="preserve">  </w:t>
      </w:r>
    </w:p>
  </w:footnote>
  <w:footnote w:id="44">
    <w:p w14:paraId="4DDC1413" w14:textId="77777777" w:rsidR="00872D48" w:rsidRPr="00A16E25" w:rsidRDefault="00872D48" w:rsidP="00872D48">
      <w:pPr>
        <w:pStyle w:val="FootnoteText"/>
        <w:rPr>
          <w:sz w:val="16"/>
          <w:szCs w:val="16"/>
        </w:rPr>
      </w:pPr>
      <w:r w:rsidRPr="00A16E25">
        <w:rPr>
          <w:rStyle w:val="FootnoteReference"/>
          <w:sz w:val="16"/>
          <w:szCs w:val="16"/>
        </w:rPr>
        <w:footnoteRef/>
      </w:r>
      <w:r w:rsidRPr="00A16E25">
        <w:rPr>
          <w:sz w:val="16"/>
          <w:szCs w:val="16"/>
        </w:rPr>
        <w:t xml:space="preserve"> Riello, </w:t>
      </w:r>
      <w:r w:rsidRPr="00A16E25">
        <w:rPr>
          <w:i/>
          <w:iCs/>
          <w:sz w:val="16"/>
          <w:szCs w:val="16"/>
        </w:rPr>
        <w:t xml:space="preserve">Cotton: The Fabric that Made the Modern World </w:t>
      </w:r>
      <w:r w:rsidRPr="00A16E25">
        <w:rPr>
          <w:sz w:val="16"/>
          <w:szCs w:val="16"/>
        </w:rPr>
        <w:t>and</w:t>
      </w:r>
      <w:r w:rsidRPr="00A16E25">
        <w:rPr>
          <w:i/>
          <w:iCs/>
          <w:sz w:val="16"/>
          <w:szCs w:val="16"/>
        </w:rPr>
        <w:t xml:space="preserve"> </w:t>
      </w:r>
      <w:r w:rsidRPr="00A16E25">
        <w:rPr>
          <w:sz w:val="16"/>
          <w:szCs w:val="16"/>
        </w:rPr>
        <w:t>Beckert</w:t>
      </w:r>
      <w:r w:rsidRPr="00A16E25">
        <w:rPr>
          <w:i/>
          <w:iCs/>
          <w:sz w:val="16"/>
          <w:szCs w:val="16"/>
        </w:rPr>
        <w:t>, Empire of Cotton.</w:t>
      </w:r>
    </w:p>
  </w:footnote>
  <w:footnote w:id="45">
    <w:p w14:paraId="34F693AD" w14:textId="77777777" w:rsidR="0065373F" w:rsidRPr="00A16E25" w:rsidRDefault="0065373F" w:rsidP="0065373F">
      <w:pPr>
        <w:pStyle w:val="FootnoteText"/>
        <w:rPr>
          <w:sz w:val="16"/>
          <w:szCs w:val="16"/>
        </w:rPr>
      </w:pPr>
      <w:r w:rsidRPr="00A16E25">
        <w:rPr>
          <w:rStyle w:val="FootnoteReference"/>
          <w:sz w:val="16"/>
          <w:szCs w:val="16"/>
        </w:rPr>
        <w:footnoteRef/>
      </w:r>
      <w:r w:rsidRPr="00A16E25">
        <w:rPr>
          <w:sz w:val="16"/>
          <w:szCs w:val="16"/>
        </w:rPr>
        <w:t xml:space="preserve"> Mark </w:t>
      </w:r>
      <w:bookmarkStart w:id="22" w:name="_Hlk156571662"/>
      <w:r w:rsidRPr="00A16E25">
        <w:rPr>
          <w:sz w:val="16"/>
          <w:szCs w:val="16"/>
        </w:rPr>
        <w:t xml:space="preserve">Casson and Marina Della </w:t>
      </w:r>
      <w:r w:rsidRPr="00A16E25">
        <w:rPr>
          <w:sz w:val="16"/>
          <w:szCs w:val="16"/>
        </w:rPr>
        <w:t>Guista</w:t>
      </w:r>
      <w:r>
        <w:rPr>
          <w:sz w:val="16"/>
          <w:szCs w:val="16"/>
        </w:rPr>
        <w:t>,</w:t>
      </w:r>
      <w:r w:rsidRPr="00A16E25">
        <w:rPr>
          <w:sz w:val="16"/>
          <w:szCs w:val="16"/>
        </w:rPr>
        <w:t xml:space="preserve"> </w:t>
      </w:r>
      <w:r>
        <w:rPr>
          <w:sz w:val="16"/>
          <w:szCs w:val="16"/>
        </w:rPr>
        <w:t>‘</w:t>
      </w:r>
      <w:r w:rsidRPr="00A16E25">
        <w:rPr>
          <w:sz w:val="16"/>
          <w:szCs w:val="16"/>
        </w:rPr>
        <w:t>Entrepreneurship and Social Capital: Analysing the Impact of Social Networks on Entrepreneurial Activity from a Rational Action Perspective,</w:t>
      </w:r>
      <w:r>
        <w:rPr>
          <w:sz w:val="16"/>
          <w:szCs w:val="16"/>
        </w:rPr>
        <w:t>’</w:t>
      </w:r>
      <w:r w:rsidRPr="00A16E25">
        <w:rPr>
          <w:sz w:val="16"/>
          <w:szCs w:val="16"/>
        </w:rPr>
        <w:t xml:space="preserve"> </w:t>
      </w:r>
      <w:r w:rsidRPr="00A16E25">
        <w:rPr>
          <w:i/>
          <w:iCs/>
          <w:sz w:val="16"/>
          <w:szCs w:val="16"/>
        </w:rPr>
        <w:t>International Small Business Journal</w:t>
      </w:r>
      <w:r w:rsidRPr="00A16E25">
        <w:rPr>
          <w:sz w:val="16"/>
          <w:szCs w:val="16"/>
        </w:rPr>
        <w:t xml:space="preserve">, </w:t>
      </w:r>
      <w:bookmarkEnd w:id="22"/>
      <w:r w:rsidRPr="00A16E25">
        <w:rPr>
          <w:sz w:val="16"/>
          <w:szCs w:val="16"/>
        </w:rPr>
        <w:t xml:space="preserve">25:3 (2007), </w:t>
      </w:r>
      <w:r>
        <w:rPr>
          <w:sz w:val="16"/>
          <w:szCs w:val="16"/>
        </w:rPr>
        <w:t>pp. 220-244 (</w:t>
      </w:r>
      <w:r w:rsidRPr="00A16E25">
        <w:rPr>
          <w:sz w:val="16"/>
          <w:szCs w:val="16"/>
        </w:rPr>
        <w:t>p.220</w:t>
      </w:r>
      <w:r>
        <w:rPr>
          <w:sz w:val="16"/>
          <w:szCs w:val="16"/>
        </w:rPr>
        <w:t>)</w:t>
      </w:r>
      <w:r w:rsidRPr="00A16E25">
        <w:rPr>
          <w:sz w:val="16"/>
          <w:szCs w:val="16"/>
        </w:rPr>
        <w:t xml:space="preserve">. </w:t>
      </w:r>
    </w:p>
  </w:footnote>
  <w:footnote w:id="46">
    <w:p w14:paraId="728C1E53" w14:textId="77777777" w:rsidR="0065373F" w:rsidRPr="00C214C6" w:rsidRDefault="0065373F" w:rsidP="0065373F">
      <w:pPr>
        <w:pStyle w:val="FootnoteText"/>
        <w:rPr>
          <w:sz w:val="18"/>
          <w:szCs w:val="18"/>
        </w:rPr>
      </w:pPr>
      <w:r w:rsidRPr="00A16E25">
        <w:rPr>
          <w:rStyle w:val="FootnoteReference"/>
          <w:sz w:val="16"/>
          <w:szCs w:val="16"/>
        </w:rPr>
        <w:footnoteRef/>
      </w:r>
      <w:r w:rsidRPr="00A16E25">
        <w:rPr>
          <w:sz w:val="16"/>
          <w:szCs w:val="16"/>
        </w:rPr>
        <w:t xml:space="preserve"> See </w:t>
      </w:r>
      <w:bookmarkStart w:id="23" w:name="_Hlk150149262"/>
      <w:r w:rsidRPr="00A16E25">
        <w:rPr>
          <w:sz w:val="16"/>
          <w:szCs w:val="16"/>
        </w:rPr>
        <w:t>Andrew Popp</w:t>
      </w:r>
      <w:r>
        <w:rPr>
          <w:sz w:val="16"/>
          <w:szCs w:val="16"/>
        </w:rPr>
        <w:t>, ‘</w:t>
      </w:r>
      <w:r w:rsidRPr="00A16E25">
        <w:rPr>
          <w:sz w:val="16"/>
          <w:szCs w:val="16"/>
        </w:rPr>
        <w:t>Trust in an industrial district: the Potteries, c. 1850-1900</w:t>
      </w:r>
      <w:r>
        <w:rPr>
          <w:sz w:val="16"/>
          <w:szCs w:val="16"/>
        </w:rPr>
        <w:t>’</w:t>
      </w:r>
      <w:r w:rsidRPr="00A16E25">
        <w:rPr>
          <w:sz w:val="16"/>
          <w:szCs w:val="16"/>
        </w:rPr>
        <w:t xml:space="preserve">, in </w:t>
      </w:r>
      <w:r w:rsidRPr="00A16E25">
        <w:rPr>
          <w:i/>
          <w:iCs/>
          <w:sz w:val="16"/>
          <w:szCs w:val="16"/>
        </w:rPr>
        <w:t>Management and Industry</w:t>
      </w:r>
      <w:r w:rsidRPr="00A16E25">
        <w:rPr>
          <w:sz w:val="16"/>
          <w:szCs w:val="16"/>
        </w:rPr>
        <w:t>, ed</w:t>
      </w:r>
      <w:r>
        <w:rPr>
          <w:sz w:val="16"/>
          <w:szCs w:val="16"/>
        </w:rPr>
        <w:t>. by</w:t>
      </w:r>
      <w:r w:rsidRPr="00A16E25">
        <w:rPr>
          <w:sz w:val="16"/>
          <w:szCs w:val="16"/>
        </w:rPr>
        <w:t xml:space="preserve"> John F. Wilson, Nicholas D. Wong, and Steven Toms, (London: Routledge, 2020), pp. 111-144.</w:t>
      </w:r>
      <w:r w:rsidRPr="00C214C6">
        <w:rPr>
          <w:sz w:val="18"/>
          <w:szCs w:val="18"/>
        </w:rPr>
        <w:t xml:space="preserve"> </w:t>
      </w:r>
      <w:bookmarkEnd w:id="23"/>
    </w:p>
  </w:footnote>
  <w:footnote w:id="47">
    <w:p w14:paraId="04744520"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Popp, ‘Trust in an industrial district: the Potteries, c. 1850-1900’, in </w:t>
      </w:r>
      <w:r w:rsidRPr="007425B2">
        <w:rPr>
          <w:i/>
          <w:iCs/>
          <w:sz w:val="16"/>
          <w:szCs w:val="16"/>
        </w:rPr>
        <w:t>Management and Industry</w:t>
      </w:r>
      <w:r w:rsidRPr="007425B2">
        <w:rPr>
          <w:sz w:val="16"/>
          <w:szCs w:val="16"/>
        </w:rPr>
        <w:t>, pp. 111-144.</w:t>
      </w:r>
    </w:p>
  </w:footnote>
  <w:footnote w:id="48">
    <w:p w14:paraId="7B8C908C"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w:t>
      </w:r>
      <w:r w:rsidRPr="007425B2">
        <w:rPr>
          <w:i/>
          <w:iCs/>
          <w:sz w:val="16"/>
          <w:szCs w:val="16"/>
        </w:rPr>
        <w:t>Ibid</w:t>
      </w:r>
      <w:r w:rsidRPr="007425B2">
        <w:rPr>
          <w:sz w:val="16"/>
          <w:szCs w:val="16"/>
        </w:rPr>
        <w:t>, pp. 111-144.</w:t>
      </w:r>
    </w:p>
  </w:footnote>
  <w:footnote w:id="49">
    <w:p w14:paraId="5A924657"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Casson and Della </w:t>
      </w:r>
      <w:r w:rsidRPr="007425B2">
        <w:rPr>
          <w:sz w:val="16"/>
          <w:szCs w:val="16"/>
        </w:rPr>
        <w:t xml:space="preserve">Guista, ‘Entrepreneurship and Social Capital’ </w:t>
      </w:r>
      <w:r w:rsidRPr="007425B2">
        <w:rPr>
          <w:i/>
          <w:iCs/>
          <w:sz w:val="16"/>
          <w:szCs w:val="16"/>
        </w:rPr>
        <w:t>International Small Business Journal</w:t>
      </w:r>
      <w:r w:rsidRPr="007425B2">
        <w:rPr>
          <w:sz w:val="16"/>
          <w:szCs w:val="16"/>
        </w:rPr>
        <w:t xml:space="preserve">, pp. 220-244 and Popp, ‘Trust in an industrial district: the Potteries,’ in Management and Industry, (p. 116). </w:t>
      </w:r>
    </w:p>
  </w:footnote>
  <w:footnote w:id="50">
    <w:p w14:paraId="38A15EA2" w14:textId="77777777" w:rsidR="0065373F" w:rsidRDefault="0065373F" w:rsidP="0065373F">
      <w:pPr>
        <w:pStyle w:val="FootnoteText"/>
      </w:pPr>
      <w:r w:rsidRPr="007425B2">
        <w:rPr>
          <w:rStyle w:val="FootnoteReference"/>
          <w:sz w:val="16"/>
          <w:szCs w:val="16"/>
        </w:rPr>
        <w:footnoteRef/>
      </w:r>
      <w:r w:rsidRPr="007425B2">
        <w:rPr>
          <w:sz w:val="16"/>
          <w:szCs w:val="16"/>
        </w:rPr>
        <w:t xml:space="preserve"> Popp, ‘Trust in an industrial district: the Potteries, c. 1850-1900’, in </w:t>
      </w:r>
      <w:r w:rsidRPr="007425B2">
        <w:rPr>
          <w:i/>
          <w:iCs/>
          <w:sz w:val="16"/>
          <w:szCs w:val="16"/>
        </w:rPr>
        <w:t>Management and Industry</w:t>
      </w:r>
      <w:r w:rsidRPr="007425B2">
        <w:rPr>
          <w:sz w:val="16"/>
          <w:szCs w:val="16"/>
        </w:rPr>
        <w:t>, pp. 111-144.</w:t>
      </w:r>
    </w:p>
  </w:footnote>
  <w:footnote w:id="51">
    <w:p w14:paraId="21B83D54" w14:textId="77777777" w:rsidR="0065373F" w:rsidRPr="003C5F1C" w:rsidRDefault="0065373F" w:rsidP="0065373F">
      <w:pPr>
        <w:pStyle w:val="FootnoteText"/>
        <w:rPr>
          <w:sz w:val="16"/>
          <w:szCs w:val="16"/>
        </w:rPr>
      </w:pPr>
      <w:r w:rsidRPr="003C5F1C">
        <w:rPr>
          <w:rStyle w:val="FootnoteReference"/>
          <w:sz w:val="16"/>
          <w:szCs w:val="16"/>
        </w:rPr>
        <w:footnoteRef/>
      </w:r>
      <w:r w:rsidRPr="003C5F1C">
        <w:rPr>
          <w:sz w:val="16"/>
          <w:szCs w:val="16"/>
        </w:rPr>
        <w:t xml:space="preserve"> Haggerty, </w:t>
      </w:r>
      <w:r w:rsidRPr="003C5F1C">
        <w:rPr>
          <w:i/>
          <w:iCs/>
          <w:sz w:val="16"/>
          <w:szCs w:val="16"/>
        </w:rPr>
        <w:t xml:space="preserve">Merely for </w:t>
      </w:r>
      <w:r w:rsidRPr="003C5F1C">
        <w:rPr>
          <w:i/>
          <w:iCs/>
          <w:sz w:val="16"/>
          <w:szCs w:val="16"/>
        </w:rPr>
        <w:t>Money?,</w:t>
      </w:r>
      <w:r w:rsidRPr="003C5F1C">
        <w:rPr>
          <w:sz w:val="16"/>
          <w:szCs w:val="16"/>
        </w:rPr>
        <w:t xml:space="preserve"> p</w:t>
      </w:r>
      <w:r>
        <w:rPr>
          <w:sz w:val="16"/>
          <w:szCs w:val="16"/>
        </w:rPr>
        <w:t>p</w:t>
      </w:r>
      <w:r w:rsidRPr="003C5F1C">
        <w:rPr>
          <w:sz w:val="16"/>
          <w:szCs w:val="16"/>
        </w:rPr>
        <w:t>.</w:t>
      </w:r>
      <w:r>
        <w:rPr>
          <w:sz w:val="16"/>
          <w:szCs w:val="16"/>
        </w:rPr>
        <w:t xml:space="preserve"> 34-97 and pp. 161-197. </w:t>
      </w:r>
      <w:r w:rsidRPr="003C5F1C">
        <w:rPr>
          <w:sz w:val="16"/>
          <w:szCs w:val="16"/>
        </w:rPr>
        <w:t xml:space="preserve"> </w:t>
      </w:r>
    </w:p>
  </w:footnote>
  <w:footnote w:id="52">
    <w:p w14:paraId="34157624" w14:textId="77777777" w:rsidR="0065373F" w:rsidRPr="003C5F1C" w:rsidRDefault="0065373F" w:rsidP="0065373F">
      <w:pPr>
        <w:pStyle w:val="FootnoteText"/>
        <w:rPr>
          <w:sz w:val="16"/>
          <w:szCs w:val="16"/>
        </w:rPr>
      </w:pPr>
      <w:r w:rsidRPr="003C5F1C">
        <w:rPr>
          <w:rStyle w:val="FootnoteReference"/>
          <w:sz w:val="16"/>
          <w:szCs w:val="16"/>
        </w:rPr>
        <w:footnoteRef/>
      </w:r>
      <w:r w:rsidRPr="003C5F1C">
        <w:rPr>
          <w:sz w:val="16"/>
          <w:szCs w:val="16"/>
        </w:rPr>
        <w:t xml:space="preserve"> Haggerty, </w:t>
      </w:r>
      <w:r w:rsidRPr="003C5F1C">
        <w:rPr>
          <w:i/>
          <w:iCs/>
          <w:sz w:val="16"/>
          <w:szCs w:val="16"/>
        </w:rPr>
        <w:t xml:space="preserve">Merely for </w:t>
      </w:r>
      <w:r w:rsidRPr="003C5F1C">
        <w:rPr>
          <w:i/>
          <w:iCs/>
          <w:sz w:val="16"/>
          <w:szCs w:val="16"/>
        </w:rPr>
        <w:t>Money</w:t>
      </w:r>
      <w:r>
        <w:rPr>
          <w:i/>
          <w:iCs/>
          <w:sz w:val="16"/>
          <w:szCs w:val="16"/>
        </w:rPr>
        <w:t>?</w:t>
      </w:r>
      <w:r w:rsidRPr="003C5F1C">
        <w:rPr>
          <w:sz w:val="16"/>
          <w:szCs w:val="16"/>
        </w:rPr>
        <w:t xml:space="preserve">, p. 66. </w:t>
      </w:r>
    </w:p>
  </w:footnote>
  <w:footnote w:id="53">
    <w:p w14:paraId="36620684" w14:textId="77777777" w:rsidR="0065373F" w:rsidRPr="003C5F1C" w:rsidRDefault="0065373F" w:rsidP="0065373F">
      <w:pPr>
        <w:pStyle w:val="FootnoteText"/>
        <w:rPr>
          <w:sz w:val="16"/>
          <w:szCs w:val="16"/>
        </w:rPr>
      </w:pPr>
      <w:r w:rsidRPr="003C5F1C">
        <w:rPr>
          <w:rStyle w:val="FootnoteReference"/>
          <w:sz w:val="16"/>
          <w:szCs w:val="16"/>
        </w:rPr>
        <w:footnoteRef/>
      </w:r>
      <w:r w:rsidRPr="003C5F1C">
        <w:rPr>
          <w:sz w:val="16"/>
          <w:szCs w:val="16"/>
        </w:rPr>
        <w:t xml:space="preserve"> </w:t>
      </w:r>
      <w:bookmarkStart w:id="24" w:name="_Hlk156572185"/>
      <w:r w:rsidRPr="003C5F1C">
        <w:rPr>
          <w:sz w:val="16"/>
          <w:szCs w:val="16"/>
        </w:rPr>
        <w:t xml:space="preserve">Casson and Della </w:t>
      </w:r>
      <w:r w:rsidRPr="003C5F1C">
        <w:rPr>
          <w:sz w:val="16"/>
          <w:szCs w:val="16"/>
        </w:rPr>
        <w:t xml:space="preserve">Guista, ‘Entrepreneurship and Social Capital’ </w:t>
      </w:r>
      <w:r w:rsidRPr="003C5F1C">
        <w:rPr>
          <w:i/>
          <w:iCs/>
          <w:sz w:val="16"/>
          <w:szCs w:val="16"/>
        </w:rPr>
        <w:t>International Small Business Journal</w:t>
      </w:r>
      <w:r w:rsidRPr="003C5F1C">
        <w:rPr>
          <w:sz w:val="16"/>
          <w:szCs w:val="16"/>
        </w:rPr>
        <w:t>,</w:t>
      </w:r>
      <w:r w:rsidRPr="003C5F1C">
        <w:t xml:space="preserve"> </w:t>
      </w:r>
      <w:r w:rsidRPr="003C5F1C">
        <w:rPr>
          <w:sz w:val="16"/>
          <w:szCs w:val="16"/>
        </w:rPr>
        <w:t>pp. 220-244</w:t>
      </w:r>
      <w:bookmarkEnd w:id="24"/>
    </w:p>
  </w:footnote>
  <w:footnote w:id="54">
    <w:p w14:paraId="69A0BBB6"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Downs, </w:t>
      </w:r>
      <w:r>
        <w:rPr>
          <w:sz w:val="16"/>
          <w:szCs w:val="16"/>
        </w:rPr>
        <w:t>‘</w:t>
      </w:r>
      <w:r w:rsidRPr="007425B2">
        <w:rPr>
          <w:sz w:val="16"/>
          <w:szCs w:val="16"/>
        </w:rPr>
        <w:t xml:space="preserve">Networks, trust, and risk mitigation during the American revolutionary war: a case study,” </w:t>
      </w:r>
      <w:r w:rsidRPr="007425B2">
        <w:rPr>
          <w:i/>
          <w:iCs/>
          <w:sz w:val="16"/>
          <w:szCs w:val="16"/>
        </w:rPr>
        <w:t>Economic History Review</w:t>
      </w:r>
      <w:r w:rsidRPr="007425B2">
        <w:rPr>
          <w:sz w:val="16"/>
          <w:szCs w:val="16"/>
        </w:rPr>
        <w:t>, pp. 509-528.</w:t>
      </w:r>
    </w:p>
  </w:footnote>
  <w:footnote w:id="55">
    <w:p w14:paraId="564E1314"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Downs, ‘Networks, trust, and risk mitigation during the American revolutionary war,’ pp. 509-528 (p. 509).</w:t>
      </w:r>
    </w:p>
  </w:footnote>
  <w:footnote w:id="56">
    <w:p w14:paraId="0C3EB791" w14:textId="77777777" w:rsidR="0065373F" w:rsidRPr="00674A2E" w:rsidRDefault="0065373F" w:rsidP="0065373F">
      <w:pPr>
        <w:pStyle w:val="FootnoteText"/>
        <w:rPr>
          <w:sz w:val="18"/>
          <w:szCs w:val="18"/>
        </w:rPr>
      </w:pPr>
      <w:r w:rsidRPr="007425B2">
        <w:rPr>
          <w:rStyle w:val="FootnoteReference"/>
          <w:sz w:val="16"/>
          <w:szCs w:val="16"/>
        </w:rPr>
        <w:footnoteRef/>
      </w:r>
      <w:r w:rsidRPr="007425B2">
        <w:rPr>
          <w:sz w:val="16"/>
          <w:szCs w:val="16"/>
        </w:rPr>
        <w:t xml:space="preserve"> </w:t>
      </w:r>
      <w:r w:rsidRPr="007425B2">
        <w:rPr>
          <w:i/>
          <w:iCs/>
          <w:sz w:val="16"/>
          <w:szCs w:val="16"/>
        </w:rPr>
        <w:t>Ibid</w:t>
      </w:r>
      <w:r w:rsidRPr="007425B2">
        <w:rPr>
          <w:sz w:val="16"/>
          <w:szCs w:val="16"/>
        </w:rPr>
        <w:t>., p 515-518.</w:t>
      </w:r>
    </w:p>
  </w:footnote>
  <w:footnote w:id="57">
    <w:p w14:paraId="5D14EC39" w14:textId="77777777" w:rsidR="0065373F" w:rsidRPr="003C5F1C" w:rsidRDefault="0065373F" w:rsidP="0065373F">
      <w:pPr>
        <w:pStyle w:val="FootnoteText"/>
        <w:rPr>
          <w:sz w:val="16"/>
          <w:szCs w:val="16"/>
        </w:rPr>
      </w:pPr>
      <w:r w:rsidRPr="003C5F1C">
        <w:rPr>
          <w:rStyle w:val="FootnoteReference"/>
          <w:sz w:val="16"/>
          <w:szCs w:val="16"/>
        </w:rPr>
        <w:footnoteRef/>
      </w:r>
      <w:r w:rsidRPr="003C5F1C">
        <w:rPr>
          <w:sz w:val="16"/>
          <w:szCs w:val="16"/>
        </w:rPr>
        <w:t xml:space="preserve"> Sunderland, </w:t>
      </w:r>
      <w:r w:rsidRPr="007425B2">
        <w:rPr>
          <w:i/>
          <w:iCs/>
          <w:sz w:val="16"/>
          <w:szCs w:val="16"/>
        </w:rPr>
        <w:t>Social Capital, Trust and the Industrial Revolution, 1780-1880</w:t>
      </w:r>
      <w:r>
        <w:rPr>
          <w:sz w:val="16"/>
          <w:szCs w:val="16"/>
        </w:rPr>
        <w:t xml:space="preserve">. </w:t>
      </w:r>
    </w:p>
  </w:footnote>
  <w:footnote w:id="58">
    <w:p w14:paraId="06B7298B" w14:textId="77777777" w:rsidR="0065373F" w:rsidRPr="003C5F1C" w:rsidRDefault="0065373F" w:rsidP="0065373F">
      <w:pPr>
        <w:pStyle w:val="FootnoteText"/>
        <w:rPr>
          <w:sz w:val="16"/>
          <w:szCs w:val="16"/>
        </w:rPr>
      </w:pPr>
      <w:r w:rsidRPr="003C5F1C">
        <w:rPr>
          <w:rStyle w:val="FootnoteReference"/>
          <w:sz w:val="16"/>
          <w:szCs w:val="16"/>
        </w:rPr>
        <w:footnoteRef/>
      </w:r>
      <w:r w:rsidRPr="003C5F1C">
        <w:rPr>
          <w:sz w:val="16"/>
          <w:szCs w:val="16"/>
        </w:rPr>
        <w:t xml:space="preserve"> </w:t>
      </w:r>
      <w:bookmarkStart w:id="25" w:name="_Hlk136516983"/>
      <w:r w:rsidRPr="003C5F1C">
        <w:rPr>
          <w:sz w:val="16"/>
          <w:szCs w:val="16"/>
        </w:rPr>
        <w:t xml:space="preserve">Sunderland, </w:t>
      </w:r>
      <w:r w:rsidRPr="003C5F1C">
        <w:rPr>
          <w:i/>
          <w:iCs/>
          <w:sz w:val="16"/>
          <w:szCs w:val="16"/>
        </w:rPr>
        <w:t>Social Capital, Trust and the Industrial Revolution,</w:t>
      </w:r>
      <w:bookmarkEnd w:id="25"/>
      <w:r w:rsidRPr="003C5F1C">
        <w:rPr>
          <w:sz w:val="16"/>
          <w:szCs w:val="16"/>
        </w:rPr>
        <w:t xml:space="preserve"> pp. 2-14.</w:t>
      </w:r>
    </w:p>
  </w:footnote>
  <w:footnote w:id="59">
    <w:p w14:paraId="3BC15D03" w14:textId="77777777" w:rsidR="0065373F" w:rsidRDefault="0065373F" w:rsidP="0065373F">
      <w:pPr>
        <w:pStyle w:val="FootnoteText"/>
      </w:pPr>
      <w:r w:rsidRPr="003C5F1C">
        <w:rPr>
          <w:rStyle w:val="FootnoteReference"/>
          <w:sz w:val="16"/>
          <w:szCs w:val="16"/>
        </w:rPr>
        <w:footnoteRef/>
      </w:r>
      <w:r w:rsidRPr="003C5F1C">
        <w:rPr>
          <w:sz w:val="16"/>
          <w:szCs w:val="16"/>
        </w:rPr>
        <w:t xml:space="preserve"> </w:t>
      </w:r>
      <w:bookmarkStart w:id="26" w:name="_Hlk150149385"/>
      <w:r w:rsidRPr="007425B2">
        <w:rPr>
          <w:i/>
          <w:iCs/>
          <w:sz w:val="16"/>
          <w:szCs w:val="16"/>
        </w:rPr>
        <w:t>Ibid</w:t>
      </w:r>
      <w:r>
        <w:rPr>
          <w:sz w:val="16"/>
          <w:szCs w:val="16"/>
        </w:rPr>
        <w:t xml:space="preserve">., pp. 2-14. </w:t>
      </w:r>
    </w:p>
    <w:bookmarkEnd w:id="26"/>
  </w:footnote>
  <w:footnote w:id="60">
    <w:p w14:paraId="041A19AE"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Sunderland, </w:t>
      </w:r>
      <w:r w:rsidRPr="007425B2">
        <w:rPr>
          <w:i/>
          <w:iCs/>
          <w:sz w:val="16"/>
          <w:szCs w:val="16"/>
        </w:rPr>
        <w:t>Social Capital, Trust and the Industrial Revolution</w:t>
      </w:r>
      <w:r w:rsidRPr="007425B2">
        <w:rPr>
          <w:sz w:val="16"/>
          <w:szCs w:val="16"/>
        </w:rPr>
        <w:t>, p. 2.</w:t>
      </w:r>
    </w:p>
  </w:footnote>
  <w:footnote w:id="61">
    <w:p w14:paraId="7857D6AA"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Lucy Newton, ‘Trust and Virtue in English Banking. The Assessment of Borrowers by Bank Managements at the Turn of the Nineteenth Century, </w:t>
      </w:r>
      <w:r w:rsidRPr="007425B2">
        <w:rPr>
          <w:i/>
          <w:iCs/>
          <w:sz w:val="16"/>
          <w:szCs w:val="16"/>
        </w:rPr>
        <w:t>Financial History Review</w:t>
      </w:r>
      <w:r w:rsidRPr="007425B2">
        <w:rPr>
          <w:sz w:val="16"/>
          <w:szCs w:val="16"/>
        </w:rPr>
        <w:t xml:space="preserve">, 7:2 (2000), pp 177-199. </w:t>
      </w:r>
    </w:p>
  </w:footnote>
  <w:footnote w:id="62">
    <w:p w14:paraId="5CD32946" w14:textId="77777777" w:rsidR="0065373F" w:rsidRPr="007425B2" w:rsidRDefault="0065373F" w:rsidP="0065373F">
      <w:pPr>
        <w:pStyle w:val="FootnoteText"/>
        <w:rPr>
          <w:sz w:val="16"/>
          <w:szCs w:val="16"/>
        </w:rPr>
      </w:pPr>
      <w:r w:rsidRPr="007425B2">
        <w:rPr>
          <w:rStyle w:val="FootnoteReference"/>
          <w:sz w:val="16"/>
          <w:szCs w:val="16"/>
        </w:rPr>
        <w:footnoteRef/>
      </w:r>
      <w:r w:rsidRPr="007425B2">
        <w:rPr>
          <w:sz w:val="16"/>
          <w:szCs w:val="16"/>
        </w:rPr>
        <w:t xml:space="preserve"> M. </w:t>
      </w:r>
      <w:r w:rsidRPr="007425B2">
        <w:rPr>
          <w:sz w:val="16"/>
          <w:szCs w:val="16"/>
        </w:rPr>
        <w:t xml:space="preserve">Pohle, ‘Risk, information and noise: risk perceptions and risk management of French and German banks during the nineteenth century,’ </w:t>
      </w:r>
      <w:r w:rsidRPr="007425B2">
        <w:rPr>
          <w:i/>
          <w:iCs/>
          <w:sz w:val="16"/>
          <w:szCs w:val="16"/>
        </w:rPr>
        <w:t>Financial History Review</w:t>
      </w:r>
      <w:r w:rsidRPr="007425B2">
        <w:rPr>
          <w:sz w:val="16"/>
          <w:szCs w:val="16"/>
        </w:rPr>
        <w:t>, 2 (1995), p.32.</w:t>
      </w:r>
    </w:p>
  </w:footnote>
  <w:footnote w:id="63">
    <w:p w14:paraId="7EA55067" w14:textId="20082A1C"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Michael Young and Peter Willmott, </w:t>
      </w:r>
      <w:r w:rsidRPr="00EF1068">
        <w:rPr>
          <w:i/>
          <w:iCs/>
          <w:sz w:val="16"/>
          <w:szCs w:val="16"/>
        </w:rPr>
        <w:t>Family and Kinship in East London</w:t>
      </w:r>
      <w:r w:rsidRPr="00EF1068">
        <w:rPr>
          <w:sz w:val="16"/>
          <w:szCs w:val="16"/>
        </w:rPr>
        <w:t xml:space="preserve"> (London: Routledge, 1986)</w:t>
      </w:r>
      <w:r w:rsidR="00F62B97">
        <w:rPr>
          <w:sz w:val="16"/>
          <w:szCs w:val="16"/>
        </w:rPr>
        <w:t>,</w:t>
      </w:r>
      <w:r w:rsidRPr="00EF1068">
        <w:rPr>
          <w:sz w:val="16"/>
          <w:szCs w:val="16"/>
        </w:rPr>
        <w:t xml:space="preserve"> Reprint, pp. xxvii-xxix</w:t>
      </w:r>
      <w:r w:rsidR="00A802B5" w:rsidRPr="00EF1068">
        <w:rPr>
          <w:sz w:val="16"/>
          <w:szCs w:val="16"/>
        </w:rPr>
        <w:t>.</w:t>
      </w:r>
    </w:p>
  </w:footnote>
  <w:footnote w:id="64">
    <w:p w14:paraId="189B529A" w14:textId="1D22BD61" w:rsidR="00FD2C9F" w:rsidRDefault="00FD2C9F">
      <w:pPr>
        <w:pStyle w:val="FootnoteText"/>
      </w:pPr>
      <w:r w:rsidRPr="00EF1068">
        <w:rPr>
          <w:rStyle w:val="FootnoteReference"/>
          <w:sz w:val="16"/>
          <w:szCs w:val="16"/>
        </w:rPr>
        <w:footnoteRef/>
      </w:r>
      <w:r w:rsidRPr="00EF1068">
        <w:rPr>
          <w:sz w:val="16"/>
          <w:szCs w:val="16"/>
        </w:rPr>
        <w:t xml:space="preserve"> </w:t>
      </w:r>
      <w:r w:rsidR="00EF1068" w:rsidRPr="00EF1068">
        <w:rPr>
          <w:sz w:val="16"/>
          <w:szCs w:val="16"/>
        </w:rPr>
        <w:t xml:space="preserve">Young and Willmott, </w:t>
      </w:r>
      <w:r w:rsidR="00EF1068" w:rsidRPr="00EF1068">
        <w:rPr>
          <w:i/>
          <w:iCs/>
          <w:sz w:val="16"/>
          <w:szCs w:val="16"/>
        </w:rPr>
        <w:t>Family and Kinship in East London</w:t>
      </w:r>
      <w:r w:rsidR="00EF1068" w:rsidRPr="00EF1068">
        <w:rPr>
          <w:sz w:val="16"/>
          <w:szCs w:val="16"/>
        </w:rPr>
        <w:t>, pp. 20-36.</w:t>
      </w:r>
    </w:p>
  </w:footnote>
  <w:footnote w:id="65">
    <w:p w14:paraId="270A694B" w14:textId="2E8B6C8E"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Jane </w:t>
      </w:r>
      <w:r w:rsidRPr="00EF1068">
        <w:rPr>
          <w:sz w:val="16"/>
          <w:szCs w:val="16"/>
        </w:rPr>
        <w:t xml:space="preserve">Ribbens McCarthy and Rosalind Edwards, </w:t>
      </w:r>
      <w:r w:rsidRPr="00EF1068">
        <w:rPr>
          <w:i/>
          <w:iCs/>
          <w:sz w:val="16"/>
          <w:szCs w:val="16"/>
        </w:rPr>
        <w:t>Key Concepts in Family Studies</w:t>
      </w:r>
      <w:r w:rsidRPr="00EF1068">
        <w:rPr>
          <w:sz w:val="16"/>
          <w:szCs w:val="16"/>
        </w:rPr>
        <w:t xml:space="preserve"> (London: Sage, 2011), p.128.</w:t>
      </w:r>
    </w:p>
  </w:footnote>
  <w:footnote w:id="66">
    <w:p w14:paraId="55762F0C" w14:textId="12F68ECB"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Ibid., p</w:t>
      </w:r>
      <w:r w:rsidR="00EF1068">
        <w:rPr>
          <w:sz w:val="16"/>
          <w:szCs w:val="16"/>
        </w:rPr>
        <w:t>p.</w:t>
      </w:r>
      <w:r w:rsidRPr="00EF1068">
        <w:rPr>
          <w:sz w:val="16"/>
          <w:szCs w:val="16"/>
        </w:rPr>
        <w:t xml:space="preserve"> 127-129</w:t>
      </w:r>
      <w:r w:rsidR="00A802B5" w:rsidRPr="00EF1068">
        <w:rPr>
          <w:sz w:val="16"/>
          <w:szCs w:val="16"/>
        </w:rPr>
        <w:t>.</w:t>
      </w:r>
    </w:p>
  </w:footnote>
  <w:footnote w:id="67">
    <w:p w14:paraId="31F7C02B" w14:textId="77777777"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Young and Willmott, </w:t>
      </w:r>
      <w:r w:rsidRPr="00EF1068">
        <w:rPr>
          <w:i/>
          <w:iCs/>
          <w:sz w:val="16"/>
          <w:szCs w:val="16"/>
        </w:rPr>
        <w:t>Family and Kinship in East London</w:t>
      </w:r>
      <w:r w:rsidRPr="00EF1068">
        <w:rPr>
          <w:sz w:val="16"/>
          <w:szCs w:val="16"/>
        </w:rPr>
        <w:t xml:space="preserve">, pp. xxvii-xxix. </w:t>
      </w:r>
    </w:p>
  </w:footnote>
  <w:footnote w:id="68">
    <w:p w14:paraId="0893FF2D" w14:textId="768431ED"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Cookson, </w:t>
      </w:r>
      <w:r w:rsidR="002A7822">
        <w:rPr>
          <w:sz w:val="16"/>
          <w:szCs w:val="16"/>
        </w:rPr>
        <w:t>‘</w:t>
      </w:r>
      <w:r w:rsidRPr="00EF1068">
        <w:rPr>
          <w:sz w:val="16"/>
          <w:szCs w:val="16"/>
        </w:rPr>
        <w:t>Family Firms and Business Networks</w:t>
      </w:r>
      <w:r w:rsidR="002A7822">
        <w:rPr>
          <w:sz w:val="16"/>
          <w:szCs w:val="16"/>
        </w:rPr>
        <w:t>’</w:t>
      </w:r>
      <w:r w:rsidRPr="00EF1068">
        <w:rPr>
          <w:sz w:val="16"/>
          <w:szCs w:val="16"/>
        </w:rPr>
        <w:t xml:space="preserve">, </w:t>
      </w:r>
      <w:r w:rsidRPr="00EF1068">
        <w:rPr>
          <w:i/>
          <w:iCs/>
          <w:sz w:val="16"/>
          <w:szCs w:val="16"/>
        </w:rPr>
        <w:t>Business History</w:t>
      </w:r>
      <w:r w:rsidRPr="00EF1068">
        <w:rPr>
          <w:sz w:val="16"/>
          <w:szCs w:val="16"/>
        </w:rPr>
        <w:t xml:space="preserve">, pp. 1-20. </w:t>
      </w:r>
    </w:p>
  </w:footnote>
  <w:footnote w:id="69">
    <w:p w14:paraId="30B114C0" w14:textId="4BAAC804"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w:t>
      </w:r>
      <w:r w:rsidRPr="00EF1068">
        <w:rPr>
          <w:sz w:val="16"/>
          <w:szCs w:val="16"/>
        </w:rPr>
        <w:t xml:space="preserve">Stana Nenadic, ‘The Small Family Firm in Victorian Britain,’ </w:t>
      </w:r>
      <w:r w:rsidRPr="00EF1068">
        <w:rPr>
          <w:i/>
          <w:iCs/>
          <w:sz w:val="16"/>
          <w:szCs w:val="16"/>
        </w:rPr>
        <w:t>Business History</w:t>
      </w:r>
      <w:r w:rsidRPr="00EF1068">
        <w:rPr>
          <w:sz w:val="16"/>
          <w:szCs w:val="16"/>
        </w:rPr>
        <w:t>, 35:4 (1993),</w:t>
      </w:r>
      <w:r w:rsidR="002A7822">
        <w:rPr>
          <w:sz w:val="16"/>
          <w:szCs w:val="16"/>
        </w:rPr>
        <w:t xml:space="preserve"> pp. 86-114 (</w:t>
      </w:r>
      <w:r w:rsidRPr="00EF1068">
        <w:rPr>
          <w:sz w:val="16"/>
          <w:szCs w:val="16"/>
        </w:rPr>
        <w:t>p.89</w:t>
      </w:r>
      <w:r w:rsidR="002A7822">
        <w:rPr>
          <w:sz w:val="16"/>
          <w:szCs w:val="16"/>
        </w:rPr>
        <w:t>)</w:t>
      </w:r>
      <w:r w:rsidRPr="00EF1068">
        <w:rPr>
          <w:sz w:val="16"/>
          <w:szCs w:val="16"/>
        </w:rPr>
        <w:t xml:space="preserve">. </w:t>
      </w:r>
    </w:p>
  </w:footnote>
  <w:footnote w:id="70">
    <w:p w14:paraId="1475D475" w14:textId="77777777" w:rsidR="005A05DF" w:rsidRPr="00EF1068" w:rsidRDefault="005A05DF" w:rsidP="005A05DF">
      <w:pPr>
        <w:pStyle w:val="FootnoteText"/>
        <w:rPr>
          <w:sz w:val="16"/>
          <w:szCs w:val="16"/>
        </w:rPr>
      </w:pPr>
      <w:r w:rsidRPr="00EF1068">
        <w:rPr>
          <w:rStyle w:val="FootnoteReference"/>
          <w:sz w:val="16"/>
          <w:szCs w:val="16"/>
        </w:rPr>
        <w:footnoteRef/>
      </w:r>
      <w:r w:rsidRPr="00EF1068">
        <w:rPr>
          <w:sz w:val="16"/>
          <w:szCs w:val="16"/>
        </w:rPr>
        <w:t xml:space="preserve"> Mary B. Rose, ‘The Family Firm in British Business, 1780-1914,’ in M. W. Kirkby and M. B. Rose (eds.), </w:t>
      </w:r>
      <w:r w:rsidRPr="00EF1068">
        <w:rPr>
          <w:i/>
          <w:iCs/>
          <w:sz w:val="16"/>
          <w:szCs w:val="16"/>
        </w:rPr>
        <w:t>Business Enterprise in Modern Britain: From the Eighteenth Century to the Twentieth Century</w:t>
      </w:r>
      <w:r w:rsidRPr="00EF1068">
        <w:rPr>
          <w:sz w:val="16"/>
          <w:szCs w:val="16"/>
        </w:rPr>
        <w:t xml:space="preserve">, (London, 1994), pp. 67-77. </w:t>
      </w:r>
    </w:p>
  </w:footnote>
  <w:footnote w:id="71">
    <w:p w14:paraId="330DEFED" w14:textId="3E680DC9" w:rsidR="00FD2C9F" w:rsidRPr="00EF1068" w:rsidRDefault="00FD2C9F">
      <w:pPr>
        <w:pStyle w:val="FootnoteText"/>
        <w:rPr>
          <w:sz w:val="16"/>
          <w:szCs w:val="16"/>
        </w:rPr>
      </w:pPr>
      <w:r w:rsidRPr="00EF1068">
        <w:rPr>
          <w:rStyle w:val="FootnoteReference"/>
          <w:sz w:val="16"/>
          <w:szCs w:val="16"/>
        </w:rPr>
        <w:footnoteRef/>
      </w:r>
      <w:r w:rsidR="002A7822">
        <w:rPr>
          <w:sz w:val="16"/>
          <w:szCs w:val="16"/>
        </w:rPr>
        <w:t xml:space="preserve"> Hannah </w:t>
      </w:r>
      <w:r w:rsidR="002A7822" w:rsidRPr="002A7822">
        <w:rPr>
          <w:sz w:val="16"/>
          <w:szCs w:val="16"/>
        </w:rPr>
        <w:t>Barker,</w:t>
      </w:r>
      <w:r w:rsidR="002A7822">
        <w:rPr>
          <w:sz w:val="16"/>
          <w:szCs w:val="16"/>
        </w:rPr>
        <w:t xml:space="preserve"> </w:t>
      </w:r>
      <w:r w:rsidR="002A7822" w:rsidRPr="002A7822">
        <w:rPr>
          <w:i/>
          <w:iCs/>
          <w:sz w:val="16"/>
          <w:szCs w:val="16"/>
        </w:rPr>
        <w:t>Family and Business during the Industrial Revolution</w:t>
      </w:r>
      <w:r w:rsidR="002A7822" w:rsidRPr="002A7822">
        <w:rPr>
          <w:sz w:val="16"/>
          <w:szCs w:val="16"/>
        </w:rPr>
        <w:t xml:space="preserve"> (</w:t>
      </w:r>
      <w:bookmarkStart w:id="28" w:name="_Hlk156573739"/>
      <w:r w:rsidR="002A7822" w:rsidRPr="002A7822">
        <w:rPr>
          <w:sz w:val="16"/>
          <w:szCs w:val="16"/>
        </w:rPr>
        <w:t>Oxford: Oxford University Press, 2017)</w:t>
      </w:r>
      <w:bookmarkEnd w:id="28"/>
      <w:r w:rsidR="002A7822">
        <w:rPr>
          <w:sz w:val="16"/>
          <w:szCs w:val="16"/>
        </w:rPr>
        <w:t>,</w:t>
      </w:r>
      <w:r w:rsidRPr="00EF1068">
        <w:rPr>
          <w:sz w:val="16"/>
          <w:szCs w:val="16"/>
        </w:rPr>
        <w:t xml:space="preserve"> </w:t>
      </w:r>
      <w:r w:rsidR="002A7822" w:rsidRPr="002A7822">
        <w:rPr>
          <w:sz w:val="16"/>
          <w:szCs w:val="16"/>
        </w:rPr>
        <w:t xml:space="preserve">Katie </w:t>
      </w:r>
      <w:r w:rsidR="002A7822" w:rsidRPr="002A7822">
        <w:rPr>
          <w:sz w:val="16"/>
          <w:szCs w:val="16"/>
        </w:rPr>
        <w:t xml:space="preserve">Donington, </w:t>
      </w:r>
      <w:r w:rsidR="002A7822" w:rsidRPr="002A7822">
        <w:rPr>
          <w:i/>
          <w:iCs/>
          <w:sz w:val="16"/>
          <w:szCs w:val="16"/>
        </w:rPr>
        <w:t>The Bonds of Family: Slavery, Commerce and Culture in the British Atlantic World</w:t>
      </w:r>
      <w:r w:rsidR="002A7822" w:rsidRPr="002A7822">
        <w:rPr>
          <w:sz w:val="16"/>
          <w:szCs w:val="16"/>
        </w:rPr>
        <w:t xml:space="preserve"> (Manchester: Manchester University Press, 2020)</w:t>
      </w:r>
      <w:r w:rsidR="002A7822">
        <w:rPr>
          <w:sz w:val="16"/>
          <w:szCs w:val="16"/>
        </w:rPr>
        <w:t xml:space="preserve"> and </w:t>
      </w:r>
      <w:bookmarkStart w:id="29" w:name="_Hlk156573364"/>
      <w:r w:rsidR="002A7822" w:rsidRPr="002A7822">
        <w:rPr>
          <w:sz w:val="16"/>
          <w:szCs w:val="16"/>
        </w:rPr>
        <w:t xml:space="preserve">Leonore Davidoff, and Catherine Hall, </w:t>
      </w:r>
      <w:r w:rsidR="002A7822" w:rsidRPr="002A7822">
        <w:rPr>
          <w:i/>
          <w:iCs/>
          <w:sz w:val="16"/>
          <w:szCs w:val="16"/>
        </w:rPr>
        <w:t>Family Fortunes: Men and Women of the English Middle Class 1780-1850</w:t>
      </w:r>
      <w:r w:rsidR="002A7822" w:rsidRPr="002A7822">
        <w:rPr>
          <w:sz w:val="16"/>
          <w:szCs w:val="16"/>
        </w:rPr>
        <w:t xml:space="preserve"> (London: Routledge, 1987)</w:t>
      </w:r>
      <w:bookmarkEnd w:id="29"/>
    </w:p>
  </w:footnote>
  <w:footnote w:id="72">
    <w:p w14:paraId="16FDC219" w14:textId="3EC206FD" w:rsidR="00FD2C9F" w:rsidRPr="00EF1068" w:rsidRDefault="00FD2C9F">
      <w:pPr>
        <w:pStyle w:val="FootnoteText"/>
        <w:rPr>
          <w:sz w:val="16"/>
          <w:szCs w:val="16"/>
        </w:rPr>
      </w:pPr>
      <w:r w:rsidRPr="00EF1068">
        <w:rPr>
          <w:rStyle w:val="FootnoteReference"/>
          <w:sz w:val="16"/>
          <w:szCs w:val="16"/>
        </w:rPr>
        <w:footnoteRef/>
      </w:r>
      <w:r w:rsidRPr="00EF1068">
        <w:rPr>
          <w:sz w:val="16"/>
          <w:szCs w:val="16"/>
        </w:rPr>
        <w:t xml:space="preserve"> </w:t>
      </w:r>
      <w:r w:rsidR="002A7822" w:rsidRPr="002A7822">
        <w:rPr>
          <w:sz w:val="16"/>
          <w:szCs w:val="16"/>
        </w:rPr>
        <w:t xml:space="preserve">Davidoff, and Hall, </w:t>
      </w:r>
      <w:r w:rsidR="002A7822" w:rsidRPr="002A7822">
        <w:rPr>
          <w:i/>
          <w:iCs/>
          <w:sz w:val="16"/>
          <w:szCs w:val="16"/>
        </w:rPr>
        <w:t>Family Fortunes</w:t>
      </w:r>
      <w:r w:rsidR="002A7822">
        <w:rPr>
          <w:sz w:val="16"/>
          <w:szCs w:val="16"/>
        </w:rPr>
        <w:t xml:space="preserve">, pp. 107-148 and pp. 193-316.  </w:t>
      </w:r>
    </w:p>
  </w:footnote>
  <w:footnote w:id="73">
    <w:p w14:paraId="5806F87A" w14:textId="0D04C981" w:rsidR="00FD2C9F" w:rsidRPr="002A7822" w:rsidRDefault="00FD2C9F">
      <w:pPr>
        <w:pStyle w:val="FootnoteText"/>
        <w:rPr>
          <w:sz w:val="16"/>
          <w:szCs w:val="16"/>
        </w:rPr>
      </w:pPr>
      <w:r w:rsidRPr="002A7822">
        <w:rPr>
          <w:rStyle w:val="FootnoteReference"/>
          <w:sz w:val="16"/>
          <w:szCs w:val="16"/>
        </w:rPr>
        <w:footnoteRef/>
      </w:r>
      <w:r w:rsidRPr="002A7822">
        <w:rPr>
          <w:sz w:val="16"/>
          <w:szCs w:val="16"/>
        </w:rPr>
        <w:t xml:space="preserve"> </w:t>
      </w:r>
      <w:r w:rsidR="002A7822" w:rsidRPr="002A7822">
        <w:rPr>
          <w:i/>
          <w:iCs/>
          <w:sz w:val="16"/>
          <w:szCs w:val="16"/>
        </w:rPr>
        <w:t>Ibid</w:t>
      </w:r>
      <w:r w:rsidR="002A7822" w:rsidRPr="002A7822">
        <w:rPr>
          <w:sz w:val="16"/>
          <w:szCs w:val="16"/>
        </w:rPr>
        <w:t>., pp. 13-36</w:t>
      </w:r>
    </w:p>
  </w:footnote>
  <w:footnote w:id="74">
    <w:p w14:paraId="2FF5FA24" w14:textId="6255EC60" w:rsidR="00386A89" w:rsidRPr="00CC73F5" w:rsidRDefault="00386A89">
      <w:pPr>
        <w:pStyle w:val="FootnoteText"/>
        <w:rPr>
          <w:sz w:val="16"/>
          <w:szCs w:val="16"/>
        </w:rPr>
      </w:pPr>
      <w:r w:rsidRPr="00CC73F5">
        <w:rPr>
          <w:rStyle w:val="FootnoteReference"/>
          <w:sz w:val="16"/>
          <w:szCs w:val="16"/>
        </w:rPr>
        <w:footnoteRef/>
      </w:r>
      <w:r w:rsidRPr="00CC73F5">
        <w:rPr>
          <w:sz w:val="16"/>
          <w:szCs w:val="16"/>
        </w:rPr>
        <w:t xml:space="preserve"> </w:t>
      </w:r>
      <w:r w:rsidR="007B44EB" w:rsidRPr="00CC73F5">
        <w:rPr>
          <w:sz w:val="16"/>
          <w:szCs w:val="16"/>
        </w:rPr>
        <w:t xml:space="preserve">Hannah Barker, </w:t>
      </w:r>
      <w:r w:rsidR="007B44EB" w:rsidRPr="00CC73F5">
        <w:rPr>
          <w:i/>
          <w:iCs/>
          <w:sz w:val="16"/>
          <w:szCs w:val="16"/>
        </w:rPr>
        <w:t>Family and Business during the Industrial Revolution</w:t>
      </w:r>
      <w:r w:rsidR="00CC73F5" w:rsidRPr="00CC73F5">
        <w:rPr>
          <w:sz w:val="16"/>
          <w:szCs w:val="16"/>
        </w:rPr>
        <w:t xml:space="preserve"> (Oxford: Oxford University Press, 2017). </w:t>
      </w:r>
    </w:p>
  </w:footnote>
  <w:footnote w:id="75">
    <w:p w14:paraId="153B43F0" w14:textId="68096D8A" w:rsidR="00386A89" w:rsidRPr="00CC73F5" w:rsidRDefault="00386A89">
      <w:pPr>
        <w:pStyle w:val="FootnoteText"/>
        <w:rPr>
          <w:sz w:val="16"/>
          <w:szCs w:val="16"/>
        </w:rPr>
      </w:pPr>
      <w:r w:rsidRPr="00CC73F5">
        <w:rPr>
          <w:rStyle w:val="FootnoteReference"/>
          <w:sz w:val="16"/>
          <w:szCs w:val="16"/>
        </w:rPr>
        <w:footnoteRef/>
      </w:r>
      <w:r w:rsidRPr="00CC73F5">
        <w:rPr>
          <w:sz w:val="16"/>
          <w:szCs w:val="16"/>
        </w:rPr>
        <w:t xml:space="preserve"> </w:t>
      </w:r>
      <w:r w:rsidR="00CC73F5" w:rsidRPr="00CC73F5">
        <w:rPr>
          <w:sz w:val="16"/>
          <w:szCs w:val="16"/>
        </w:rPr>
        <w:t xml:space="preserve">Barker, </w:t>
      </w:r>
      <w:r w:rsidR="00CC73F5" w:rsidRPr="00CC73F5">
        <w:rPr>
          <w:i/>
          <w:iCs/>
          <w:sz w:val="16"/>
          <w:szCs w:val="16"/>
        </w:rPr>
        <w:t>Family and Business during the Industrial Revolution</w:t>
      </w:r>
      <w:r w:rsidR="00CC73F5" w:rsidRPr="00CC73F5">
        <w:rPr>
          <w:sz w:val="16"/>
          <w:szCs w:val="16"/>
        </w:rPr>
        <w:t xml:space="preserve">, pp. 48-77. </w:t>
      </w:r>
    </w:p>
  </w:footnote>
  <w:footnote w:id="76">
    <w:p w14:paraId="1A97EB7B" w14:textId="7C0E972C" w:rsidR="00386A89" w:rsidRPr="00CC73F5" w:rsidRDefault="00386A89">
      <w:pPr>
        <w:pStyle w:val="FootnoteText"/>
        <w:rPr>
          <w:sz w:val="16"/>
          <w:szCs w:val="16"/>
        </w:rPr>
      </w:pPr>
      <w:r w:rsidRPr="00CC73F5">
        <w:rPr>
          <w:rStyle w:val="FootnoteReference"/>
          <w:sz w:val="16"/>
          <w:szCs w:val="16"/>
        </w:rPr>
        <w:footnoteRef/>
      </w:r>
      <w:r w:rsidR="00C30CEC">
        <w:rPr>
          <w:sz w:val="16"/>
          <w:szCs w:val="16"/>
        </w:rPr>
        <w:t xml:space="preserve"> </w:t>
      </w:r>
      <w:r w:rsidR="00CC73F5" w:rsidRPr="00CC73F5">
        <w:rPr>
          <w:sz w:val="16"/>
          <w:szCs w:val="16"/>
        </w:rPr>
        <w:t xml:space="preserve">Margaret R. Hunt, </w:t>
      </w:r>
      <w:r w:rsidR="00CC73F5" w:rsidRPr="00CC73F5">
        <w:rPr>
          <w:i/>
          <w:iCs/>
          <w:sz w:val="16"/>
          <w:szCs w:val="16"/>
        </w:rPr>
        <w:t>The Middling Sort: Commerce, Gender and the Family in England, 1680-1780</w:t>
      </w:r>
      <w:r w:rsidR="00CC73F5" w:rsidRPr="00CC73F5">
        <w:rPr>
          <w:sz w:val="16"/>
          <w:szCs w:val="16"/>
        </w:rPr>
        <w:t xml:space="preserve"> (London: University of California Press, 1996)</w:t>
      </w:r>
      <w:r w:rsidR="00C30CEC">
        <w:rPr>
          <w:sz w:val="16"/>
          <w:szCs w:val="16"/>
        </w:rPr>
        <w:t>.</w:t>
      </w:r>
      <w:r w:rsidR="00CC73F5" w:rsidRPr="00CC73F5">
        <w:rPr>
          <w:sz w:val="16"/>
          <w:szCs w:val="16"/>
        </w:rPr>
        <w:t xml:space="preserve">  </w:t>
      </w:r>
    </w:p>
  </w:footnote>
  <w:footnote w:id="77">
    <w:p w14:paraId="0F974C90" w14:textId="152308A0" w:rsidR="00386A89" w:rsidRPr="00CC73F5" w:rsidRDefault="00386A89">
      <w:pPr>
        <w:pStyle w:val="FootnoteText"/>
        <w:rPr>
          <w:sz w:val="16"/>
          <w:szCs w:val="16"/>
        </w:rPr>
      </w:pPr>
      <w:r w:rsidRPr="00CC73F5">
        <w:rPr>
          <w:rStyle w:val="FootnoteReference"/>
          <w:sz w:val="16"/>
          <w:szCs w:val="16"/>
        </w:rPr>
        <w:footnoteRef/>
      </w:r>
      <w:r w:rsidRPr="00CC73F5">
        <w:rPr>
          <w:sz w:val="16"/>
          <w:szCs w:val="16"/>
        </w:rPr>
        <w:t xml:space="preserve"> </w:t>
      </w:r>
      <w:r w:rsidR="00CC73F5" w:rsidRPr="00CC73F5">
        <w:rPr>
          <w:sz w:val="16"/>
          <w:szCs w:val="16"/>
        </w:rPr>
        <w:t xml:space="preserve">Katie </w:t>
      </w:r>
      <w:r w:rsidR="00CC73F5" w:rsidRPr="00CC73F5">
        <w:rPr>
          <w:sz w:val="16"/>
          <w:szCs w:val="16"/>
        </w:rPr>
        <w:t>Donington,</w:t>
      </w:r>
      <w:r w:rsidR="00CC73F5">
        <w:rPr>
          <w:sz w:val="16"/>
          <w:szCs w:val="16"/>
        </w:rPr>
        <w:t xml:space="preserve"> </w:t>
      </w:r>
      <w:r w:rsidR="00CC73F5" w:rsidRPr="00CC73F5">
        <w:rPr>
          <w:i/>
          <w:iCs/>
          <w:sz w:val="16"/>
          <w:szCs w:val="16"/>
        </w:rPr>
        <w:t>The Bonds of Family: Slavery, Commerce and Culture in the British Atlantic World</w:t>
      </w:r>
      <w:r w:rsidR="00CC73F5" w:rsidRPr="00CC73F5">
        <w:rPr>
          <w:sz w:val="16"/>
          <w:szCs w:val="16"/>
        </w:rPr>
        <w:t>, (Manchester: Manchester University Press, 2020)</w:t>
      </w:r>
      <w:r w:rsidR="00C30CEC">
        <w:rPr>
          <w:sz w:val="16"/>
          <w:szCs w:val="16"/>
        </w:rPr>
        <w:t>.</w:t>
      </w:r>
    </w:p>
  </w:footnote>
  <w:footnote w:id="78">
    <w:p w14:paraId="4C5E271B" w14:textId="1472A475" w:rsidR="00D13375" w:rsidRPr="00D95FD1" w:rsidRDefault="00D13375" w:rsidP="00D13375">
      <w:pPr>
        <w:pStyle w:val="FootnoteText"/>
        <w:rPr>
          <w:sz w:val="18"/>
          <w:szCs w:val="18"/>
        </w:rPr>
      </w:pPr>
      <w:r w:rsidRPr="00CC73F5">
        <w:rPr>
          <w:rStyle w:val="FootnoteReference"/>
          <w:sz w:val="16"/>
          <w:szCs w:val="16"/>
        </w:rPr>
        <w:footnoteRef/>
      </w:r>
      <w:r w:rsidRPr="00CC73F5">
        <w:rPr>
          <w:sz w:val="16"/>
          <w:szCs w:val="16"/>
        </w:rPr>
        <w:t xml:space="preserve"> </w:t>
      </w:r>
      <w:bookmarkStart w:id="30" w:name="_Hlk156573933"/>
      <w:r w:rsidRPr="00CC73F5">
        <w:rPr>
          <w:sz w:val="16"/>
          <w:szCs w:val="16"/>
        </w:rPr>
        <w:t xml:space="preserve">Donington, </w:t>
      </w:r>
      <w:r w:rsidRPr="00CC73F5">
        <w:rPr>
          <w:i/>
          <w:iCs/>
          <w:sz w:val="16"/>
          <w:szCs w:val="16"/>
        </w:rPr>
        <w:t>The Bonds of Family</w:t>
      </w:r>
      <w:r w:rsidRPr="00CC73F5">
        <w:rPr>
          <w:sz w:val="16"/>
          <w:szCs w:val="16"/>
        </w:rPr>
        <w:t>, p. 9.</w:t>
      </w:r>
      <w:bookmarkEnd w:id="30"/>
    </w:p>
  </w:footnote>
  <w:footnote w:id="79">
    <w:p w14:paraId="7C538EDF" w14:textId="4FF9CCDC" w:rsidR="00084435" w:rsidRPr="009C5321" w:rsidRDefault="00084435">
      <w:pPr>
        <w:pStyle w:val="FootnoteText"/>
        <w:rPr>
          <w:sz w:val="16"/>
          <w:szCs w:val="16"/>
          <w:lang w:val="it-IT"/>
        </w:rPr>
      </w:pPr>
      <w:r w:rsidRPr="00084435">
        <w:rPr>
          <w:rStyle w:val="FootnoteReference"/>
          <w:sz w:val="16"/>
          <w:szCs w:val="16"/>
        </w:rPr>
        <w:footnoteRef/>
      </w:r>
      <w:r w:rsidRPr="009C5321">
        <w:rPr>
          <w:sz w:val="16"/>
          <w:szCs w:val="16"/>
          <w:lang w:val="it-IT"/>
        </w:rPr>
        <w:t xml:space="preserve"> Heinz D. Kurz, and Neri Salvadori, ed. </w:t>
      </w:r>
      <w:r w:rsidRPr="00EB7B11">
        <w:rPr>
          <w:i/>
          <w:iCs/>
          <w:sz w:val="16"/>
          <w:szCs w:val="16"/>
          <w:lang w:val="it-IT"/>
        </w:rPr>
        <w:t>The Elgar Companion to David Ricardo</w:t>
      </w:r>
      <w:r w:rsidRPr="009C5321">
        <w:rPr>
          <w:sz w:val="16"/>
          <w:szCs w:val="16"/>
          <w:lang w:val="it-IT"/>
        </w:rPr>
        <w:t>, (Cheltenham: Edward Elgar Publishing, 2015), pp. 56-65.</w:t>
      </w:r>
    </w:p>
  </w:footnote>
  <w:footnote w:id="80">
    <w:p w14:paraId="44F8B09E" w14:textId="3F49D438" w:rsidR="00692670" w:rsidRPr="009C5321" w:rsidRDefault="00692670">
      <w:pPr>
        <w:pStyle w:val="FootnoteText"/>
        <w:rPr>
          <w:sz w:val="16"/>
          <w:szCs w:val="16"/>
          <w:lang w:val="it-IT"/>
        </w:rPr>
      </w:pPr>
      <w:r w:rsidRPr="00CC73F5">
        <w:rPr>
          <w:rStyle w:val="FootnoteReference"/>
          <w:sz w:val="16"/>
          <w:szCs w:val="16"/>
        </w:rPr>
        <w:footnoteRef/>
      </w:r>
      <w:r w:rsidRPr="009C5321">
        <w:rPr>
          <w:sz w:val="16"/>
          <w:szCs w:val="16"/>
          <w:lang w:val="it-IT"/>
        </w:rPr>
        <w:t xml:space="preserve"> </w:t>
      </w:r>
      <w:r w:rsidR="00853ED6" w:rsidRPr="009C5321">
        <w:rPr>
          <w:sz w:val="16"/>
          <w:szCs w:val="16"/>
          <w:lang w:val="it-IT"/>
        </w:rPr>
        <w:t>Kurz</w:t>
      </w:r>
      <w:r w:rsidR="00893AFA" w:rsidRPr="009C5321">
        <w:rPr>
          <w:sz w:val="16"/>
          <w:szCs w:val="16"/>
          <w:lang w:val="it-IT"/>
        </w:rPr>
        <w:t xml:space="preserve">, and </w:t>
      </w:r>
      <w:r w:rsidR="00084435" w:rsidRPr="009C5321">
        <w:rPr>
          <w:sz w:val="16"/>
          <w:szCs w:val="16"/>
          <w:lang w:val="it-IT"/>
        </w:rPr>
        <w:t>S</w:t>
      </w:r>
      <w:r w:rsidR="00893AFA" w:rsidRPr="009C5321">
        <w:rPr>
          <w:sz w:val="16"/>
          <w:szCs w:val="16"/>
          <w:lang w:val="it-IT"/>
        </w:rPr>
        <w:t>alvadori, ed</w:t>
      </w:r>
      <w:r w:rsidR="00CC73F5" w:rsidRPr="009C5321">
        <w:rPr>
          <w:sz w:val="16"/>
          <w:szCs w:val="16"/>
          <w:lang w:val="it-IT"/>
        </w:rPr>
        <w:t>.</w:t>
      </w:r>
      <w:r w:rsidR="00893AFA" w:rsidRPr="009C5321">
        <w:rPr>
          <w:sz w:val="16"/>
          <w:szCs w:val="16"/>
          <w:lang w:val="it-IT"/>
        </w:rPr>
        <w:t xml:space="preserve"> </w:t>
      </w:r>
      <w:r w:rsidR="00893AFA" w:rsidRPr="009C5321">
        <w:rPr>
          <w:i/>
          <w:iCs/>
          <w:sz w:val="16"/>
          <w:szCs w:val="16"/>
          <w:lang w:val="it-IT"/>
        </w:rPr>
        <w:t>The Elgar Companion to David Ricardo</w:t>
      </w:r>
      <w:r w:rsidR="00697E4B" w:rsidRPr="009C5321">
        <w:rPr>
          <w:sz w:val="16"/>
          <w:szCs w:val="16"/>
          <w:lang w:val="it-IT"/>
        </w:rPr>
        <w:t>, p</w:t>
      </w:r>
      <w:r w:rsidR="003068FD" w:rsidRPr="009C5321">
        <w:rPr>
          <w:sz w:val="16"/>
          <w:szCs w:val="16"/>
          <w:lang w:val="it-IT"/>
        </w:rPr>
        <w:t>p. 56-65</w:t>
      </w:r>
      <w:r w:rsidR="00EE408F" w:rsidRPr="009C5321">
        <w:rPr>
          <w:sz w:val="16"/>
          <w:szCs w:val="16"/>
          <w:lang w:val="it-IT"/>
        </w:rPr>
        <w:t>.</w:t>
      </w:r>
    </w:p>
  </w:footnote>
  <w:footnote w:id="81">
    <w:p w14:paraId="102F7044" w14:textId="44B54132" w:rsidR="00E75667" w:rsidRPr="00CC73F5" w:rsidRDefault="00E75667">
      <w:pPr>
        <w:pStyle w:val="FootnoteText"/>
        <w:rPr>
          <w:sz w:val="16"/>
          <w:szCs w:val="16"/>
        </w:rPr>
      </w:pPr>
      <w:r w:rsidRPr="00CC73F5">
        <w:rPr>
          <w:rStyle w:val="FootnoteReference"/>
          <w:sz w:val="16"/>
          <w:szCs w:val="16"/>
        </w:rPr>
        <w:footnoteRef/>
      </w:r>
      <w:r w:rsidRPr="00CC73F5">
        <w:rPr>
          <w:sz w:val="16"/>
          <w:szCs w:val="16"/>
        </w:rPr>
        <w:t xml:space="preserve"> </w:t>
      </w:r>
      <w:r w:rsidR="002D27EE" w:rsidRPr="00CC73F5">
        <w:rPr>
          <w:sz w:val="16"/>
          <w:szCs w:val="16"/>
        </w:rPr>
        <w:t xml:space="preserve">Phyllis Deane, ‘The Role of Capital in the Industrial Revolution,’ </w:t>
      </w:r>
      <w:r w:rsidR="002D27EE" w:rsidRPr="00CC73F5">
        <w:rPr>
          <w:i/>
          <w:iCs/>
          <w:sz w:val="16"/>
          <w:szCs w:val="16"/>
        </w:rPr>
        <w:t>Explorations in Economic History</w:t>
      </w:r>
      <w:r w:rsidR="002D27EE" w:rsidRPr="00CC73F5">
        <w:rPr>
          <w:sz w:val="16"/>
          <w:szCs w:val="16"/>
        </w:rPr>
        <w:t>, 10:4 (1973), pp. 349-364</w:t>
      </w:r>
      <w:r w:rsidR="00EE408F" w:rsidRPr="00CC73F5">
        <w:rPr>
          <w:sz w:val="16"/>
          <w:szCs w:val="16"/>
        </w:rPr>
        <w:t>.</w:t>
      </w:r>
    </w:p>
  </w:footnote>
  <w:footnote w:id="82">
    <w:p w14:paraId="076443A8" w14:textId="51ECDFF5" w:rsidR="005A05DF" w:rsidRPr="00CC73F5" w:rsidRDefault="005A05DF" w:rsidP="005A05DF">
      <w:pPr>
        <w:pStyle w:val="FootnoteText"/>
        <w:rPr>
          <w:sz w:val="16"/>
          <w:szCs w:val="16"/>
        </w:rPr>
      </w:pPr>
      <w:r w:rsidRPr="00CC73F5">
        <w:rPr>
          <w:rStyle w:val="FootnoteReference"/>
          <w:sz w:val="16"/>
          <w:szCs w:val="16"/>
        </w:rPr>
        <w:footnoteRef/>
      </w:r>
      <w:r w:rsidRPr="00CC73F5">
        <w:rPr>
          <w:sz w:val="16"/>
          <w:szCs w:val="16"/>
        </w:rPr>
        <w:t xml:space="preserve"> John </w:t>
      </w:r>
      <w:r w:rsidRPr="00CC73F5">
        <w:rPr>
          <w:sz w:val="16"/>
          <w:szCs w:val="16"/>
        </w:rPr>
        <w:t xml:space="preserve">Smail, “The Culture of Credit in Eighteenth-Century Commerce: The English Textile Industry, </w:t>
      </w:r>
      <w:r w:rsidRPr="00CC73F5">
        <w:rPr>
          <w:i/>
          <w:iCs/>
          <w:sz w:val="16"/>
          <w:szCs w:val="16"/>
        </w:rPr>
        <w:t>Enterprise &amp; Society</w:t>
      </w:r>
      <w:r w:rsidRPr="00CC73F5">
        <w:rPr>
          <w:sz w:val="16"/>
          <w:szCs w:val="16"/>
        </w:rPr>
        <w:t>, 4:2 (2003), p. 229</w:t>
      </w:r>
      <w:r w:rsidR="00EE408F" w:rsidRPr="00CC73F5">
        <w:rPr>
          <w:sz w:val="16"/>
          <w:szCs w:val="16"/>
        </w:rPr>
        <w:t>.</w:t>
      </w:r>
    </w:p>
  </w:footnote>
  <w:footnote w:id="83">
    <w:p w14:paraId="4793F7F7" w14:textId="77777777" w:rsidR="00E86726" w:rsidRPr="00EF1068" w:rsidRDefault="00E86726" w:rsidP="00E86726">
      <w:pPr>
        <w:pStyle w:val="FootnoteText"/>
        <w:rPr>
          <w:sz w:val="16"/>
          <w:szCs w:val="16"/>
        </w:rPr>
      </w:pPr>
      <w:r w:rsidRPr="00EF1068">
        <w:rPr>
          <w:rStyle w:val="FootnoteReference"/>
          <w:sz w:val="16"/>
          <w:szCs w:val="16"/>
        </w:rPr>
        <w:footnoteRef/>
      </w:r>
      <w:r w:rsidRPr="00EF1068">
        <w:rPr>
          <w:sz w:val="16"/>
          <w:szCs w:val="16"/>
        </w:rPr>
        <w:t xml:space="preserve"> Kate Davison, ‘Early Modern Social Networks: Antecedents, Opportunities, and Challenges’, </w:t>
      </w:r>
      <w:r w:rsidRPr="00EF1068">
        <w:rPr>
          <w:i/>
          <w:iCs/>
          <w:sz w:val="16"/>
          <w:szCs w:val="16"/>
        </w:rPr>
        <w:t>American Historical Review</w:t>
      </w:r>
      <w:r w:rsidRPr="00EF1068">
        <w:rPr>
          <w:sz w:val="16"/>
          <w:szCs w:val="16"/>
        </w:rPr>
        <w:t xml:space="preserve">, 124:2 (2019), pp. 456-482. </w:t>
      </w:r>
    </w:p>
  </w:footnote>
  <w:footnote w:id="84">
    <w:p w14:paraId="129C9893" w14:textId="77777777" w:rsidR="00E86726" w:rsidRPr="00EF1068" w:rsidRDefault="00E86726" w:rsidP="00E86726">
      <w:pPr>
        <w:pStyle w:val="FootnoteText"/>
        <w:rPr>
          <w:sz w:val="16"/>
          <w:szCs w:val="16"/>
        </w:rPr>
      </w:pPr>
      <w:r w:rsidRPr="00EF1068">
        <w:rPr>
          <w:rStyle w:val="FootnoteReference"/>
          <w:sz w:val="16"/>
          <w:szCs w:val="16"/>
        </w:rPr>
        <w:footnoteRef/>
      </w:r>
      <w:r w:rsidRPr="00EF1068">
        <w:rPr>
          <w:sz w:val="16"/>
          <w:szCs w:val="16"/>
        </w:rPr>
        <w:t xml:space="preserve"> Gillian Cookson, ‘Family Firms and Business Networks: Textile Engineering in Yorkshire, 1780-1830’, </w:t>
      </w:r>
      <w:r w:rsidRPr="00EF1068">
        <w:rPr>
          <w:i/>
          <w:iCs/>
          <w:sz w:val="16"/>
          <w:szCs w:val="16"/>
        </w:rPr>
        <w:t>Business History</w:t>
      </w:r>
      <w:r w:rsidRPr="00EF1068">
        <w:rPr>
          <w:sz w:val="16"/>
          <w:szCs w:val="16"/>
        </w:rPr>
        <w:t xml:space="preserve">, 39:1 (1997), p. 1. </w:t>
      </w:r>
    </w:p>
  </w:footnote>
  <w:footnote w:id="85">
    <w:p w14:paraId="1C95EAB7" w14:textId="77777777" w:rsidR="00E86726" w:rsidRPr="00EF1068" w:rsidRDefault="00E86726" w:rsidP="00E86726">
      <w:pPr>
        <w:pStyle w:val="FootnoteText"/>
        <w:rPr>
          <w:sz w:val="16"/>
          <w:szCs w:val="16"/>
        </w:rPr>
      </w:pPr>
      <w:r w:rsidRPr="00EF1068">
        <w:rPr>
          <w:rStyle w:val="FootnoteReference"/>
          <w:sz w:val="16"/>
          <w:szCs w:val="16"/>
        </w:rPr>
        <w:footnoteRef/>
      </w:r>
      <w:r w:rsidRPr="00EF1068">
        <w:rPr>
          <w:sz w:val="16"/>
          <w:szCs w:val="16"/>
        </w:rPr>
        <w:t xml:space="preserve"> </w:t>
      </w:r>
      <w:r w:rsidRPr="00EF1068">
        <w:rPr>
          <w:i/>
          <w:iCs/>
          <w:sz w:val="16"/>
          <w:szCs w:val="16"/>
        </w:rPr>
        <w:t>Ibid</w:t>
      </w:r>
      <w:r w:rsidRPr="00EF1068">
        <w:rPr>
          <w:sz w:val="16"/>
          <w:szCs w:val="16"/>
        </w:rPr>
        <w:t xml:space="preserve">, pp. 1-2. </w:t>
      </w:r>
    </w:p>
  </w:footnote>
  <w:footnote w:id="86">
    <w:p w14:paraId="3E5A2182" w14:textId="77777777" w:rsidR="00E86726" w:rsidRPr="00EF1068" w:rsidRDefault="00E86726" w:rsidP="00E86726">
      <w:pPr>
        <w:pStyle w:val="FootnoteText"/>
        <w:rPr>
          <w:sz w:val="16"/>
          <w:szCs w:val="16"/>
        </w:rPr>
      </w:pPr>
      <w:r w:rsidRPr="00EF1068">
        <w:rPr>
          <w:rStyle w:val="FootnoteReference"/>
          <w:sz w:val="16"/>
          <w:szCs w:val="16"/>
        </w:rPr>
        <w:footnoteRef/>
      </w:r>
      <w:r w:rsidRPr="00EF1068">
        <w:rPr>
          <w:sz w:val="16"/>
          <w:szCs w:val="16"/>
        </w:rPr>
        <w:t xml:space="preserve"> Christian </w:t>
      </w:r>
      <w:r w:rsidRPr="00EF1068">
        <w:rPr>
          <w:sz w:val="16"/>
          <w:szCs w:val="16"/>
        </w:rPr>
        <w:t xml:space="preserve">Bueger and Jan Stockbruegger, ‘Actor Network Theory: Objects and Actants, Networks and Narratives,’ in </w:t>
      </w:r>
      <w:r w:rsidRPr="00EF1068">
        <w:rPr>
          <w:i/>
          <w:iCs/>
          <w:sz w:val="16"/>
          <w:szCs w:val="16"/>
        </w:rPr>
        <w:t>Technology and World Politics</w:t>
      </w:r>
      <w:r w:rsidRPr="00EF1068">
        <w:rPr>
          <w:sz w:val="16"/>
          <w:szCs w:val="16"/>
        </w:rPr>
        <w:t xml:space="preserve">: </w:t>
      </w:r>
      <w:r w:rsidRPr="00EF1068">
        <w:rPr>
          <w:i/>
          <w:iCs/>
          <w:sz w:val="16"/>
          <w:szCs w:val="16"/>
        </w:rPr>
        <w:t>An Introduction</w:t>
      </w:r>
      <w:r w:rsidRPr="00EF1068">
        <w:rPr>
          <w:sz w:val="16"/>
          <w:szCs w:val="16"/>
        </w:rPr>
        <w:t>, ed. Daniel R. McCarthy (Abingdon</w:t>
      </w:r>
      <w:r>
        <w:rPr>
          <w:sz w:val="16"/>
          <w:szCs w:val="16"/>
        </w:rPr>
        <w:t>:</w:t>
      </w:r>
      <w:r w:rsidRPr="00EF1068">
        <w:rPr>
          <w:sz w:val="16"/>
          <w:szCs w:val="16"/>
        </w:rPr>
        <w:t xml:space="preserve"> Oxfordshire: Routledge, 2018), pp. 42-59. </w:t>
      </w:r>
    </w:p>
  </w:footnote>
  <w:footnote w:id="87">
    <w:p w14:paraId="22C44674" w14:textId="77777777" w:rsidR="00E86726" w:rsidRDefault="00E86726" w:rsidP="00E86726">
      <w:pPr>
        <w:pStyle w:val="FootnoteText"/>
      </w:pPr>
      <w:r w:rsidRPr="00EF1068">
        <w:rPr>
          <w:rStyle w:val="FootnoteReference"/>
          <w:sz w:val="16"/>
          <w:szCs w:val="16"/>
        </w:rPr>
        <w:footnoteRef/>
      </w:r>
      <w:r w:rsidRPr="00EF1068">
        <w:rPr>
          <w:sz w:val="16"/>
          <w:szCs w:val="16"/>
        </w:rPr>
        <w:t xml:space="preserve"> Bruno Latour, </w:t>
      </w:r>
      <w:r w:rsidRPr="00EF1068">
        <w:rPr>
          <w:i/>
          <w:iCs/>
          <w:sz w:val="16"/>
          <w:szCs w:val="16"/>
        </w:rPr>
        <w:t>Reassembling the Social: An Introduction to Actor-Network-Theory</w:t>
      </w:r>
      <w:r w:rsidRPr="00EF1068">
        <w:rPr>
          <w:sz w:val="16"/>
          <w:szCs w:val="16"/>
        </w:rPr>
        <w:t xml:space="preserve"> (Oxford: Oxford University Press, 2005), p.9, p.42 and p 88.</w:t>
      </w:r>
      <w:r>
        <w:t xml:space="preserve">  </w:t>
      </w:r>
    </w:p>
  </w:footnote>
  <w:footnote w:id="88">
    <w:p w14:paraId="5ECF9BE4" w14:textId="77777777" w:rsidR="00E86726" w:rsidRPr="00EF1068" w:rsidRDefault="00E86726" w:rsidP="00E86726">
      <w:pPr>
        <w:pStyle w:val="FootnoteText"/>
        <w:rPr>
          <w:sz w:val="16"/>
          <w:szCs w:val="16"/>
        </w:rPr>
      </w:pPr>
      <w:r w:rsidRPr="00EF1068">
        <w:rPr>
          <w:rStyle w:val="FootnoteReference"/>
          <w:sz w:val="16"/>
          <w:szCs w:val="16"/>
        </w:rPr>
        <w:footnoteRef/>
      </w:r>
      <w:r w:rsidRPr="00EF1068">
        <w:rPr>
          <w:sz w:val="16"/>
          <w:szCs w:val="16"/>
        </w:rPr>
        <w:t xml:space="preserve"> </w:t>
      </w:r>
      <w:bookmarkStart w:id="32" w:name="_Hlk156747429"/>
      <w:r w:rsidRPr="00EF1068">
        <w:rPr>
          <w:sz w:val="16"/>
          <w:szCs w:val="16"/>
        </w:rPr>
        <w:t xml:space="preserve">Mark S. </w:t>
      </w:r>
      <w:r w:rsidRPr="00EF1068">
        <w:rPr>
          <w:sz w:val="16"/>
          <w:szCs w:val="16"/>
        </w:rPr>
        <w:t xml:space="preserve">Granovetter, ‘The Strength of Weak Ties,’ </w:t>
      </w:r>
      <w:r w:rsidRPr="00EF1068">
        <w:rPr>
          <w:i/>
          <w:iCs/>
          <w:sz w:val="16"/>
          <w:szCs w:val="16"/>
        </w:rPr>
        <w:t>American Journal of Sociology</w:t>
      </w:r>
      <w:r w:rsidRPr="00EF1068">
        <w:rPr>
          <w:sz w:val="16"/>
          <w:szCs w:val="16"/>
        </w:rPr>
        <w:t>, 78:6 (1973), pp. 1360-1380</w:t>
      </w:r>
      <w:bookmarkEnd w:id="32"/>
      <w:r w:rsidRPr="00EF1068">
        <w:rPr>
          <w:sz w:val="16"/>
          <w:szCs w:val="16"/>
        </w:rPr>
        <w:t xml:space="preserve"> and Peter Smith Ring, ‘Fragile and Resilient Trust and their Roles in Economic Exchange’, </w:t>
      </w:r>
      <w:r w:rsidRPr="00EF1068">
        <w:rPr>
          <w:i/>
          <w:iCs/>
          <w:sz w:val="16"/>
          <w:szCs w:val="16"/>
        </w:rPr>
        <w:t>Business &amp; Society</w:t>
      </w:r>
      <w:r w:rsidRPr="00EF1068">
        <w:rPr>
          <w:sz w:val="16"/>
          <w:szCs w:val="16"/>
        </w:rPr>
        <w:t xml:space="preserve">, 35:2 (1996), pp. 148-175.    </w:t>
      </w:r>
    </w:p>
  </w:footnote>
  <w:footnote w:id="89">
    <w:p w14:paraId="4966EAA6" w14:textId="77777777" w:rsidR="001E49A1" w:rsidRPr="001E49A1" w:rsidRDefault="001E49A1" w:rsidP="001E49A1">
      <w:pPr>
        <w:pStyle w:val="FootnoteText"/>
        <w:rPr>
          <w:sz w:val="16"/>
          <w:szCs w:val="16"/>
        </w:rPr>
      </w:pPr>
      <w:r w:rsidRPr="001E49A1">
        <w:rPr>
          <w:rStyle w:val="FootnoteReference"/>
          <w:sz w:val="16"/>
          <w:szCs w:val="16"/>
        </w:rPr>
        <w:footnoteRef/>
      </w:r>
      <w:r w:rsidRPr="001E49A1">
        <w:rPr>
          <w:sz w:val="16"/>
          <w:szCs w:val="16"/>
        </w:rPr>
        <w:t xml:space="preserve"> Peter Maw, Peter Solar, Aiden Kane, and John S. Lyons, ‘After the great inventions: technological change in UK cotton spinning, 1780–1835.</w:t>
      </w:r>
      <w:r w:rsidRPr="001E49A1">
        <w:rPr>
          <w:i/>
          <w:iCs/>
          <w:sz w:val="16"/>
          <w:szCs w:val="16"/>
        </w:rPr>
        <w:t>’ The Economic History Review</w:t>
      </w:r>
      <w:r w:rsidRPr="001E49A1">
        <w:rPr>
          <w:sz w:val="16"/>
          <w:szCs w:val="16"/>
        </w:rPr>
        <w:t xml:space="preserve">, (2022) 75 (1). pp. 22-55. </w:t>
      </w:r>
    </w:p>
  </w:footnote>
  <w:footnote w:id="90">
    <w:p w14:paraId="0C44CAAF" w14:textId="77777777" w:rsidR="001E49A1" w:rsidRDefault="001E49A1" w:rsidP="001E49A1">
      <w:pPr>
        <w:pStyle w:val="FootnoteText"/>
      </w:pPr>
      <w:r w:rsidRPr="001E49A1">
        <w:rPr>
          <w:rStyle w:val="FootnoteReference"/>
          <w:sz w:val="16"/>
          <w:szCs w:val="16"/>
        </w:rPr>
        <w:footnoteRef/>
      </w:r>
      <w:r w:rsidRPr="001E49A1">
        <w:rPr>
          <w:sz w:val="16"/>
          <w:szCs w:val="16"/>
        </w:rPr>
        <w:t xml:space="preserve"> Beckert</w:t>
      </w:r>
      <w:r>
        <w:t xml:space="preserve">  </w:t>
      </w:r>
    </w:p>
  </w:footnote>
  <w:footnote w:id="91">
    <w:p w14:paraId="6E9AED6F" w14:textId="70D5D3D8"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See Michel de </w:t>
      </w:r>
      <w:r w:rsidRPr="001B0B00">
        <w:rPr>
          <w:sz w:val="16"/>
          <w:szCs w:val="16"/>
        </w:rPr>
        <w:t xml:space="preserve">Certeau, </w:t>
      </w:r>
      <w:r w:rsidRPr="001B0B00">
        <w:rPr>
          <w:i/>
          <w:iCs/>
          <w:sz w:val="16"/>
          <w:szCs w:val="16"/>
        </w:rPr>
        <w:t>The Writing of History</w:t>
      </w:r>
      <w:r w:rsidRPr="001B0B00">
        <w:rPr>
          <w:sz w:val="16"/>
          <w:szCs w:val="16"/>
        </w:rPr>
        <w:t xml:space="preserve"> (</w:t>
      </w:r>
      <w:r w:rsidR="007849A8" w:rsidRPr="001B0B00">
        <w:rPr>
          <w:sz w:val="16"/>
          <w:szCs w:val="16"/>
        </w:rPr>
        <w:t xml:space="preserve">Columbia University Press, </w:t>
      </w:r>
      <w:r w:rsidRPr="001B0B00">
        <w:rPr>
          <w:sz w:val="16"/>
          <w:szCs w:val="16"/>
        </w:rPr>
        <w:t xml:space="preserve">1998) and Michael Hill, </w:t>
      </w:r>
      <w:r w:rsidRPr="001B0B00">
        <w:rPr>
          <w:i/>
          <w:iCs/>
          <w:sz w:val="16"/>
          <w:szCs w:val="16"/>
        </w:rPr>
        <w:t>Archival Strategies and Techniques</w:t>
      </w:r>
      <w:r w:rsidRPr="001B0B00">
        <w:rPr>
          <w:sz w:val="16"/>
          <w:szCs w:val="16"/>
        </w:rPr>
        <w:t xml:space="preserve"> (London: Sage: 1993) </w:t>
      </w:r>
    </w:p>
  </w:footnote>
  <w:footnote w:id="92">
    <w:p w14:paraId="4893C0B2" w14:textId="57748C87"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Michel de </w:t>
      </w:r>
      <w:r w:rsidRPr="001B0B00">
        <w:rPr>
          <w:sz w:val="16"/>
          <w:szCs w:val="16"/>
        </w:rPr>
        <w:t xml:space="preserve">Certeau, </w:t>
      </w:r>
      <w:r w:rsidRPr="001B0B00">
        <w:rPr>
          <w:i/>
          <w:iCs/>
          <w:sz w:val="16"/>
          <w:szCs w:val="16"/>
        </w:rPr>
        <w:t>The Writing of History</w:t>
      </w:r>
      <w:r w:rsidRPr="001B0B00">
        <w:rPr>
          <w:sz w:val="16"/>
          <w:szCs w:val="16"/>
        </w:rPr>
        <w:t xml:space="preserve"> (1998) cited in </w:t>
      </w:r>
      <w:r w:rsidRPr="001B0B00">
        <w:rPr>
          <w:i/>
          <w:iCs/>
          <w:sz w:val="16"/>
          <w:szCs w:val="16"/>
        </w:rPr>
        <w:t>Archive Project: Archival Research in the Social Sciences</w:t>
      </w:r>
      <w:r w:rsidRPr="001B0B00">
        <w:rPr>
          <w:sz w:val="16"/>
          <w:szCs w:val="16"/>
        </w:rPr>
        <w:t>, by Niamh Moore, Andrea Salter, Liz Stanley, and Maria Tamboukou, (</w:t>
      </w:r>
      <w:r w:rsidR="001B0B00">
        <w:rPr>
          <w:sz w:val="16"/>
          <w:szCs w:val="16"/>
        </w:rPr>
        <w:t>London: Routledge</w:t>
      </w:r>
      <w:r w:rsidRPr="001B0B00">
        <w:rPr>
          <w:sz w:val="16"/>
          <w:szCs w:val="16"/>
        </w:rPr>
        <w:t xml:space="preserve">, 2016), p. 33. </w:t>
      </w:r>
    </w:p>
  </w:footnote>
  <w:footnote w:id="93">
    <w:p w14:paraId="675452CA" w14:textId="64B526D3" w:rsidR="005A05DF" w:rsidRPr="00114281" w:rsidRDefault="005A05DF" w:rsidP="005A05DF">
      <w:pPr>
        <w:pStyle w:val="FootnoteText"/>
        <w:rPr>
          <w:sz w:val="18"/>
          <w:szCs w:val="18"/>
        </w:rPr>
      </w:pPr>
      <w:r w:rsidRPr="001B0B00">
        <w:rPr>
          <w:rStyle w:val="FootnoteReference"/>
          <w:sz w:val="16"/>
          <w:szCs w:val="16"/>
        </w:rPr>
        <w:footnoteRef/>
      </w:r>
      <w:r w:rsidRPr="001B0B00">
        <w:rPr>
          <w:sz w:val="16"/>
          <w:szCs w:val="16"/>
        </w:rPr>
        <w:t xml:space="preserve"> Liz Stanley, “Archival methodology inside the black box: Noise in the archive!”, in the </w:t>
      </w:r>
      <w:r w:rsidRPr="001B0B00">
        <w:rPr>
          <w:i/>
          <w:iCs/>
          <w:sz w:val="16"/>
          <w:szCs w:val="16"/>
        </w:rPr>
        <w:t>Archive Project: Archival Research in the Social Sciences</w:t>
      </w:r>
      <w:r w:rsidRPr="001B0B00">
        <w:rPr>
          <w:sz w:val="16"/>
          <w:szCs w:val="16"/>
        </w:rPr>
        <w:t xml:space="preserve">, by Niamh Moore, Andrea Salter, Liz Stanley and Maria </w:t>
      </w:r>
      <w:r w:rsidRPr="001B0B00">
        <w:rPr>
          <w:sz w:val="16"/>
          <w:szCs w:val="16"/>
        </w:rPr>
        <w:t>Tamboukou, (</w:t>
      </w:r>
      <w:r w:rsidR="001B0B00">
        <w:rPr>
          <w:sz w:val="16"/>
          <w:szCs w:val="16"/>
        </w:rPr>
        <w:t>London: Routledge</w:t>
      </w:r>
      <w:r w:rsidRPr="001B0B00">
        <w:rPr>
          <w:sz w:val="16"/>
          <w:szCs w:val="16"/>
        </w:rPr>
        <w:t>, 2016), pp. 33-45</w:t>
      </w:r>
      <w:r w:rsidR="00E264B0" w:rsidRPr="001B0B00">
        <w:rPr>
          <w:sz w:val="16"/>
          <w:szCs w:val="16"/>
        </w:rPr>
        <w:t>.</w:t>
      </w:r>
    </w:p>
  </w:footnote>
  <w:footnote w:id="94">
    <w:p w14:paraId="28F8FF54" w14:textId="1B828558"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Verne Harris, ‘The Archival Sliver: Power, Memory, and Archives in South Afric</w:t>
      </w:r>
      <w:r w:rsidR="001B0B00">
        <w:rPr>
          <w:sz w:val="16"/>
          <w:szCs w:val="16"/>
        </w:rPr>
        <w:t>a</w:t>
      </w:r>
      <w:r w:rsidRPr="001B0B00">
        <w:rPr>
          <w:sz w:val="16"/>
          <w:szCs w:val="16"/>
        </w:rPr>
        <w:t>’</w:t>
      </w:r>
      <w:r w:rsidR="001B0B00">
        <w:rPr>
          <w:sz w:val="16"/>
          <w:szCs w:val="16"/>
        </w:rPr>
        <w:t>,</w:t>
      </w:r>
      <w:r w:rsidRPr="001B0B00">
        <w:rPr>
          <w:sz w:val="16"/>
          <w:szCs w:val="16"/>
        </w:rPr>
        <w:t xml:space="preserve"> </w:t>
      </w:r>
      <w:r w:rsidRPr="001B0B00">
        <w:rPr>
          <w:i/>
          <w:iCs/>
          <w:sz w:val="16"/>
          <w:szCs w:val="16"/>
        </w:rPr>
        <w:t>Archival Science</w:t>
      </w:r>
      <w:r w:rsidRPr="001B0B00">
        <w:rPr>
          <w:sz w:val="16"/>
          <w:szCs w:val="16"/>
        </w:rPr>
        <w:t>, 2: 1-2 (2002), p</w:t>
      </w:r>
      <w:r w:rsidR="001B0B00">
        <w:rPr>
          <w:sz w:val="16"/>
          <w:szCs w:val="16"/>
        </w:rPr>
        <w:t>p</w:t>
      </w:r>
      <w:r w:rsidRPr="001B0B00">
        <w:rPr>
          <w:sz w:val="16"/>
          <w:szCs w:val="16"/>
        </w:rPr>
        <w:t>. 63-86</w:t>
      </w:r>
      <w:r w:rsidR="00E264B0" w:rsidRPr="001B0B00">
        <w:rPr>
          <w:sz w:val="16"/>
          <w:szCs w:val="16"/>
        </w:rPr>
        <w:t>.</w:t>
      </w:r>
    </w:p>
  </w:footnote>
  <w:footnote w:id="95">
    <w:p w14:paraId="7367FB3A" w14:textId="794240F4"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Michel </w:t>
      </w:r>
      <w:r w:rsidRPr="001B0B00">
        <w:rPr>
          <w:sz w:val="16"/>
          <w:szCs w:val="16"/>
        </w:rPr>
        <w:t xml:space="preserve">Rolph Trouillot, </w:t>
      </w:r>
      <w:r w:rsidRPr="001B0B00">
        <w:rPr>
          <w:i/>
          <w:iCs/>
          <w:sz w:val="16"/>
          <w:szCs w:val="16"/>
        </w:rPr>
        <w:t>Silencing the Past: Power and the Production of History</w:t>
      </w:r>
      <w:r w:rsidRPr="001B0B00">
        <w:rPr>
          <w:sz w:val="16"/>
          <w:szCs w:val="16"/>
        </w:rPr>
        <w:t xml:space="preserve"> (Boston: Beacon Press, 1995), p. 26. </w:t>
      </w:r>
    </w:p>
  </w:footnote>
  <w:footnote w:id="96">
    <w:p w14:paraId="771DC55F" w14:textId="01EE9A04"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Rodney Carter, ‘Of Things Said and Unsaid: Power, Archival Silences, and Power in Silence’</w:t>
      </w:r>
      <w:r w:rsidR="001B0B00">
        <w:rPr>
          <w:sz w:val="16"/>
          <w:szCs w:val="16"/>
        </w:rPr>
        <w:t>,</w:t>
      </w:r>
      <w:r w:rsidRPr="001B0B00">
        <w:rPr>
          <w:sz w:val="16"/>
          <w:szCs w:val="16"/>
        </w:rPr>
        <w:t xml:space="preserve"> </w:t>
      </w:r>
      <w:r w:rsidRPr="001B0B00">
        <w:rPr>
          <w:i/>
          <w:iCs/>
          <w:sz w:val="16"/>
          <w:szCs w:val="16"/>
        </w:rPr>
        <w:t>Archivaria</w:t>
      </w:r>
      <w:r w:rsidRPr="001B0B00">
        <w:rPr>
          <w:sz w:val="16"/>
          <w:szCs w:val="16"/>
        </w:rPr>
        <w:t>, 61 (2006)</w:t>
      </w:r>
      <w:r w:rsidR="001B0B00">
        <w:rPr>
          <w:sz w:val="16"/>
          <w:szCs w:val="16"/>
        </w:rPr>
        <w:t>,</w:t>
      </w:r>
      <w:r w:rsidRPr="001B0B00">
        <w:rPr>
          <w:sz w:val="16"/>
          <w:szCs w:val="16"/>
        </w:rPr>
        <w:t xml:space="preserve"> pp. 215-233</w:t>
      </w:r>
      <w:r w:rsidR="00CB1C36" w:rsidRPr="001B0B00">
        <w:rPr>
          <w:sz w:val="16"/>
          <w:szCs w:val="16"/>
        </w:rPr>
        <w:t>.</w:t>
      </w:r>
    </w:p>
  </w:footnote>
  <w:footnote w:id="97">
    <w:p w14:paraId="4C29BD87" w14:textId="7BD17110" w:rsidR="005A05DF" w:rsidRPr="00114281" w:rsidRDefault="005A05DF" w:rsidP="005A05DF">
      <w:pPr>
        <w:pStyle w:val="FootnoteText"/>
        <w:rPr>
          <w:sz w:val="18"/>
          <w:szCs w:val="18"/>
        </w:rPr>
      </w:pPr>
      <w:r w:rsidRPr="001B0B00">
        <w:rPr>
          <w:rStyle w:val="FootnoteReference"/>
          <w:sz w:val="16"/>
          <w:szCs w:val="16"/>
        </w:rPr>
        <w:footnoteRef/>
      </w:r>
      <w:r w:rsidRPr="001B0B00">
        <w:rPr>
          <w:sz w:val="16"/>
          <w:szCs w:val="16"/>
        </w:rPr>
        <w:t xml:space="preserve"> See Michel Foucault, </w:t>
      </w:r>
      <w:r w:rsidRPr="001B0B00">
        <w:rPr>
          <w:i/>
          <w:iCs/>
          <w:sz w:val="16"/>
          <w:szCs w:val="16"/>
        </w:rPr>
        <w:t>The Archaeology of Knowledge</w:t>
      </w:r>
      <w:r w:rsidRPr="001B0B00">
        <w:rPr>
          <w:sz w:val="16"/>
          <w:szCs w:val="16"/>
        </w:rPr>
        <w:t xml:space="preserve"> (London: Routledge, 1972), and Jacques Derrida, </w:t>
      </w:r>
      <w:r w:rsidRPr="001B0B00">
        <w:rPr>
          <w:i/>
          <w:iCs/>
          <w:sz w:val="16"/>
          <w:szCs w:val="16"/>
        </w:rPr>
        <w:t>Archive Fever: A Freudian Impression</w:t>
      </w:r>
      <w:r w:rsidRPr="001B0B00">
        <w:rPr>
          <w:sz w:val="16"/>
          <w:szCs w:val="16"/>
        </w:rPr>
        <w:t xml:space="preserve"> (Chicago: University of Chicago Press, 1995), particularly pp. 1-2.</w:t>
      </w:r>
      <w:r>
        <w:rPr>
          <w:sz w:val="18"/>
          <w:szCs w:val="18"/>
        </w:rPr>
        <w:t xml:space="preserve"> </w:t>
      </w:r>
    </w:p>
  </w:footnote>
  <w:footnote w:id="98">
    <w:p w14:paraId="56A95BC3" w14:textId="73A6E48A"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w:t>
      </w:r>
      <w:r w:rsidR="008475F3" w:rsidRPr="001B0B00">
        <w:rPr>
          <w:sz w:val="16"/>
          <w:szCs w:val="16"/>
        </w:rPr>
        <w:t xml:space="preserve">David Sunderland, </w:t>
      </w:r>
      <w:r w:rsidR="008475F3" w:rsidRPr="001B0B00">
        <w:rPr>
          <w:i/>
          <w:iCs/>
          <w:sz w:val="16"/>
          <w:szCs w:val="16"/>
        </w:rPr>
        <w:t>Social Capital, Trust and the Industrial Revolution,</w:t>
      </w:r>
      <w:r w:rsidR="001B0B00" w:rsidRPr="001B0B00">
        <w:rPr>
          <w:i/>
          <w:iCs/>
          <w:sz w:val="16"/>
          <w:szCs w:val="16"/>
        </w:rPr>
        <w:t xml:space="preserve"> 1780-1880 </w:t>
      </w:r>
      <w:r w:rsidR="001B0B00" w:rsidRPr="001B0B00">
        <w:rPr>
          <w:sz w:val="16"/>
          <w:szCs w:val="16"/>
        </w:rPr>
        <w:t>(London:</w:t>
      </w:r>
      <w:r w:rsidR="00772EE3">
        <w:rPr>
          <w:sz w:val="16"/>
          <w:szCs w:val="16"/>
        </w:rPr>
        <w:t xml:space="preserve"> </w:t>
      </w:r>
      <w:r w:rsidR="001B0B00" w:rsidRPr="001B0B00">
        <w:rPr>
          <w:sz w:val="16"/>
          <w:szCs w:val="16"/>
        </w:rPr>
        <w:t>Routledge, 2007),</w:t>
      </w:r>
      <w:r w:rsidR="005F0DA3" w:rsidRPr="001B0B00">
        <w:rPr>
          <w:sz w:val="16"/>
          <w:szCs w:val="16"/>
        </w:rPr>
        <w:t xml:space="preserve"> p</w:t>
      </w:r>
      <w:r w:rsidR="001B0B00" w:rsidRPr="001B0B00">
        <w:rPr>
          <w:sz w:val="16"/>
          <w:szCs w:val="16"/>
        </w:rPr>
        <w:t>p</w:t>
      </w:r>
      <w:r w:rsidR="005F0DA3" w:rsidRPr="001B0B00">
        <w:rPr>
          <w:sz w:val="16"/>
          <w:szCs w:val="16"/>
        </w:rPr>
        <w:t xml:space="preserve">. 1-15. </w:t>
      </w:r>
    </w:p>
  </w:footnote>
  <w:footnote w:id="99">
    <w:p w14:paraId="3A32353C" w14:textId="75D93FB5"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w:t>
      </w:r>
      <w:r w:rsidR="00DF3862" w:rsidRPr="001B0B00">
        <w:rPr>
          <w:sz w:val="16"/>
          <w:szCs w:val="16"/>
        </w:rPr>
        <w:t>R</w:t>
      </w:r>
      <w:r w:rsidR="001B0B00">
        <w:rPr>
          <w:sz w:val="16"/>
          <w:szCs w:val="16"/>
        </w:rPr>
        <w:t>obert</w:t>
      </w:r>
      <w:r w:rsidR="00DF3862" w:rsidRPr="001B0B00">
        <w:rPr>
          <w:sz w:val="16"/>
          <w:szCs w:val="16"/>
        </w:rPr>
        <w:t xml:space="preserve"> S. Fitton, </w:t>
      </w:r>
      <w:r w:rsidR="00DF3862" w:rsidRPr="001B0B00">
        <w:rPr>
          <w:i/>
          <w:iCs/>
          <w:sz w:val="16"/>
          <w:szCs w:val="16"/>
        </w:rPr>
        <w:t xml:space="preserve">The </w:t>
      </w:r>
      <w:r w:rsidR="004E5FF7" w:rsidRPr="001B0B00">
        <w:rPr>
          <w:i/>
          <w:iCs/>
          <w:sz w:val="16"/>
          <w:szCs w:val="16"/>
        </w:rPr>
        <w:t>Arkwright</w:t>
      </w:r>
      <w:r w:rsidR="00DF3862" w:rsidRPr="001B0B00">
        <w:rPr>
          <w:i/>
          <w:iCs/>
          <w:sz w:val="16"/>
          <w:szCs w:val="16"/>
        </w:rPr>
        <w:t>s:</w:t>
      </w:r>
      <w:r w:rsidR="004E5FF7" w:rsidRPr="001B0B00">
        <w:rPr>
          <w:i/>
          <w:iCs/>
          <w:sz w:val="16"/>
          <w:szCs w:val="16"/>
        </w:rPr>
        <w:t xml:space="preserve"> Spinners of Fortune</w:t>
      </w:r>
      <w:r w:rsidR="00DF3862" w:rsidRPr="001B0B00">
        <w:rPr>
          <w:sz w:val="16"/>
          <w:szCs w:val="16"/>
        </w:rPr>
        <w:t xml:space="preserve"> (</w:t>
      </w:r>
      <w:r w:rsidR="003A5031" w:rsidRPr="001B0B00">
        <w:rPr>
          <w:sz w:val="16"/>
          <w:szCs w:val="16"/>
        </w:rPr>
        <w:t>Manchester: Manchester University Press, 1989),</w:t>
      </w:r>
      <w:r w:rsidR="004223A2" w:rsidRPr="001B0B00">
        <w:rPr>
          <w:sz w:val="16"/>
          <w:szCs w:val="16"/>
        </w:rPr>
        <w:t xml:space="preserve"> </w:t>
      </w:r>
      <w:r w:rsidR="00EB41AA" w:rsidRPr="001B0B00">
        <w:rPr>
          <w:sz w:val="16"/>
          <w:szCs w:val="16"/>
        </w:rPr>
        <w:t>p</w:t>
      </w:r>
      <w:r w:rsidR="00C612E8" w:rsidRPr="001B0B00">
        <w:rPr>
          <w:sz w:val="16"/>
          <w:szCs w:val="16"/>
        </w:rPr>
        <w:t>p</w:t>
      </w:r>
      <w:r w:rsidR="00EB41AA" w:rsidRPr="001B0B00">
        <w:rPr>
          <w:sz w:val="16"/>
          <w:szCs w:val="16"/>
        </w:rPr>
        <w:t>. 22</w:t>
      </w:r>
      <w:r w:rsidR="00C612E8" w:rsidRPr="001B0B00">
        <w:rPr>
          <w:sz w:val="16"/>
          <w:szCs w:val="16"/>
        </w:rPr>
        <w:t>-49 and</w:t>
      </w:r>
      <w:r w:rsidR="00B95C73" w:rsidRPr="001B0B00">
        <w:rPr>
          <w:sz w:val="16"/>
          <w:szCs w:val="16"/>
        </w:rPr>
        <w:t xml:space="preserve"> p.50</w:t>
      </w:r>
      <w:r w:rsidR="004223A2" w:rsidRPr="001B0B00">
        <w:rPr>
          <w:sz w:val="16"/>
          <w:szCs w:val="16"/>
        </w:rPr>
        <w:t>-90</w:t>
      </w:r>
      <w:r w:rsidR="00424898" w:rsidRPr="001B0B00">
        <w:rPr>
          <w:sz w:val="16"/>
          <w:szCs w:val="16"/>
        </w:rPr>
        <w:t>.</w:t>
      </w:r>
    </w:p>
  </w:footnote>
  <w:footnote w:id="100">
    <w:p w14:paraId="33312021" w14:textId="24F3334E"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w:t>
      </w:r>
      <w:r w:rsidR="004E5FF7" w:rsidRPr="001B0B00">
        <w:rPr>
          <w:sz w:val="16"/>
          <w:szCs w:val="16"/>
        </w:rPr>
        <w:t xml:space="preserve">Fitton and Wadsworth, </w:t>
      </w:r>
      <w:r w:rsidR="004E5FF7" w:rsidRPr="001B0B00">
        <w:rPr>
          <w:i/>
          <w:iCs/>
          <w:sz w:val="16"/>
          <w:szCs w:val="16"/>
        </w:rPr>
        <w:t xml:space="preserve">The </w:t>
      </w:r>
      <w:r w:rsidR="00577D2F" w:rsidRPr="001B0B00">
        <w:rPr>
          <w:i/>
          <w:iCs/>
          <w:sz w:val="16"/>
          <w:szCs w:val="16"/>
        </w:rPr>
        <w:t>Strutts</w:t>
      </w:r>
      <w:r w:rsidR="004E5FF7" w:rsidRPr="001B0B00">
        <w:rPr>
          <w:i/>
          <w:iCs/>
          <w:sz w:val="16"/>
          <w:szCs w:val="16"/>
        </w:rPr>
        <w:t xml:space="preserve"> and the </w:t>
      </w:r>
      <w:r w:rsidR="00577D2F" w:rsidRPr="001B0B00">
        <w:rPr>
          <w:i/>
          <w:iCs/>
          <w:sz w:val="16"/>
          <w:szCs w:val="16"/>
        </w:rPr>
        <w:t>Arkwrights</w:t>
      </w:r>
      <w:r w:rsidR="00B771FE" w:rsidRPr="001B0B00">
        <w:rPr>
          <w:i/>
          <w:iCs/>
          <w:sz w:val="16"/>
          <w:szCs w:val="16"/>
        </w:rPr>
        <w:t>,</w:t>
      </w:r>
      <w:r w:rsidR="00577D2F" w:rsidRPr="001B0B00">
        <w:rPr>
          <w:i/>
          <w:iCs/>
          <w:sz w:val="16"/>
          <w:szCs w:val="16"/>
        </w:rPr>
        <w:t xml:space="preserve"> 175</w:t>
      </w:r>
      <w:r w:rsidR="00E831E6" w:rsidRPr="001B0B00">
        <w:rPr>
          <w:i/>
          <w:iCs/>
          <w:sz w:val="16"/>
          <w:szCs w:val="16"/>
        </w:rPr>
        <w:t>8-1830</w:t>
      </w:r>
      <w:r w:rsidR="00B771FE" w:rsidRPr="001B0B00">
        <w:rPr>
          <w:i/>
          <w:iCs/>
          <w:sz w:val="16"/>
          <w:szCs w:val="16"/>
        </w:rPr>
        <w:t xml:space="preserve"> </w:t>
      </w:r>
      <w:r w:rsidR="00B771FE" w:rsidRPr="001B0B00">
        <w:rPr>
          <w:sz w:val="16"/>
          <w:szCs w:val="16"/>
        </w:rPr>
        <w:t xml:space="preserve">(Manchester: Manchester University Press, </w:t>
      </w:r>
      <w:r w:rsidR="00120916" w:rsidRPr="001B0B00">
        <w:rPr>
          <w:sz w:val="16"/>
          <w:szCs w:val="16"/>
        </w:rPr>
        <w:t>1958)</w:t>
      </w:r>
      <w:r w:rsidR="007A5AF3" w:rsidRPr="001B0B00">
        <w:rPr>
          <w:sz w:val="16"/>
          <w:szCs w:val="16"/>
        </w:rPr>
        <w:t>, p.24</w:t>
      </w:r>
      <w:r w:rsidR="00424898" w:rsidRPr="001B0B00">
        <w:rPr>
          <w:sz w:val="16"/>
          <w:szCs w:val="16"/>
        </w:rPr>
        <w:t>.</w:t>
      </w:r>
      <w:r w:rsidR="00997C69" w:rsidRPr="001B0B00">
        <w:rPr>
          <w:sz w:val="16"/>
          <w:szCs w:val="16"/>
        </w:rPr>
        <w:t xml:space="preserve"> and </w:t>
      </w:r>
      <w:r w:rsidR="00687D66" w:rsidRPr="001B0B00">
        <w:rPr>
          <w:sz w:val="16"/>
          <w:szCs w:val="16"/>
        </w:rPr>
        <w:t xml:space="preserve">S. D. Chapman, </w:t>
      </w:r>
      <w:r w:rsidR="001B0B00">
        <w:rPr>
          <w:sz w:val="16"/>
          <w:szCs w:val="16"/>
        </w:rPr>
        <w:t>‘</w:t>
      </w:r>
      <w:r w:rsidR="00687D66" w:rsidRPr="001B0B00">
        <w:rPr>
          <w:sz w:val="16"/>
          <w:szCs w:val="16"/>
        </w:rPr>
        <w:t xml:space="preserve">The </w:t>
      </w:r>
      <w:r w:rsidR="00882C66" w:rsidRPr="001B0B00">
        <w:rPr>
          <w:sz w:val="16"/>
          <w:szCs w:val="16"/>
        </w:rPr>
        <w:t>T</w:t>
      </w:r>
      <w:r w:rsidR="00687D66" w:rsidRPr="001B0B00">
        <w:rPr>
          <w:sz w:val="16"/>
          <w:szCs w:val="16"/>
        </w:rPr>
        <w:t xml:space="preserve">ransition to the Factory System in the Midlands Cotton </w:t>
      </w:r>
      <w:r w:rsidR="00273281" w:rsidRPr="001B0B00">
        <w:rPr>
          <w:sz w:val="16"/>
          <w:szCs w:val="16"/>
        </w:rPr>
        <w:t>Spinning Industry</w:t>
      </w:r>
      <w:r w:rsidR="001B0B00">
        <w:rPr>
          <w:sz w:val="16"/>
          <w:szCs w:val="16"/>
        </w:rPr>
        <w:t>’</w:t>
      </w:r>
      <w:r w:rsidR="00273281" w:rsidRPr="001B0B00">
        <w:rPr>
          <w:sz w:val="16"/>
          <w:szCs w:val="16"/>
        </w:rPr>
        <w:t xml:space="preserve">, </w:t>
      </w:r>
      <w:r w:rsidR="00273281" w:rsidRPr="001B0B00">
        <w:rPr>
          <w:i/>
          <w:iCs/>
          <w:sz w:val="16"/>
          <w:szCs w:val="16"/>
        </w:rPr>
        <w:t>Economic History Review</w:t>
      </w:r>
      <w:r w:rsidR="00273281" w:rsidRPr="001B0B00">
        <w:rPr>
          <w:sz w:val="16"/>
          <w:szCs w:val="16"/>
        </w:rPr>
        <w:t>, 18 (1965)</w:t>
      </w:r>
      <w:r w:rsidR="001B0B00">
        <w:rPr>
          <w:sz w:val="16"/>
          <w:szCs w:val="16"/>
        </w:rPr>
        <w:t>, pp. 526-543</w:t>
      </w:r>
      <w:r w:rsidR="00273281" w:rsidRPr="001B0B00">
        <w:rPr>
          <w:sz w:val="16"/>
          <w:szCs w:val="16"/>
        </w:rPr>
        <w:t xml:space="preserve"> </w:t>
      </w:r>
      <w:r w:rsidR="001B0B00">
        <w:rPr>
          <w:sz w:val="16"/>
          <w:szCs w:val="16"/>
        </w:rPr>
        <w:t>(</w:t>
      </w:r>
      <w:r w:rsidR="00687D66" w:rsidRPr="001B0B00">
        <w:rPr>
          <w:sz w:val="16"/>
          <w:szCs w:val="16"/>
        </w:rPr>
        <w:t>p. 528</w:t>
      </w:r>
      <w:r w:rsidR="001B0B00">
        <w:rPr>
          <w:sz w:val="16"/>
          <w:szCs w:val="16"/>
        </w:rPr>
        <w:t>)</w:t>
      </w:r>
      <w:r w:rsidR="00BE1D4D" w:rsidRPr="001B0B00">
        <w:rPr>
          <w:sz w:val="16"/>
          <w:szCs w:val="16"/>
        </w:rPr>
        <w:t>.</w:t>
      </w:r>
      <w:r w:rsidR="00882C66" w:rsidRPr="001B0B00">
        <w:rPr>
          <w:sz w:val="16"/>
          <w:szCs w:val="16"/>
        </w:rPr>
        <w:t xml:space="preserve"> </w:t>
      </w:r>
    </w:p>
  </w:footnote>
  <w:footnote w:id="101">
    <w:p w14:paraId="7EAA69F3" w14:textId="52B61B4F"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w:t>
      </w:r>
      <w:r w:rsidR="00E454E9" w:rsidRPr="001B0B00">
        <w:rPr>
          <w:sz w:val="16"/>
          <w:szCs w:val="16"/>
        </w:rPr>
        <w:t>Don Peters</w:t>
      </w:r>
      <w:r w:rsidR="000E5CF5" w:rsidRPr="001B0B00">
        <w:rPr>
          <w:sz w:val="16"/>
          <w:szCs w:val="16"/>
        </w:rPr>
        <w:t xml:space="preserve">, </w:t>
      </w:r>
      <w:r w:rsidR="000E5CF5" w:rsidRPr="001B0B00">
        <w:rPr>
          <w:i/>
          <w:iCs/>
          <w:sz w:val="16"/>
          <w:szCs w:val="16"/>
        </w:rPr>
        <w:t xml:space="preserve">Darley Abbey from </w:t>
      </w:r>
      <w:r w:rsidR="00F869BD">
        <w:rPr>
          <w:i/>
          <w:iCs/>
          <w:sz w:val="16"/>
          <w:szCs w:val="16"/>
        </w:rPr>
        <w:t>M</w:t>
      </w:r>
      <w:r w:rsidR="000E5CF5" w:rsidRPr="001B0B00">
        <w:rPr>
          <w:i/>
          <w:iCs/>
          <w:sz w:val="16"/>
          <w:szCs w:val="16"/>
        </w:rPr>
        <w:t xml:space="preserve">onastery to </w:t>
      </w:r>
      <w:r w:rsidR="00F869BD">
        <w:rPr>
          <w:i/>
          <w:iCs/>
          <w:sz w:val="16"/>
          <w:szCs w:val="16"/>
        </w:rPr>
        <w:t>I</w:t>
      </w:r>
      <w:r w:rsidR="000E5CF5" w:rsidRPr="001B0B00">
        <w:rPr>
          <w:i/>
          <w:iCs/>
          <w:sz w:val="16"/>
          <w:szCs w:val="16"/>
        </w:rPr>
        <w:t xml:space="preserve">ndustrial </w:t>
      </w:r>
      <w:r w:rsidR="00F869BD">
        <w:rPr>
          <w:i/>
          <w:iCs/>
          <w:sz w:val="16"/>
          <w:szCs w:val="16"/>
        </w:rPr>
        <w:t>C</w:t>
      </w:r>
      <w:r w:rsidR="000E5CF5" w:rsidRPr="001B0B00">
        <w:rPr>
          <w:i/>
          <w:iCs/>
          <w:sz w:val="16"/>
          <w:szCs w:val="16"/>
        </w:rPr>
        <w:t>ommunity</w:t>
      </w:r>
      <w:r w:rsidR="000E5CF5" w:rsidRPr="001B0B00">
        <w:rPr>
          <w:sz w:val="16"/>
          <w:szCs w:val="16"/>
        </w:rPr>
        <w:t xml:space="preserve"> (</w:t>
      </w:r>
      <w:r w:rsidR="00E461F8" w:rsidRPr="001B0B00">
        <w:rPr>
          <w:sz w:val="16"/>
          <w:szCs w:val="16"/>
        </w:rPr>
        <w:t xml:space="preserve">Hartington, Moorland Publishing Company, 1974), pp. </w:t>
      </w:r>
      <w:r w:rsidR="00AF2AE4" w:rsidRPr="001B0B00">
        <w:rPr>
          <w:sz w:val="16"/>
          <w:szCs w:val="16"/>
        </w:rPr>
        <w:t>24-31</w:t>
      </w:r>
      <w:r w:rsidR="00F869BD">
        <w:rPr>
          <w:sz w:val="16"/>
          <w:szCs w:val="16"/>
        </w:rPr>
        <w:t>.</w:t>
      </w:r>
      <w:r w:rsidR="005F679D" w:rsidRPr="001B0B00">
        <w:rPr>
          <w:sz w:val="16"/>
          <w:szCs w:val="16"/>
        </w:rPr>
        <w:t xml:space="preserve"> </w:t>
      </w:r>
      <w:r w:rsidR="00B95C73" w:rsidRPr="001B0B00">
        <w:rPr>
          <w:sz w:val="16"/>
          <w:szCs w:val="16"/>
        </w:rPr>
        <w:t xml:space="preserve"> </w:t>
      </w:r>
    </w:p>
  </w:footnote>
  <w:footnote w:id="102">
    <w:p w14:paraId="6AAF98EB" w14:textId="0FDE9DA9" w:rsidR="005A05DF" w:rsidRPr="001B0B00" w:rsidRDefault="005A05DF" w:rsidP="005A05DF">
      <w:pPr>
        <w:pStyle w:val="FootnoteText"/>
        <w:rPr>
          <w:sz w:val="16"/>
          <w:szCs w:val="16"/>
        </w:rPr>
      </w:pPr>
      <w:r w:rsidRPr="001B0B00">
        <w:rPr>
          <w:rStyle w:val="FootnoteReference"/>
          <w:sz w:val="16"/>
          <w:szCs w:val="16"/>
        </w:rPr>
        <w:footnoteRef/>
      </w:r>
      <w:r w:rsidRPr="001B0B00">
        <w:rPr>
          <w:sz w:val="16"/>
          <w:szCs w:val="16"/>
        </w:rPr>
        <w:t xml:space="preserve"> </w:t>
      </w:r>
      <w:r w:rsidR="00E454E9" w:rsidRPr="001B0B00">
        <w:rPr>
          <w:sz w:val="16"/>
          <w:szCs w:val="16"/>
        </w:rPr>
        <w:t>C</w:t>
      </w:r>
      <w:r w:rsidR="00CC1823">
        <w:rPr>
          <w:sz w:val="16"/>
          <w:szCs w:val="16"/>
        </w:rPr>
        <w:t>live</w:t>
      </w:r>
      <w:r w:rsidR="00E454E9" w:rsidRPr="001B0B00">
        <w:rPr>
          <w:sz w:val="16"/>
          <w:szCs w:val="16"/>
        </w:rPr>
        <w:t xml:space="preserve"> H. Lee,</w:t>
      </w:r>
      <w:r w:rsidR="00297D98" w:rsidRPr="001B0B00">
        <w:rPr>
          <w:sz w:val="16"/>
          <w:szCs w:val="16"/>
        </w:rPr>
        <w:t xml:space="preserve"> </w:t>
      </w:r>
      <w:r w:rsidR="00297D98" w:rsidRPr="001B0B00">
        <w:rPr>
          <w:i/>
          <w:iCs/>
          <w:sz w:val="16"/>
          <w:szCs w:val="16"/>
        </w:rPr>
        <w:t>A Cotton Enterprise</w:t>
      </w:r>
      <w:r w:rsidR="00F869BD">
        <w:rPr>
          <w:i/>
          <w:iCs/>
          <w:sz w:val="16"/>
          <w:szCs w:val="16"/>
        </w:rPr>
        <w:t xml:space="preserve"> 1795-1849: A History of </w:t>
      </w:r>
      <w:r w:rsidR="00F869BD">
        <w:rPr>
          <w:i/>
          <w:iCs/>
          <w:sz w:val="16"/>
          <w:szCs w:val="16"/>
        </w:rPr>
        <w:t xml:space="preserve">M’Connel and Kennedy Fine Cotton </w:t>
      </w:r>
      <w:r w:rsidR="00F869BD" w:rsidRPr="00F869BD">
        <w:rPr>
          <w:sz w:val="16"/>
          <w:szCs w:val="16"/>
        </w:rPr>
        <w:t>Spinners (Manchester: Manchester University Press)</w:t>
      </w:r>
      <w:r w:rsidR="00297D98" w:rsidRPr="001B0B00">
        <w:rPr>
          <w:sz w:val="16"/>
          <w:szCs w:val="16"/>
        </w:rPr>
        <w:t>, p.</w:t>
      </w:r>
      <w:r w:rsidR="004E7014" w:rsidRPr="001B0B00">
        <w:rPr>
          <w:sz w:val="16"/>
          <w:szCs w:val="16"/>
        </w:rPr>
        <w:t xml:space="preserve"> 12. </w:t>
      </w:r>
    </w:p>
  </w:footnote>
  <w:footnote w:id="103">
    <w:p w14:paraId="31CDFB55" w14:textId="77777777" w:rsidR="00C84D65" w:rsidRPr="001B0B00" w:rsidRDefault="00C84D65" w:rsidP="00C84D65">
      <w:pPr>
        <w:pStyle w:val="FootnoteText"/>
        <w:rPr>
          <w:sz w:val="16"/>
          <w:szCs w:val="16"/>
        </w:rPr>
      </w:pPr>
      <w:r w:rsidRPr="001B0B00">
        <w:rPr>
          <w:rStyle w:val="FootnoteReference"/>
          <w:sz w:val="16"/>
          <w:szCs w:val="16"/>
        </w:rPr>
        <w:footnoteRef/>
      </w:r>
      <w:r w:rsidRPr="001B0B00">
        <w:rPr>
          <w:sz w:val="16"/>
          <w:szCs w:val="16"/>
        </w:rPr>
        <w:t xml:space="preserve"> Maxwell Craven, </w:t>
      </w:r>
      <w:r w:rsidRPr="001B0B00">
        <w:rPr>
          <w:i/>
          <w:iCs/>
          <w:sz w:val="16"/>
          <w:szCs w:val="16"/>
        </w:rPr>
        <w:t>Derbeians of Distinction</w:t>
      </w:r>
      <w:r w:rsidRPr="001B0B00">
        <w:rPr>
          <w:sz w:val="16"/>
          <w:szCs w:val="16"/>
        </w:rPr>
        <w:t>, (</w:t>
      </w:r>
      <w:r>
        <w:rPr>
          <w:sz w:val="16"/>
          <w:szCs w:val="16"/>
        </w:rPr>
        <w:t xml:space="preserve">Derby: </w:t>
      </w:r>
      <w:r w:rsidRPr="001B0B00">
        <w:rPr>
          <w:sz w:val="16"/>
          <w:szCs w:val="16"/>
        </w:rPr>
        <w:t>Breedon, 1998), p. 82.</w:t>
      </w:r>
    </w:p>
  </w:footnote>
  <w:footnote w:id="104">
    <w:p w14:paraId="462FC27F" w14:textId="77777777" w:rsidR="00C84D65" w:rsidRPr="001B0B00" w:rsidRDefault="00C84D65" w:rsidP="00C84D65">
      <w:pPr>
        <w:pStyle w:val="FootnoteText"/>
        <w:rPr>
          <w:sz w:val="16"/>
          <w:szCs w:val="16"/>
        </w:rPr>
      </w:pPr>
      <w:r w:rsidRPr="001B0B00">
        <w:rPr>
          <w:rStyle w:val="FootnoteReference"/>
          <w:sz w:val="16"/>
          <w:szCs w:val="16"/>
        </w:rPr>
        <w:footnoteRef/>
      </w:r>
      <w:r w:rsidRPr="001B0B00">
        <w:rPr>
          <w:sz w:val="16"/>
          <w:szCs w:val="16"/>
        </w:rPr>
        <w:t xml:space="preserve"> </w:t>
      </w:r>
      <w:bookmarkStart w:id="38" w:name="_Hlk150150798"/>
      <w:r w:rsidRPr="001B0B00">
        <w:rPr>
          <w:sz w:val="16"/>
          <w:szCs w:val="16"/>
        </w:rPr>
        <w:t xml:space="preserve">Brian Cooper, </w:t>
      </w:r>
      <w:r w:rsidRPr="001B0B00">
        <w:rPr>
          <w:i/>
          <w:iCs/>
          <w:sz w:val="16"/>
          <w:szCs w:val="16"/>
        </w:rPr>
        <w:t>Transformation of a Valley: The Derbyshire Derwent</w:t>
      </w:r>
      <w:r w:rsidRPr="001B0B00">
        <w:rPr>
          <w:sz w:val="16"/>
          <w:szCs w:val="16"/>
        </w:rPr>
        <w:t>, (</w:t>
      </w:r>
      <w:r>
        <w:rPr>
          <w:sz w:val="16"/>
          <w:szCs w:val="16"/>
        </w:rPr>
        <w:t xml:space="preserve">Cromford: </w:t>
      </w:r>
      <w:r w:rsidRPr="001B0B00">
        <w:rPr>
          <w:sz w:val="16"/>
          <w:szCs w:val="16"/>
        </w:rPr>
        <w:t>Scarthin Books, 1991), pp. 104-105.</w:t>
      </w:r>
    </w:p>
    <w:bookmarkEnd w:id="38"/>
  </w:footnote>
  <w:footnote w:id="105">
    <w:p w14:paraId="31455B14" w14:textId="77777777" w:rsidR="00C84D65" w:rsidRPr="001B0B00" w:rsidRDefault="00C84D65" w:rsidP="00C84D65">
      <w:pPr>
        <w:pStyle w:val="FootnoteText"/>
        <w:rPr>
          <w:sz w:val="16"/>
          <w:szCs w:val="16"/>
        </w:rPr>
      </w:pPr>
      <w:r w:rsidRPr="001B0B00">
        <w:rPr>
          <w:rStyle w:val="FootnoteReference"/>
          <w:sz w:val="16"/>
          <w:szCs w:val="16"/>
        </w:rPr>
        <w:footnoteRef/>
      </w:r>
      <w:r w:rsidRPr="001B0B00">
        <w:rPr>
          <w:sz w:val="16"/>
          <w:szCs w:val="16"/>
        </w:rPr>
        <w:t xml:space="preserve"> See S</w:t>
      </w:r>
      <w:r>
        <w:rPr>
          <w:sz w:val="16"/>
          <w:szCs w:val="16"/>
        </w:rPr>
        <w:t>tanley</w:t>
      </w:r>
      <w:r w:rsidRPr="001B0B00">
        <w:rPr>
          <w:sz w:val="16"/>
          <w:szCs w:val="16"/>
        </w:rPr>
        <w:t xml:space="preserve"> D. Chapman</w:t>
      </w:r>
      <w:r>
        <w:rPr>
          <w:sz w:val="16"/>
          <w:szCs w:val="16"/>
        </w:rPr>
        <w:t xml:space="preserve">, </w:t>
      </w:r>
      <w:r w:rsidRPr="00F869BD">
        <w:rPr>
          <w:i/>
          <w:iCs/>
          <w:sz w:val="16"/>
          <w:szCs w:val="16"/>
        </w:rPr>
        <w:t>The Early Factory Masters: The Transition to the Factory System in the Midlands Textile Industry</w:t>
      </w:r>
      <w:r w:rsidRPr="00F869BD">
        <w:rPr>
          <w:sz w:val="16"/>
          <w:szCs w:val="16"/>
        </w:rPr>
        <w:t xml:space="preserve"> (Newton Abbot: David &amp; Charles, 1967)</w:t>
      </w:r>
      <w:r w:rsidRPr="001B0B00">
        <w:rPr>
          <w:sz w:val="16"/>
          <w:szCs w:val="16"/>
        </w:rPr>
        <w:t xml:space="preserve">, pp. 62-77 for an account of the impact of Richard Arkwright. </w:t>
      </w:r>
    </w:p>
  </w:footnote>
  <w:footnote w:id="106">
    <w:p w14:paraId="4CC3D90B" w14:textId="77777777" w:rsidR="00C84D65" w:rsidRDefault="00C84D65" w:rsidP="00C84D65">
      <w:pPr>
        <w:pStyle w:val="FootnoteText"/>
      </w:pPr>
      <w:r w:rsidRPr="001B0B00">
        <w:rPr>
          <w:rStyle w:val="FootnoteReference"/>
          <w:sz w:val="16"/>
          <w:szCs w:val="16"/>
        </w:rPr>
        <w:footnoteRef/>
      </w:r>
      <w:r w:rsidRPr="001B0B00">
        <w:rPr>
          <w:sz w:val="16"/>
          <w:szCs w:val="16"/>
        </w:rPr>
        <w:t xml:space="preserve"> S</w:t>
      </w:r>
      <w:r>
        <w:rPr>
          <w:sz w:val="16"/>
          <w:szCs w:val="16"/>
        </w:rPr>
        <w:t>tanley</w:t>
      </w:r>
      <w:r w:rsidRPr="001B0B00">
        <w:rPr>
          <w:sz w:val="16"/>
          <w:szCs w:val="16"/>
        </w:rPr>
        <w:t xml:space="preserve"> D. Chapman, ‘James </w:t>
      </w:r>
      <w:r w:rsidRPr="001B0B00">
        <w:rPr>
          <w:sz w:val="16"/>
          <w:szCs w:val="16"/>
        </w:rPr>
        <w:t xml:space="preserve">Longsdon (1745–1821), Farmer and Fustian Manufacturer: The Small Firm in the Early English Cotton Industry,’ </w:t>
      </w:r>
      <w:r w:rsidRPr="001B0B00">
        <w:rPr>
          <w:i/>
          <w:iCs/>
          <w:sz w:val="16"/>
          <w:szCs w:val="16"/>
        </w:rPr>
        <w:t>Textile History</w:t>
      </w:r>
      <w:r w:rsidRPr="001B0B00">
        <w:rPr>
          <w:sz w:val="16"/>
          <w:szCs w:val="16"/>
        </w:rPr>
        <w:t>, 1:3 (1970)</w:t>
      </w:r>
      <w:r>
        <w:rPr>
          <w:sz w:val="16"/>
          <w:szCs w:val="16"/>
        </w:rPr>
        <w:t>,</w:t>
      </w:r>
      <w:r w:rsidRPr="001B0B00">
        <w:rPr>
          <w:sz w:val="16"/>
          <w:szCs w:val="16"/>
        </w:rPr>
        <w:t xml:space="preserve"> </w:t>
      </w:r>
      <w:r>
        <w:rPr>
          <w:sz w:val="16"/>
          <w:szCs w:val="16"/>
        </w:rPr>
        <w:t>pp.265-292 (</w:t>
      </w:r>
      <w:r w:rsidRPr="001B0B00">
        <w:rPr>
          <w:sz w:val="16"/>
          <w:szCs w:val="16"/>
        </w:rPr>
        <w:t>p.270</w:t>
      </w:r>
      <w:r>
        <w:rPr>
          <w:sz w:val="16"/>
          <w:szCs w:val="16"/>
        </w:rPr>
        <w:t>)</w:t>
      </w:r>
      <w:r w:rsidRPr="001B0B00">
        <w:rPr>
          <w:sz w:val="16"/>
          <w:szCs w:val="16"/>
        </w:rPr>
        <w:t>.</w:t>
      </w:r>
    </w:p>
  </w:footnote>
  <w:footnote w:id="107">
    <w:p w14:paraId="106A5F7A" w14:textId="77777777" w:rsidR="00C84D65" w:rsidRPr="00F869BD" w:rsidRDefault="00C84D65" w:rsidP="00C84D65">
      <w:pPr>
        <w:pStyle w:val="FootnoteText"/>
        <w:rPr>
          <w:sz w:val="16"/>
          <w:szCs w:val="16"/>
        </w:rPr>
      </w:pPr>
      <w:r w:rsidRPr="00F869BD">
        <w:rPr>
          <w:rStyle w:val="FootnoteReference"/>
          <w:sz w:val="16"/>
          <w:szCs w:val="16"/>
        </w:rPr>
        <w:footnoteRef/>
      </w:r>
      <w:r w:rsidRPr="00F869BD">
        <w:rPr>
          <w:sz w:val="16"/>
          <w:szCs w:val="16"/>
        </w:rPr>
        <w:t xml:space="preserve"> Don Peters, </w:t>
      </w:r>
      <w:r w:rsidRPr="00F869BD">
        <w:rPr>
          <w:i/>
          <w:iCs/>
          <w:sz w:val="16"/>
          <w:szCs w:val="16"/>
        </w:rPr>
        <w:t>Darley Abbey</w:t>
      </w:r>
      <w:r w:rsidRPr="00F869BD">
        <w:rPr>
          <w:sz w:val="16"/>
          <w:szCs w:val="16"/>
        </w:rPr>
        <w:t xml:space="preserve">, p. 31. </w:t>
      </w:r>
    </w:p>
  </w:footnote>
  <w:footnote w:id="108">
    <w:p w14:paraId="5BDD950C" w14:textId="77777777" w:rsidR="00C84D65" w:rsidRPr="00F869BD" w:rsidRDefault="00C84D65" w:rsidP="00C84D65">
      <w:pPr>
        <w:pStyle w:val="FootnoteText"/>
        <w:rPr>
          <w:sz w:val="16"/>
          <w:szCs w:val="16"/>
        </w:rPr>
      </w:pPr>
      <w:r w:rsidRPr="00F869BD">
        <w:rPr>
          <w:rStyle w:val="FootnoteReference"/>
          <w:sz w:val="16"/>
          <w:szCs w:val="16"/>
        </w:rPr>
        <w:footnoteRef/>
      </w:r>
      <w:r w:rsidRPr="00F869BD">
        <w:rPr>
          <w:sz w:val="16"/>
          <w:szCs w:val="16"/>
        </w:rPr>
        <w:t xml:space="preserve"> Jean Lindsay, ‘An Industrial Community – The </w:t>
      </w:r>
      <w:r w:rsidRPr="00F869BD">
        <w:rPr>
          <w:sz w:val="16"/>
          <w:szCs w:val="16"/>
        </w:rPr>
        <w:t>Evans’Cotton Mill at Darley Abbey Derbyshire, 1783-1810’,</w:t>
      </w:r>
      <w:r>
        <w:rPr>
          <w:i/>
          <w:iCs/>
          <w:sz w:val="16"/>
          <w:szCs w:val="16"/>
        </w:rPr>
        <w:t xml:space="preserve"> Business History Review</w:t>
      </w:r>
      <w:r w:rsidRPr="00F869BD">
        <w:rPr>
          <w:sz w:val="16"/>
          <w:szCs w:val="16"/>
        </w:rPr>
        <w:t>,</w:t>
      </w:r>
      <w:r>
        <w:rPr>
          <w:sz w:val="16"/>
          <w:szCs w:val="16"/>
        </w:rPr>
        <w:t xml:space="preserve"> 34:3 (1960), pp. 277-301 (</w:t>
      </w:r>
      <w:r w:rsidRPr="00F869BD">
        <w:rPr>
          <w:sz w:val="16"/>
          <w:szCs w:val="16"/>
        </w:rPr>
        <w:t>p. 301</w:t>
      </w:r>
      <w:r>
        <w:rPr>
          <w:sz w:val="16"/>
          <w:szCs w:val="16"/>
        </w:rPr>
        <w:t>)</w:t>
      </w:r>
      <w:r w:rsidRPr="00F869BD">
        <w:rPr>
          <w:sz w:val="16"/>
          <w:szCs w:val="16"/>
        </w:rPr>
        <w:t xml:space="preserve">. </w:t>
      </w:r>
    </w:p>
  </w:footnote>
  <w:footnote w:id="109">
    <w:p w14:paraId="5EABE35F" w14:textId="77777777" w:rsidR="00C84D65" w:rsidRPr="00F869BD" w:rsidRDefault="00C84D65" w:rsidP="00C84D65">
      <w:pPr>
        <w:pStyle w:val="FootnoteText"/>
        <w:rPr>
          <w:sz w:val="16"/>
          <w:szCs w:val="16"/>
        </w:rPr>
      </w:pPr>
      <w:r w:rsidRPr="00F869BD">
        <w:rPr>
          <w:rStyle w:val="FootnoteReference"/>
          <w:sz w:val="16"/>
          <w:szCs w:val="16"/>
        </w:rPr>
        <w:footnoteRef/>
      </w:r>
      <w:r w:rsidRPr="00F869BD">
        <w:rPr>
          <w:sz w:val="16"/>
          <w:szCs w:val="16"/>
        </w:rPr>
        <w:t xml:space="preserve"> See Anthony Cooke, </w:t>
      </w:r>
      <w:r w:rsidRPr="00F869BD">
        <w:rPr>
          <w:i/>
          <w:iCs/>
          <w:sz w:val="16"/>
          <w:szCs w:val="16"/>
        </w:rPr>
        <w:t>The Rise and Fall of the Scottish Cotton Industry, 1778-1914</w:t>
      </w:r>
      <w:r w:rsidRPr="00F869BD">
        <w:rPr>
          <w:sz w:val="16"/>
          <w:szCs w:val="16"/>
        </w:rPr>
        <w:t xml:space="preserve"> (Manchester: Manchester University Press, 2010), pp. 17, 24, 29-31 for Arkwright’s involvement in partnerships in the Scottish cotton industry of the time. </w:t>
      </w:r>
    </w:p>
  </w:footnote>
  <w:footnote w:id="110">
    <w:p w14:paraId="033E9094" w14:textId="77777777" w:rsidR="00C84D65" w:rsidRPr="00F869BD" w:rsidRDefault="00C84D65" w:rsidP="00C84D65">
      <w:pPr>
        <w:pStyle w:val="FootnoteText"/>
        <w:rPr>
          <w:sz w:val="16"/>
          <w:szCs w:val="16"/>
        </w:rPr>
      </w:pPr>
      <w:r w:rsidRPr="00F869BD">
        <w:rPr>
          <w:rStyle w:val="FootnoteReference"/>
          <w:sz w:val="16"/>
          <w:szCs w:val="16"/>
        </w:rPr>
        <w:footnoteRef/>
      </w:r>
      <w:r w:rsidRPr="00F869BD">
        <w:rPr>
          <w:sz w:val="16"/>
          <w:szCs w:val="16"/>
        </w:rPr>
        <w:t xml:space="preserve"> DLSL</w:t>
      </w:r>
      <w:r>
        <w:rPr>
          <w:sz w:val="16"/>
          <w:szCs w:val="16"/>
        </w:rPr>
        <w:t>,</w:t>
      </w:r>
      <w:r w:rsidRPr="00F869BD">
        <w:rPr>
          <w:sz w:val="16"/>
          <w:szCs w:val="16"/>
        </w:rPr>
        <w:t xml:space="preserve"> BS 677 EVA, DL119 LB R2 and DLSL</w:t>
      </w:r>
      <w:r>
        <w:rPr>
          <w:sz w:val="16"/>
          <w:szCs w:val="16"/>
        </w:rPr>
        <w:t>,</w:t>
      </w:r>
      <w:r w:rsidRPr="00F869BD">
        <w:rPr>
          <w:sz w:val="16"/>
          <w:szCs w:val="16"/>
        </w:rPr>
        <w:t xml:space="preserve"> BS 677 EVA, DL119 LB R3 </w:t>
      </w:r>
      <w:r>
        <w:rPr>
          <w:sz w:val="16"/>
          <w:szCs w:val="16"/>
        </w:rPr>
        <w:t>[</w:t>
      </w:r>
      <w:r w:rsidRPr="00F869BD">
        <w:rPr>
          <w:sz w:val="16"/>
          <w:szCs w:val="16"/>
        </w:rPr>
        <w:t>Annual Settling Accounts and Ledgers</w:t>
      </w:r>
      <w:r>
        <w:rPr>
          <w:sz w:val="16"/>
          <w:szCs w:val="16"/>
        </w:rPr>
        <w:t>].</w:t>
      </w:r>
    </w:p>
  </w:footnote>
  <w:footnote w:id="111">
    <w:p w14:paraId="123D21CF" w14:textId="77777777" w:rsidR="00C84D65" w:rsidRPr="00F869BD" w:rsidRDefault="00C84D65" w:rsidP="00C84D65">
      <w:pPr>
        <w:pStyle w:val="FootnoteText"/>
        <w:rPr>
          <w:sz w:val="16"/>
          <w:szCs w:val="16"/>
        </w:rPr>
      </w:pPr>
      <w:r w:rsidRPr="00F869BD">
        <w:rPr>
          <w:rStyle w:val="FootnoteReference"/>
          <w:sz w:val="16"/>
          <w:szCs w:val="16"/>
        </w:rPr>
        <w:footnoteRef/>
      </w:r>
      <w:r w:rsidRPr="00F869BD">
        <w:rPr>
          <w:sz w:val="16"/>
          <w:szCs w:val="16"/>
        </w:rPr>
        <w:t xml:space="preserve"> DLSL</w:t>
      </w:r>
      <w:r>
        <w:rPr>
          <w:sz w:val="16"/>
          <w:szCs w:val="16"/>
        </w:rPr>
        <w:t>,</w:t>
      </w:r>
      <w:r w:rsidRPr="00F869BD">
        <w:rPr>
          <w:sz w:val="16"/>
          <w:szCs w:val="16"/>
        </w:rPr>
        <w:t xml:space="preserve"> BS 677 EVA,</w:t>
      </w:r>
      <w:r>
        <w:rPr>
          <w:sz w:val="16"/>
          <w:szCs w:val="16"/>
        </w:rPr>
        <w:t xml:space="preserve"> DL119</w:t>
      </w:r>
      <w:r w:rsidRPr="00F869BD">
        <w:rPr>
          <w:sz w:val="16"/>
          <w:szCs w:val="16"/>
        </w:rPr>
        <w:t xml:space="preserve"> CB R1 and DLSL</w:t>
      </w:r>
      <w:r>
        <w:rPr>
          <w:sz w:val="16"/>
          <w:szCs w:val="16"/>
        </w:rPr>
        <w:t>,</w:t>
      </w:r>
      <w:r w:rsidRPr="00F869BD">
        <w:rPr>
          <w:sz w:val="16"/>
          <w:szCs w:val="16"/>
        </w:rPr>
        <w:t xml:space="preserve"> BS 677 EVA, DL119 LB R2 </w:t>
      </w:r>
      <w:r>
        <w:rPr>
          <w:sz w:val="16"/>
          <w:szCs w:val="16"/>
        </w:rPr>
        <w:t>[</w:t>
      </w:r>
      <w:r w:rsidRPr="00F869BD">
        <w:rPr>
          <w:sz w:val="16"/>
          <w:szCs w:val="16"/>
        </w:rPr>
        <w:t>Correspondence Book and Ledger</w:t>
      </w:r>
      <w:r>
        <w:rPr>
          <w:sz w:val="16"/>
          <w:szCs w:val="16"/>
        </w:rPr>
        <w:t>].</w:t>
      </w:r>
    </w:p>
  </w:footnote>
  <w:footnote w:id="112">
    <w:p w14:paraId="4E46C3D7" w14:textId="77777777" w:rsidR="00C84D65" w:rsidRDefault="00C84D65" w:rsidP="00C84D65">
      <w:pPr>
        <w:pStyle w:val="FootnoteText"/>
      </w:pPr>
      <w:r w:rsidRPr="00F869BD">
        <w:rPr>
          <w:rStyle w:val="FootnoteReference"/>
          <w:sz w:val="16"/>
          <w:szCs w:val="16"/>
        </w:rPr>
        <w:footnoteRef/>
      </w:r>
      <w:r w:rsidRPr="00F869BD">
        <w:rPr>
          <w:sz w:val="16"/>
          <w:szCs w:val="16"/>
        </w:rPr>
        <w:t xml:space="preserve"> Adam </w:t>
      </w:r>
      <w:r w:rsidRPr="00F869BD">
        <w:rPr>
          <w:sz w:val="16"/>
          <w:szCs w:val="16"/>
        </w:rPr>
        <w:t xml:space="preserve">Menuge, ‘Boar’s Head Mills, Darley Abbey, Derby: A Survey and Investigation of the Cotton Mills and Ancillary Buildings, Historic Buildings Report,’ </w:t>
      </w:r>
      <w:r w:rsidRPr="00F869BD">
        <w:rPr>
          <w:i/>
          <w:iCs/>
          <w:sz w:val="16"/>
          <w:szCs w:val="16"/>
        </w:rPr>
        <w:t>English Heritage Research Department Report,</w:t>
      </w:r>
      <w:r w:rsidRPr="00F869BD">
        <w:rPr>
          <w:sz w:val="16"/>
          <w:szCs w:val="16"/>
        </w:rPr>
        <w:t xml:space="preserve"> Series No. 35 (2006), p.7.</w:t>
      </w:r>
      <w:r>
        <w:rPr>
          <w:sz w:val="18"/>
          <w:szCs w:val="18"/>
        </w:rPr>
        <w:t xml:space="preserve"> </w:t>
      </w:r>
    </w:p>
  </w:footnote>
  <w:footnote w:id="113">
    <w:p w14:paraId="0BD3DE15"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Lee, </w:t>
      </w:r>
      <w:r w:rsidRPr="00DC1D8B">
        <w:rPr>
          <w:i/>
          <w:iCs/>
          <w:sz w:val="16"/>
          <w:szCs w:val="16"/>
        </w:rPr>
        <w:t>A Cotton Enterprise</w:t>
      </w:r>
      <w:r w:rsidRPr="00DC1D8B">
        <w:rPr>
          <w:sz w:val="16"/>
          <w:szCs w:val="16"/>
        </w:rPr>
        <w:t>, p. 11.</w:t>
      </w:r>
    </w:p>
  </w:footnote>
  <w:footnote w:id="114">
    <w:p w14:paraId="59FB9056"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w:t>
      </w:r>
      <w:r w:rsidRPr="00DC1D8B">
        <w:rPr>
          <w:i/>
          <w:iCs/>
          <w:sz w:val="16"/>
          <w:szCs w:val="16"/>
        </w:rPr>
        <w:t>Ibid</w:t>
      </w:r>
      <w:r w:rsidRPr="00DC1D8B">
        <w:rPr>
          <w:sz w:val="16"/>
          <w:szCs w:val="16"/>
        </w:rPr>
        <w:t xml:space="preserve">. p. 12. </w:t>
      </w:r>
    </w:p>
  </w:footnote>
  <w:footnote w:id="115">
    <w:p w14:paraId="22DD22BD"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Mike Williams with D. A. </w:t>
      </w:r>
      <w:r w:rsidRPr="00DC1D8B">
        <w:rPr>
          <w:sz w:val="16"/>
          <w:szCs w:val="16"/>
        </w:rPr>
        <w:t xml:space="preserve">Farnie, </w:t>
      </w:r>
      <w:r w:rsidRPr="00DC1D8B">
        <w:rPr>
          <w:i/>
          <w:iCs/>
          <w:sz w:val="16"/>
          <w:szCs w:val="16"/>
        </w:rPr>
        <w:t>Cotton Mills in Greater Manchester</w:t>
      </w:r>
      <w:r w:rsidRPr="00DC1D8B">
        <w:rPr>
          <w:sz w:val="16"/>
          <w:szCs w:val="16"/>
        </w:rPr>
        <w:t xml:space="preserve"> (Lancaster: Carnegie Publishing, 1992), p. 164 and JRL, GB 133, MCK/2/1/3-MCK/2/1/22 </w:t>
      </w:r>
      <w:r>
        <w:rPr>
          <w:sz w:val="16"/>
          <w:szCs w:val="16"/>
        </w:rPr>
        <w:t>[L</w:t>
      </w:r>
      <w:r w:rsidRPr="00DC1D8B">
        <w:rPr>
          <w:sz w:val="16"/>
          <w:szCs w:val="16"/>
        </w:rPr>
        <w:t xml:space="preserve">etters </w:t>
      </w:r>
      <w:r>
        <w:rPr>
          <w:sz w:val="16"/>
          <w:szCs w:val="16"/>
        </w:rPr>
        <w:t>R</w:t>
      </w:r>
      <w:r w:rsidRPr="00DC1D8B">
        <w:rPr>
          <w:sz w:val="16"/>
          <w:szCs w:val="16"/>
        </w:rPr>
        <w:t>eceived by McConnel &amp; Kennedy from Boulton &amp; Watt</w:t>
      </w:r>
      <w:r>
        <w:rPr>
          <w:sz w:val="16"/>
          <w:szCs w:val="16"/>
        </w:rPr>
        <w:t xml:space="preserve"> </w:t>
      </w:r>
      <w:r w:rsidRPr="00DC1D8B">
        <w:rPr>
          <w:sz w:val="16"/>
          <w:szCs w:val="16"/>
        </w:rPr>
        <w:t>1797</w:t>
      </w:r>
      <w:r>
        <w:rPr>
          <w:sz w:val="16"/>
          <w:szCs w:val="16"/>
        </w:rPr>
        <w:t>-1805]</w:t>
      </w:r>
      <w:r w:rsidRPr="00DC1D8B">
        <w:rPr>
          <w:sz w:val="16"/>
          <w:szCs w:val="16"/>
        </w:rPr>
        <w:t xml:space="preserve">, and MCK/2/2/2 </w:t>
      </w:r>
      <w:r>
        <w:rPr>
          <w:sz w:val="16"/>
          <w:szCs w:val="16"/>
        </w:rPr>
        <w:t>[</w:t>
      </w:r>
      <w:r w:rsidRPr="00DC1D8B">
        <w:rPr>
          <w:sz w:val="16"/>
          <w:szCs w:val="16"/>
        </w:rPr>
        <w:t xml:space="preserve">19 </w:t>
      </w:r>
      <w:r>
        <w:rPr>
          <w:sz w:val="16"/>
          <w:szCs w:val="16"/>
        </w:rPr>
        <w:t>L</w:t>
      </w:r>
      <w:r w:rsidRPr="00DC1D8B">
        <w:rPr>
          <w:sz w:val="16"/>
          <w:szCs w:val="16"/>
        </w:rPr>
        <w:t xml:space="preserve">etters </w:t>
      </w:r>
      <w:r>
        <w:rPr>
          <w:sz w:val="16"/>
          <w:szCs w:val="16"/>
        </w:rPr>
        <w:t>S</w:t>
      </w:r>
      <w:r w:rsidRPr="00DC1D8B">
        <w:rPr>
          <w:sz w:val="16"/>
          <w:szCs w:val="16"/>
        </w:rPr>
        <w:t>ent to Boulton &amp; Watt from McConnel &amp; Kennedy, 1797-1805</w:t>
      </w:r>
      <w:r>
        <w:rPr>
          <w:sz w:val="16"/>
          <w:szCs w:val="16"/>
        </w:rPr>
        <w:t>].</w:t>
      </w:r>
      <w:r w:rsidRPr="00DC1D8B">
        <w:rPr>
          <w:sz w:val="16"/>
          <w:szCs w:val="16"/>
        </w:rPr>
        <w:t xml:space="preserve"> </w:t>
      </w:r>
    </w:p>
  </w:footnote>
  <w:footnote w:id="116">
    <w:p w14:paraId="188A6AEE"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Custer, Paul Anthony. "The M Yarn: Price and Social Imagination in Early Industrial Britain." </w:t>
      </w:r>
      <w:r w:rsidRPr="00DC1D8B">
        <w:rPr>
          <w:i/>
          <w:iCs/>
          <w:sz w:val="16"/>
          <w:szCs w:val="16"/>
        </w:rPr>
        <w:t>Enterprise &amp; Society</w:t>
      </w:r>
      <w:r w:rsidRPr="00DC1D8B">
        <w:rPr>
          <w:sz w:val="16"/>
          <w:szCs w:val="16"/>
        </w:rPr>
        <w:t>, 15.3 (2014), pp. 417-441.</w:t>
      </w:r>
    </w:p>
  </w:footnote>
  <w:footnote w:id="117">
    <w:p w14:paraId="1134DDC4"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w:t>
      </w:r>
      <w:bookmarkStart w:id="39" w:name="_Hlk156559328"/>
      <w:r w:rsidRPr="00DC1D8B">
        <w:rPr>
          <w:sz w:val="16"/>
          <w:szCs w:val="16"/>
        </w:rPr>
        <w:t xml:space="preserve">Williams and </w:t>
      </w:r>
      <w:r w:rsidRPr="00DC1D8B">
        <w:rPr>
          <w:sz w:val="16"/>
          <w:szCs w:val="16"/>
        </w:rPr>
        <w:t>Farnie</w:t>
      </w:r>
      <w:r w:rsidRPr="00DC1D8B">
        <w:rPr>
          <w:i/>
          <w:iCs/>
          <w:sz w:val="16"/>
          <w:szCs w:val="16"/>
        </w:rPr>
        <w:t>, Cotton Mills in Greater Manchester</w:t>
      </w:r>
      <w:r w:rsidRPr="00DC1D8B">
        <w:rPr>
          <w:sz w:val="16"/>
          <w:szCs w:val="16"/>
        </w:rPr>
        <w:t xml:space="preserve">, p. 53. </w:t>
      </w:r>
      <w:bookmarkEnd w:id="39"/>
    </w:p>
  </w:footnote>
  <w:footnote w:id="118">
    <w:p w14:paraId="342C6F9C"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Roger Lloyd-Jones, and A. A. Le Roux, ‘The Size of Firms in the Cotton Industry: Manchester 1815-41,’ </w:t>
      </w:r>
      <w:r w:rsidRPr="00DC1D8B">
        <w:rPr>
          <w:i/>
          <w:iCs/>
          <w:sz w:val="16"/>
          <w:szCs w:val="16"/>
        </w:rPr>
        <w:t>The Economic History Review</w:t>
      </w:r>
      <w:r w:rsidRPr="00DC1D8B">
        <w:rPr>
          <w:sz w:val="16"/>
          <w:szCs w:val="16"/>
        </w:rPr>
        <w:t>, 33.1 (1980)</w:t>
      </w:r>
      <w:r>
        <w:rPr>
          <w:sz w:val="16"/>
          <w:szCs w:val="16"/>
        </w:rPr>
        <w:t>,</w:t>
      </w:r>
      <w:r w:rsidRPr="00DC1D8B">
        <w:rPr>
          <w:sz w:val="16"/>
          <w:szCs w:val="16"/>
        </w:rPr>
        <w:t xml:space="preserve"> pp. 72-82.</w:t>
      </w:r>
    </w:p>
  </w:footnote>
  <w:footnote w:id="119">
    <w:p w14:paraId="27C2917C" w14:textId="77777777" w:rsidR="00C84D65" w:rsidRDefault="00C84D65" w:rsidP="00C84D65">
      <w:pPr>
        <w:pStyle w:val="FootnoteText"/>
      </w:pPr>
      <w:r w:rsidRPr="00DC1D8B">
        <w:rPr>
          <w:rStyle w:val="FootnoteReference"/>
          <w:sz w:val="16"/>
          <w:szCs w:val="16"/>
        </w:rPr>
        <w:footnoteRef/>
      </w:r>
      <w:r w:rsidRPr="00DC1D8B">
        <w:rPr>
          <w:sz w:val="16"/>
          <w:szCs w:val="16"/>
        </w:rPr>
        <w:t xml:space="preserve"> Williams and </w:t>
      </w:r>
      <w:r w:rsidRPr="00DC1D8B">
        <w:rPr>
          <w:sz w:val="16"/>
          <w:szCs w:val="16"/>
        </w:rPr>
        <w:t xml:space="preserve">Farnie, </w:t>
      </w:r>
      <w:r w:rsidRPr="00DC1D8B">
        <w:rPr>
          <w:i/>
          <w:iCs/>
          <w:sz w:val="16"/>
          <w:szCs w:val="16"/>
        </w:rPr>
        <w:t>Cotton Mills in Greater Manchester</w:t>
      </w:r>
      <w:r w:rsidRPr="00DC1D8B">
        <w:rPr>
          <w:sz w:val="16"/>
          <w:szCs w:val="16"/>
        </w:rPr>
        <w:t>, p. 53.</w:t>
      </w:r>
    </w:p>
  </w:footnote>
  <w:footnote w:id="120">
    <w:p w14:paraId="6E540568"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Lee, </w:t>
      </w:r>
      <w:r w:rsidRPr="00DC1D8B">
        <w:rPr>
          <w:i/>
          <w:iCs/>
          <w:sz w:val="16"/>
          <w:szCs w:val="16"/>
        </w:rPr>
        <w:t>A Cotton Enterprise</w:t>
      </w:r>
      <w:r w:rsidRPr="00DC1D8B">
        <w:rPr>
          <w:sz w:val="16"/>
          <w:szCs w:val="16"/>
        </w:rPr>
        <w:t xml:space="preserve">, p. 151. </w:t>
      </w:r>
    </w:p>
  </w:footnote>
  <w:footnote w:id="121">
    <w:p w14:paraId="28604BF0" w14:textId="77777777" w:rsidR="00C84D65" w:rsidRPr="00DC1D8B" w:rsidRDefault="00C84D65" w:rsidP="00C84D65">
      <w:pPr>
        <w:pStyle w:val="FootnoteText"/>
        <w:rPr>
          <w:sz w:val="16"/>
          <w:szCs w:val="16"/>
        </w:rPr>
      </w:pPr>
      <w:r w:rsidRPr="00DC1D8B">
        <w:rPr>
          <w:rStyle w:val="FootnoteReference"/>
          <w:sz w:val="16"/>
          <w:szCs w:val="16"/>
        </w:rPr>
        <w:footnoteRef/>
      </w:r>
      <w:r w:rsidRPr="00DC1D8B">
        <w:rPr>
          <w:sz w:val="16"/>
          <w:szCs w:val="16"/>
        </w:rPr>
        <w:t xml:space="preserve"> George W. Daniels, ‘</w:t>
      </w:r>
      <w:bookmarkStart w:id="40" w:name="_Hlk149979060"/>
      <w:r w:rsidRPr="00DC1D8B">
        <w:rPr>
          <w:sz w:val="16"/>
          <w:szCs w:val="16"/>
        </w:rPr>
        <w:t>The Early Records of a Great Manchester Cotton-Spinning Firm</w:t>
      </w:r>
      <w:bookmarkEnd w:id="40"/>
      <w:r w:rsidRPr="00DC1D8B">
        <w:rPr>
          <w:sz w:val="16"/>
          <w:szCs w:val="16"/>
        </w:rPr>
        <w:t xml:space="preserve">,’ </w:t>
      </w:r>
      <w:r w:rsidRPr="00DC1D8B">
        <w:rPr>
          <w:i/>
          <w:iCs/>
          <w:sz w:val="16"/>
          <w:szCs w:val="16"/>
        </w:rPr>
        <w:t>The Economic Journal</w:t>
      </w:r>
      <w:r w:rsidRPr="00DC1D8B">
        <w:rPr>
          <w:sz w:val="16"/>
          <w:szCs w:val="16"/>
        </w:rPr>
        <w:t>, 25:98 (1915), pp. 175-188.</w:t>
      </w:r>
    </w:p>
  </w:footnote>
  <w:footnote w:id="122">
    <w:p w14:paraId="4F6190E4" w14:textId="19A59461" w:rsidR="005A05DF" w:rsidRPr="00DC1D8B" w:rsidRDefault="005A05DF" w:rsidP="005A05DF">
      <w:pPr>
        <w:pStyle w:val="FootnoteText"/>
        <w:rPr>
          <w:sz w:val="16"/>
          <w:szCs w:val="16"/>
        </w:rPr>
      </w:pPr>
      <w:r w:rsidRPr="00DC1D8B">
        <w:rPr>
          <w:rStyle w:val="FootnoteReference"/>
          <w:sz w:val="16"/>
          <w:szCs w:val="16"/>
        </w:rPr>
        <w:footnoteRef/>
      </w:r>
      <w:r w:rsidR="00B224C5" w:rsidRPr="00DC1D8B">
        <w:rPr>
          <w:sz w:val="16"/>
          <w:szCs w:val="16"/>
        </w:rPr>
        <w:t xml:space="preserve"> Adam </w:t>
      </w:r>
      <w:r w:rsidR="00B224C5" w:rsidRPr="00DC1D8B">
        <w:rPr>
          <w:sz w:val="16"/>
          <w:szCs w:val="16"/>
        </w:rPr>
        <w:t>Men</w:t>
      </w:r>
      <w:r w:rsidR="00FA45A2" w:rsidRPr="00DC1D8B">
        <w:rPr>
          <w:sz w:val="16"/>
          <w:szCs w:val="16"/>
        </w:rPr>
        <w:t xml:space="preserve">uge, </w:t>
      </w:r>
      <w:r w:rsidR="00FA45A2" w:rsidRPr="00DC1D8B">
        <w:rPr>
          <w:i/>
          <w:iCs/>
          <w:sz w:val="16"/>
          <w:szCs w:val="16"/>
        </w:rPr>
        <w:t>Boar’s Head Mills, Darley Abbey Derby</w:t>
      </w:r>
      <w:r w:rsidR="00FA45A2" w:rsidRPr="00DC1D8B">
        <w:rPr>
          <w:sz w:val="16"/>
          <w:szCs w:val="16"/>
        </w:rPr>
        <w:t xml:space="preserve">, p. 7. </w:t>
      </w:r>
    </w:p>
  </w:footnote>
  <w:footnote w:id="123">
    <w:p w14:paraId="6D006466" w14:textId="777F4418" w:rsidR="005A05DF" w:rsidRPr="00C576C6" w:rsidRDefault="005A05DF" w:rsidP="005A05DF">
      <w:pPr>
        <w:pStyle w:val="FootnoteText"/>
        <w:rPr>
          <w:sz w:val="18"/>
          <w:szCs w:val="18"/>
        </w:rPr>
      </w:pPr>
      <w:r w:rsidRPr="00DC1D8B">
        <w:rPr>
          <w:rStyle w:val="FootnoteReference"/>
          <w:sz w:val="16"/>
          <w:szCs w:val="16"/>
        </w:rPr>
        <w:footnoteRef/>
      </w:r>
      <w:r w:rsidRPr="00DC1D8B">
        <w:rPr>
          <w:sz w:val="16"/>
          <w:szCs w:val="16"/>
        </w:rPr>
        <w:t xml:space="preserve"> </w:t>
      </w:r>
      <w:r w:rsidR="00B224C5" w:rsidRPr="00DC1D8B">
        <w:rPr>
          <w:sz w:val="16"/>
          <w:szCs w:val="16"/>
        </w:rPr>
        <w:t xml:space="preserve">Don Peters, </w:t>
      </w:r>
      <w:r w:rsidR="00B224C5" w:rsidRPr="00DC1D8B">
        <w:rPr>
          <w:i/>
          <w:iCs/>
          <w:sz w:val="16"/>
          <w:szCs w:val="16"/>
        </w:rPr>
        <w:t>Darley Abbey</w:t>
      </w:r>
      <w:r w:rsidR="00B224C5" w:rsidRPr="00DC1D8B">
        <w:rPr>
          <w:sz w:val="16"/>
          <w:szCs w:val="16"/>
        </w:rPr>
        <w:t>, p. 24.</w:t>
      </w:r>
    </w:p>
  </w:footnote>
  <w:footnote w:id="124">
    <w:p w14:paraId="43189AA2" w14:textId="1EA8E581" w:rsidR="005A05DF" w:rsidRPr="00DC1D8B" w:rsidRDefault="005A05DF" w:rsidP="005A05DF">
      <w:pPr>
        <w:pStyle w:val="FootnoteText"/>
        <w:rPr>
          <w:sz w:val="16"/>
          <w:szCs w:val="16"/>
        </w:rPr>
      </w:pPr>
      <w:r w:rsidRPr="00DC1D8B">
        <w:rPr>
          <w:rStyle w:val="FootnoteReference"/>
          <w:sz w:val="16"/>
          <w:szCs w:val="16"/>
        </w:rPr>
        <w:footnoteRef/>
      </w:r>
      <w:r w:rsidRPr="00DC1D8B">
        <w:rPr>
          <w:sz w:val="16"/>
          <w:szCs w:val="16"/>
        </w:rPr>
        <w:t xml:space="preserve"> </w:t>
      </w:r>
      <w:r w:rsidR="00B224C5" w:rsidRPr="00DC1D8B">
        <w:rPr>
          <w:i/>
          <w:iCs/>
          <w:sz w:val="16"/>
          <w:szCs w:val="16"/>
        </w:rPr>
        <w:t>Ibid.</w:t>
      </w:r>
      <w:r w:rsidR="00B224C5" w:rsidRPr="00DC1D8B">
        <w:rPr>
          <w:sz w:val="16"/>
          <w:szCs w:val="16"/>
        </w:rPr>
        <w:t xml:space="preserve"> p. 24-31.  </w:t>
      </w:r>
    </w:p>
  </w:footnote>
  <w:footnote w:id="125">
    <w:p w14:paraId="21F1232D" w14:textId="5E12EAB2" w:rsidR="005A05DF" w:rsidRPr="00DC1D8B" w:rsidRDefault="005A05DF" w:rsidP="005A05DF">
      <w:pPr>
        <w:pStyle w:val="FootnoteText"/>
        <w:rPr>
          <w:sz w:val="16"/>
          <w:szCs w:val="16"/>
        </w:rPr>
      </w:pPr>
      <w:r w:rsidRPr="00DC1D8B">
        <w:rPr>
          <w:rStyle w:val="FootnoteReference"/>
          <w:sz w:val="16"/>
          <w:szCs w:val="16"/>
        </w:rPr>
        <w:footnoteRef/>
      </w:r>
      <w:r w:rsidRPr="00DC1D8B">
        <w:rPr>
          <w:sz w:val="16"/>
          <w:szCs w:val="16"/>
        </w:rPr>
        <w:t xml:space="preserve"> </w:t>
      </w:r>
      <w:r w:rsidR="000C5E8A" w:rsidRPr="00DC1D8B">
        <w:rPr>
          <w:sz w:val="16"/>
          <w:szCs w:val="16"/>
        </w:rPr>
        <w:t>David G</w:t>
      </w:r>
      <w:r w:rsidR="00552BA2" w:rsidRPr="00DC1D8B">
        <w:rPr>
          <w:sz w:val="16"/>
          <w:szCs w:val="16"/>
        </w:rPr>
        <w:t>raham</w:t>
      </w:r>
      <w:r w:rsidR="000C5E8A" w:rsidRPr="00DC1D8B">
        <w:rPr>
          <w:sz w:val="16"/>
          <w:szCs w:val="16"/>
        </w:rPr>
        <w:t xml:space="preserve"> Edwards, </w:t>
      </w:r>
      <w:r w:rsidR="000F793C" w:rsidRPr="00DC1D8B">
        <w:rPr>
          <w:i/>
          <w:iCs/>
          <w:sz w:val="16"/>
          <w:szCs w:val="16"/>
        </w:rPr>
        <w:t>Derbyshire Hearth tax Assessments, 1662-70</w:t>
      </w:r>
      <w:r w:rsidR="000F793C" w:rsidRPr="00DC1D8B">
        <w:rPr>
          <w:sz w:val="16"/>
          <w:szCs w:val="16"/>
        </w:rPr>
        <w:t xml:space="preserve"> (</w:t>
      </w:r>
      <w:r w:rsidR="00C576C6" w:rsidRPr="00DC1D8B">
        <w:rPr>
          <w:sz w:val="16"/>
          <w:szCs w:val="16"/>
        </w:rPr>
        <w:t xml:space="preserve">Chesterfield: </w:t>
      </w:r>
      <w:r w:rsidR="000F793C" w:rsidRPr="00DC1D8B">
        <w:rPr>
          <w:sz w:val="16"/>
          <w:szCs w:val="16"/>
        </w:rPr>
        <w:t>Derbyshire</w:t>
      </w:r>
      <w:r w:rsidR="00C576C6" w:rsidRPr="00DC1D8B">
        <w:rPr>
          <w:sz w:val="16"/>
          <w:szCs w:val="16"/>
        </w:rPr>
        <w:t xml:space="preserve"> Record Society, 1982</w:t>
      </w:r>
      <w:r w:rsidR="00DC1D8B" w:rsidRPr="00DC1D8B">
        <w:rPr>
          <w:sz w:val="16"/>
          <w:szCs w:val="16"/>
        </w:rPr>
        <w:t>),</w:t>
      </w:r>
      <w:r w:rsidR="004D417C" w:rsidRPr="00DC1D8B">
        <w:rPr>
          <w:sz w:val="16"/>
          <w:szCs w:val="16"/>
        </w:rPr>
        <w:t xml:space="preserve"> p</w:t>
      </w:r>
      <w:r w:rsidR="00D82B6D" w:rsidRPr="00DC1D8B">
        <w:rPr>
          <w:sz w:val="16"/>
          <w:szCs w:val="16"/>
        </w:rPr>
        <w:t>p. 181</w:t>
      </w:r>
      <w:r w:rsidR="005109BF" w:rsidRPr="00DC1D8B">
        <w:rPr>
          <w:sz w:val="16"/>
          <w:szCs w:val="16"/>
        </w:rPr>
        <w:t>-</w:t>
      </w:r>
      <w:r w:rsidR="00D82B6D" w:rsidRPr="00DC1D8B">
        <w:rPr>
          <w:sz w:val="16"/>
          <w:szCs w:val="16"/>
        </w:rPr>
        <w:t>196</w:t>
      </w:r>
      <w:r w:rsidR="00896E19" w:rsidRPr="00DC1D8B">
        <w:rPr>
          <w:sz w:val="16"/>
          <w:szCs w:val="16"/>
        </w:rPr>
        <w:t>.</w:t>
      </w:r>
      <w:r w:rsidR="00C576C6" w:rsidRPr="00DC1D8B">
        <w:rPr>
          <w:sz w:val="16"/>
          <w:szCs w:val="16"/>
        </w:rPr>
        <w:t xml:space="preserve"> </w:t>
      </w:r>
      <w:r w:rsidR="000F793C" w:rsidRPr="00DC1D8B">
        <w:rPr>
          <w:sz w:val="16"/>
          <w:szCs w:val="16"/>
        </w:rPr>
        <w:t xml:space="preserve"> </w:t>
      </w:r>
    </w:p>
  </w:footnote>
  <w:footnote w:id="126">
    <w:p w14:paraId="3ADF4586" w14:textId="778E8FF5" w:rsidR="005A05DF" w:rsidRPr="00C576C6" w:rsidRDefault="005A05DF" w:rsidP="005A05DF">
      <w:pPr>
        <w:pStyle w:val="FootnoteText"/>
        <w:rPr>
          <w:sz w:val="18"/>
          <w:szCs w:val="18"/>
        </w:rPr>
      </w:pPr>
      <w:r w:rsidRPr="00DC1D8B">
        <w:rPr>
          <w:rStyle w:val="FootnoteReference"/>
          <w:sz w:val="16"/>
          <w:szCs w:val="16"/>
        </w:rPr>
        <w:footnoteRef/>
      </w:r>
      <w:r w:rsidRPr="00DC1D8B">
        <w:rPr>
          <w:sz w:val="16"/>
          <w:szCs w:val="16"/>
        </w:rPr>
        <w:t xml:space="preserve"> </w:t>
      </w:r>
      <w:r w:rsidR="00A8192E" w:rsidRPr="00DC1D8B">
        <w:rPr>
          <w:sz w:val="16"/>
          <w:szCs w:val="16"/>
        </w:rPr>
        <w:t xml:space="preserve">Leonore Davidoff, and Catherine Hall, </w:t>
      </w:r>
      <w:r w:rsidR="00A8192E" w:rsidRPr="00DC1D8B">
        <w:rPr>
          <w:i/>
          <w:iCs/>
          <w:sz w:val="16"/>
          <w:szCs w:val="16"/>
        </w:rPr>
        <w:t>Family fortunes: Men and women of the English Middle Class 1780–1850</w:t>
      </w:r>
      <w:r w:rsidR="003853AE" w:rsidRPr="00DC1D8B">
        <w:rPr>
          <w:sz w:val="16"/>
          <w:szCs w:val="16"/>
        </w:rPr>
        <w:t xml:space="preserve"> (</w:t>
      </w:r>
      <w:r w:rsidR="00DC1D8B" w:rsidRPr="00DC1D8B">
        <w:rPr>
          <w:sz w:val="16"/>
          <w:szCs w:val="16"/>
        </w:rPr>
        <w:t xml:space="preserve">London: </w:t>
      </w:r>
      <w:r w:rsidR="00A8192E" w:rsidRPr="00DC1D8B">
        <w:rPr>
          <w:sz w:val="16"/>
          <w:szCs w:val="16"/>
        </w:rPr>
        <w:t>Routledge, 2018</w:t>
      </w:r>
      <w:r w:rsidR="003853AE" w:rsidRPr="00DC1D8B">
        <w:rPr>
          <w:sz w:val="16"/>
          <w:szCs w:val="16"/>
        </w:rPr>
        <w:t>) p</w:t>
      </w:r>
      <w:r w:rsidR="004C5B1A" w:rsidRPr="00DC1D8B">
        <w:rPr>
          <w:sz w:val="16"/>
          <w:szCs w:val="16"/>
        </w:rPr>
        <w:t>p</w:t>
      </w:r>
      <w:r w:rsidR="00A8192E" w:rsidRPr="00DC1D8B">
        <w:rPr>
          <w:sz w:val="16"/>
          <w:szCs w:val="16"/>
        </w:rPr>
        <w:t>.</w:t>
      </w:r>
      <w:r w:rsidR="004C5B1A" w:rsidRPr="00DC1D8B">
        <w:rPr>
          <w:sz w:val="16"/>
          <w:szCs w:val="16"/>
        </w:rPr>
        <w:t xml:space="preserve"> 321-356.</w:t>
      </w:r>
      <w:r w:rsidR="004C5B1A">
        <w:rPr>
          <w:sz w:val="18"/>
          <w:szCs w:val="18"/>
        </w:rPr>
        <w:t xml:space="preserve"> </w:t>
      </w:r>
    </w:p>
  </w:footnote>
  <w:footnote w:id="127">
    <w:p w14:paraId="227AE6CB" w14:textId="082BA743" w:rsidR="005A05DF" w:rsidRPr="009C7FE0" w:rsidRDefault="005A05DF" w:rsidP="005A05DF">
      <w:pPr>
        <w:pStyle w:val="FootnoteText"/>
        <w:rPr>
          <w:sz w:val="16"/>
          <w:szCs w:val="16"/>
        </w:rPr>
      </w:pPr>
      <w:r w:rsidRPr="009C7FE0">
        <w:rPr>
          <w:rStyle w:val="FootnoteReference"/>
          <w:sz w:val="16"/>
          <w:szCs w:val="16"/>
        </w:rPr>
        <w:footnoteRef/>
      </w:r>
      <w:r w:rsidRPr="009C7FE0">
        <w:rPr>
          <w:sz w:val="16"/>
          <w:szCs w:val="16"/>
        </w:rPr>
        <w:t xml:space="preserve"> </w:t>
      </w:r>
      <w:bookmarkStart w:id="42" w:name="_Hlk156662562"/>
      <w:r w:rsidR="009C7FE0" w:rsidRPr="009C7FE0">
        <w:rPr>
          <w:sz w:val="16"/>
          <w:szCs w:val="16"/>
        </w:rPr>
        <w:t>Ancestry Ireland Unlimited Company</w:t>
      </w:r>
      <w:bookmarkEnd w:id="42"/>
      <w:r w:rsidR="009C7FE0" w:rsidRPr="009C7FE0">
        <w:rPr>
          <w:sz w:val="16"/>
          <w:szCs w:val="16"/>
        </w:rPr>
        <w:t xml:space="preserve">, </w:t>
      </w:r>
      <w:r w:rsidR="004077A3" w:rsidRPr="009C7FE0">
        <w:rPr>
          <w:i/>
          <w:iCs/>
          <w:sz w:val="16"/>
          <w:szCs w:val="16"/>
        </w:rPr>
        <w:t>DRO</w:t>
      </w:r>
      <w:r w:rsidR="00DC1D8B" w:rsidRPr="009C7FE0">
        <w:rPr>
          <w:i/>
          <w:iCs/>
          <w:sz w:val="16"/>
          <w:szCs w:val="16"/>
        </w:rPr>
        <w:t>:</w:t>
      </w:r>
      <w:r w:rsidR="004077A3" w:rsidRPr="009C7FE0">
        <w:rPr>
          <w:i/>
          <w:iCs/>
          <w:sz w:val="16"/>
          <w:szCs w:val="16"/>
        </w:rPr>
        <w:t xml:space="preserve"> Matlock, Derbyshire, England; Diocese: Diocese of Derby - </w:t>
      </w:r>
      <w:r w:rsidRPr="009C7FE0">
        <w:rPr>
          <w:i/>
          <w:iCs/>
          <w:sz w:val="16"/>
          <w:szCs w:val="16"/>
        </w:rPr>
        <w:t xml:space="preserve">Derbyshire, England, Church of England Baptisms, </w:t>
      </w:r>
      <w:r w:rsidR="004E05D3" w:rsidRPr="009C7FE0">
        <w:rPr>
          <w:i/>
          <w:iCs/>
          <w:sz w:val="16"/>
          <w:szCs w:val="16"/>
        </w:rPr>
        <w:t>Marriages,</w:t>
      </w:r>
      <w:r w:rsidRPr="009C7FE0">
        <w:rPr>
          <w:i/>
          <w:iCs/>
          <w:sz w:val="16"/>
          <w:szCs w:val="16"/>
        </w:rPr>
        <w:t xml:space="preserve"> and Burials, 1538-1812.</w:t>
      </w:r>
      <w:r w:rsidR="004E05D3" w:rsidRPr="009C7FE0">
        <w:rPr>
          <w:i/>
          <w:iCs/>
          <w:sz w:val="16"/>
          <w:szCs w:val="16"/>
        </w:rPr>
        <w:t xml:space="preserve"> </w:t>
      </w:r>
      <w:r w:rsidR="00AA4922" w:rsidRPr="009C7FE0">
        <w:rPr>
          <w:i/>
          <w:iCs/>
          <w:sz w:val="16"/>
          <w:szCs w:val="16"/>
        </w:rPr>
        <w:t>Baptism Records: 21 July 1686</w:t>
      </w:r>
      <w:r w:rsidR="00B128DB" w:rsidRPr="009C7FE0">
        <w:rPr>
          <w:i/>
          <w:iCs/>
          <w:sz w:val="16"/>
          <w:szCs w:val="16"/>
        </w:rPr>
        <w:t xml:space="preserve"> and </w:t>
      </w:r>
      <w:r w:rsidR="004E05D3" w:rsidRPr="009C7FE0">
        <w:rPr>
          <w:i/>
          <w:iCs/>
          <w:sz w:val="16"/>
          <w:szCs w:val="16"/>
        </w:rPr>
        <w:t>Burial Records for</w:t>
      </w:r>
      <w:r w:rsidRPr="009C7FE0">
        <w:rPr>
          <w:i/>
          <w:iCs/>
          <w:sz w:val="16"/>
          <w:szCs w:val="16"/>
        </w:rPr>
        <w:t xml:space="preserve"> </w:t>
      </w:r>
      <w:r w:rsidR="004077A3" w:rsidRPr="009C7FE0">
        <w:rPr>
          <w:i/>
          <w:iCs/>
          <w:sz w:val="16"/>
          <w:szCs w:val="16"/>
        </w:rPr>
        <w:t>Rebecca (Rebekah) Evans, wife of Edmund Evans</w:t>
      </w:r>
      <w:r w:rsidR="00343BA5" w:rsidRPr="009C7FE0">
        <w:rPr>
          <w:i/>
          <w:iCs/>
          <w:sz w:val="16"/>
          <w:szCs w:val="16"/>
        </w:rPr>
        <w:t>, 10 June 1767</w:t>
      </w:r>
      <w:r w:rsidR="004077A3" w:rsidRPr="009C7FE0">
        <w:rPr>
          <w:i/>
          <w:iCs/>
          <w:sz w:val="16"/>
          <w:szCs w:val="16"/>
        </w:rPr>
        <w:t>.</w:t>
      </w:r>
      <w:r w:rsidR="004E05D3" w:rsidRPr="009C7FE0">
        <w:rPr>
          <w:sz w:val="16"/>
          <w:szCs w:val="16"/>
        </w:rPr>
        <w:t xml:space="preserve"> </w:t>
      </w:r>
      <w:r w:rsidR="00AA4922" w:rsidRPr="009C7FE0">
        <w:rPr>
          <w:sz w:val="16"/>
          <w:szCs w:val="16"/>
        </w:rPr>
        <w:t>FHL Film Number: 0428954, 0428955, 428954</w:t>
      </w:r>
      <w:r w:rsidR="009C7FE0">
        <w:rPr>
          <w:sz w:val="16"/>
          <w:szCs w:val="16"/>
        </w:rPr>
        <w:t xml:space="preserve">, </w:t>
      </w:r>
      <w:r w:rsidR="009C7FE0" w:rsidRPr="009C7FE0">
        <w:rPr>
          <w:sz w:val="16"/>
          <w:szCs w:val="16"/>
        </w:rPr>
        <w:t>Ancestry Ireland Unlimited Company</w:t>
      </w:r>
      <w:r w:rsidR="009C7FE0">
        <w:rPr>
          <w:sz w:val="16"/>
          <w:szCs w:val="16"/>
        </w:rPr>
        <w:t xml:space="preserve">, 2002-2024 </w:t>
      </w:r>
      <w:r w:rsidR="009C7FE0" w:rsidRPr="009C7FE0">
        <w:rPr>
          <w:sz w:val="16"/>
          <w:szCs w:val="16"/>
        </w:rPr>
        <w:t xml:space="preserve"> </w:t>
      </w:r>
      <w:hyperlink r:id="rId1" w:history="1">
        <w:r w:rsidR="009C7FE0" w:rsidRPr="009C7FE0">
          <w:rPr>
            <w:rStyle w:val="Hyperlink"/>
            <w:sz w:val="16"/>
            <w:szCs w:val="16"/>
          </w:rPr>
          <w:t>https://www.ancestry.co.uk/</w:t>
        </w:r>
      </w:hyperlink>
      <w:r w:rsidR="002042B8" w:rsidRPr="009C7FE0">
        <w:rPr>
          <w:sz w:val="16"/>
          <w:szCs w:val="16"/>
        </w:rPr>
        <w:t xml:space="preserve"> [last accessed 12 January 2024</w:t>
      </w:r>
      <w:r w:rsidR="009C7FE0" w:rsidRPr="009C7FE0">
        <w:rPr>
          <w:sz w:val="16"/>
          <w:szCs w:val="16"/>
        </w:rPr>
        <w:t>].</w:t>
      </w:r>
    </w:p>
  </w:footnote>
  <w:footnote w:id="128">
    <w:p w14:paraId="1E9AECBE" w14:textId="562A92EC" w:rsidR="00F46CAB" w:rsidRPr="009C5321" w:rsidRDefault="00F46CAB">
      <w:pPr>
        <w:pStyle w:val="FootnoteText"/>
        <w:rPr>
          <w:sz w:val="16"/>
          <w:szCs w:val="16"/>
        </w:rPr>
      </w:pPr>
      <w:r w:rsidRPr="00F26263">
        <w:rPr>
          <w:rStyle w:val="FootnoteReference"/>
          <w:sz w:val="16"/>
          <w:szCs w:val="16"/>
        </w:rPr>
        <w:footnoteRef/>
      </w:r>
      <w:r w:rsidRPr="009C5321">
        <w:rPr>
          <w:sz w:val="16"/>
          <w:szCs w:val="16"/>
        </w:rPr>
        <w:t xml:space="preserve"> </w:t>
      </w:r>
      <w:r w:rsidR="00DC1D8B" w:rsidRPr="009C5321">
        <w:rPr>
          <w:sz w:val="16"/>
          <w:szCs w:val="16"/>
        </w:rPr>
        <w:t xml:space="preserve">DRO: Matlock, Derbyshire, D258/36/2 - </w:t>
      </w:r>
      <w:r w:rsidR="00DC1D8B" w:rsidRPr="009C5321">
        <w:rPr>
          <w:sz w:val="16"/>
          <w:szCs w:val="16"/>
        </w:rPr>
        <w:t>Gell Papers</w:t>
      </w:r>
      <w:r w:rsidR="000A5DAA" w:rsidRPr="009C5321">
        <w:rPr>
          <w:sz w:val="16"/>
          <w:szCs w:val="16"/>
        </w:rPr>
        <w:t>.</w:t>
      </w:r>
    </w:p>
  </w:footnote>
  <w:footnote w:id="129">
    <w:p w14:paraId="0409B08B" w14:textId="73D467DA" w:rsidR="00DA20CF" w:rsidRPr="009C5321" w:rsidRDefault="00DA20CF">
      <w:pPr>
        <w:pStyle w:val="FootnoteText"/>
        <w:rPr>
          <w:sz w:val="16"/>
          <w:szCs w:val="16"/>
        </w:rPr>
      </w:pPr>
      <w:r w:rsidRPr="00DC1D8B">
        <w:rPr>
          <w:rStyle w:val="FootnoteReference"/>
          <w:sz w:val="16"/>
          <w:szCs w:val="16"/>
        </w:rPr>
        <w:footnoteRef/>
      </w:r>
      <w:r w:rsidRPr="009C5321">
        <w:rPr>
          <w:sz w:val="16"/>
          <w:szCs w:val="16"/>
        </w:rPr>
        <w:t xml:space="preserve"> </w:t>
      </w:r>
      <w:r w:rsidR="0002000D" w:rsidRPr="009C5321">
        <w:rPr>
          <w:sz w:val="16"/>
          <w:szCs w:val="16"/>
        </w:rPr>
        <w:t>Elizabeth Eisenb</w:t>
      </w:r>
      <w:r w:rsidR="00D67965" w:rsidRPr="009C5321">
        <w:rPr>
          <w:sz w:val="16"/>
          <w:szCs w:val="16"/>
        </w:rPr>
        <w:t xml:space="preserve">erg, </w:t>
      </w:r>
      <w:r w:rsidR="00D67965" w:rsidRPr="009C5321">
        <w:rPr>
          <w:i/>
          <w:iCs/>
          <w:sz w:val="16"/>
          <w:szCs w:val="16"/>
        </w:rPr>
        <w:t>Allestree,</w:t>
      </w:r>
      <w:r w:rsidR="00D67965" w:rsidRPr="009C5321">
        <w:rPr>
          <w:sz w:val="16"/>
          <w:szCs w:val="16"/>
        </w:rPr>
        <w:t xml:space="preserve"> (Derby: Tranter, 1983), p.6. </w:t>
      </w:r>
    </w:p>
  </w:footnote>
  <w:footnote w:id="130">
    <w:p w14:paraId="18751DB3" w14:textId="3A534FCF" w:rsidR="00F46CAB" w:rsidRPr="00DC1D8B" w:rsidRDefault="00F46CAB">
      <w:pPr>
        <w:pStyle w:val="FootnoteText"/>
        <w:rPr>
          <w:sz w:val="16"/>
          <w:szCs w:val="16"/>
        </w:rPr>
      </w:pPr>
      <w:r w:rsidRPr="00DC1D8B">
        <w:rPr>
          <w:rStyle w:val="FootnoteReference"/>
          <w:sz w:val="16"/>
          <w:szCs w:val="16"/>
        </w:rPr>
        <w:footnoteRef/>
      </w:r>
      <w:r w:rsidRPr="00DC1D8B">
        <w:rPr>
          <w:sz w:val="16"/>
          <w:szCs w:val="16"/>
        </w:rPr>
        <w:t xml:space="preserve"> </w:t>
      </w:r>
      <w:r w:rsidR="00DC1D8B" w:rsidRPr="00DC1D8B">
        <w:rPr>
          <w:sz w:val="16"/>
          <w:szCs w:val="16"/>
        </w:rPr>
        <w:t>DRO: Matlock, Derbyshire, D258/36/4</w:t>
      </w:r>
      <w:r w:rsidR="00DC1D8B">
        <w:rPr>
          <w:sz w:val="16"/>
          <w:szCs w:val="16"/>
        </w:rPr>
        <w:t xml:space="preserve"> -</w:t>
      </w:r>
      <w:r w:rsidR="00DC1D8B" w:rsidRPr="00DC1D8B">
        <w:rPr>
          <w:sz w:val="16"/>
          <w:szCs w:val="16"/>
        </w:rPr>
        <w:t xml:space="preserve"> </w:t>
      </w:r>
      <w:r w:rsidR="00DC1D8B" w:rsidRPr="00DC1D8B">
        <w:rPr>
          <w:sz w:val="16"/>
          <w:szCs w:val="16"/>
        </w:rPr>
        <w:t>Gell Papers</w:t>
      </w:r>
      <w:r w:rsidR="000A5DAA">
        <w:rPr>
          <w:sz w:val="16"/>
          <w:szCs w:val="16"/>
        </w:rPr>
        <w:t>.</w:t>
      </w:r>
    </w:p>
  </w:footnote>
  <w:footnote w:id="131">
    <w:p w14:paraId="62F4988C" w14:textId="4043529E" w:rsidR="00DA20CF" w:rsidRPr="00DC1D8B" w:rsidRDefault="00DA20CF">
      <w:pPr>
        <w:pStyle w:val="FootnoteText"/>
        <w:rPr>
          <w:sz w:val="16"/>
          <w:szCs w:val="16"/>
        </w:rPr>
      </w:pPr>
      <w:r w:rsidRPr="00DC1D8B">
        <w:rPr>
          <w:rStyle w:val="FootnoteReference"/>
          <w:sz w:val="16"/>
          <w:szCs w:val="16"/>
        </w:rPr>
        <w:footnoteRef/>
      </w:r>
      <w:r w:rsidR="00ED5449" w:rsidRPr="00DC1D8B">
        <w:rPr>
          <w:sz w:val="16"/>
          <w:szCs w:val="16"/>
        </w:rPr>
        <w:t xml:space="preserve"> </w:t>
      </w:r>
      <w:r w:rsidR="004F73F3" w:rsidRPr="00DC1D8B">
        <w:rPr>
          <w:sz w:val="16"/>
          <w:szCs w:val="16"/>
        </w:rPr>
        <w:t xml:space="preserve">Nellie Kirkham, ‘Early Lead Smelting in Derbyshire,’ </w:t>
      </w:r>
      <w:r w:rsidR="004F73F3" w:rsidRPr="00DC1D8B">
        <w:rPr>
          <w:i/>
          <w:iCs/>
          <w:sz w:val="16"/>
          <w:szCs w:val="16"/>
        </w:rPr>
        <w:t>Transactions of the Newcomen Society</w:t>
      </w:r>
      <w:r w:rsidR="004F73F3" w:rsidRPr="00DC1D8B">
        <w:rPr>
          <w:sz w:val="16"/>
          <w:szCs w:val="16"/>
        </w:rPr>
        <w:t xml:space="preserve">, </w:t>
      </w:r>
      <w:r w:rsidR="00082529" w:rsidRPr="00DC1D8B">
        <w:rPr>
          <w:sz w:val="16"/>
          <w:szCs w:val="16"/>
        </w:rPr>
        <w:t xml:space="preserve">41:1 </w:t>
      </w:r>
      <w:r w:rsidR="00DC1D8B">
        <w:rPr>
          <w:sz w:val="16"/>
          <w:szCs w:val="16"/>
        </w:rPr>
        <w:t>(</w:t>
      </w:r>
      <w:r w:rsidR="00082529" w:rsidRPr="00DC1D8B">
        <w:rPr>
          <w:sz w:val="16"/>
          <w:szCs w:val="16"/>
        </w:rPr>
        <w:t>1968</w:t>
      </w:r>
      <w:r w:rsidR="00DC1D8B">
        <w:rPr>
          <w:sz w:val="16"/>
          <w:szCs w:val="16"/>
        </w:rPr>
        <w:t>),</w:t>
      </w:r>
      <w:r w:rsidR="00082529" w:rsidRPr="00DC1D8B">
        <w:rPr>
          <w:sz w:val="16"/>
          <w:szCs w:val="16"/>
        </w:rPr>
        <w:t xml:space="preserve"> pp. 119-138. </w:t>
      </w:r>
    </w:p>
  </w:footnote>
  <w:footnote w:id="132">
    <w:p w14:paraId="3054079A" w14:textId="78522D99" w:rsidR="00306629" w:rsidRPr="00DC1D8B" w:rsidRDefault="00306629">
      <w:pPr>
        <w:pStyle w:val="FootnoteText"/>
        <w:rPr>
          <w:sz w:val="16"/>
          <w:szCs w:val="16"/>
        </w:rPr>
      </w:pPr>
      <w:r w:rsidRPr="00DC1D8B">
        <w:rPr>
          <w:rStyle w:val="FootnoteReference"/>
          <w:sz w:val="16"/>
          <w:szCs w:val="16"/>
        </w:rPr>
        <w:footnoteRef/>
      </w:r>
      <w:r w:rsidRPr="00DC1D8B">
        <w:rPr>
          <w:sz w:val="16"/>
          <w:szCs w:val="16"/>
        </w:rPr>
        <w:t xml:space="preserve"> </w:t>
      </w:r>
      <w:r w:rsidR="008339D4" w:rsidRPr="00DC1D8B">
        <w:rPr>
          <w:sz w:val="16"/>
          <w:szCs w:val="16"/>
        </w:rPr>
        <w:t xml:space="preserve">Peters, </w:t>
      </w:r>
      <w:r w:rsidR="008339D4" w:rsidRPr="00DC1D8B">
        <w:rPr>
          <w:i/>
          <w:iCs/>
          <w:sz w:val="16"/>
          <w:szCs w:val="16"/>
        </w:rPr>
        <w:t>Darley Abbey</w:t>
      </w:r>
      <w:r w:rsidR="008339D4" w:rsidRPr="00DC1D8B">
        <w:rPr>
          <w:sz w:val="16"/>
          <w:szCs w:val="16"/>
        </w:rPr>
        <w:t>, p. 2</w:t>
      </w:r>
      <w:r w:rsidR="009729D7" w:rsidRPr="00DC1D8B">
        <w:rPr>
          <w:sz w:val="16"/>
          <w:szCs w:val="16"/>
        </w:rPr>
        <w:t>6</w:t>
      </w:r>
      <w:r w:rsidR="008339D4" w:rsidRPr="00DC1D8B">
        <w:rPr>
          <w:sz w:val="16"/>
          <w:szCs w:val="16"/>
        </w:rPr>
        <w:t xml:space="preserve">. </w:t>
      </w:r>
    </w:p>
  </w:footnote>
  <w:footnote w:id="133">
    <w:p w14:paraId="122FCE0D" w14:textId="71C551E9" w:rsidR="000C11FF" w:rsidRPr="001F0332" w:rsidRDefault="000C11FF">
      <w:pPr>
        <w:pStyle w:val="FootnoteText"/>
        <w:rPr>
          <w:sz w:val="18"/>
          <w:szCs w:val="18"/>
        </w:rPr>
      </w:pPr>
      <w:r w:rsidRPr="00DC1D8B">
        <w:rPr>
          <w:rStyle w:val="FootnoteReference"/>
          <w:sz w:val="16"/>
          <w:szCs w:val="16"/>
        </w:rPr>
        <w:footnoteRef/>
      </w:r>
      <w:r w:rsidRPr="00DC1D8B">
        <w:rPr>
          <w:sz w:val="16"/>
          <w:szCs w:val="16"/>
        </w:rPr>
        <w:t xml:space="preserve"> </w:t>
      </w:r>
      <w:r w:rsidR="00097665" w:rsidRPr="00DC1D8B">
        <w:rPr>
          <w:sz w:val="16"/>
          <w:szCs w:val="16"/>
        </w:rPr>
        <w:t xml:space="preserve">Paul </w:t>
      </w:r>
      <w:r w:rsidR="005C3A7A" w:rsidRPr="00DC1D8B">
        <w:rPr>
          <w:sz w:val="16"/>
          <w:szCs w:val="16"/>
        </w:rPr>
        <w:t xml:space="preserve">Elliott, </w:t>
      </w:r>
      <w:r w:rsidR="00097665" w:rsidRPr="00DC1D8B">
        <w:rPr>
          <w:sz w:val="16"/>
          <w:szCs w:val="16"/>
        </w:rPr>
        <w:t>‘</w:t>
      </w:r>
      <w:r w:rsidR="005C3A7A" w:rsidRPr="00DC1D8B">
        <w:rPr>
          <w:sz w:val="16"/>
          <w:szCs w:val="16"/>
        </w:rPr>
        <w:t>The birth of public science in the English provinces: Natural philosophy in Derby, c. 1690-1760</w:t>
      </w:r>
      <w:r w:rsidR="00097665" w:rsidRPr="00DC1D8B">
        <w:rPr>
          <w:sz w:val="16"/>
          <w:szCs w:val="16"/>
        </w:rPr>
        <w:t>,’</w:t>
      </w:r>
      <w:r w:rsidR="005C3A7A" w:rsidRPr="00DC1D8B">
        <w:rPr>
          <w:sz w:val="16"/>
          <w:szCs w:val="16"/>
        </w:rPr>
        <w:t xml:space="preserve"> </w:t>
      </w:r>
      <w:r w:rsidR="005C3A7A" w:rsidRPr="00DC1D8B">
        <w:rPr>
          <w:i/>
          <w:iCs/>
          <w:sz w:val="16"/>
          <w:szCs w:val="16"/>
        </w:rPr>
        <w:t>Annals of Science</w:t>
      </w:r>
      <w:r w:rsidR="00101D7F" w:rsidRPr="00DC1D8B">
        <w:rPr>
          <w:sz w:val="16"/>
          <w:szCs w:val="16"/>
        </w:rPr>
        <w:t>,</w:t>
      </w:r>
      <w:r w:rsidR="005C3A7A" w:rsidRPr="00DC1D8B">
        <w:rPr>
          <w:sz w:val="16"/>
          <w:szCs w:val="16"/>
        </w:rPr>
        <w:t xml:space="preserve"> 57</w:t>
      </w:r>
      <w:r w:rsidR="00101D7F" w:rsidRPr="00DC1D8B">
        <w:rPr>
          <w:sz w:val="16"/>
          <w:szCs w:val="16"/>
        </w:rPr>
        <w:t>:</w:t>
      </w:r>
      <w:r w:rsidR="005C3A7A" w:rsidRPr="00DC1D8B">
        <w:rPr>
          <w:sz w:val="16"/>
          <w:szCs w:val="16"/>
        </w:rPr>
        <w:t>1 (2000)</w:t>
      </w:r>
      <w:r w:rsidR="00DC1D8B">
        <w:rPr>
          <w:sz w:val="16"/>
          <w:szCs w:val="16"/>
        </w:rPr>
        <w:t>,</w:t>
      </w:r>
      <w:r w:rsidR="00097665" w:rsidRPr="00DC1D8B">
        <w:rPr>
          <w:sz w:val="16"/>
          <w:szCs w:val="16"/>
        </w:rPr>
        <w:t xml:space="preserve"> pp.</w:t>
      </w:r>
      <w:r w:rsidR="005C3A7A" w:rsidRPr="00DC1D8B">
        <w:rPr>
          <w:sz w:val="16"/>
          <w:szCs w:val="16"/>
        </w:rPr>
        <w:t xml:space="preserve"> 61-100.</w:t>
      </w:r>
    </w:p>
  </w:footnote>
  <w:footnote w:id="134">
    <w:p w14:paraId="4CA66F3C" w14:textId="79BC196F" w:rsidR="004446D4" w:rsidRPr="00632C36" w:rsidRDefault="004446D4">
      <w:pPr>
        <w:pStyle w:val="FootnoteText"/>
        <w:rPr>
          <w:sz w:val="16"/>
          <w:szCs w:val="16"/>
        </w:rPr>
      </w:pPr>
      <w:r w:rsidRPr="00632C36">
        <w:rPr>
          <w:rStyle w:val="FootnoteReference"/>
          <w:sz w:val="16"/>
          <w:szCs w:val="16"/>
        </w:rPr>
        <w:footnoteRef/>
      </w:r>
      <w:r w:rsidRPr="00632C36">
        <w:rPr>
          <w:sz w:val="16"/>
          <w:szCs w:val="16"/>
        </w:rPr>
        <w:t xml:space="preserve"> </w:t>
      </w:r>
      <w:r w:rsidR="00F46CAB" w:rsidRPr="00632C36">
        <w:rPr>
          <w:sz w:val="16"/>
          <w:szCs w:val="16"/>
        </w:rPr>
        <w:t xml:space="preserve">Philip </w:t>
      </w:r>
      <w:r w:rsidR="00F46CAB" w:rsidRPr="00632C36">
        <w:rPr>
          <w:sz w:val="16"/>
          <w:szCs w:val="16"/>
        </w:rPr>
        <w:t xml:space="preserve">Riden, </w:t>
      </w:r>
      <w:r w:rsidR="00F46CAB" w:rsidRPr="00632C36">
        <w:rPr>
          <w:i/>
          <w:iCs/>
          <w:sz w:val="16"/>
          <w:szCs w:val="16"/>
        </w:rPr>
        <w:t>A History of Chesterfield Grammar School</w:t>
      </w:r>
      <w:r w:rsidR="00F46CAB" w:rsidRPr="00632C36">
        <w:rPr>
          <w:sz w:val="16"/>
          <w:szCs w:val="16"/>
        </w:rPr>
        <w:t xml:space="preserve"> (Chesterfield: Merton, 2017), p. 95</w:t>
      </w:r>
      <w:r w:rsidR="00DC1D8B" w:rsidRPr="00632C36">
        <w:rPr>
          <w:sz w:val="16"/>
          <w:szCs w:val="16"/>
        </w:rPr>
        <w:t>,</w:t>
      </w:r>
      <w:r w:rsidR="009C7FE0">
        <w:rPr>
          <w:sz w:val="16"/>
          <w:szCs w:val="16"/>
        </w:rPr>
        <w:t xml:space="preserve"> and </w:t>
      </w:r>
      <w:bookmarkStart w:id="43" w:name="_Hlk156661670"/>
      <w:r w:rsidR="009C7FE0" w:rsidRPr="009C7FE0">
        <w:rPr>
          <w:sz w:val="16"/>
          <w:szCs w:val="16"/>
        </w:rPr>
        <w:t>Ancestry Ireland Unlimited Company</w:t>
      </w:r>
      <w:bookmarkEnd w:id="43"/>
      <w:r w:rsidR="009C7FE0">
        <w:rPr>
          <w:sz w:val="16"/>
          <w:szCs w:val="16"/>
        </w:rPr>
        <w:t>,</w:t>
      </w:r>
      <w:r w:rsidR="00F46CAB" w:rsidRPr="00632C36">
        <w:rPr>
          <w:sz w:val="16"/>
          <w:szCs w:val="16"/>
        </w:rPr>
        <w:t xml:space="preserve"> </w:t>
      </w:r>
      <w:r w:rsidRPr="009C7FE0">
        <w:rPr>
          <w:i/>
          <w:iCs/>
          <w:sz w:val="16"/>
          <w:szCs w:val="16"/>
        </w:rPr>
        <w:t>Cambridge University Alumni</w:t>
      </w:r>
      <w:r w:rsidR="009C7FE0">
        <w:rPr>
          <w:i/>
          <w:iCs/>
          <w:sz w:val="16"/>
          <w:szCs w:val="16"/>
        </w:rPr>
        <w:t>,</w:t>
      </w:r>
      <w:r w:rsidR="009C7FE0" w:rsidRPr="009C7FE0">
        <w:t xml:space="preserve"> </w:t>
      </w:r>
      <w:r w:rsidR="009C7FE0" w:rsidRPr="009C7FE0">
        <w:rPr>
          <w:sz w:val="16"/>
          <w:szCs w:val="16"/>
        </w:rPr>
        <w:t>Ancestry Ireland Unlimited Company</w:t>
      </w:r>
      <w:r w:rsidR="009C7FE0">
        <w:rPr>
          <w:sz w:val="16"/>
          <w:szCs w:val="16"/>
        </w:rPr>
        <w:t>, 2002-2024</w:t>
      </w:r>
      <w:r w:rsidRPr="00632C36">
        <w:rPr>
          <w:sz w:val="16"/>
          <w:szCs w:val="16"/>
        </w:rPr>
        <w:t xml:space="preserve"> </w:t>
      </w:r>
      <w:hyperlink r:id="rId2" w:history="1">
        <w:r w:rsidR="009C7FE0" w:rsidRPr="00C47018">
          <w:rPr>
            <w:rStyle w:val="Hyperlink"/>
            <w:sz w:val="16"/>
            <w:szCs w:val="16"/>
          </w:rPr>
          <w:t>https://www.ancestry.co.uk/</w:t>
        </w:r>
      </w:hyperlink>
      <w:r w:rsidR="009C7FE0">
        <w:rPr>
          <w:sz w:val="16"/>
          <w:szCs w:val="16"/>
        </w:rPr>
        <w:t xml:space="preserve"> </w:t>
      </w:r>
      <w:r w:rsidR="00DC1D8B" w:rsidRPr="00632C36">
        <w:rPr>
          <w:sz w:val="16"/>
          <w:szCs w:val="16"/>
        </w:rPr>
        <w:t>[last accessed 12 January 2024</w:t>
      </w:r>
      <w:r w:rsidR="009C7FE0">
        <w:rPr>
          <w:sz w:val="16"/>
          <w:szCs w:val="16"/>
        </w:rPr>
        <w:t>]</w:t>
      </w:r>
      <w:r w:rsidR="00DC1D8B" w:rsidRPr="00632C36">
        <w:rPr>
          <w:sz w:val="16"/>
          <w:szCs w:val="16"/>
        </w:rPr>
        <w:t xml:space="preserve"> </w:t>
      </w:r>
      <w:r w:rsidR="00632C36" w:rsidRPr="00632C36">
        <w:rPr>
          <w:sz w:val="16"/>
          <w:szCs w:val="16"/>
        </w:rPr>
        <w:t xml:space="preserve">and </w:t>
      </w:r>
      <w:r w:rsidRPr="00632C36">
        <w:rPr>
          <w:sz w:val="16"/>
          <w:szCs w:val="16"/>
        </w:rPr>
        <w:t xml:space="preserve">Don Peters, </w:t>
      </w:r>
      <w:r w:rsidRPr="00632C36">
        <w:rPr>
          <w:i/>
          <w:iCs/>
          <w:sz w:val="16"/>
          <w:szCs w:val="16"/>
        </w:rPr>
        <w:t>Darley Abbey</w:t>
      </w:r>
      <w:r w:rsidRPr="00632C36">
        <w:rPr>
          <w:sz w:val="16"/>
          <w:szCs w:val="16"/>
        </w:rPr>
        <w:t>, p. 24</w:t>
      </w:r>
      <w:r w:rsidR="000B30D5" w:rsidRPr="00632C36">
        <w:rPr>
          <w:sz w:val="16"/>
          <w:szCs w:val="16"/>
        </w:rPr>
        <w:t>.</w:t>
      </w:r>
    </w:p>
  </w:footnote>
  <w:footnote w:id="135">
    <w:p w14:paraId="76750A93" w14:textId="3C8C2785" w:rsidR="00527656" w:rsidRPr="00632C36" w:rsidRDefault="00527656">
      <w:pPr>
        <w:pStyle w:val="FootnoteText"/>
        <w:rPr>
          <w:sz w:val="16"/>
          <w:szCs w:val="16"/>
        </w:rPr>
      </w:pPr>
      <w:r w:rsidRPr="00632C36">
        <w:rPr>
          <w:rStyle w:val="FootnoteReference"/>
          <w:sz w:val="16"/>
          <w:szCs w:val="16"/>
        </w:rPr>
        <w:footnoteRef/>
      </w:r>
      <w:r w:rsidRPr="00632C36">
        <w:rPr>
          <w:sz w:val="16"/>
          <w:szCs w:val="16"/>
        </w:rPr>
        <w:t xml:space="preserve"> </w:t>
      </w:r>
      <w:r w:rsidR="00632C36" w:rsidRPr="00632C36">
        <w:rPr>
          <w:sz w:val="16"/>
          <w:szCs w:val="16"/>
        </w:rPr>
        <w:t>Ancestry Ireland Unlimited Company, Ancestry.Co.UK, 2002-2024 &lt;https://www.ancestry.co.uk/ [last accessed 12 January 2024]</w:t>
      </w:r>
      <w:r w:rsidR="000A5DAA">
        <w:rPr>
          <w:sz w:val="16"/>
          <w:szCs w:val="16"/>
        </w:rPr>
        <w:t>.</w:t>
      </w:r>
      <w:r w:rsidR="00632C36" w:rsidRPr="00632C36">
        <w:rPr>
          <w:sz w:val="16"/>
          <w:szCs w:val="16"/>
        </w:rPr>
        <w:t xml:space="preserve">  </w:t>
      </w:r>
    </w:p>
  </w:footnote>
  <w:footnote w:id="136">
    <w:p w14:paraId="0F2B50B5" w14:textId="77CDAE82" w:rsidR="000D2E03" w:rsidRPr="00632C36" w:rsidRDefault="000D2E03">
      <w:pPr>
        <w:pStyle w:val="FootnoteText"/>
        <w:rPr>
          <w:sz w:val="16"/>
          <w:szCs w:val="16"/>
        </w:rPr>
      </w:pPr>
      <w:r w:rsidRPr="00632C36">
        <w:rPr>
          <w:rStyle w:val="FootnoteReference"/>
          <w:sz w:val="16"/>
          <w:szCs w:val="16"/>
        </w:rPr>
        <w:footnoteRef/>
      </w:r>
      <w:r w:rsidRPr="00632C36">
        <w:rPr>
          <w:sz w:val="16"/>
          <w:szCs w:val="16"/>
        </w:rPr>
        <w:t xml:space="preserve"> </w:t>
      </w:r>
      <w:r w:rsidR="009C7FE0" w:rsidRPr="009C7FE0">
        <w:rPr>
          <w:sz w:val="16"/>
          <w:szCs w:val="16"/>
        </w:rPr>
        <w:t>Ancestry Ireland Unlimited Company</w:t>
      </w:r>
      <w:r w:rsidR="009C7FE0">
        <w:rPr>
          <w:sz w:val="16"/>
          <w:szCs w:val="16"/>
        </w:rPr>
        <w:t>,</w:t>
      </w:r>
      <w:r w:rsidR="009C7FE0" w:rsidRPr="009C7FE0">
        <w:rPr>
          <w:sz w:val="16"/>
          <w:szCs w:val="16"/>
        </w:rPr>
        <w:t xml:space="preserve"> </w:t>
      </w:r>
      <w:r w:rsidR="00863C42" w:rsidRPr="009C7FE0">
        <w:rPr>
          <w:i/>
          <w:iCs/>
          <w:sz w:val="16"/>
          <w:szCs w:val="16"/>
        </w:rPr>
        <w:t>SRO</w:t>
      </w:r>
      <w:r w:rsidR="00632C36" w:rsidRPr="009C7FE0">
        <w:rPr>
          <w:i/>
          <w:iCs/>
          <w:sz w:val="16"/>
          <w:szCs w:val="16"/>
        </w:rPr>
        <w:t>:</w:t>
      </w:r>
      <w:r w:rsidR="00863C42" w:rsidRPr="009C7FE0">
        <w:rPr>
          <w:i/>
          <w:iCs/>
          <w:sz w:val="16"/>
          <w:szCs w:val="16"/>
        </w:rPr>
        <w:t xml:space="preserve"> Stafford, </w:t>
      </w:r>
      <w:r w:rsidR="00E0678C" w:rsidRPr="009C7FE0">
        <w:rPr>
          <w:i/>
          <w:iCs/>
          <w:sz w:val="16"/>
          <w:szCs w:val="16"/>
        </w:rPr>
        <w:t>Staffordshire, England, Church of England Baptisms, Marriages and Burials, 1538-1812</w:t>
      </w:r>
      <w:r w:rsidR="00715A44" w:rsidRPr="009C7FE0">
        <w:rPr>
          <w:i/>
          <w:iCs/>
          <w:sz w:val="16"/>
          <w:szCs w:val="16"/>
        </w:rPr>
        <w:t xml:space="preserve"> – 21 April 1738, Ashbourne</w:t>
      </w:r>
      <w:r w:rsidR="001F0332" w:rsidRPr="009C7FE0">
        <w:rPr>
          <w:i/>
          <w:iCs/>
          <w:sz w:val="16"/>
          <w:szCs w:val="16"/>
        </w:rPr>
        <w:t>, Edmund Evans and Sarah Greaves of Mayfield</w:t>
      </w:r>
      <w:r w:rsidR="009C7FE0">
        <w:rPr>
          <w:i/>
          <w:iCs/>
          <w:sz w:val="16"/>
          <w:szCs w:val="16"/>
        </w:rPr>
        <w:t>,</w:t>
      </w:r>
      <w:r w:rsidR="009C7FE0" w:rsidRPr="009C7FE0">
        <w:t xml:space="preserve"> </w:t>
      </w:r>
      <w:r w:rsidR="009C7FE0" w:rsidRPr="009C7FE0">
        <w:rPr>
          <w:sz w:val="16"/>
          <w:szCs w:val="16"/>
        </w:rPr>
        <w:t>Ancestry Ireland Unlimited Company</w:t>
      </w:r>
      <w:r w:rsidR="009C7FE0">
        <w:rPr>
          <w:sz w:val="16"/>
          <w:szCs w:val="16"/>
        </w:rPr>
        <w:t xml:space="preserve">, 2002-2024, </w:t>
      </w:r>
      <w:hyperlink r:id="rId3" w:history="1">
        <w:r w:rsidR="009C7FE0" w:rsidRPr="00C47018">
          <w:rPr>
            <w:rStyle w:val="Hyperlink"/>
            <w:sz w:val="16"/>
            <w:szCs w:val="16"/>
          </w:rPr>
          <w:t>https://www.ancestry.co.uk/</w:t>
        </w:r>
      </w:hyperlink>
      <w:r w:rsidR="00632C36" w:rsidRPr="00632C36">
        <w:rPr>
          <w:sz w:val="16"/>
          <w:szCs w:val="16"/>
        </w:rPr>
        <w:t xml:space="preserve"> [last accessed 12 January 2024]</w:t>
      </w:r>
      <w:r w:rsidR="000A5DAA">
        <w:rPr>
          <w:sz w:val="16"/>
          <w:szCs w:val="16"/>
        </w:rPr>
        <w:t>.</w:t>
      </w:r>
      <w:r w:rsidR="00632C36" w:rsidRPr="00632C36">
        <w:rPr>
          <w:sz w:val="16"/>
          <w:szCs w:val="16"/>
        </w:rPr>
        <w:t xml:space="preserve"> </w:t>
      </w:r>
    </w:p>
  </w:footnote>
  <w:footnote w:id="137">
    <w:p w14:paraId="2717E965" w14:textId="0B5DE6C6" w:rsidR="00337857" w:rsidRPr="00632C36" w:rsidRDefault="00337857">
      <w:pPr>
        <w:pStyle w:val="FootnoteText"/>
        <w:rPr>
          <w:sz w:val="16"/>
          <w:szCs w:val="16"/>
        </w:rPr>
      </w:pPr>
      <w:r w:rsidRPr="00632C36">
        <w:rPr>
          <w:rStyle w:val="FootnoteReference"/>
          <w:sz w:val="16"/>
          <w:szCs w:val="16"/>
        </w:rPr>
        <w:footnoteRef/>
      </w:r>
      <w:r w:rsidRPr="00632C36">
        <w:rPr>
          <w:sz w:val="16"/>
          <w:szCs w:val="16"/>
        </w:rPr>
        <w:t xml:space="preserve"> Alan </w:t>
      </w:r>
      <w:r w:rsidR="00632C36" w:rsidRPr="00632C36">
        <w:rPr>
          <w:sz w:val="16"/>
          <w:szCs w:val="16"/>
        </w:rPr>
        <w:t>Ferguson</w:t>
      </w:r>
      <w:r w:rsidRPr="00632C36">
        <w:rPr>
          <w:sz w:val="16"/>
          <w:szCs w:val="16"/>
        </w:rPr>
        <w:t xml:space="preserve">, </w:t>
      </w:r>
      <w:r w:rsidRPr="00632C36">
        <w:rPr>
          <w:i/>
          <w:iCs/>
          <w:sz w:val="16"/>
          <w:szCs w:val="16"/>
        </w:rPr>
        <w:t>Darley Abbey and the Evans Family</w:t>
      </w:r>
      <w:r w:rsidR="00E75C3B" w:rsidRPr="00632C36">
        <w:rPr>
          <w:i/>
          <w:iCs/>
          <w:sz w:val="16"/>
          <w:szCs w:val="16"/>
        </w:rPr>
        <w:t xml:space="preserve"> (including the Florence Nightingale/Evans Connections)</w:t>
      </w:r>
      <w:r w:rsidR="00E75C3B" w:rsidRPr="00632C36">
        <w:rPr>
          <w:sz w:val="16"/>
          <w:szCs w:val="16"/>
        </w:rPr>
        <w:t xml:space="preserve"> (Darley Abbey</w:t>
      </w:r>
      <w:r w:rsidR="00632C36" w:rsidRPr="00632C36">
        <w:rPr>
          <w:sz w:val="16"/>
          <w:szCs w:val="16"/>
        </w:rPr>
        <w:t xml:space="preserve">: </w:t>
      </w:r>
      <w:r w:rsidR="00632C36" w:rsidRPr="00632C36">
        <w:rPr>
          <w:rFonts w:cstheme="minorHAnsi"/>
          <w:sz w:val="16"/>
          <w:szCs w:val="16"/>
        </w:rPr>
        <w:t>©</w:t>
      </w:r>
      <w:r w:rsidR="00632C36" w:rsidRPr="00632C36">
        <w:rPr>
          <w:sz w:val="16"/>
          <w:szCs w:val="16"/>
        </w:rPr>
        <w:t xml:space="preserve"> Alan Ferguson,</w:t>
      </w:r>
      <w:r w:rsidR="00E75C3B" w:rsidRPr="00632C36">
        <w:rPr>
          <w:sz w:val="16"/>
          <w:szCs w:val="16"/>
        </w:rPr>
        <w:t xml:space="preserve"> 2005), p.8. </w:t>
      </w:r>
    </w:p>
  </w:footnote>
  <w:footnote w:id="138">
    <w:p w14:paraId="42F42874" w14:textId="0F135809" w:rsidR="009D68AA" w:rsidRPr="00632C36" w:rsidRDefault="009D68AA">
      <w:pPr>
        <w:pStyle w:val="FootnoteText"/>
        <w:rPr>
          <w:sz w:val="16"/>
          <w:szCs w:val="16"/>
        </w:rPr>
      </w:pPr>
      <w:r w:rsidRPr="00632C36">
        <w:rPr>
          <w:rStyle w:val="FootnoteReference"/>
          <w:sz w:val="16"/>
          <w:szCs w:val="16"/>
        </w:rPr>
        <w:footnoteRef/>
      </w:r>
      <w:r w:rsidRPr="00632C36">
        <w:rPr>
          <w:sz w:val="16"/>
          <w:szCs w:val="16"/>
        </w:rPr>
        <w:t xml:space="preserve"> </w:t>
      </w:r>
      <w:r w:rsidR="00D54E91" w:rsidRPr="00632C36">
        <w:rPr>
          <w:sz w:val="16"/>
          <w:szCs w:val="16"/>
        </w:rPr>
        <w:t xml:space="preserve">DRO; Matlock, Derbyshire, England; </w:t>
      </w:r>
      <w:r w:rsidR="00D54E91" w:rsidRPr="009C7FE0">
        <w:rPr>
          <w:i/>
          <w:iCs/>
          <w:sz w:val="16"/>
          <w:szCs w:val="16"/>
        </w:rPr>
        <w:t>Diocese: Diocese of Derby;</w:t>
      </w:r>
      <w:r w:rsidR="00BF0547" w:rsidRPr="009C7FE0">
        <w:rPr>
          <w:i/>
          <w:iCs/>
          <w:sz w:val="16"/>
          <w:szCs w:val="16"/>
        </w:rPr>
        <w:t xml:space="preserve"> Derbyshire, England, Church of England Marriages and Banns, 1754-1932</w:t>
      </w:r>
      <w:r w:rsidR="009C7FE0">
        <w:rPr>
          <w:sz w:val="16"/>
          <w:szCs w:val="16"/>
        </w:rPr>
        <w:t xml:space="preserve">, </w:t>
      </w:r>
      <w:r w:rsidR="009C7FE0" w:rsidRPr="00632C36">
        <w:rPr>
          <w:sz w:val="16"/>
          <w:szCs w:val="16"/>
        </w:rPr>
        <w:t>D 1435 A/P14/1</w:t>
      </w:r>
    </w:p>
  </w:footnote>
  <w:footnote w:id="139">
    <w:p w14:paraId="47F4FC48" w14:textId="1EA3BA0E" w:rsidR="00F46CAB" w:rsidRPr="00632C36" w:rsidRDefault="00F46CAB">
      <w:pPr>
        <w:pStyle w:val="FootnoteText"/>
        <w:rPr>
          <w:sz w:val="16"/>
          <w:szCs w:val="16"/>
        </w:rPr>
      </w:pPr>
      <w:r w:rsidRPr="00632C36">
        <w:rPr>
          <w:rStyle w:val="FootnoteReference"/>
          <w:sz w:val="16"/>
          <w:szCs w:val="16"/>
        </w:rPr>
        <w:footnoteRef/>
      </w:r>
      <w:r w:rsidRPr="00632C36">
        <w:rPr>
          <w:sz w:val="16"/>
          <w:szCs w:val="16"/>
        </w:rPr>
        <w:t xml:space="preserve"> </w:t>
      </w:r>
      <w:r w:rsidR="00632C36" w:rsidRPr="00632C36">
        <w:rPr>
          <w:sz w:val="16"/>
          <w:szCs w:val="16"/>
        </w:rPr>
        <w:t xml:space="preserve">Owen, Colin C., Burton upon Trent: The Development of Industry (Chichester: Phillimore, 1978), p25. </w:t>
      </w:r>
    </w:p>
  </w:footnote>
  <w:footnote w:id="140">
    <w:p w14:paraId="5FF4CDAA" w14:textId="17941820" w:rsidR="005A05DF" w:rsidRPr="00C21E68" w:rsidRDefault="005A05DF" w:rsidP="005A05DF">
      <w:pPr>
        <w:pStyle w:val="FootnoteText"/>
        <w:rPr>
          <w:sz w:val="18"/>
          <w:szCs w:val="18"/>
        </w:rPr>
      </w:pPr>
      <w:r w:rsidRPr="00632C36">
        <w:rPr>
          <w:rStyle w:val="FootnoteReference"/>
          <w:sz w:val="16"/>
          <w:szCs w:val="16"/>
        </w:rPr>
        <w:footnoteRef/>
      </w:r>
      <w:r w:rsidRPr="00632C36">
        <w:rPr>
          <w:sz w:val="16"/>
          <w:szCs w:val="16"/>
        </w:rPr>
        <w:t xml:space="preserve"> </w:t>
      </w:r>
      <w:r w:rsidR="009C7FE0" w:rsidRPr="009C7FE0">
        <w:rPr>
          <w:sz w:val="16"/>
          <w:szCs w:val="16"/>
        </w:rPr>
        <w:t>Ancestry Ireland Unlimited Company</w:t>
      </w:r>
      <w:r w:rsidR="009C7FE0">
        <w:rPr>
          <w:sz w:val="16"/>
          <w:szCs w:val="16"/>
        </w:rPr>
        <w:t>,</w:t>
      </w:r>
      <w:r w:rsidR="009C7FE0" w:rsidRPr="009C7FE0">
        <w:rPr>
          <w:sz w:val="16"/>
          <w:szCs w:val="16"/>
        </w:rPr>
        <w:t xml:space="preserve"> </w:t>
      </w:r>
      <w:r w:rsidR="003439DA" w:rsidRPr="00632C36">
        <w:rPr>
          <w:i/>
          <w:iCs/>
          <w:sz w:val="16"/>
          <w:szCs w:val="16"/>
        </w:rPr>
        <w:t>The London Gazette</w:t>
      </w:r>
      <w:r w:rsidR="003439DA" w:rsidRPr="00632C36">
        <w:rPr>
          <w:sz w:val="16"/>
          <w:szCs w:val="16"/>
        </w:rPr>
        <w:t xml:space="preserve">. </w:t>
      </w:r>
      <w:r w:rsidRPr="00632C36">
        <w:rPr>
          <w:sz w:val="16"/>
          <w:szCs w:val="16"/>
        </w:rPr>
        <w:t>No. 25723. 22 July 1887. p. 4001</w:t>
      </w:r>
      <w:r w:rsidR="009C7FE0">
        <w:rPr>
          <w:sz w:val="16"/>
          <w:szCs w:val="16"/>
        </w:rPr>
        <w:t xml:space="preserve">, </w:t>
      </w:r>
      <w:r w:rsidR="009C7FE0" w:rsidRPr="009C7FE0">
        <w:rPr>
          <w:sz w:val="16"/>
          <w:szCs w:val="16"/>
        </w:rPr>
        <w:t>Ancestry Ireland Unlimited Company</w:t>
      </w:r>
      <w:r w:rsidR="009C7FE0">
        <w:rPr>
          <w:sz w:val="16"/>
          <w:szCs w:val="16"/>
        </w:rPr>
        <w:t>, 2002-2024</w:t>
      </w:r>
      <w:r w:rsidR="00632C36" w:rsidRPr="00632C36">
        <w:rPr>
          <w:sz w:val="16"/>
          <w:szCs w:val="16"/>
        </w:rPr>
        <w:t xml:space="preserve"> </w:t>
      </w:r>
      <w:hyperlink r:id="rId4" w:history="1">
        <w:r w:rsidR="00185BD0" w:rsidRPr="00C47018">
          <w:rPr>
            <w:rStyle w:val="Hyperlink"/>
            <w:sz w:val="16"/>
            <w:szCs w:val="16"/>
          </w:rPr>
          <w:t>https://www.ancestry.co.uk/</w:t>
        </w:r>
      </w:hyperlink>
      <w:r w:rsidR="00185BD0" w:rsidRPr="00632C36">
        <w:rPr>
          <w:sz w:val="16"/>
          <w:szCs w:val="16"/>
        </w:rPr>
        <w:t xml:space="preserve"> </w:t>
      </w:r>
      <w:r w:rsidR="00632C36" w:rsidRPr="00632C36">
        <w:rPr>
          <w:sz w:val="16"/>
          <w:szCs w:val="16"/>
        </w:rPr>
        <w:t>[last accessed 12 January 2024]</w:t>
      </w:r>
      <w:r w:rsidR="000A5DAA">
        <w:rPr>
          <w:sz w:val="16"/>
          <w:szCs w:val="16"/>
        </w:rPr>
        <w:t>.</w:t>
      </w:r>
      <w:r w:rsidR="00632C36" w:rsidRPr="00632C36">
        <w:rPr>
          <w:sz w:val="16"/>
          <w:szCs w:val="16"/>
        </w:rPr>
        <w:t xml:space="preserve"> </w:t>
      </w:r>
    </w:p>
  </w:footnote>
  <w:footnote w:id="141">
    <w:p w14:paraId="62A7DD8B" w14:textId="76419682" w:rsidR="00527656" w:rsidRPr="00632C36" w:rsidRDefault="00527656">
      <w:pPr>
        <w:pStyle w:val="FootnoteText"/>
        <w:rPr>
          <w:sz w:val="16"/>
          <w:szCs w:val="16"/>
        </w:rPr>
      </w:pPr>
      <w:r w:rsidRPr="00632C36">
        <w:rPr>
          <w:rStyle w:val="FootnoteReference"/>
          <w:sz w:val="16"/>
          <w:szCs w:val="16"/>
        </w:rPr>
        <w:footnoteRef/>
      </w:r>
      <w:r w:rsidRPr="00632C36">
        <w:rPr>
          <w:sz w:val="16"/>
          <w:szCs w:val="16"/>
        </w:rPr>
        <w:t xml:space="preserve"> </w:t>
      </w:r>
      <w:bookmarkStart w:id="44" w:name="_Hlk156580254"/>
      <w:r w:rsidR="00632C36" w:rsidRPr="00632C36">
        <w:rPr>
          <w:sz w:val="16"/>
          <w:szCs w:val="16"/>
        </w:rPr>
        <w:t>Alistair Livingston,</w:t>
      </w:r>
      <w:r w:rsidR="00F62B97">
        <w:rPr>
          <w:sz w:val="16"/>
          <w:szCs w:val="16"/>
        </w:rPr>
        <w:t xml:space="preserve"> </w:t>
      </w:r>
      <w:r w:rsidR="00632C36" w:rsidRPr="00632C36">
        <w:rPr>
          <w:sz w:val="16"/>
          <w:szCs w:val="16"/>
        </w:rPr>
        <w:t xml:space="preserve">‘The </w:t>
      </w:r>
      <w:r w:rsidR="00632C36" w:rsidRPr="00632C36">
        <w:rPr>
          <w:sz w:val="16"/>
          <w:szCs w:val="16"/>
        </w:rPr>
        <w:t xml:space="preserve">Glenkens, Cattle, Cotton and Capitalism,’ </w:t>
      </w:r>
      <w:r w:rsidR="00632C36" w:rsidRPr="00632C36">
        <w:rPr>
          <w:i/>
          <w:iCs/>
          <w:sz w:val="16"/>
          <w:szCs w:val="16"/>
        </w:rPr>
        <w:t>Transactions of Dumfriesshire and Galloway Natural History and Antiquarian Society</w:t>
      </w:r>
      <w:r w:rsidR="00632C36" w:rsidRPr="00632C36">
        <w:rPr>
          <w:sz w:val="16"/>
          <w:szCs w:val="16"/>
        </w:rPr>
        <w:t xml:space="preserve">, Third Series, vol. 90 </w:t>
      </w:r>
      <w:r w:rsidR="00632C36">
        <w:rPr>
          <w:sz w:val="16"/>
          <w:szCs w:val="16"/>
        </w:rPr>
        <w:t>(</w:t>
      </w:r>
      <w:r w:rsidR="00632C36" w:rsidRPr="00632C36">
        <w:rPr>
          <w:sz w:val="16"/>
          <w:szCs w:val="16"/>
        </w:rPr>
        <w:t>2016</w:t>
      </w:r>
      <w:r w:rsidR="00632C36">
        <w:rPr>
          <w:sz w:val="16"/>
          <w:szCs w:val="16"/>
        </w:rPr>
        <w:t>)</w:t>
      </w:r>
      <w:r w:rsidR="00632C36" w:rsidRPr="00632C36">
        <w:rPr>
          <w:sz w:val="16"/>
          <w:szCs w:val="16"/>
        </w:rPr>
        <w:t xml:space="preserve">, pp. 67-78 (p.69).  </w:t>
      </w:r>
      <w:bookmarkEnd w:id="44"/>
    </w:p>
  </w:footnote>
  <w:footnote w:id="142">
    <w:p w14:paraId="4D82DD61" w14:textId="53B04C67" w:rsidR="005A05DF" w:rsidRPr="00632C36" w:rsidRDefault="005A05DF" w:rsidP="005A05DF">
      <w:pPr>
        <w:pStyle w:val="FootnoteText"/>
        <w:rPr>
          <w:color w:val="FF0000"/>
          <w:sz w:val="16"/>
          <w:szCs w:val="16"/>
        </w:rPr>
      </w:pPr>
      <w:r w:rsidRPr="00632C36">
        <w:rPr>
          <w:rStyle w:val="FootnoteReference"/>
          <w:sz w:val="16"/>
          <w:szCs w:val="16"/>
        </w:rPr>
        <w:footnoteRef/>
      </w:r>
      <w:r w:rsidRPr="00632C36">
        <w:rPr>
          <w:sz w:val="16"/>
          <w:szCs w:val="16"/>
        </w:rPr>
        <w:t xml:space="preserve"> </w:t>
      </w:r>
      <w:r w:rsidR="0036592E" w:rsidRPr="00632C36">
        <w:rPr>
          <w:sz w:val="16"/>
          <w:szCs w:val="16"/>
        </w:rPr>
        <w:t>Sir Leslie Stephen, ed</w:t>
      </w:r>
      <w:r w:rsidR="00F26263">
        <w:rPr>
          <w:sz w:val="16"/>
          <w:szCs w:val="16"/>
        </w:rPr>
        <w:t>.</w:t>
      </w:r>
      <w:r w:rsidR="0036592E" w:rsidRPr="00632C36">
        <w:rPr>
          <w:sz w:val="16"/>
          <w:szCs w:val="16"/>
        </w:rPr>
        <w:t xml:space="preserve"> </w:t>
      </w:r>
      <w:r w:rsidR="00D1097E" w:rsidRPr="00632C36">
        <w:rPr>
          <w:i/>
          <w:iCs/>
          <w:sz w:val="16"/>
          <w:szCs w:val="16"/>
        </w:rPr>
        <w:t>Dictionary of National Biography</w:t>
      </w:r>
      <w:r w:rsidR="00D1097E" w:rsidRPr="00632C36">
        <w:rPr>
          <w:sz w:val="16"/>
          <w:szCs w:val="16"/>
        </w:rPr>
        <w:t>, Volumes 1-22</w:t>
      </w:r>
      <w:r w:rsidR="00D56B87" w:rsidRPr="00632C36">
        <w:rPr>
          <w:sz w:val="16"/>
          <w:szCs w:val="16"/>
        </w:rPr>
        <w:t xml:space="preserve">, </w:t>
      </w:r>
      <w:r w:rsidR="0036592E" w:rsidRPr="00632C36">
        <w:rPr>
          <w:sz w:val="16"/>
          <w:szCs w:val="16"/>
        </w:rPr>
        <w:t>(</w:t>
      </w:r>
      <w:r w:rsidR="00D56B87" w:rsidRPr="00632C36">
        <w:rPr>
          <w:sz w:val="16"/>
          <w:szCs w:val="16"/>
        </w:rPr>
        <w:t>London, England: Oxford University Press</w:t>
      </w:r>
      <w:r w:rsidR="0036592E" w:rsidRPr="00632C36">
        <w:rPr>
          <w:sz w:val="16"/>
          <w:szCs w:val="16"/>
        </w:rPr>
        <w:t>)</w:t>
      </w:r>
      <w:r w:rsidR="00D56B87" w:rsidRPr="00632C36">
        <w:rPr>
          <w:sz w:val="16"/>
          <w:szCs w:val="16"/>
        </w:rPr>
        <w:t xml:space="preserve"> Volume: Vol 10</w:t>
      </w:r>
      <w:r w:rsidR="0036592E" w:rsidRPr="00632C36">
        <w:rPr>
          <w:sz w:val="16"/>
          <w:szCs w:val="16"/>
        </w:rPr>
        <w:t>,</w:t>
      </w:r>
      <w:r w:rsidR="00D56B87" w:rsidRPr="00632C36">
        <w:rPr>
          <w:sz w:val="16"/>
          <w:szCs w:val="16"/>
        </w:rPr>
        <w:t xml:space="preserve"> </w:t>
      </w:r>
      <w:r w:rsidR="0036592E" w:rsidRPr="00632C36">
        <w:rPr>
          <w:sz w:val="16"/>
          <w:szCs w:val="16"/>
        </w:rPr>
        <w:t>p.</w:t>
      </w:r>
      <w:r w:rsidR="00D56B87" w:rsidRPr="00632C36">
        <w:rPr>
          <w:sz w:val="16"/>
          <w:szCs w:val="16"/>
        </w:rPr>
        <w:t xml:space="preserve"> 1316</w:t>
      </w:r>
      <w:r w:rsidR="0036592E" w:rsidRPr="00632C36">
        <w:rPr>
          <w:sz w:val="16"/>
          <w:szCs w:val="16"/>
        </w:rPr>
        <w:t xml:space="preserve">. </w:t>
      </w:r>
    </w:p>
  </w:footnote>
  <w:footnote w:id="143">
    <w:p w14:paraId="3073BE49" w14:textId="555F8DD2" w:rsidR="005A05DF" w:rsidRPr="00632C36" w:rsidRDefault="005A05DF" w:rsidP="005A05DF">
      <w:pPr>
        <w:pStyle w:val="FootnoteText"/>
        <w:rPr>
          <w:sz w:val="16"/>
          <w:szCs w:val="16"/>
        </w:rPr>
      </w:pPr>
      <w:r w:rsidRPr="00632C36">
        <w:rPr>
          <w:rStyle w:val="FootnoteReference"/>
          <w:sz w:val="16"/>
          <w:szCs w:val="16"/>
        </w:rPr>
        <w:footnoteRef/>
      </w:r>
      <w:r w:rsidRPr="00632C36">
        <w:rPr>
          <w:sz w:val="16"/>
          <w:szCs w:val="16"/>
        </w:rPr>
        <w:t xml:space="preserve"> </w:t>
      </w:r>
      <w:r w:rsidR="002E33C0" w:rsidRPr="00632C36">
        <w:rPr>
          <w:sz w:val="16"/>
          <w:szCs w:val="16"/>
        </w:rPr>
        <w:t xml:space="preserve">Livingston, ‘The </w:t>
      </w:r>
      <w:r w:rsidR="002E33C0" w:rsidRPr="00632C36">
        <w:rPr>
          <w:sz w:val="16"/>
          <w:szCs w:val="16"/>
        </w:rPr>
        <w:t xml:space="preserve">Glenkens, Cattle, Cotton and Capitalism,’ </w:t>
      </w:r>
      <w:r w:rsidR="002E33C0" w:rsidRPr="00632C36">
        <w:rPr>
          <w:i/>
          <w:iCs/>
          <w:sz w:val="16"/>
          <w:szCs w:val="16"/>
        </w:rPr>
        <w:t>Transactions of Dumfriesshire and Galloway Natural History and Antiquarian Society</w:t>
      </w:r>
      <w:r w:rsidR="002E33C0" w:rsidRPr="00632C36">
        <w:rPr>
          <w:sz w:val="16"/>
          <w:szCs w:val="16"/>
        </w:rPr>
        <w:t xml:space="preserve">, </w:t>
      </w:r>
      <w:r w:rsidR="000436E5" w:rsidRPr="00632C36">
        <w:rPr>
          <w:sz w:val="16"/>
          <w:szCs w:val="16"/>
        </w:rPr>
        <w:t xml:space="preserve">p. </w:t>
      </w:r>
      <w:r w:rsidR="009A2452" w:rsidRPr="00632C36">
        <w:rPr>
          <w:sz w:val="16"/>
          <w:szCs w:val="16"/>
        </w:rPr>
        <w:t xml:space="preserve">69. </w:t>
      </w:r>
      <w:r w:rsidR="00920AC9" w:rsidRPr="00632C36">
        <w:rPr>
          <w:sz w:val="16"/>
          <w:szCs w:val="16"/>
        </w:rPr>
        <w:t xml:space="preserve"> </w:t>
      </w:r>
    </w:p>
  </w:footnote>
  <w:footnote w:id="144">
    <w:p w14:paraId="6357CD82" w14:textId="6B7665A0" w:rsidR="005A05DF" w:rsidRPr="00632C36" w:rsidRDefault="005A05DF" w:rsidP="005A05DF">
      <w:pPr>
        <w:pStyle w:val="FootnoteText"/>
        <w:rPr>
          <w:sz w:val="16"/>
          <w:szCs w:val="16"/>
        </w:rPr>
      </w:pPr>
      <w:r w:rsidRPr="00632C36">
        <w:rPr>
          <w:rStyle w:val="FootnoteReference"/>
          <w:sz w:val="16"/>
          <w:szCs w:val="16"/>
        </w:rPr>
        <w:footnoteRef/>
      </w:r>
      <w:r w:rsidRPr="00632C36">
        <w:rPr>
          <w:sz w:val="16"/>
          <w:szCs w:val="16"/>
        </w:rPr>
        <w:t xml:space="preserve"> </w:t>
      </w:r>
      <w:bookmarkStart w:id="45" w:name="_Hlk156576922"/>
      <w:r w:rsidRPr="00632C36">
        <w:rPr>
          <w:sz w:val="16"/>
          <w:szCs w:val="16"/>
        </w:rPr>
        <w:t>Lee</w:t>
      </w:r>
      <w:r w:rsidR="002E33C0" w:rsidRPr="00632C36">
        <w:rPr>
          <w:sz w:val="16"/>
          <w:szCs w:val="16"/>
        </w:rPr>
        <w:t xml:space="preserve">, </w:t>
      </w:r>
      <w:r w:rsidR="00077DB5" w:rsidRPr="00632C36">
        <w:rPr>
          <w:i/>
          <w:iCs/>
          <w:sz w:val="16"/>
          <w:szCs w:val="16"/>
        </w:rPr>
        <w:t>A Cotton Enterprise</w:t>
      </w:r>
      <w:r w:rsidR="00077DB5" w:rsidRPr="00632C36">
        <w:rPr>
          <w:sz w:val="16"/>
          <w:szCs w:val="16"/>
        </w:rPr>
        <w:t>, p.</w:t>
      </w:r>
      <w:r w:rsidR="004F7DC3" w:rsidRPr="00632C36">
        <w:rPr>
          <w:sz w:val="16"/>
          <w:szCs w:val="16"/>
        </w:rPr>
        <w:t xml:space="preserve">11. </w:t>
      </w:r>
      <w:r w:rsidR="00077DB5" w:rsidRPr="00632C36">
        <w:rPr>
          <w:sz w:val="16"/>
          <w:szCs w:val="16"/>
        </w:rPr>
        <w:t xml:space="preserve"> </w:t>
      </w:r>
      <w:r w:rsidRPr="00632C36">
        <w:rPr>
          <w:sz w:val="16"/>
          <w:szCs w:val="16"/>
        </w:rPr>
        <w:t xml:space="preserve"> </w:t>
      </w:r>
      <w:bookmarkEnd w:id="45"/>
    </w:p>
  </w:footnote>
  <w:footnote w:id="145">
    <w:p w14:paraId="3A73F002" w14:textId="64C325B2" w:rsidR="005A05DF" w:rsidRPr="00C21E68" w:rsidRDefault="005A05DF" w:rsidP="005A05DF">
      <w:pPr>
        <w:pStyle w:val="FootnoteText"/>
        <w:rPr>
          <w:sz w:val="18"/>
          <w:szCs w:val="18"/>
        </w:rPr>
      </w:pPr>
      <w:r w:rsidRPr="00632C36">
        <w:rPr>
          <w:rStyle w:val="FootnoteReference"/>
          <w:sz w:val="16"/>
          <w:szCs w:val="16"/>
        </w:rPr>
        <w:footnoteRef/>
      </w:r>
      <w:r w:rsidRPr="00632C36">
        <w:rPr>
          <w:sz w:val="16"/>
          <w:szCs w:val="16"/>
        </w:rPr>
        <w:t xml:space="preserve"> Daniels</w:t>
      </w:r>
      <w:r w:rsidR="00515856" w:rsidRPr="00632C36">
        <w:rPr>
          <w:sz w:val="16"/>
          <w:szCs w:val="16"/>
        </w:rPr>
        <w:t>, ‘The Early Records of a Great Manchester Cotton-Spinning Firm</w:t>
      </w:r>
      <w:r w:rsidR="00F14745" w:rsidRPr="00632C36">
        <w:rPr>
          <w:sz w:val="16"/>
          <w:szCs w:val="16"/>
        </w:rPr>
        <w:t>,</w:t>
      </w:r>
      <w:r w:rsidR="00F26263" w:rsidRPr="00F26263">
        <w:t xml:space="preserve"> </w:t>
      </w:r>
      <w:r w:rsidR="00F26263" w:rsidRPr="00F26263">
        <w:rPr>
          <w:i/>
          <w:iCs/>
          <w:sz w:val="16"/>
          <w:szCs w:val="16"/>
        </w:rPr>
        <w:t>The Economic Journa</w:t>
      </w:r>
      <w:r w:rsidR="00F26263" w:rsidRPr="00F26263">
        <w:rPr>
          <w:sz w:val="16"/>
          <w:szCs w:val="16"/>
        </w:rPr>
        <w:t>l</w:t>
      </w:r>
      <w:r w:rsidR="00515856" w:rsidRPr="00632C36">
        <w:rPr>
          <w:sz w:val="16"/>
          <w:szCs w:val="16"/>
        </w:rPr>
        <w:t>’ p. 175.</w:t>
      </w:r>
      <w:r w:rsidR="00515856" w:rsidRPr="00C21E68">
        <w:rPr>
          <w:sz w:val="18"/>
          <w:szCs w:val="18"/>
        </w:rPr>
        <w:t xml:space="preserve"> </w:t>
      </w:r>
    </w:p>
  </w:footnote>
  <w:footnote w:id="146">
    <w:p w14:paraId="2CE4EE48" w14:textId="77777777" w:rsidR="00AB67A9" w:rsidRPr="00F26263" w:rsidRDefault="00AB67A9" w:rsidP="00AB67A9">
      <w:pPr>
        <w:pStyle w:val="FootnoteText"/>
        <w:rPr>
          <w:sz w:val="16"/>
          <w:szCs w:val="16"/>
        </w:rPr>
      </w:pPr>
      <w:r w:rsidRPr="00F26263">
        <w:rPr>
          <w:rStyle w:val="FootnoteReference"/>
          <w:sz w:val="16"/>
          <w:szCs w:val="16"/>
        </w:rPr>
        <w:footnoteRef/>
      </w:r>
      <w:r w:rsidRPr="00F26263">
        <w:rPr>
          <w:sz w:val="16"/>
          <w:szCs w:val="16"/>
        </w:rPr>
        <w:t xml:space="preserve"> Livingston, ‘The </w:t>
      </w:r>
      <w:r w:rsidRPr="00F26263">
        <w:rPr>
          <w:sz w:val="16"/>
          <w:szCs w:val="16"/>
        </w:rPr>
        <w:t xml:space="preserve">Glenkens, Cattle, Cotton and Capitalism,’ </w:t>
      </w:r>
      <w:r w:rsidRPr="00F26263">
        <w:rPr>
          <w:i/>
          <w:iCs/>
          <w:sz w:val="16"/>
          <w:szCs w:val="16"/>
        </w:rPr>
        <w:t>Transactions of Dumfriesshire and Galloway Natural History and Antiquarian Society</w:t>
      </w:r>
      <w:r w:rsidRPr="00F26263">
        <w:rPr>
          <w:sz w:val="16"/>
          <w:szCs w:val="16"/>
        </w:rPr>
        <w:t>, p. 69</w:t>
      </w:r>
      <w:r>
        <w:rPr>
          <w:sz w:val="16"/>
          <w:szCs w:val="16"/>
        </w:rPr>
        <w:t>.</w:t>
      </w:r>
    </w:p>
  </w:footnote>
  <w:footnote w:id="147">
    <w:p w14:paraId="65961473" w14:textId="77777777" w:rsidR="00AB67A9" w:rsidRPr="00F26263" w:rsidRDefault="00AB67A9" w:rsidP="00AB67A9">
      <w:pPr>
        <w:pStyle w:val="FootnoteText"/>
        <w:rPr>
          <w:sz w:val="16"/>
          <w:szCs w:val="16"/>
        </w:rPr>
      </w:pPr>
      <w:r w:rsidRPr="00F26263">
        <w:rPr>
          <w:rStyle w:val="FootnoteReference"/>
          <w:sz w:val="16"/>
          <w:szCs w:val="16"/>
        </w:rPr>
        <w:footnoteRef/>
      </w:r>
      <w:r w:rsidRPr="00F26263">
        <w:rPr>
          <w:sz w:val="16"/>
          <w:szCs w:val="16"/>
        </w:rPr>
        <w:t xml:space="preserve"> </w:t>
      </w:r>
      <w:bookmarkStart w:id="46" w:name="_Hlk149946010"/>
      <w:r w:rsidRPr="00F26263">
        <w:rPr>
          <w:sz w:val="16"/>
          <w:szCs w:val="16"/>
        </w:rPr>
        <w:t xml:space="preserve">Livingston, ‘The </w:t>
      </w:r>
      <w:r w:rsidRPr="00F26263">
        <w:rPr>
          <w:sz w:val="16"/>
          <w:szCs w:val="16"/>
        </w:rPr>
        <w:t xml:space="preserve">Glenkens, Cattle, Cotton and Capitalism,’ p. 67.  </w:t>
      </w:r>
    </w:p>
    <w:bookmarkEnd w:id="46"/>
  </w:footnote>
  <w:footnote w:id="148">
    <w:p w14:paraId="499B66E1" w14:textId="77777777" w:rsidR="00AB67A9" w:rsidRPr="00F26263" w:rsidRDefault="00AB67A9" w:rsidP="00AB67A9">
      <w:pPr>
        <w:pStyle w:val="FootnoteText"/>
        <w:rPr>
          <w:sz w:val="16"/>
          <w:szCs w:val="16"/>
        </w:rPr>
      </w:pPr>
      <w:r w:rsidRPr="00F26263">
        <w:rPr>
          <w:rStyle w:val="FootnoteReference"/>
          <w:sz w:val="16"/>
          <w:szCs w:val="16"/>
        </w:rPr>
        <w:footnoteRef/>
      </w:r>
      <w:r w:rsidRPr="00F26263">
        <w:rPr>
          <w:sz w:val="16"/>
          <w:szCs w:val="16"/>
        </w:rPr>
        <w:t xml:space="preserve"> </w:t>
      </w:r>
      <w:r w:rsidRPr="00F26263">
        <w:rPr>
          <w:i/>
          <w:iCs/>
          <w:sz w:val="16"/>
          <w:szCs w:val="16"/>
        </w:rPr>
        <w:t>Ibid.</w:t>
      </w:r>
      <w:r w:rsidRPr="00F26263">
        <w:rPr>
          <w:sz w:val="16"/>
          <w:szCs w:val="16"/>
        </w:rPr>
        <w:t xml:space="preserve"> p. 75. </w:t>
      </w:r>
    </w:p>
  </w:footnote>
  <w:footnote w:id="149">
    <w:p w14:paraId="69C69D2D" w14:textId="77777777" w:rsidR="00AB67A9" w:rsidRPr="00F26263" w:rsidRDefault="00AB67A9" w:rsidP="00AB67A9">
      <w:pPr>
        <w:pStyle w:val="FootnoteText"/>
        <w:rPr>
          <w:color w:val="FF0000"/>
          <w:sz w:val="16"/>
          <w:szCs w:val="16"/>
        </w:rPr>
      </w:pPr>
      <w:r w:rsidRPr="00F26263">
        <w:rPr>
          <w:rStyle w:val="FootnoteReference"/>
          <w:sz w:val="16"/>
          <w:szCs w:val="16"/>
        </w:rPr>
        <w:footnoteRef/>
      </w:r>
      <w:r w:rsidRPr="00F26263">
        <w:rPr>
          <w:sz w:val="16"/>
          <w:szCs w:val="16"/>
        </w:rPr>
        <w:t xml:space="preserve"> </w:t>
      </w:r>
      <w:r w:rsidRPr="00185BD0">
        <w:rPr>
          <w:sz w:val="16"/>
          <w:szCs w:val="16"/>
        </w:rPr>
        <w:t>Ancestry Ireland Unlimited Company</w:t>
      </w:r>
      <w:r>
        <w:rPr>
          <w:sz w:val="16"/>
          <w:szCs w:val="16"/>
        </w:rPr>
        <w:t>,</w:t>
      </w:r>
      <w:r w:rsidRPr="00185BD0">
        <w:rPr>
          <w:sz w:val="16"/>
          <w:szCs w:val="16"/>
        </w:rPr>
        <w:t xml:space="preserve"> </w:t>
      </w:r>
      <w:r w:rsidRPr="000A5DAA">
        <w:rPr>
          <w:i/>
          <w:iCs/>
          <w:sz w:val="16"/>
          <w:szCs w:val="16"/>
        </w:rPr>
        <w:t>Scotland: Select Births and Baptisms, 1564-1950</w:t>
      </w:r>
      <w:r w:rsidRPr="00F26263">
        <w:rPr>
          <w:sz w:val="16"/>
          <w:szCs w:val="16"/>
        </w:rPr>
        <w:t xml:space="preserve"> – </w:t>
      </w:r>
      <w:r w:rsidRPr="00185BD0">
        <w:rPr>
          <w:i/>
          <w:iCs/>
          <w:sz w:val="16"/>
          <w:szCs w:val="16"/>
        </w:rPr>
        <w:t xml:space="preserve">James McConnel baptism 25 June 1762 at Kells. Father: James McConnel, Mother: Mary </w:t>
      </w:r>
      <w:r w:rsidRPr="00185BD0">
        <w:rPr>
          <w:i/>
          <w:iCs/>
          <w:sz w:val="16"/>
          <w:szCs w:val="16"/>
        </w:rPr>
        <w:t>Cannan</w:t>
      </w:r>
      <w:r>
        <w:rPr>
          <w:i/>
          <w:iCs/>
          <w:sz w:val="16"/>
          <w:szCs w:val="16"/>
        </w:rPr>
        <w:t xml:space="preserve">, </w:t>
      </w:r>
      <w:r w:rsidRPr="00185BD0">
        <w:rPr>
          <w:sz w:val="16"/>
          <w:szCs w:val="16"/>
        </w:rPr>
        <w:t>Ancestry Ireland Unlimited Company</w:t>
      </w:r>
      <w:r>
        <w:rPr>
          <w:sz w:val="16"/>
          <w:szCs w:val="16"/>
        </w:rPr>
        <w:t xml:space="preserve">, 2002-2024 </w:t>
      </w:r>
      <w:hyperlink r:id="rId5" w:history="1">
        <w:r w:rsidRPr="00C47018">
          <w:rPr>
            <w:rStyle w:val="Hyperlink"/>
            <w:sz w:val="16"/>
            <w:szCs w:val="16"/>
          </w:rPr>
          <w:t>https://www.ancestry.co.uk/</w:t>
        </w:r>
      </w:hyperlink>
      <w:r w:rsidRPr="00F26263">
        <w:rPr>
          <w:sz w:val="16"/>
          <w:szCs w:val="16"/>
        </w:rPr>
        <w:t xml:space="preserve"> [last accessed 12 January 2024]</w:t>
      </w:r>
      <w:r>
        <w:rPr>
          <w:sz w:val="16"/>
          <w:szCs w:val="16"/>
        </w:rPr>
        <w:t>.</w:t>
      </w:r>
      <w:r w:rsidRPr="00F26263">
        <w:rPr>
          <w:sz w:val="16"/>
          <w:szCs w:val="16"/>
        </w:rPr>
        <w:t xml:space="preserve">  </w:t>
      </w:r>
    </w:p>
  </w:footnote>
  <w:footnote w:id="150">
    <w:p w14:paraId="0388C694" w14:textId="77777777" w:rsidR="00AB67A9" w:rsidRDefault="00AB67A9" w:rsidP="00AB67A9">
      <w:pPr>
        <w:pStyle w:val="FootnoteText"/>
      </w:pPr>
      <w:r w:rsidRPr="00F26263">
        <w:rPr>
          <w:rStyle w:val="FootnoteReference"/>
          <w:sz w:val="16"/>
          <w:szCs w:val="16"/>
        </w:rPr>
        <w:footnoteRef/>
      </w:r>
      <w:r w:rsidRPr="00F26263">
        <w:rPr>
          <w:sz w:val="16"/>
          <w:szCs w:val="16"/>
        </w:rPr>
        <w:t xml:space="preserve"> Lee, </w:t>
      </w:r>
      <w:r w:rsidRPr="00F26263">
        <w:rPr>
          <w:i/>
          <w:iCs/>
          <w:sz w:val="16"/>
          <w:szCs w:val="16"/>
        </w:rPr>
        <w:t>A Cotton Enterprise</w:t>
      </w:r>
      <w:r w:rsidRPr="00F26263">
        <w:rPr>
          <w:sz w:val="16"/>
          <w:szCs w:val="16"/>
        </w:rPr>
        <w:t>, p.11.</w:t>
      </w:r>
      <w:r w:rsidRPr="00F26263">
        <w:t xml:space="preserve">   </w:t>
      </w:r>
    </w:p>
  </w:footnote>
  <w:footnote w:id="151">
    <w:p w14:paraId="0E057BCF" w14:textId="38FA3129" w:rsidR="005A05DF" w:rsidRPr="00F26263" w:rsidRDefault="005A05DF" w:rsidP="005A05DF">
      <w:pPr>
        <w:pStyle w:val="FootnoteText"/>
        <w:rPr>
          <w:sz w:val="16"/>
          <w:szCs w:val="16"/>
        </w:rPr>
      </w:pPr>
      <w:r w:rsidRPr="00F26263">
        <w:rPr>
          <w:rStyle w:val="FootnoteReference"/>
          <w:sz w:val="16"/>
          <w:szCs w:val="16"/>
        </w:rPr>
        <w:footnoteRef/>
      </w:r>
      <w:r w:rsidRPr="00F26263">
        <w:rPr>
          <w:sz w:val="16"/>
          <w:szCs w:val="16"/>
        </w:rPr>
        <w:t xml:space="preserve"> Sunderland</w:t>
      </w:r>
      <w:r w:rsidR="00F27E85" w:rsidRPr="00F26263">
        <w:rPr>
          <w:sz w:val="16"/>
          <w:szCs w:val="16"/>
        </w:rPr>
        <w:t xml:space="preserve">, </w:t>
      </w:r>
      <w:bookmarkStart w:id="48" w:name="_Hlk149979489"/>
      <w:r w:rsidR="00F27E85" w:rsidRPr="00F26263">
        <w:rPr>
          <w:i/>
          <w:iCs/>
          <w:sz w:val="16"/>
          <w:szCs w:val="16"/>
        </w:rPr>
        <w:t xml:space="preserve">Social Capital, Trust and the Industrial Revolution, </w:t>
      </w:r>
      <w:r w:rsidR="00F27E85" w:rsidRPr="00F26263">
        <w:rPr>
          <w:sz w:val="16"/>
          <w:szCs w:val="16"/>
        </w:rPr>
        <w:t>p.</w:t>
      </w:r>
      <w:r w:rsidR="00AC61DF" w:rsidRPr="00F26263">
        <w:rPr>
          <w:sz w:val="16"/>
          <w:szCs w:val="16"/>
        </w:rPr>
        <w:t xml:space="preserve">72. </w:t>
      </w:r>
      <w:r w:rsidR="00F27E85" w:rsidRPr="00F26263">
        <w:rPr>
          <w:i/>
          <w:iCs/>
          <w:sz w:val="16"/>
          <w:szCs w:val="16"/>
        </w:rPr>
        <w:t xml:space="preserve"> </w:t>
      </w:r>
      <w:bookmarkEnd w:id="48"/>
    </w:p>
  </w:footnote>
  <w:footnote w:id="152">
    <w:p w14:paraId="1B86FAAF" w14:textId="1AE10F75" w:rsidR="00567D41" w:rsidRPr="00F26263" w:rsidRDefault="00567D41">
      <w:pPr>
        <w:pStyle w:val="FootnoteText"/>
        <w:rPr>
          <w:sz w:val="16"/>
          <w:szCs w:val="16"/>
        </w:rPr>
      </w:pPr>
      <w:r w:rsidRPr="00F26263">
        <w:rPr>
          <w:rStyle w:val="FootnoteReference"/>
          <w:sz w:val="16"/>
          <w:szCs w:val="16"/>
        </w:rPr>
        <w:footnoteRef/>
      </w:r>
      <w:r w:rsidRPr="00F26263">
        <w:rPr>
          <w:sz w:val="16"/>
          <w:szCs w:val="16"/>
        </w:rPr>
        <w:t xml:space="preserve"> </w:t>
      </w:r>
      <w:bookmarkStart w:id="49" w:name="_Hlk170479300"/>
      <w:r w:rsidR="00F26263">
        <w:rPr>
          <w:sz w:val="16"/>
          <w:szCs w:val="16"/>
        </w:rPr>
        <w:t xml:space="preserve">Sheryllynne </w:t>
      </w:r>
      <w:r w:rsidRPr="00F26263">
        <w:rPr>
          <w:sz w:val="16"/>
          <w:szCs w:val="16"/>
        </w:rPr>
        <w:t xml:space="preserve">Haggerty, </w:t>
      </w:r>
      <w:r w:rsidRPr="00F26263">
        <w:rPr>
          <w:i/>
          <w:iCs/>
          <w:sz w:val="16"/>
          <w:szCs w:val="16"/>
        </w:rPr>
        <w:t xml:space="preserve">Merely for </w:t>
      </w:r>
      <w:r w:rsidRPr="00F26263">
        <w:rPr>
          <w:i/>
          <w:iCs/>
          <w:sz w:val="16"/>
          <w:szCs w:val="16"/>
        </w:rPr>
        <w:t>Money?</w:t>
      </w:r>
      <w:r w:rsidR="00F26263" w:rsidRPr="00F26263">
        <w:rPr>
          <w:i/>
          <w:iCs/>
          <w:sz w:val="16"/>
          <w:szCs w:val="16"/>
        </w:rPr>
        <w:t>: Business Culture in The British Atlantic, 1750-1815</w:t>
      </w:r>
      <w:r w:rsidR="00F26263">
        <w:rPr>
          <w:sz w:val="16"/>
          <w:szCs w:val="16"/>
        </w:rPr>
        <w:t xml:space="preserve"> (Liverpool: Liverpool University Press, 2012), pp 66-97. </w:t>
      </w:r>
      <w:r w:rsidRPr="00F26263">
        <w:rPr>
          <w:sz w:val="16"/>
          <w:szCs w:val="16"/>
        </w:rPr>
        <w:t xml:space="preserve"> </w:t>
      </w:r>
      <w:bookmarkEnd w:id="49"/>
    </w:p>
  </w:footnote>
  <w:footnote w:id="153">
    <w:p w14:paraId="036B7B4F" w14:textId="0B8EEFA6" w:rsidR="005A05DF" w:rsidRPr="00F26263" w:rsidRDefault="005A05DF" w:rsidP="005A05DF">
      <w:pPr>
        <w:pStyle w:val="FootnoteText"/>
        <w:rPr>
          <w:sz w:val="16"/>
          <w:szCs w:val="16"/>
        </w:rPr>
      </w:pPr>
      <w:r w:rsidRPr="00F26263">
        <w:rPr>
          <w:rStyle w:val="FootnoteReference"/>
          <w:sz w:val="16"/>
          <w:szCs w:val="16"/>
        </w:rPr>
        <w:footnoteRef/>
      </w:r>
      <w:r w:rsidRPr="00F26263">
        <w:rPr>
          <w:sz w:val="16"/>
          <w:szCs w:val="16"/>
        </w:rPr>
        <w:t xml:space="preserve"> Mark </w:t>
      </w:r>
      <w:r w:rsidRPr="00F26263">
        <w:rPr>
          <w:sz w:val="16"/>
          <w:szCs w:val="16"/>
        </w:rPr>
        <w:t>Granovetter, ‘Economic Action and Social Structure: The Problem of Embeddedness’</w:t>
      </w:r>
      <w:r w:rsidR="00F26263">
        <w:rPr>
          <w:sz w:val="16"/>
          <w:szCs w:val="16"/>
        </w:rPr>
        <w:t>,</w:t>
      </w:r>
      <w:r w:rsidRPr="00F26263">
        <w:rPr>
          <w:sz w:val="16"/>
          <w:szCs w:val="16"/>
        </w:rPr>
        <w:t xml:space="preserve"> in </w:t>
      </w:r>
      <w:r w:rsidR="00F26263" w:rsidRPr="00F26263">
        <w:rPr>
          <w:i/>
          <w:iCs/>
          <w:sz w:val="16"/>
          <w:szCs w:val="16"/>
        </w:rPr>
        <w:t>The Sociology of Economic Life</w:t>
      </w:r>
      <w:r w:rsidR="00F26263" w:rsidRPr="00F26263">
        <w:rPr>
          <w:sz w:val="16"/>
          <w:szCs w:val="16"/>
        </w:rPr>
        <w:t xml:space="preserve"> </w:t>
      </w:r>
      <w:r w:rsidR="00F26263">
        <w:rPr>
          <w:sz w:val="16"/>
          <w:szCs w:val="16"/>
        </w:rPr>
        <w:t xml:space="preserve">ed. By </w:t>
      </w:r>
      <w:r w:rsidRPr="00F26263">
        <w:rPr>
          <w:sz w:val="16"/>
          <w:szCs w:val="16"/>
        </w:rPr>
        <w:t>Mark Granovetter and Richard Swedberg (Oxford: Westview Press, 1992), p.54</w:t>
      </w:r>
      <w:r w:rsidR="0046777D" w:rsidRPr="00F26263">
        <w:rPr>
          <w:sz w:val="16"/>
          <w:szCs w:val="16"/>
        </w:rPr>
        <w:t>.</w:t>
      </w:r>
    </w:p>
  </w:footnote>
  <w:footnote w:id="154">
    <w:p w14:paraId="4D6647A3" w14:textId="4BC0E2BF" w:rsidR="005A05DF" w:rsidRPr="00F26263" w:rsidRDefault="005A05DF" w:rsidP="005A05DF">
      <w:pPr>
        <w:pStyle w:val="FootnoteText"/>
        <w:rPr>
          <w:sz w:val="16"/>
          <w:szCs w:val="16"/>
        </w:rPr>
      </w:pPr>
      <w:r w:rsidRPr="00F26263">
        <w:rPr>
          <w:rStyle w:val="FootnoteReference"/>
          <w:sz w:val="16"/>
          <w:szCs w:val="16"/>
        </w:rPr>
        <w:footnoteRef/>
      </w:r>
      <w:r w:rsidRPr="00F26263">
        <w:rPr>
          <w:sz w:val="16"/>
          <w:szCs w:val="16"/>
        </w:rPr>
        <w:t xml:space="preserve"> See Karl Polanyi, </w:t>
      </w:r>
      <w:r w:rsidRPr="00F26263">
        <w:rPr>
          <w:i/>
          <w:iCs/>
          <w:sz w:val="16"/>
          <w:szCs w:val="16"/>
        </w:rPr>
        <w:t>The Great Transformation</w:t>
      </w:r>
      <w:r w:rsidRPr="00F26263">
        <w:rPr>
          <w:sz w:val="16"/>
          <w:szCs w:val="16"/>
        </w:rPr>
        <w:t>, (New York: Holt, Rinehart, 1944)</w:t>
      </w:r>
      <w:r w:rsidR="00AD4214">
        <w:rPr>
          <w:sz w:val="16"/>
          <w:szCs w:val="16"/>
        </w:rPr>
        <w:t>.</w:t>
      </w:r>
      <w:r w:rsidRPr="00F26263">
        <w:rPr>
          <w:sz w:val="16"/>
          <w:szCs w:val="16"/>
        </w:rPr>
        <w:t xml:space="preserve"> </w:t>
      </w:r>
    </w:p>
  </w:footnote>
  <w:footnote w:id="155">
    <w:p w14:paraId="5DF937B5" w14:textId="77777777" w:rsidR="00287DD9" w:rsidRPr="00872963" w:rsidRDefault="00287DD9" w:rsidP="00287DD9">
      <w:pPr>
        <w:pStyle w:val="FootnoteText"/>
        <w:rPr>
          <w:sz w:val="18"/>
          <w:szCs w:val="18"/>
        </w:rPr>
      </w:pPr>
      <w:r w:rsidRPr="00F26263">
        <w:rPr>
          <w:rStyle w:val="FootnoteReference"/>
          <w:sz w:val="16"/>
          <w:szCs w:val="16"/>
        </w:rPr>
        <w:footnoteRef/>
      </w:r>
      <w:r w:rsidRPr="00F26263">
        <w:rPr>
          <w:sz w:val="16"/>
          <w:szCs w:val="16"/>
        </w:rPr>
        <w:t xml:space="preserve"> See D. North, and R. Thomas, </w:t>
      </w:r>
      <w:r w:rsidRPr="00F26263">
        <w:rPr>
          <w:i/>
          <w:iCs/>
          <w:sz w:val="16"/>
          <w:szCs w:val="16"/>
        </w:rPr>
        <w:t>The Rise of the Western World</w:t>
      </w:r>
      <w:r w:rsidRPr="00F26263">
        <w:rPr>
          <w:sz w:val="16"/>
          <w:szCs w:val="16"/>
        </w:rPr>
        <w:t xml:space="preserve"> (Cambridge: Cambridge University Press, 1973)</w:t>
      </w:r>
      <w:r>
        <w:rPr>
          <w:sz w:val="16"/>
          <w:szCs w:val="16"/>
        </w:rPr>
        <w:t>.</w:t>
      </w:r>
    </w:p>
  </w:footnote>
  <w:footnote w:id="156">
    <w:p w14:paraId="3BDCD16C" w14:textId="75B5E1AF" w:rsidR="000648E0" w:rsidRPr="00AD4214" w:rsidRDefault="000648E0">
      <w:pPr>
        <w:pStyle w:val="FootnoteText"/>
        <w:rPr>
          <w:sz w:val="16"/>
          <w:szCs w:val="16"/>
        </w:rPr>
      </w:pPr>
      <w:r w:rsidRPr="00AD4214">
        <w:rPr>
          <w:rStyle w:val="FootnoteReference"/>
          <w:sz w:val="16"/>
          <w:szCs w:val="16"/>
        </w:rPr>
        <w:footnoteRef/>
      </w:r>
      <w:r w:rsidRPr="00AD4214">
        <w:rPr>
          <w:sz w:val="16"/>
          <w:szCs w:val="16"/>
        </w:rPr>
        <w:t xml:space="preserve"> </w:t>
      </w:r>
      <w:r w:rsidR="00AD4214" w:rsidRPr="00AD4214">
        <w:rPr>
          <w:sz w:val="16"/>
          <w:szCs w:val="16"/>
        </w:rPr>
        <w:t xml:space="preserve">Carolyn Downs, ‘Networks, trust, and risk mitigation during the American revolutionary war: a case study,’ </w:t>
      </w:r>
      <w:r w:rsidR="00AD4214" w:rsidRPr="00AD4214">
        <w:rPr>
          <w:i/>
          <w:iCs/>
          <w:sz w:val="16"/>
          <w:szCs w:val="16"/>
        </w:rPr>
        <w:t>Economic History Review</w:t>
      </w:r>
      <w:r w:rsidR="00AD4214" w:rsidRPr="00AD4214">
        <w:rPr>
          <w:sz w:val="16"/>
          <w:szCs w:val="16"/>
        </w:rPr>
        <w:t>, 70, 2 (2017), pp. 509-528.</w:t>
      </w:r>
    </w:p>
  </w:footnote>
  <w:footnote w:id="157">
    <w:p w14:paraId="155CEF02" w14:textId="7DEFE0F3" w:rsidR="000648E0" w:rsidRPr="009C05E2" w:rsidRDefault="000648E0" w:rsidP="000648E0">
      <w:pPr>
        <w:pStyle w:val="FootnoteText"/>
        <w:rPr>
          <w:sz w:val="16"/>
          <w:szCs w:val="16"/>
        </w:rPr>
      </w:pPr>
      <w:r w:rsidRPr="009C05E2">
        <w:rPr>
          <w:rStyle w:val="FootnoteReference"/>
          <w:sz w:val="16"/>
          <w:szCs w:val="16"/>
        </w:rPr>
        <w:footnoteRef/>
      </w:r>
      <w:r w:rsidRPr="009C05E2">
        <w:rPr>
          <w:sz w:val="16"/>
          <w:szCs w:val="16"/>
        </w:rPr>
        <w:t xml:space="preserve"> Mark S. </w:t>
      </w:r>
      <w:r w:rsidRPr="009C05E2">
        <w:rPr>
          <w:sz w:val="16"/>
          <w:szCs w:val="16"/>
        </w:rPr>
        <w:t xml:space="preserve">Granovetter, ‘The </w:t>
      </w:r>
      <w:r w:rsidR="000A5DAA">
        <w:rPr>
          <w:sz w:val="16"/>
          <w:szCs w:val="16"/>
        </w:rPr>
        <w:t>S</w:t>
      </w:r>
      <w:r w:rsidRPr="009C05E2">
        <w:rPr>
          <w:sz w:val="16"/>
          <w:szCs w:val="16"/>
        </w:rPr>
        <w:t xml:space="preserve">trength of </w:t>
      </w:r>
      <w:r w:rsidR="000A5DAA">
        <w:rPr>
          <w:sz w:val="16"/>
          <w:szCs w:val="16"/>
        </w:rPr>
        <w:t>W</w:t>
      </w:r>
      <w:r w:rsidRPr="009C05E2">
        <w:rPr>
          <w:sz w:val="16"/>
          <w:szCs w:val="16"/>
        </w:rPr>
        <w:t xml:space="preserve">eak </w:t>
      </w:r>
      <w:r w:rsidR="000A5DAA">
        <w:rPr>
          <w:sz w:val="16"/>
          <w:szCs w:val="16"/>
        </w:rPr>
        <w:t>T</w:t>
      </w:r>
      <w:r w:rsidRPr="009C05E2">
        <w:rPr>
          <w:sz w:val="16"/>
          <w:szCs w:val="16"/>
        </w:rPr>
        <w:t xml:space="preserve">ies,’ </w:t>
      </w:r>
      <w:r w:rsidRPr="009C05E2">
        <w:rPr>
          <w:i/>
          <w:iCs/>
          <w:sz w:val="16"/>
          <w:szCs w:val="16"/>
        </w:rPr>
        <w:t>American Journal of Sociology,</w:t>
      </w:r>
      <w:r w:rsidRPr="009C05E2">
        <w:rPr>
          <w:sz w:val="16"/>
          <w:szCs w:val="16"/>
        </w:rPr>
        <w:t xml:space="preserve"> 78:6 (1973)</w:t>
      </w:r>
      <w:r w:rsidR="009C05E2" w:rsidRPr="009C05E2">
        <w:rPr>
          <w:sz w:val="16"/>
          <w:szCs w:val="16"/>
        </w:rPr>
        <w:t>,</w:t>
      </w:r>
      <w:r w:rsidRPr="009C05E2">
        <w:rPr>
          <w:sz w:val="16"/>
          <w:szCs w:val="16"/>
        </w:rPr>
        <w:t xml:space="preserve"> pp. 1360-1380.</w:t>
      </w:r>
    </w:p>
  </w:footnote>
  <w:footnote w:id="158">
    <w:p w14:paraId="5D113C0D" w14:textId="35682F91" w:rsidR="000648E0" w:rsidRPr="009C5321" w:rsidRDefault="000648E0" w:rsidP="000648E0">
      <w:pPr>
        <w:pStyle w:val="FootnoteText"/>
        <w:rPr>
          <w:sz w:val="16"/>
          <w:szCs w:val="16"/>
        </w:rPr>
      </w:pPr>
      <w:r w:rsidRPr="009C05E2">
        <w:rPr>
          <w:rStyle w:val="FootnoteReference"/>
          <w:sz w:val="16"/>
          <w:szCs w:val="16"/>
        </w:rPr>
        <w:footnoteRef/>
      </w:r>
      <w:r w:rsidRPr="009C5321">
        <w:rPr>
          <w:sz w:val="16"/>
          <w:szCs w:val="16"/>
        </w:rPr>
        <w:t xml:space="preserve"> Eisenberg, </w:t>
      </w:r>
      <w:r w:rsidRPr="009C5321">
        <w:rPr>
          <w:i/>
          <w:iCs/>
          <w:sz w:val="16"/>
          <w:szCs w:val="16"/>
        </w:rPr>
        <w:t>Allestree</w:t>
      </w:r>
      <w:r w:rsidRPr="009C5321">
        <w:rPr>
          <w:sz w:val="16"/>
          <w:szCs w:val="16"/>
        </w:rPr>
        <w:t xml:space="preserve">, p. 6.  </w:t>
      </w:r>
    </w:p>
  </w:footnote>
  <w:footnote w:id="159">
    <w:p w14:paraId="29B4CBDF" w14:textId="4DA1CF0C" w:rsidR="004C7DC6" w:rsidRPr="009C05E2" w:rsidRDefault="004C7DC6">
      <w:pPr>
        <w:pStyle w:val="FootnoteText"/>
        <w:rPr>
          <w:sz w:val="16"/>
          <w:szCs w:val="16"/>
        </w:rPr>
      </w:pPr>
      <w:r w:rsidRPr="009C05E2">
        <w:rPr>
          <w:rStyle w:val="FootnoteReference"/>
          <w:sz w:val="16"/>
          <w:szCs w:val="16"/>
        </w:rPr>
        <w:footnoteRef/>
      </w:r>
      <w:r w:rsidRPr="009C05E2">
        <w:rPr>
          <w:sz w:val="16"/>
          <w:szCs w:val="16"/>
        </w:rPr>
        <w:t xml:space="preserve"> John Tosh, </w:t>
      </w:r>
      <w:r w:rsidR="002440DE" w:rsidRPr="009C05E2">
        <w:rPr>
          <w:sz w:val="16"/>
          <w:szCs w:val="16"/>
        </w:rPr>
        <w:t>‘Masculinities in an Industrializing Society: Britain, 1800-1914</w:t>
      </w:r>
      <w:r w:rsidR="00093B17" w:rsidRPr="009C05E2">
        <w:rPr>
          <w:sz w:val="16"/>
          <w:szCs w:val="16"/>
        </w:rPr>
        <w:t xml:space="preserve">,’ </w:t>
      </w:r>
      <w:r w:rsidR="007B790C" w:rsidRPr="009C05E2">
        <w:rPr>
          <w:i/>
          <w:iCs/>
          <w:sz w:val="16"/>
          <w:szCs w:val="16"/>
        </w:rPr>
        <w:t>Journal of Business Studies</w:t>
      </w:r>
      <w:r w:rsidR="007B790C" w:rsidRPr="009C05E2">
        <w:rPr>
          <w:sz w:val="16"/>
          <w:szCs w:val="16"/>
        </w:rPr>
        <w:t xml:space="preserve">, </w:t>
      </w:r>
      <w:r w:rsidR="009C05E2" w:rsidRPr="009C05E2">
        <w:rPr>
          <w:sz w:val="16"/>
          <w:szCs w:val="16"/>
        </w:rPr>
        <w:t xml:space="preserve">44:2 </w:t>
      </w:r>
      <w:r w:rsidR="00DC6D0D" w:rsidRPr="009C05E2">
        <w:rPr>
          <w:sz w:val="16"/>
          <w:szCs w:val="16"/>
        </w:rPr>
        <w:t xml:space="preserve">(2005), pp. 330-342. </w:t>
      </w:r>
    </w:p>
  </w:footnote>
  <w:footnote w:id="160">
    <w:p w14:paraId="5ACD1B11" w14:textId="66A6F2C7" w:rsidR="001431EC" w:rsidRPr="009C05E2" w:rsidRDefault="001431EC">
      <w:pPr>
        <w:pStyle w:val="FootnoteText"/>
        <w:rPr>
          <w:sz w:val="16"/>
          <w:szCs w:val="16"/>
        </w:rPr>
      </w:pPr>
      <w:r w:rsidRPr="009C05E2">
        <w:rPr>
          <w:rStyle w:val="FootnoteReference"/>
          <w:sz w:val="16"/>
          <w:szCs w:val="16"/>
        </w:rPr>
        <w:footnoteRef/>
      </w:r>
      <w:r w:rsidRPr="009C05E2">
        <w:rPr>
          <w:sz w:val="16"/>
          <w:szCs w:val="16"/>
        </w:rPr>
        <w:t xml:space="preserve"> </w:t>
      </w:r>
      <w:r w:rsidRPr="009C05E2">
        <w:rPr>
          <w:i/>
          <w:iCs/>
          <w:sz w:val="16"/>
          <w:szCs w:val="16"/>
        </w:rPr>
        <w:t>Ibid</w:t>
      </w:r>
      <w:r w:rsidRPr="009C05E2">
        <w:rPr>
          <w:sz w:val="16"/>
          <w:szCs w:val="16"/>
        </w:rPr>
        <w:t>. p</w:t>
      </w:r>
      <w:r w:rsidR="009C05E2" w:rsidRPr="009C05E2">
        <w:rPr>
          <w:sz w:val="16"/>
          <w:szCs w:val="16"/>
        </w:rPr>
        <w:t>p</w:t>
      </w:r>
      <w:r w:rsidRPr="009C05E2">
        <w:rPr>
          <w:sz w:val="16"/>
          <w:szCs w:val="16"/>
        </w:rPr>
        <w:t xml:space="preserve">. 330-342. </w:t>
      </w:r>
    </w:p>
  </w:footnote>
  <w:footnote w:id="161">
    <w:p w14:paraId="18076E0C" w14:textId="637719CA" w:rsidR="000648E0" w:rsidRPr="009C05E2" w:rsidRDefault="000648E0">
      <w:pPr>
        <w:pStyle w:val="FootnoteText"/>
        <w:rPr>
          <w:sz w:val="16"/>
          <w:szCs w:val="16"/>
        </w:rPr>
      </w:pPr>
      <w:r w:rsidRPr="009C05E2">
        <w:rPr>
          <w:rStyle w:val="FootnoteReference"/>
          <w:sz w:val="16"/>
          <w:szCs w:val="16"/>
        </w:rPr>
        <w:footnoteRef/>
      </w:r>
      <w:r w:rsidRPr="009C05E2">
        <w:rPr>
          <w:sz w:val="16"/>
          <w:szCs w:val="16"/>
        </w:rPr>
        <w:t xml:space="preserve"> </w:t>
      </w:r>
      <w:r w:rsidR="009C05E2" w:rsidRPr="009C05E2">
        <w:rPr>
          <w:sz w:val="16"/>
          <w:szCs w:val="16"/>
        </w:rPr>
        <w:t xml:space="preserve">See Leonore Davidoff, and Catherine Hall, </w:t>
      </w:r>
      <w:r w:rsidR="009C05E2" w:rsidRPr="009C05E2">
        <w:rPr>
          <w:i/>
          <w:iCs/>
          <w:sz w:val="16"/>
          <w:szCs w:val="16"/>
        </w:rPr>
        <w:t>Family Fortunes: Men and Women of the English Middle Class 1780-1850</w:t>
      </w:r>
      <w:r w:rsidR="009C05E2" w:rsidRPr="009C05E2">
        <w:rPr>
          <w:sz w:val="16"/>
          <w:szCs w:val="16"/>
        </w:rPr>
        <w:t xml:space="preserve"> (London: Routledge, 1987), Karen Harvey, ‘Men Making Home: Masculinity and Domesticity in Eighteenth-Century Britain,</w:t>
      </w:r>
      <w:r w:rsidR="009C05E2" w:rsidRPr="009C05E2">
        <w:rPr>
          <w:i/>
          <w:iCs/>
          <w:sz w:val="16"/>
          <w:szCs w:val="16"/>
        </w:rPr>
        <w:t>’ Gender &amp; History</w:t>
      </w:r>
      <w:r w:rsidR="009C05E2" w:rsidRPr="009C05E2">
        <w:rPr>
          <w:sz w:val="16"/>
          <w:szCs w:val="16"/>
        </w:rPr>
        <w:t xml:space="preserve">, 21:3 (2009), pp. 520-540 and John Tosh, ‘Masculinities in an Industrializing Society: Britain, 1800-1914,’ </w:t>
      </w:r>
      <w:r w:rsidR="009C05E2" w:rsidRPr="009C05E2">
        <w:rPr>
          <w:i/>
          <w:iCs/>
          <w:sz w:val="16"/>
          <w:szCs w:val="16"/>
        </w:rPr>
        <w:t>Journal of Business Studies</w:t>
      </w:r>
      <w:r w:rsidR="009C05E2" w:rsidRPr="009C05E2">
        <w:rPr>
          <w:sz w:val="16"/>
          <w:szCs w:val="16"/>
        </w:rPr>
        <w:t xml:space="preserve">, pp. 330-342. </w:t>
      </w:r>
    </w:p>
  </w:footnote>
  <w:footnote w:id="162">
    <w:p w14:paraId="476C3D0F" w14:textId="377D6849" w:rsidR="006D090D" w:rsidRPr="001E6861" w:rsidRDefault="006D090D">
      <w:pPr>
        <w:pStyle w:val="FootnoteText"/>
        <w:rPr>
          <w:i/>
          <w:iCs/>
          <w:sz w:val="18"/>
          <w:szCs w:val="18"/>
        </w:rPr>
      </w:pPr>
      <w:r w:rsidRPr="009C05E2">
        <w:rPr>
          <w:rStyle w:val="FootnoteReference"/>
          <w:sz w:val="16"/>
          <w:szCs w:val="16"/>
        </w:rPr>
        <w:footnoteRef/>
      </w:r>
      <w:r w:rsidRPr="009C05E2">
        <w:rPr>
          <w:sz w:val="16"/>
          <w:szCs w:val="16"/>
        </w:rPr>
        <w:t xml:space="preserve"> </w:t>
      </w:r>
      <w:r w:rsidR="00AA5292" w:rsidRPr="009C05E2">
        <w:rPr>
          <w:i/>
          <w:iCs/>
          <w:sz w:val="16"/>
          <w:szCs w:val="16"/>
        </w:rPr>
        <w:t xml:space="preserve">Haggerty, Merely for </w:t>
      </w:r>
      <w:r w:rsidR="00AA5292" w:rsidRPr="009C05E2">
        <w:rPr>
          <w:i/>
          <w:iCs/>
          <w:sz w:val="16"/>
          <w:szCs w:val="16"/>
        </w:rPr>
        <w:t>Money?, p.</w:t>
      </w:r>
      <w:r w:rsidR="003A4960" w:rsidRPr="009C05E2">
        <w:rPr>
          <w:i/>
          <w:iCs/>
          <w:sz w:val="16"/>
          <w:szCs w:val="16"/>
        </w:rPr>
        <w:t xml:space="preserve"> 66.</w:t>
      </w:r>
      <w:r w:rsidR="003A4960" w:rsidRPr="001E6861">
        <w:rPr>
          <w:i/>
          <w:iCs/>
          <w:sz w:val="18"/>
          <w:szCs w:val="18"/>
        </w:rPr>
        <w:t xml:space="preserve"> </w:t>
      </w:r>
      <w:r w:rsidR="00AA5292" w:rsidRPr="001E6861">
        <w:rPr>
          <w:i/>
          <w:iCs/>
          <w:sz w:val="18"/>
          <w:szCs w:val="18"/>
        </w:rPr>
        <w:t xml:space="preserve"> </w:t>
      </w:r>
    </w:p>
  </w:footnote>
  <w:footnote w:id="163">
    <w:p w14:paraId="77C46C2A" w14:textId="73B5ED9A" w:rsidR="00CB7157" w:rsidRPr="009C05E2" w:rsidRDefault="00CB7157">
      <w:pPr>
        <w:pStyle w:val="FootnoteText"/>
        <w:rPr>
          <w:sz w:val="16"/>
          <w:szCs w:val="16"/>
        </w:rPr>
      </w:pPr>
      <w:r w:rsidRPr="009C05E2">
        <w:rPr>
          <w:rStyle w:val="FootnoteReference"/>
          <w:sz w:val="16"/>
          <w:szCs w:val="16"/>
        </w:rPr>
        <w:footnoteRef/>
      </w:r>
      <w:r w:rsidRPr="009C05E2">
        <w:rPr>
          <w:sz w:val="16"/>
          <w:szCs w:val="16"/>
        </w:rPr>
        <w:t xml:space="preserve"> </w:t>
      </w:r>
      <w:r w:rsidR="00481D33" w:rsidRPr="009C05E2">
        <w:rPr>
          <w:sz w:val="16"/>
          <w:szCs w:val="16"/>
        </w:rPr>
        <w:t>Granove</w:t>
      </w:r>
      <w:r w:rsidR="009F5AA0" w:rsidRPr="009C05E2">
        <w:rPr>
          <w:sz w:val="16"/>
          <w:szCs w:val="16"/>
        </w:rPr>
        <w:t>tter</w:t>
      </w:r>
      <w:r w:rsidR="000E664E" w:rsidRPr="009C05E2">
        <w:rPr>
          <w:sz w:val="16"/>
          <w:szCs w:val="16"/>
        </w:rPr>
        <w:t>, ‘The Stren</w:t>
      </w:r>
      <w:r w:rsidR="00B62A60" w:rsidRPr="009C05E2">
        <w:rPr>
          <w:sz w:val="16"/>
          <w:szCs w:val="16"/>
        </w:rPr>
        <w:t xml:space="preserve">gth of weak ties,’ </w:t>
      </w:r>
      <w:r w:rsidR="009C05E2" w:rsidRPr="009C05E2">
        <w:rPr>
          <w:i/>
          <w:iCs/>
          <w:sz w:val="16"/>
          <w:szCs w:val="16"/>
        </w:rPr>
        <w:t>American Journal of Sociology</w:t>
      </w:r>
      <w:r w:rsidR="009C05E2" w:rsidRPr="009C05E2">
        <w:rPr>
          <w:sz w:val="16"/>
          <w:szCs w:val="16"/>
        </w:rPr>
        <w:t xml:space="preserve">, </w:t>
      </w:r>
      <w:r w:rsidR="00B62A60" w:rsidRPr="009C05E2">
        <w:rPr>
          <w:sz w:val="16"/>
          <w:szCs w:val="16"/>
        </w:rPr>
        <w:t xml:space="preserve">p. 1366. </w:t>
      </w:r>
    </w:p>
  </w:footnote>
  <w:footnote w:id="164">
    <w:p w14:paraId="652C75A6" w14:textId="2329AB94"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w:t>
      </w:r>
      <w:r w:rsidR="00772EE3" w:rsidRPr="00772EE3">
        <w:rPr>
          <w:sz w:val="16"/>
          <w:szCs w:val="16"/>
        </w:rPr>
        <w:t xml:space="preserve">Icek </w:t>
      </w:r>
      <w:r w:rsidRPr="00772EE3">
        <w:rPr>
          <w:sz w:val="16"/>
          <w:szCs w:val="16"/>
        </w:rPr>
        <w:t xml:space="preserve">Ajzen, ‘The </w:t>
      </w:r>
      <w:r w:rsidR="000A5DAA">
        <w:rPr>
          <w:sz w:val="16"/>
          <w:szCs w:val="16"/>
        </w:rPr>
        <w:t>T</w:t>
      </w:r>
      <w:r w:rsidRPr="00772EE3">
        <w:rPr>
          <w:sz w:val="16"/>
          <w:szCs w:val="16"/>
        </w:rPr>
        <w:t xml:space="preserve">heory of </w:t>
      </w:r>
      <w:r w:rsidR="000A5DAA">
        <w:rPr>
          <w:sz w:val="16"/>
          <w:szCs w:val="16"/>
        </w:rPr>
        <w:t>P</w:t>
      </w:r>
      <w:r w:rsidRPr="00772EE3">
        <w:rPr>
          <w:sz w:val="16"/>
          <w:szCs w:val="16"/>
        </w:rPr>
        <w:t xml:space="preserve">lanned </w:t>
      </w:r>
      <w:r w:rsidR="000A5DAA">
        <w:rPr>
          <w:sz w:val="16"/>
          <w:szCs w:val="16"/>
        </w:rPr>
        <w:t>B</w:t>
      </w:r>
      <w:r w:rsidRPr="00772EE3">
        <w:rPr>
          <w:sz w:val="16"/>
          <w:szCs w:val="16"/>
        </w:rPr>
        <w:t xml:space="preserve">ehavior’, </w:t>
      </w:r>
      <w:r w:rsidRPr="00772EE3">
        <w:rPr>
          <w:i/>
          <w:iCs/>
          <w:sz w:val="16"/>
          <w:szCs w:val="16"/>
        </w:rPr>
        <w:t>Organizational Behavior and Human Decision Processes</w:t>
      </w:r>
      <w:r w:rsidRPr="00772EE3">
        <w:rPr>
          <w:sz w:val="16"/>
          <w:szCs w:val="16"/>
        </w:rPr>
        <w:t xml:space="preserve">, 50:1 (1991), pp. 179-211. </w:t>
      </w:r>
    </w:p>
  </w:footnote>
  <w:footnote w:id="165">
    <w:p w14:paraId="75AA609B" w14:textId="6626D251"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Paul Faulkner, ‘Norms of Trust,’ </w:t>
      </w:r>
      <w:r w:rsidR="00772EE3" w:rsidRPr="00772EE3">
        <w:rPr>
          <w:sz w:val="16"/>
          <w:szCs w:val="16"/>
        </w:rPr>
        <w:t>i</w:t>
      </w:r>
      <w:r w:rsidRPr="00772EE3">
        <w:rPr>
          <w:sz w:val="16"/>
          <w:szCs w:val="16"/>
        </w:rPr>
        <w:t xml:space="preserve">n </w:t>
      </w:r>
      <w:r w:rsidR="00772EE3" w:rsidRPr="00772EE3">
        <w:rPr>
          <w:i/>
          <w:iCs/>
          <w:sz w:val="16"/>
          <w:szCs w:val="16"/>
        </w:rPr>
        <w:t xml:space="preserve">Social Epistemology </w:t>
      </w:r>
      <w:r w:rsidR="00772EE3" w:rsidRPr="00772EE3">
        <w:rPr>
          <w:sz w:val="16"/>
          <w:szCs w:val="16"/>
        </w:rPr>
        <w:t xml:space="preserve">ed. by </w:t>
      </w:r>
      <w:r w:rsidRPr="00772EE3">
        <w:rPr>
          <w:sz w:val="16"/>
          <w:szCs w:val="16"/>
        </w:rPr>
        <w:t>Haddock, A, Millar, A and Pritchard, D</w:t>
      </w:r>
      <w:r w:rsidR="00772EE3" w:rsidRPr="00772EE3">
        <w:rPr>
          <w:sz w:val="16"/>
          <w:szCs w:val="16"/>
        </w:rPr>
        <w:t>.</w:t>
      </w:r>
      <w:r w:rsidRPr="00772EE3">
        <w:rPr>
          <w:sz w:val="16"/>
          <w:szCs w:val="16"/>
        </w:rPr>
        <w:t xml:space="preserve"> </w:t>
      </w:r>
      <w:r w:rsidR="00772EE3" w:rsidRPr="00772EE3">
        <w:rPr>
          <w:sz w:val="16"/>
          <w:szCs w:val="16"/>
        </w:rPr>
        <w:t>(Oxford: O</w:t>
      </w:r>
      <w:r w:rsidRPr="00772EE3">
        <w:rPr>
          <w:sz w:val="16"/>
          <w:szCs w:val="16"/>
        </w:rPr>
        <w:t>xford</w:t>
      </w:r>
      <w:r w:rsidR="00772EE3" w:rsidRPr="00772EE3">
        <w:rPr>
          <w:sz w:val="16"/>
          <w:szCs w:val="16"/>
        </w:rPr>
        <w:t xml:space="preserve"> University Press</w:t>
      </w:r>
      <w:r w:rsidRPr="00772EE3">
        <w:rPr>
          <w:sz w:val="16"/>
          <w:szCs w:val="16"/>
        </w:rPr>
        <w:t>, 2010)</w:t>
      </w:r>
      <w:r w:rsidR="00772EE3" w:rsidRPr="00772EE3">
        <w:rPr>
          <w:sz w:val="16"/>
          <w:szCs w:val="16"/>
        </w:rPr>
        <w:t>,</w:t>
      </w:r>
      <w:r w:rsidRPr="00772EE3">
        <w:rPr>
          <w:sz w:val="16"/>
          <w:szCs w:val="16"/>
        </w:rPr>
        <w:t xml:space="preserve"> p. 129</w:t>
      </w:r>
      <w:r w:rsidR="008E404A">
        <w:rPr>
          <w:sz w:val="16"/>
          <w:szCs w:val="16"/>
        </w:rPr>
        <w:t>.</w:t>
      </w:r>
      <w:r w:rsidRPr="00772EE3">
        <w:rPr>
          <w:sz w:val="16"/>
          <w:szCs w:val="16"/>
        </w:rPr>
        <w:t xml:space="preserve">  </w:t>
      </w:r>
    </w:p>
  </w:footnote>
  <w:footnote w:id="166">
    <w:p w14:paraId="24490B74" w14:textId="7FFD6FC0" w:rsidR="005A05DF" w:rsidRPr="00A043F7" w:rsidRDefault="005A05DF" w:rsidP="005A05DF">
      <w:pPr>
        <w:pStyle w:val="FootnoteText"/>
        <w:rPr>
          <w:sz w:val="18"/>
          <w:szCs w:val="18"/>
        </w:rPr>
      </w:pPr>
      <w:r w:rsidRPr="00772EE3">
        <w:rPr>
          <w:rStyle w:val="FootnoteReference"/>
          <w:sz w:val="16"/>
          <w:szCs w:val="16"/>
        </w:rPr>
        <w:footnoteRef/>
      </w:r>
      <w:r w:rsidRPr="00772EE3">
        <w:rPr>
          <w:sz w:val="16"/>
          <w:szCs w:val="16"/>
        </w:rPr>
        <w:t xml:space="preserve"> </w:t>
      </w:r>
      <w:bookmarkStart w:id="53" w:name="_Hlk156728880"/>
      <w:r w:rsidRPr="00772EE3">
        <w:rPr>
          <w:sz w:val="16"/>
          <w:szCs w:val="16"/>
        </w:rPr>
        <w:t>DLSL</w:t>
      </w:r>
      <w:r w:rsidR="00F869BD" w:rsidRPr="00772EE3">
        <w:rPr>
          <w:sz w:val="16"/>
          <w:szCs w:val="16"/>
        </w:rPr>
        <w:t>,</w:t>
      </w:r>
      <w:r w:rsidRPr="00772EE3">
        <w:rPr>
          <w:sz w:val="16"/>
          <w:szCs w:val="16"/>
        </w:rPr>
        <w:t xml:space="preserve"> BS 677</w:t>
      </w:r>
      <w:r w:rsidR="00772EE3" w:rsidRPr="00772EE3">
        <w:rPr>
          <w:sz w:val="16"/>
          <w:szCs w:val="16"/>
        </w:rPr>
        <w:t xml:space="preserve"> EVA</w:t>
      </w:r>
      <w:r w:rsidRPr="00772EE3">
        <w:rPr>
          <w:sz w:val="16"/>
          <w:szCs w:val="16"/>
        </w:rPr>
        <w:t xml:space="preserve">, DL119 </w:t>
      </w:r>
      <w:r w:rsidR="00772EE3" w:rsidRPr="00772EE3">
        <w:rPr>
          <w:sz w:val="16"/>
          <w:szCs w:val="16"/>
        </w:rPr>
        <w:t>CB</w:t>
      </w:r>
      <w:r w:rsidR="00EA2A01" w:rsidRPr="00772EE3">
        <w:rPr>
          <w:sz w:val="16"/>
          <w:szCs w:val="16"/>
        </w:rPr>
        <w:t xml:space="preserve"> R1</w:t>
      </w:r>
      <w:r w:rsidR="00BA0F9F">
        <w:rPr>
          <w:sz w:val="16"/>
          <w:szCs w:val="16"/>
        </w:rPr>
        <w:t xml:space="preserve"> [Letter Sent from Walter Evans &amp; Co. to J. W. </w:t>
      </w:r>
      <w:r w:rsidR="00BA0F9F">
        <w:rPr>
          <w:sz w:val="16"/>
          <w:szCs w:val="16"/>
        </w:rPr>
        <w:t xml:space="preserve">Killingley, Mount Street, Nottingham, 30 July 1807]. </w:t>
      </w:r>
      <w:bookmarkEnd w:id="53"/>
    </w:p>
  </w:footnote>
  <w:footnote w:id="167">
    <w:p w14:paraId="21491F69" w14:textId="2AA7F357"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See Robert D. Putnam, </w:t>
      </w:r>
      <w:r w:rsidRPr="00772EE3">
        <w:rPr>
          <w:i/>
          <w:iCs/>
          <w:sz w:val="16"/>
          <w:szCs w:val="16"/>
        </w:rPr>
        <w:t>Bowling Alone: The Collapse and Revival of American Community</w:t>
      </w:r>
      <w:r w:rsidRPr="00772EE3">
        <w:rPr>
          <w:sz w:val="16"/>
          <w:szCs w:val="16"/>
        </w:rPr>
        <w:t xml:space="preserve"> (New York: Simon &amp; Schuster, 2000) </w:t>
      </w:r>
    </w:p>
  </w:footnote>
  <w:footnote w:id="168">
    <w:p w14:paraId="0D46B073" w14:textId="0FE9C24B"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w:t>
      </w:r>
      <w:r w:rsidRPr="00772EE3">
        <w:rPr>
          <w:sz w:val="16"/>
          <w:szCs w:val="16"/>
        </w:rPr>
        <w:t xml:space="preserve">Demant, Jakob, and Margaretha Järvinen. ‘Social </w:t>
      </w:r>
      <w:r w:rsidR="005A42FA">
        <w:rPr>
          <w:sz w:val="16"/>
          <w:szCs w:val="16"/>
        </w:rPr>
        <w:t>C</w:t>
      </w:r>
      <w:r w:rsidRPr="00772EE3">
        <w:rPr>
          <w:sz w:val="16"/>
          <w:szCs w:val="16"/>
        </w:rPr>
        <w:t xml:space="preserve">apital as </w:t>
      </w:r>
      <w:r w:rsidR="005A42FA">
        <w:rPr>
          <w:sz w:val="16"/>
          <w:szCs w:val="16"/>
        </w:rPr>
        <w:t>N</w:t>
      </w:r>
      <w:r w:rsidRPr="00772EE3">
        <w:rPr>
          <w:sz w:val="16"/>
          <w:szCs w:val="16"/>
        </w:rPr>
        <w:t xml:space="preserve">orms and </w:t>
      </w:r>
      <w:r w:rsidR="005A42FA">
        <w:rPr>
          <w:sz w:val="16"/>
          <w:szCs w:val="16"/>
        </w:rPr>
        <w:t>R</w:t>
      </w:r>
      <w:r w:rsidRPr="00772EE3">
        <w:rPr>
          <w:sz w:val="16"/>
          <w:szCs w:val="16"/>
        </w:rPr>
        <w:t xml:space="preserve">esources: Focus </w:t>
      </w:r>
      <w:r w:rsidR="005A42FA">
        <w:rPr>
          <w:sz w:val="16"/>
          <w:szCs w:val="16"/>
        </w:rPr>
        <w:t>G</w:t>
      </w:r>
      <w:r w:rsidRPr="00772EE3">
        <w:rPr>
          <w:sz w:val="16"/>
          <w:szCs w:val="16"/>
        </w:rPr>
        <w:t xml:space="preserve">roups </w:t>
      </w:r>
      <w:r w:rsidR="005A42FA">
        <w:rPr>
          <w:sz w:val="16"/>
          <w:szCs w:val="16"/>
        </w:rPr>
        <w:t>D</w:t>
      </w:r>
      <w:r w:rsidRPr="00772EE3">
        <w:rPr>
          <w:sz w:val="16"/>
          <w:szCs w:val="16"/>
        </w:rPr>
        <w:t xml:space="preserve">iscussing </w:t>
      </w:r>
      <w:r w:rsidR="005A42FA">
        <w:rPr>
          <w:sz w:val="16"/>
          <w:szCs w:val="16"/>
        </w:rPr>
        <w:t>A</w:t>
      </w:r>
      <w:r w:rsidRPr="00772EE3">
        <w:rPr>
          <w:sz w:val="16"/>
          <w:szCs w:val="16"/>
        </w:rPr>
        <w:t>lcohol</w:t>
      </w:r>
      <w:r w:rsidR="00772EE3" w:rsidRPr="00772EE3">
        <w:rPr>
          <w:sz w:val="16"/>
          <w:szCs w:val="16"/>
        </w:rPr>
        <w:t>,</w:t>
      </w:r>
      <w:r w:rsidRPr="00772EE3">
        <w:rPr>
          <w:sz w:val="16"/>
          <w:szCs w:val="16"/>
        </w:rPr>
        <w:t xml:space="preserve">’ </w:t>
      </w:r>
      <w:r w:rsidRPr="00772EE3">
        <w:rPr>
          <w:i/>
          <w:iCs/>
          <w:sz w:val="16"/>
          <w:szCs w:val="16"/>
        </w:rPr>
        <w:t>Addiction Research &amp; Theory,</w:t>
      </w:r>
      <w:r w:rsidRPr="00772EE3">
        <w:rPr>
          <w:sz w:val="16"/>
          <w:szCs w:val="16"/>
        </w:rPr>
        <w:t xml:space="preserve"> 19: 2 (2011), pp. 91-101.</w:t>
      </w:r>
    </w:p>
  </w:footnote>
  <w:footnote w:id="169">
    <w:p w14:paraId="2DC2C96F" w14:textId="4D91595B" w:rsidR="00D626AE" w:rsidRPr="00772EE3" w:rsidRDefault="00D626AE">
      <w:pPr>
        <w:pStyle w:val="FootnoteText"/>
        <w:rPr>
          <w:sz w:val="16"/>
          <w:szCs w:val="16"/>
        </w:rPr>
      </w:pPr>
      <w:r w:rsidRPr="00772EE3">
        <w:rPr>
          <w:rStyle w:val="FootnoteReference"/>
          <w:sz w:val="16"/>
          <w:szCs w:val="16"/>
        </w:rPr>
        <w:footnoteRef/>
      </w:r>
      <w:r w:rsidRPr="00772EE3">
        <w:rPr>
          <w:sz w:val="16"/>
          <w:szCs w:val="16"/>
        </w:rPr>
        <w:t xml:space="preserve"> </w:t>
      </w:r>
      <w:r w:rsidR="00772EE3" w:rsidRPr="00772EE3">
        <w:rPr>
          <w:sz w:val="16"/>
          <w:szCs w:val="16"/>
        </w:rPr>
        <w:t xml:space="preserve">Sunderland, </w:t>
      </w:r>
      <w:r w:rsidR="00772EE3" w:rsidRPr="00772EE3">
        <w:rPr>
          <w:i/>
          <w:iCs/>
          <w:sz w:val="16"/>
          <w:szCs w:val="16"/>
        </w:rPr>
        <w:t>Social Capital, Trust and the Industrial Revolution</w:t>
      </w:r>
      <w:r w:rsidR="00772EE3" w:rsidRPr="00772EE3">
        <w:rPr>
          <w:sz w:val="16"/>
          <w:szCs w:val="16"/>
        </w:rPr>
        <w:t>, 1780-1880, pp. 1-15 and p. 43</w:t>
      </w:r>
      <w:r w:rsidR="003A3250">
        <w:rPr>
          <w:sz w:val="16"/>
          <w:szCs w:val="16"/>
        </w:rPr>
        <w:t>.</w:t>
      </w:r>
    </w:p>
  </w:footnote>
  <w:footnote w:id="170">
    <w:p w14:paraId="5E8217CC" w14:textId="1F6A56D1" w:rsidR="00D626AE" w:rsidRPr="00772EE3" w:rsidRDefault="00D626AE">
      <w:pPr>
        <w:pStyle w:val="FootnoteText"/>
        <w:rPr>
          <w:sz w:val="16"/>
          <w:szCs w:val="16"/>
        </w:rPr>
      </w:pPr>
      <w:r w:rsidRPr="00772EE3">
        <w:rPr>
          <w:rStyle w:val="FootnoteReference"/>
          <w:sz w:val="16"/>
          <w:szCs w:val="16"/>
        </w:rPr>
        <w:footnoteRef/>
      </w:r>
      <w:r w:rsidR="003A3250">
        <w:rPr>
          <w:sz w:val="16"/>
          <w:szCs w:val="16"/>
        </w:rPr>
        <w:t xml:space="preserve"> </w:t>
      </w:r>
      <w:r w:rsidR="00772EE3" w:rsidRPr="00772EE3">
        <w:rPr>
          <w:sz w:val="16"/>
          <w:szCs w:val="16"/>
        </w:rPr>
        <w:t>Sunderland, Social Capital, pp. 1-15 and p. 43</w:t>
      </w:r>
      <w:r w:rsidR="003A3250">
        <w:rPr>
          <w:sz w:val="16"/>
          <w:szCs w:val="16"/>
        </w:rPr>
        <w:t>.</w:t>
      </w:r>
    </w:p>
  </w:footnote>
  <w:footnote w:id="171">
    <w:p w14:paraId="6BEBF32F" w14:textId="1E8D415A" w:rsidR="005A05DF" w:rsidRPr="00F13C44" w:rsidRDefault="005A05DF" w:rsidP="005A05DF">
      <w:pPr>
        <w:pStyle w:val="FootnoteText"/>
        <w:rPr>
          <w:color w:val="FF0000"/>
        </w:rPr>
      </w:pPr>
      <w:r w:rsidRPr="00772EE3">
        <w:rPr>
          <w:rStyle w:val="FootnoteReference"/>
          <w:sz w:val="16"/>
          <w:szCs w:val="16"/>
        </w:rPr>
        <w:footnoteRef/>
      </w:r>
      <w:bookmarkStart w:id="54" w:name="_Hlk149979925"/>
      <w:r w:rsidR="003A3250">
        <w:rPr>
          <w:i/>
          <w:iCs/>
          <w:sz w:val="16"/>
          <w:szCs w:val="16"/>
        </w:rPr>
        <w:t xml:space="preserve"> </w:t>
      </w:r>
      <w:r w:rsidR="00772EE3" w:rsidRPr="00772EE3">
        <w:rPr>
          <w:i/>
          <w:iCs/>
          <w:sz w:val="16"/>
          <w:szCs w:val="16"/>
        </w:rPr>
        <w:t>Ibid</w:t>
      </w:r>
      <w:r w:rsidR="00417C7F" w:rsidRPr="00772EE3">
        <w:rPr>
          <w:sz w:val="16"/>
          <w:szCs w:val="16"/>
        </w:rPr>
        <w:t>, p.</w:t>
      </w:r>
      <w:r w:rsidR="00362759" w:rsidRPr="00772EE3">
        <w:rPr>
          <w:sz w:val="16"/>
          <w:szCs w:val="16"/>
        </w:rPr>
        <w:t>43.</w:t>
      </w:r>
      <w:r w:rsidR="00362759" w:rsidRPr="00362759">
        <w:t xml:space="preserve"> </w:t>
      </w:r>
      <w:r w:rsidR="00417C7F" w:rsidRPr="00362759">
        <w:t xml:space="preserve">  </w:t>
      </w:r>
      <w:bookmarkEnd w:id="54"/>
    </w:p>
  </w:footnote>
  <w:footnote w:id="172">
    <w:p w14:paraId="64B42BD6" w14:textId="13943C88" w:rsidR="00D626AE" w:rsidRPr="00772EE3" w:rsidRDefault="00D626AE">
      <w:pPr>
        <w:pStyle w:val="FootnoteText"/>
        <w:rPr>
          <w:sz w:val="16"/>
          <w:szCs w:val="16"/>
        </w:rPr>
      </w:pPr>
      <w:r w:rsidRPr="00772EE3">
        <w:rPr>
          <w:rStyle w:val="FootnoteReference"/>
          <w:sz w:val="16"/>
          <w:szCs w:val="16"/>
        </w:rPr>
        <w:footnoteRef/>
      </w:r>
      <w:r w:rsidRPr="00772EE3">
        <w:rPr>
          <w:sz w:val="16"/>
          <w:szCs w:val="16"/>
        </w:rPr>
        <w:t xml:space="preserve"> </w:t>
      </w:r>
      <w:r w:rsidR="006D51CA" w:rsidRPr="00772EE3">
        <w:rPr>
          <w:sz w:val="16"/>
          <w:szCs w:val="16"/>
        </w:rPr>
        <w:t>JRL, GB 133 MCK1, MCK2 and DLSL</w:t>
      </w:r>
      <w:r w:rsidR="003A3250">
        <w:rPr>
          <w:sz w:val="16"/>
          <w:szCs w:val="16"/>
        </w:rPr>
        <w:t>,</w:t>
      </w:r>
      <w:r w:rsidR="006D51CA" w:rsidRPr="00772EE3">
        <w:rPr>
          <w:sz w:val="16"/>
          <w:szCs w:val="16"/>
        </w:rPr>
        <w:t xml:space="preserve"> BS 677 EVA</w:t>
      </w:r>
      <w:r w:rsidR="003A3250">
        <w:rPr>
          <w:sz w:val="16"/>
          <w:szCs w:val="16"/>
        </w:rPr>
        <w:t>,</w:t>
      </w:r>
      <w:r w:rsidR="006D51CA" w:rsidRPr="00772EE3">
        <w:rPr>
          <w:sz w:val="16"/>
          <w:szCs w:val="16"/>
        </w:rPr>
        <w:t xml:space="preserve"> DL119 CB R1, LB R2 and LB R3</w:t>
      </w:r>
      <w:r w:rsidR="00BA0F9F">
        <w:rPr>
          <w:sz w:val="16"/>
          <w:szCs w:val="16"/>
        </w:rPr>
        <w:t>.</w:t>
      </w:r>
    </w:p>
  </w:footnote>
  <w:footnote w:id="173">
    <w:p w14:paraId="55DD2FE2" w14:textId="1A4F301D" w:rsidR="005A05DF" w:rsidRPr="00772EE3" w:rsidRDefault="005A05DF" w:rsidP="005A05DF">
      <w:pPr>
        <w:pStyle w:val="FootnoteText"/>
        <w:rPr>
          <w:sz w:val="16"/>
          <w:szCs w:val="16"/>
        </w:rPr>
      </w:pPr>
      <w:r w:rsidRPr="00772EE3">
        <w:rPr>
          <w:rStyle w:val="FootnoteReference"/>
          <w:sz w:val="16"/>
          <w:szCs w:val="16"/>
        </w:rPr>
        <w:footnoteRef/>
      </w:r>
      <w:r w:rsidR="00AF15AB" w:rsidRPr="00772EE3">
        <w:rPr>
          <w:sz w:val="16"/>
          <w:szCs w:val="16"/>
        </w:rPr>
        <w:t xml:space="preserve"> JRL</w:t>
      </w:r>
      <w:r w:rsidR="00707326" w:rsidRPr="00772EE3">
        <w:rPr>
          <w:sz w:val="16"/>
          <w:szCs w:val="16"/>
        </w:rPr>
        <w:t>, GB 133 MCK/2/2/2</w:t>
      </w:r>
      <w:r w:rsidR="00AF15AB" w:rsidRPr="00772EE3">
        <w:rPr>
          <w:sz w:val="16"/>
          <w:szCs w:val="16"/>
        </w:rPr>
        <w:t xml:space="preserve"> </w:t>
      </w:r>
      <w:r w:rsidR="008E404A">
        <w:rPr>
          <w:sz w:val="16"/>
          <w:szCs w:val="16"/>
        </w:rPr>
        <w:t xml:space="preserve">[Letter Sent from McConnel &amp; Kennedy to John How of Green Castle, near Belfast in 1801]. </w:t>
      </w:r>
    </w:p>
  </w:footnote>
  <w:footnote w:id="174">
    <w:p w14:paraId="26061631" w14:textId="56306514" w:rsidR="00D626AE" w:rsidRPr="00772EE3" w:rsidRDefault="00D626AE">
      <w:pPr>
        <w:pStyle w:val="FootnoteText"/>
        <w:rPr>
          <w:sz w:val="16"/>
          <w:szCs w:val="16"/>
        </w:rPr>
      </w:pPr>
      <w:r w:rsidRPr="00772EE3">
        <w:rPr>
          <w:rStyle w:val="FootnoteReference"/>
          <w:sz w:val="16"/>
          <w:szCs w:val="16"/>
        </w:rPr>
        <w:footnoteRef/>
      </w:r>
      <w:r w:rsidRPr="00772EE3">
        <w:rPr>
          <w:sz w:val="16"/>
          <w:szCs w:val="16"/>
        </w:rPr>
        <w:t xml:space="preserve"> </w:t>
      </w:r>
      <w:r w:rsidR="006D51CA" w:rsidRPr="00772EE3">
        <w:rPr>
          <w:sz w:val="16"/>
          <w:szCs w:val="16"/>
        </w:rPr>
        <w:t>JRL, GB 133 MCK/2/1/2</w:t>
      </w:r>
      <w:r w:rsidR="00D72A9A">
        <w:rPr>
          <w:sz w:val="16"/>
          <w:szCs w:val="16"/>
        </w:rPr>
        <w:t xml:space="preserve"> [Letter Received from William Johnson of Bow Street, Cheapside, London in 1796]. </w:t>
      </w:r>
    </w:p>
  </w:footnote>
  <w:footnote w:id="175">
    <w:p w14:paraId="5BB3991A" w14:textId="2E6177D5" w:rsidR="00D626AE" w:rsidRPr="00772EE3" w:rsidRDefault="00D626AE">
      <w:pPr>
        <w:pStyle w:val="FootnoteText"/>
        <w:rPr>
          <w:sz w:val="16"/>
          <w:szCs w:val="16"/>
        </w:rPr>
      </w:pPr>
      <w:r w:rsidRPr="00772EE3">
        <w:rPr>
          <w:rStyle w:val="FootnoteReference"/>
          <w:sz w:val="16"/>
          <w:szCs w:val="16"/>
        </w:rPr>
        <w:footnoteRef/>
      </w:r>
      <w:r w:rsidRPr="00772EE3">
        <w:rPr>
          <w:sz w:val="16"/>
          <w:szCs w:val="16"/>
        </w:rPr>
        <w:t xml:space="preserve"> </w:t>
      </w:r>
      <w:r w:rsidR="006D51CA" w:rsidRPr="00772EE3">
        <w:rPr>
          <w:sz w:val="16"/>
          <w:szCs w:val="16"/>
        </w:rPr>
        <w:t>JRL, GB 133 MCK/2/</w:t>
      </w:r>
      <w:r w:rsidR="00D72A9A">
        <w:rPr>
          <w:sz w:val="16"/>
          <w:szCs w:val="16"/>
        </w:rPr>
        <w:t>2</w:t>
      </w:r>
      <w:r w:rsidR="006D51CA" w:rsidRPr="00772EE3">
        <w:rPr>
          <w:sz w:val="16"/>
          <w:szCs w:val="16"/>
        </w:rPr>
        <w:t>/</w:t>
      </w:r>
      <w:r w:rsidR="00D72A9A">
        <w:rPr>
          <w:sz w:val="16"/>
          <w:szCs w:val="16"/>
        </w:rPr>
        <w:t>1 [Letter Sent from McConnel &amp; Kennedy to William Johnson of Bow Street Cheapside, London in 1796].</w:t>
      </w:r>
    </w:p>
  </w:footnote>
  <w:footnote w:id="176">
    <w:p w14:paraId="6A877ADE" w14:textId="1FA13B71" w:rsidR="00D626AE" w:rsidRPr="00772EE3" w:rsidRDefault="00D626AE">
      <w:pPr>
        <w:pStyle w:val="FootnoteText"/>
        <w:rPr>
          <w:sz w:val="16"/>
          <w:szCs w:val="16"/>
        </w:rPr>
      </w:pPr>
      <w:r w:rsidRPr="00772EE3">
        <w:rPr>
          <w:rStyle w:val="FootnoteReference"/>
          <w:sz w:val="16"/>
          <w:szCs w:val="16"/>
        </w:rPr>
        <w:footnoteRef/>
      </w:r>
      <w:r w:rsidRPr="00772EE3">
        <w:rPr>
          <w:sz w:val="16"/>
          <w:szCs w:val="16"/>
        </w:rPr>
        <w:t xml:space="preserve"> </w:t>
      </w:r>
      <w:r w:rsidR="006D51CA" w:rsidRPr="00772EE3">
        <w:rPr>
          <w:sz w:val="16"/>
          <w:szCs w:val="16"/>
        </w:rPr>
        <w:t>JRL. GB 133 MCK/2/1/2</w:t>
      </w:r>
      <w:r w:rsidR="00D72A9A">
        <w:rPr>
          <w:sz w:val="16"/>
          <w:szCs w:val="16"/>
        </w:rPr>
        <w:t xml:space="preserve"> [Letter Sent from McConnel &amp; Kennedy to William Johnson of Bow Street Cheapside, London in 1796]. </w:t>
      </w:r>
    </w:p>
  </w:footnote>
  <w:footnote w:id="177">
    <w:p w14:paraId="284B019E" w14:textId="68BAD64C" w:rsidR="008E404A" w:rsidRPr="008E404A" w:rsidRDefault="008E404A" w:rsidP="008E404A">
      <w:pPr>
        <w:pStyle w:val="FootnoteText"/>
        <w:rPr>
          <w:sz w:val="16"/>
          <w:szCs w:val="16"/>
        </w:rPr>
      </w:pPr>
      <w:r w:rsidRPr="00772EE3">
        <w:rPr>
          <w:rStyle w:val="FootnoteReference"/>
          <w:sz w:val="16"/>
          <w:szCs w:val="16"/>
        </w:rPr>
        <w:footnoteRef/>
      </w:r>
      <w:r w:rsidRPr="009C5321">
        <w:rPr>
          <w:sz w:val="16"/>
          <w:szCs w:val="16"/>
        </w:rPr>
        <w:t xml:space="preserve"> DLSL</w:t>
      </w:r>
      <w:r w:rsidRPr="00772EE3">
        <w:rPr>
          <w:sz w:val="16"/>
          <w:szCs w:val="16"/>
        </w:rPr>
        <w:t>,</w:t>
      </w:r>
      <w:r w:rsidRPr="009C5321">
        <w:rPr>
          <w:sz w:val="16"/>
          <w:szCs w:val="16"/>
        </w:rPr>
        <w:t xml:space="preserve"> BS 677 EVA, DL119 CB R1</w:t>
      </w:r>
      <w:r>
        <w:rPr>
          <w:sz w:val="16"/>
          <w:szCs w:val="16"/>
        </w:rPr>
        <w:t xml:space="preserve"> [Letter Sent from W. Evans &amp; Co. to Robert Cooper of </w:t>
      </w:r>
      <w:r>
        <w:rPr>
          <w:sz w:val="16"/>
          <w:szCs w:val="16"/>
        </w:rPr>
        <w:t>Alkmonton 21 July 1788].</w:t>
      </w:r>
    </w:p>
  </w:footnote>
  <w:footnote w:id="178">
    <w:p w14:paraId="738460B1" w14:textId="6E289EE9" w:rsidR="00D626AE" w:rsidRPr="00772EE3" w:rsidRDefault="00D626AE" w:rsidP="00D626AE">
      <w:pPr>
        <w:pStyle w:val="FootnoteText"/>
        <w:rPr>
          <w:sz w:val="16"/>
          <w:szCs w:val="16"/>
        </w:rPr>
      </w:pPr>
      <w:r w:rsidRPr="00772EE3">
        <w:rPr>
          <w:rStyle w:val="FootnoteReference"/>
          <w:sz w:val="16"/>
          <w:szCs w:val="16"/>
        </w:rPr>
        <w:footnoteRef/>
      </w:r>
      <w:r w:rsidRPr="00772EE3">
        <w:rPr>
          <w:sz w:val="16"/>
          <w:szCs w:val="16"/>
        </w:rPr>
        <w:t xml:space="preserve"> </w:t>
      </w:r>
      <w:bookmarkStart w:id="55" w:name="_Hlk149940801"/>
      <w:r w:rsidRPr="00772EE3">
        <w:rPr>
          <w:sz w:val="16"/>
          <w:szCs w:val="16"/>
        </w:rPr>
        <w:t>DLSL</w:t>
      </w:r>
      <w:r w:rsidR="00772EE3" w:rsidRPr="00772EE3">
        <w:rPr>
          <w:sz w:val="16"/>
          <w:szCs w:val="16"/>
        </w:rPr>
        <w:t xml:space="preserve">, </w:t>
      </w:r>
      <w:r w:rsidRPr="00772EE3">
        <w:rPr>
          <w:sz w:val="16"/>
          <w:szCs w:val="16"/>
        </w:rPr>
        <w:t xml:space="preserve">BS 677 EVA, DL119 CB R1 </w:t>
      </w:r>
      <w:bookmarkEnd w:id="55"/>
      <w:r w:rsidR="008E404A" w:rsidRPr="008E404A">
        <w:rPr>
          <w:sz w:val="16"/>
          <w:szCs w:val="16"/>
        </w:rPr>
        <w:t>[Letter Sent from W. Evans &amp; Co.</w:t>
      </w:r>
      <w:r w:rsidR="008E404A">
        <w:rPr>
          <w:sz w:val="16"/>
          <w:szCs w:val="16"/>
        </w:rPr>
        <w:t xml:space="preserve"> </w:t>
      </w:r>
      <w:r w:rsidR="008E404A" w:rsidRPr="008E404A">
        <w:rPr>
          <w:sz w:val="16"/>
          <w:szCs w:val="16"/>
        </w:rPr>
        <w:t xml:space="preserve">to Robert Cooper of </w:t>
      </w:r>
      <w:r w:rsidR="008E404A" w:rsidRPr="008E404A">
        <w:rPr>
          <w:sz w:val="16"/>
          <w:szCs w:val="16"/>
        </w:rPr>
        <w:t>Alkmonton 21 July 1788</w:t>
      </w:r>
      <w:r w:rsidR="008E404A">
        <w:rPr>
          <w:sz w:val="16"/>
          <w:szCs w:val="16"/>
        </w:rPr>
        <w:t>].</w:t>
      </w:r>
    </w:p>
  </w:footnote>
  <w:footnote w:id="179">
    <w:p w14:paraId="3411B5CE" w14:textId="4B042FF6" w:rsidR="005A05DF" w:rsidRPr="009F079C" w:rsidRDefault="005A05DF" w:rsidP="005A05DF">
      <w:pPr>
        <w:pStyle w:val="FootnoteText"/>
        <w:rPr>
          <w:sz w:val="18"/>
          <w:szCs w:val="18"/>
        </w:rPr>
      </w:pPr>
      <w:r w:rsidRPr="00772EE3">
        <w:rPr>
          <w:rStyle w:val="FootnoteReference"/>
          <w:sz w:val="16"/>
          <w:szCs w:val="16"/>
        </w:rPr>
        <w:footnoteRef/>
      </w:r>
      <w:r w:rsidRPr="00772EE3">
        <w:rPr>
          <w:sz w:val="16"/>
          <w:szCs w:val="16"/>
        </w:rPr>
        <w:t xml:space="preserve"> </w:t>
      </w:r>
      <w:r w:rsidR="00486801" w:rsidRPr="00772EE3">
        <w:rPr>
          <w:sz w:val="16"/>
          <w:szCs w:val="16"/>
        </w:rPr>
        <w:t>DLSL</w:t>
      </w:r>
      <w:r w:rsidR="00772EE3" w:rsidRPr="00772EE3">
        <w:rPr>
          <w:sz w:val="16"/>
          <w:szCs w:val="16"/>
        </w:rPr>
        <w:t>.</w:t>
      </w:r>
      <w:r w:rsidR="00231E4A" w:rsidRPr="00772EE3">
        <w:rPr>
          <w:sz w:val="16"/>
          <w:szCs w:val="16"/>
        </w:rPr>
        <w:t xml:space="preserve"> </w:t>
      </w:r>
      <w:r w:rsidR="00486801" w:rsidRPr="00772EE3">
        <w:rPr>
          <w:sz w:val="16"/>
          <w:szCs w:val="16"/>
        </w:rPr>
        <w:t>BS 677 EVA, DL119 CB R1</w:t>
      </w:r>
      <w:r w:rsidR="008E404A">
        <w:rPr>
          <w:sz w:val="16"/>
          <w:szCs w:val="16"/>
        </w:rPr>
        <w:t xml:space="preserve"> </w:t>
      </w:r>
      <w:r w:rsidR="008E404A" w:rsidRPr="008E404A">
        <w:rPr>
          <w:sz w:val="16"/>
          <w:szCs w:val="16"/>
        </w:rPr>
        <w:t>[Letter Sent from W. Evans &amp; Co</w:t>
      </w:r>
      <w:r w:rsidR="008E404A">
        <w:rPr>
          <w:sz w:val="16"/>
          <w:szCs w:val="16"/>
        </w:rPr>
        <w:t xml:space="preserve">. </w:t>
      </w:r>
      <w:r w:rsidR="008E404A" w:rsidRPr="008E404A">
        <w:rPr>
          <w:sz w:val="16"/>
          <w:szCs w:val="16"/>
        </w:rPr>
        <w:t xml:space="preserve">to Robert Cooper of </w:t>
      </w:r>
      <w:r w:rsidR="008E404A" w:rsidRPr="008E404A">
        <w:rPr>
          <w:sz w:val="16"/>
          <w:szCs w:val="16"/>
        </w:rPr>
        <w:t>Alkmonton 21 July 1788</w:t>
      </w:r>
      <w:r w:rsidR="008E404A">
        <w:rPr>
          <w:sz w:val="16"/>
          <w:szCs w:val="16"/>
        </w:rPr>
        <w:t xml:space="preserve">]. </w:t>
      </w:r>
    </w:p>
  </w:footnote>
  <w:footnote w:id="180">
    <w:p w14:paraId="267881EB" w14:textId="52506270"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w:t>
      </w:r>
      <w:bookmarkStart w:id="56" w:name="_Hlk156740799"/>
      <w:r w:rsidR="00A33B1C" w:rsidRPr="00772EE3">
        <w:rPr>
          <w:sz w:val="16"/>
          <w:szCs w:val="16"/>
        </w:rPr>
        <w:t xml:space="preserve">JRL, GB 133 </w:t>
      </w:r>
      <w:r w:rsidRPr="00772EE3">
        <w:rPr>
          <w:sz w:val="16"/>
          <w:szCs w:val="16"/>
        </w:rPr>
        <w:t>MCK</w:t>
      </w:r>
      <w:r w:rsidR="00A33B1C" w:rsidRPr="00772EE3">
        <w:rPr>
          <w:sz w:val="16"/>
          <w:szCs w:val="16"/>
        </w:rPr>
        <w:t>/2/1/8</w:t>
      </w:r>
      <w:r w:rsidR="00872963" w:rsidRPr="00772EE3">
        <w:rPr>
          <w:sz w:val="16"/>
          <w:szCs w:val="16"/>
        </w:rPr>
        <w:t xml:space="preserve"> [Letter Received</w:t>
      </w:r>
      <w:r w:rsidR="00D72A9A">
        <w:rPr>
          <w:sz w:val="16"/>
          <w:szCs w:val="16"/>
        </w:rPr>
        <w:t xml:space="preserve"> by McConnel &amp; Kennedy from J. L. Eckhardt of Leipzig in </w:t>
      </w:r>
      <w:r w:rsidR="00D72A9A" w:rsidRPr="00772EE3">
        <w:rPr>
          <w:sz w:val="16"/>
          <w:szCs w:val="16"/>
        </w:rPr>
        <w:t>1802</w:t>
      </w:r>
      <w:r w:rsidR="00872963" w:rsidRPr="00772EE3">
        <w:rPr>
          <w:sz w:val="16"/>
          <w:szCs w:val="16"/>
        </w:rPr>
        <w:t>]</w:t>
      </w:r>
      <w:r w:rsidR="00BA0F9F">
        <w:rPr>
          <w:sz w:val="16"/>
          <w:szCs w:val="16"/>
        </w:rPr>
        <w:t>.</w:t>
      </w:r>
      <w:r w:rsidR="00872963" w:rsidRPr="00772EE3">
        <w:rPr>
          <w:sz w:val="16"/>
          <w:szCs w:val="16"/>
        </w:rPr>
        <w:t xml:space="preserve"> </w:t>
      </w:r>
      <w:bookmarkEnd w:id="56"/>
    </w:p>
  </w:footnote>
  <w:footnote w:id="181">
    <w:p w14:paraId="5D0E7002" w14:textId="70DD37BA" w:rsidR="00D626AE" w:rsidRPr="00772EE3" w:rsidRDefault="00D626AE" w:rsidP="00D72A9A">
      <w:pPr>
        <w:pStyle w:val="FootnoteText"/>
        <w:rPr>
          <w:sz w:val="16"/>
          <w:szCs w:val="16"/>
        </w:rPr>
      </w:pPr>
      <w:r w:rsidRPr="00772EE3">
        <w:rPr>
          <w:rStyle w:val="FootnoteReference"/>
          <w:sz w:val="16"/>
          <w:szCs w:val="16"/>
        </w:rPr>
        <w:footnoteRef/>
      </w:r>
      <w:r w:rsidRPr="00772EE3">
        <w:rPr>
          <w:sz w:val="16"/>
          <w:szCs w:val="16"/>
        </w:rPr>
        <w:t xml:space="preserve"> JRL, GB 133 MCK/2/1/8</w:t>
      </w:r>
      <w:r w:rsidR="00D72A9A">
        <w:rPr>
          <w:sz w:val="16"/>
          <w:szCs w:val="16"/>
        </w:rPr>
        <w:t xml:space="preserve"> </w:t>
      </w:r>
      <w:r w:rsidR="00D72A9A" w:rsidRPr="00D72A9A">
        <w:rPr>
          <w:sz w:val="16"/>
          <w:szCs w:val="16"/>
        </w:rPr>
        <w:t>[Letter Received by McConnel &amp; Kennedy from J. L. Eckhardt of Leipzig in 1802]</w:t>
      </w:r>
      <w:r w:rsidR="00BA0F9F">
        <w:rPr>
          <w:sz w:val="16"/>
          <w:szCs w:val="16"/>
        </w:rPr>
        <w:t>.</w:t>
      </w:r>
    </w:p>
  </w:footnote>
  <w:footnote w:id="182">
    <w:p w14:paraId="781CE54A" w14:textId="71AFE0FD"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w:t>
      </w:r>
      <w:r w:rsidR="00872963" w:rsidRPr="00772EE3">
        <w:rPr>
          <w:sz w:val="16"/>
          <w:szCs w:val="16"/>
        </w:rPr>
        <w:t>JRL, GB 133</w:t>
      </w:r>
      <w:r w:rsidR="00872963" w:rsidRPr="00772EE3">
        <w:rPr>
          <w:i/>
          <w:iCs/>
          <w:sz w:val="16"/>
          <w:szCs w:val="16"/>
        </w:rPr>
        <w:t xml:space="preserve"> </w:t>
      </w:r>
      <w:r w:rsidR="00A33B1C" w:rsidRPr="00772EE3">
        <w:rPr>
          <w:sz w:val="16"/>
          <w:szCs w:val="16"/>
        </w:rPr>
        <w:t>MCK/2/1/8</w:t>
      </w:r>
      <w:r w:rsidR="00872963" w:rsidRPr="00772EE3">
        <w:rPr>
          <w:sz w:val="16"/>
          <w:szCs w:val="16"/>
        </w:rPr>
        <w:t xml:space="preserve"> </w:t>
      </w:r>
      <w:r w:rsidR="00D72A9A" w:rsidRPr="00D72A9A">
        <w:rPr>
          <w:sz w:val="16"/>
          <w:szCs w:val="16"/>
        </w:rPr>
        <w:t>[Letter Received by McConnel &amp; Kennedy from J. L. Eckhardt of Leipzig in 1802]</w:t>
      </w:r>
      <w:r w:rsidR="00BA0F9F">
        <w:rPr>
          <w:sz w:val="16"/>
          <w:szCs w:val="16"/>
        </w:rPr>
        <w:t>.</w:t>
      </w:r>
    </w:p>
  </w:footnote>
  <w:footnote w:id="183">
    <w:p w14:paraId="07954EAF" w14:textId="60153C5B"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DLSL</w:t>
      </w:r>
      <w:r w:rsidR="00772EE3" w:rsidRPr="00772EE3">
        <w:rPr>
          <w:sz w:val="16"/>
          <w:szCs w:val="16"/>
        </w:rPr>
        <w:t>,</w:t>
      </w:r>
      <w:r w:rsidRPr="00772EE3">
        <w:rPr>
          <w:sz w:val="16"/>
          <w:szCs w:val="16"/>
        </w:rPr>
        <w:t xml:space="preserve"> BS</w:t>
      </w:r>
      <w:r w:rsidR="00FD2A3C">
        <w:rPr>
          <w:sz w:val="16"/>
          <w:szCs w:val="16"/>
        </w:rPr>
        <w:t xml:space="preserve"> </w:t>
      </w:r>
      <w:r w:rsidRPr="00772EE3">
        <w:rPr>
          <w:sz w:val="16"/>
          <w:szCs w:val="16"/>
        </w:rPr>
        <w:t>677</w:t>
      </w:r>
      <w:r w:rsidR="00E01356" w:rsidRPr="00772EE3">
        <w:rPr>
          <w:sz w:val="16"/>
          <w:szCs w:val="16"/>
        </w:rPr>
        <w:t xml:space="preserve"> EVA</w:t>
      </w:r>
      <w:r w:rsidRPr="00772EE3">
        <w:rPr>
          <w:sz w:val="16"/>
          <w:szCs w:val="16"/>
        </w:rPr>
        <w:t xml:space="preserve">, DL119 </w:t>
      </w:r>
      <w:r w:rsidR="00E01356" w:rsidRPr="00772EE3">
        <w:rPr>
          <w:sz w:val="16"/>
          <w:szCs w:val="16"/>
        </w:rPr>
        <w:t>CB</w:t>
      </w:r>
      <w:r w:rsidRPr="00772EE3">
        <w:rPr>
          <w:sz w:val="16"/>
          <w:szCs w:val="16"/>
        </w:rPr>
        <w:t xml:space="preserve"> R1</w:t>
      </w:r>
      <w:r w:rsidR="00872963" w:rsidRPr="00772EE3">
        <w:rPr>
          <w:sz w:val="16"/>
          <w:szCs w:val="16"/>
        </w:rPr>
        <w:t xml:space="preserve"> </w:t>
      </w:r>
      <w:bookmarkStart w:id="58" w:name="_Hlk156645706"/>
      <w:r w:rsidR="00872963" w:rsidRPr="00772EE3">
        <w:rPr>
          <w:sz w:val="16"/>
          <w:szCs w:val="16"/>
        </w:rPr>
        <w:t>[</w:t>
      </w:r>
      <w:r w:rsidR="00D72A9A">
        <w:rPr>
          <w:sz w:val="16"/>
          <w:szCs w:val="16"/>
        </w:rPr>
        <w:t>Letter Sent from W. Evans &amp; Co</w:t>
      </w:r>
      <w:r w:rsidR="00FD2A3C">
        <w:rPr>
          <w:sz w:val="16"/>
          <w:szCs w:val="16"/>
        </w:rPr>
        <w:t>.</w:t>
      </w:r>
      <w:r w:rsidR="00D72A9A">
        <w:rPr>
          <w:sz w:val="16"/>
          <w:szCs w:val="16"/>
        </w:rPr>
        <w:t xml:space="preserve"> (John Keeling) to Messrs. Whitfield &amp; Co. Manchester </w:t>
      </w:r>
      <w:r w:rsidR="00872963" w:rsidRPr="00772EE3">
        <w:rPr>
          <w:sz w:val="16"/>
          <w:szCs w:val="16"/>
        </w:rPr>
        <w:t>3 November 1788]</w:t>
      </w:r>
      <w:r w:rsidR="00D72A9A">
        <w:rPr>
          <w:sz w:val="16"/>
          <w:szCs w:val="16"/>
        </w:rPr>
        <w:t>.</w:t>
      </w:r>
      <w:r w:rsidR="00872963" w:rsidRPr="00772EE3">
        <w:rPr>
          <w:sz w:val="16"/>
          <w:szCs w:val="16"/>
        </w:rPr>
        <w:t xml:space="preserve"> </w:t>
      </w:r>
      <w:bookmarkEnd w:id="58"/>
    </w:p>
  </w:footnote>
  <w:footnote w:id="184">
    <w:p w14:paraId="466E8B9D" w14:textId="29B96659" w:rsidR="006D51CA" w:rsidRPr="00772EE3" w:rsidRDefault="006D51CA">
      <w:pPr>
        <w:pStyle w:val="FootnoteText"/>
        <w:rPr>
          <w:sz w:val="16"/>
          <w:szCs w:val="16"/>
        </w:rPr>
      </w:pPr>
      <w:r w:rsidRPr="00772EE3">
        <w:rPr>
          <w:rStyle w:val="FootnoteReference"/>
          <w:sz w:val="16"/>
          <w:szCs w:val="16"/>
        </w:rPr>
        <w:footnoteRef/>
      </w:r>
      <w:r w:rsidR="00872963" w:rsidRPr="00772EE3">
        <w:rPr>
          <w:sz w:val="16"/>
          <w:szCs w:val="16"/>
        </w:rPr>
        <w:t xml:space="preserve"> DLSL</w:t>
      </w:r>
      <w:r w:rsidR="00772EE3" w:rsidRPr="00772EE3">
        <w:rPr>
          <w:sz w:val="16"/>
          <w:szCs w:val="16"/>
        </w:rPr>
        <w:t>,</w:t>
      </w:r>
      <w:r w:rsidR="00872963" w:rsidRPr="00772EE3">
        <w:rPr>
          <w:sz w:val="16"/>
          <w:szCs w:val="16"/>
        </w:rPr>
        <w:t xml:space="preserve"> BS</w:t>
      </w:r>
      <w:r w:rsidR="00FD2A3C">
        <w:rPr>
          <w:sz w:val="16"/>
          <w:szCs w:val="16"/>
        </w:rPr>
        <w:t xml:space="preserve"> </w:t>
      </w:r>
      <w:r w:rsidR="00872963" w:rsidRPr="00772EE3">
        <w:rPr>
          <w:sz w:val="16"/>
          <w:szCs w:val="16"/>
        </w:rPr>
        <w:t xml:space="preserve">677 EVA, DL119 CB R1 </w:t>
      </w:r>
      <w:r w:rsidR="00BA0F9F" w:rsidRPr="00BA0F9F">
        <w:rPr>
          <w:sz w:val="16"/>
          <w:szCs w:val="16"/>
        </w:rPr>
        <w:t>[Letter Sent from W. Evans &amp; Co</w:t>
      </w:r>
      <w:r w:rsidR="00FD2A3C">
        <w:rPr>
          <w:sz w:val="16"/>
          <w:szCs w:val="16"/>
        </w:rPr>
        <w:t>.</w:t>
      </w:r>
      <w:r w:rsidR="00BA0F9F" w:rsidRPr="00BA0F9F">
        <w:rPr>
          <w:sz w:val="16"/>
          <w:szCs w:val="16"/>
        </w:rPr>
        <w:t xml:space="preserve"> (John Keeling) to Messrs. Whitfield &amp; Co. Manchester 3 November 1788].</w:t>
      </w:r>
    </w:p>
  </w:footnote>
  <w:footnote w:id="185">
    <w:p w14:paraId="1FA55AB1" w14:textId="48981E67" w:rsidR="00872963" w:rsidRPr="00772EE3" w:rsidRDefault="00872963">
      <w:pPr>
        <w:pStyle w:val="FootnoteText"/>
        <w:rPr>
          <w:sz w:val="16"/>
          <w:szCs w:val="16"/>
        </w:rPr>
      </w:pPr>
      <w:r w:rsidRPr="00772EE3">
        <w:rPr>
          <w:rStyle w:val="FootnoteReference"/>
          <w:sz w:val="16"/>
          <w:szCs w:val="16"/>
        </w:rPr>
        <w:footnoteRef/>
      </w:r>
      <w:r w:rsidRPr="00772EE3">
        <w:rPr>
          <w:sz w:val="16"/>
          <w:szCs w:val="16"/>
        </w:rPr>
        <w:t xml:space="preserve"> DLSL</w:t>
      </w:r>
      <w:r w:rsidR="00772EE3" w:rsidRPr="00772EE3">
        <w:rPr>
          <w:sz w:val="16"/>
          <w:szCs w:val="16"/>
        </w:rPr>
        <w:t>,</w:t>
      </w:r>
      <w:r w:rsidRPr="00772EE3">
        <w:rPr>
          <w:sz w:val="16"/>
          <w:szCs w:val="16"/>
        </w:rPr>
        <w:t xml:space="preserve"> BS</w:t>
      </w:r>
      <w:r w:rsidR="00FD2A3C">
        <w:rPr>
          <w:sz w:val="16"/>
          <w:szCs w:val="16"/>
        </w:rPr>
        <w:t xml:space="preserve"> </w:t>
      </w:r>
      <w:r w:rsidRPr="00772EE3">
        <w:rPr>
          <w:sz w:val="16"/>
          <w:szCs w:val="16"/>
        </w:rPr>
        <w:t xml:space="preserve">677 EVA, DL119 CB R1 </w:t>
      </w:r>
      <w:r w:rsidR="00BA0F9F" w:rsidRPr="00BA0F9F">
        <w:rPr>
          <w:sz w:val="16"/>
          <w:szCs w:val="16"/>
        </w:rPr>
        <w:t>[Letter Sent from W. Evans &amp; Co</w:t>
      </w:r>
      <w:r w:rsidR="00FD2A3C">
        <w:rPr>
          <w:sz w:val="16"/>
          <w:szCs w:val="16"/>
        </w:rPr>
        <w:t>.</w:t>
      </w:r>
      <w:r w:rsidR="00BA0F9F" w:rsidRPr="00BA0F9F">
        <w:rPr>
          <w:sz w:val="16"/>
          <w:szCs w:val="16"/>
        </w:rPr>
        <w:t xml:space="preserve"> (John Keeling) to Messrs. Whitfield &amp; Co. Manchester 3 November 1788].</w:t>
      </w:r>
    </w:p>
  </w:footnote>
  <w:footnote w:id="186">
    <w:p w14:paraId="30EC7810" w14:textId="285B390C" w:rsidR="00872963" w:rsidRPr="00020324" w:rsidRDefault="00872963">
      <w:pPr>
        <w:pStyle w:val="FootnoteText"/>
        <w:rPr>
          <w:sz w:val="18"/>
          <w:szCs w:val="18"/>
        </w:rPr>
      </w:pPr>
      <w:r w:rsidRPr="00772EE3">
        <w:rPr>
          <w:rStyle w:val="FootnoteReference"/>
          <w:sz w:val="16"/>
          <w:szCs w:val="16"/>
        </w:rPr>
        <w:footnoteRef/>
      </w:r>
      <w:r w:rsidRPr="00772EE3">
        <w:rPr>
          <w:sz w:val="16"/>
          <w:szCs w:val="16"/>
        </w:rPr>
        <w:t xml:space="preserve"> JRL, GB 133 MCK1, MCK2 and DLSL BS 677 EVA DL119 CB R1, LB R2 and LB R3</w:t>
      </w:r>
      <w:r w:rsidR="000A5DAA">
        <w:rPr>
          <w:sz w:val="16"/>
          <w:szCs w:val="16"/>
        </w:rPr>
        <w:t>.</w:t>
      </w:r>
    </w:p>
  </w:footnote>
  <w:footnote w:id="187">
    <w:p w14:paraId="05F83A5D" w14:textId="06CCA3AC"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DLS</w:t>
      </w:r>
      <w:r w:rsidR="006E004E" w:rsidRPr="00772EE3">
        <w:rPr>
          <w:sz w:val="16"/>
          <w:szCs w:val="16"/>
        </w:rPr>
        <w:t>L</w:t>
      </w:r>
      <w:r w:rsidR="00772EE3" w:rsidRPr="00772EE3">
        <w:rPr>
          <w:sz w:val="16"/>
          <w:szCs w:val="16"/>
        </w:rPr>
        <w:t>,</w:t>
      </w:r>
      <w:r w:rsidRPr="00772EE3">
        <w:rPr>
          <w:sz w:val="16"/>
          <w:szCs w:val="16"/>
        </w:rPr>
        <w:t xml:space="preserve"> BS 677</w:t>
      </w:r>
      <w:r w:rsidR="00C10929" w:rsidRPr="00772EE3">
        <w:rPr>
          <w:sz w:val="16"/>
          <w:szCs w:val="16"/>
        </w:rPr>
        <w:t xml:space="preserve"> EVA</w:t>
      </w:r>
      <w:r w:rsidRPr="00772EE3">
        <w:rPr>
          <w:sz w:val="16"/>
          <w:szCs w:val="16"/>
        </w:rPr>
        <w:t xml:space="preserve">, DL119 </w:t>
      </w:r>
      <w:r w:rsidR="00C10929" w:rsidRPr="00772EE3">
        <w:rPr>
          <w:sz w:val="16"/>
          <w:szCs w:val="16"/>
        </w:rPr>
        <w:t>CB</w:t>
      </w:r>
      <w:r w:rsidRPr="00772EE3">
        <w:rPr>
          <w:sz w:val="16"/>
          <w:szCs w:val="16"/>
        </w:rPr>
        <w:t xml:space="preserve"> R1 </w:t>
      </w:r>
      <w:r w:rsidR="00872963" w:rsidRPr="00772EE3">
        <w:rPr>
          <w:sz w:val="16"/>
          <w:szCs w:val="16"/>
        </w:rPr>
        <w:t>[</w:t>
      </w:r>
      <w:r w:rsidR="000A5DAA">
        <w:rPr>
          <w:sz w:val="16"/>
          <w:szCs w:val="16"/>
        </w:rPr>
        <w:t xml:space="preserve">Book entry to declare witness by John Keeling of W. Evans &amp; Co. </w:t>
      </w:r>
      <w:r w:rsidR="00872963" w:rsidRPr="00772EE3">
        <w:rPr>
          <w:sz w:val="16"/>
          <w:szCs w:val="16"/>
        </w:rPr>
        <w:t>June 1788]</w:t>
      </w:r>
      <w:r w:rsidR="000A5DAA">
        <w:rPr>
          <w:sz w:val="16"/>
          <w:szCs w:val="16"/>
        </w:rPr>
        <w:t>.</w:t>
      </w:r>
      <w:r w:rsidR="00872963" w:rsidRPr="00772EE3">
        <w:rPr>
          <w:sz w:val="16"/>
          <w:szCs w:val="16"/>
        </w:rPr>
        <w:t xml:space="preserve"> </w:t>
      </w:r>
    </w:p>
  </w:footnote>
  <w:footnote w:id="188">
    <w:p w14:paraId="2B9B1839" w14:textId="03663456" w:rsidR="00872963" w:rsidRPr="00772EE3" w:rsidRDefault="00872963">
      <w:pPr>
        <w:pStyle w:val="FootnoteText"/>
        <w:rPr>
          <w:sz w:val="16"/>
          <w:szCs w:val="16"/>
        </w:rPr>
      </w:pPr>
      <w:r w:rsidRPr="00772EE3">
        <w:rPr>
          <w:rStyle w:val="FootnoteReference"/>
          <w:sz w:val="16"/>
          <w:szCs w:val="16"/>
        </w:rPr>
        <w:footnoteRef/>
      </w:r>
      <w:r w:rsidRPr="00772EE3">
        <w:rPr>
          <w:sz w:val="16"/>
          <w:szCs w:val="16"/>
        </w:rPr>
        <w:t xml:space="preserve"> JRL, GB 133 MCK/2/2/2 [</w:t>
      </w:r>
      <w:r w:rsidR="003A3250" w:rsidRPr="00772EE3">
        <w:rPr>
          <w:sz w:val="16"/>
          <w:szCs w:val="16"/>
        </w:rPr>
        <w:t xml:space="preserve">Letters Sent </w:t>
      </w:r>
      <w:r w:rsidR="000A5DAA">
        <w:rPr>
          <w:sz w:val="16"/>
          <w:szCs w:val="16"/>
        </w:rPr>
        <w:t xml:space="preserve">from McConnel &amp; Kennedy to Blair &amp; Andrew Sloan, </w:t>
      </w:r>
      <w:r w:rsidRPr="00772EE3">
        <w:rPr>
          <w:sz w:val="16"/>
          <w:szCs w:val="16"/>
        </w:rPr>
        <w:t>4 December 1798]</w:t>
      </w:r>
      <w:r w:rsidR="000A5DAA">
        <w:rPr>
          <w:sz w:val="16"/>
          <w:szCs w:val="16"/>
        </w:rPr>
        <w:t>.</w:t>
      </w:r>
    </w:p>
  </w:footnote>
  <w:footnote w:id="189">
    <w:p w14:paraId="0E182F1D" w14:textId="2F7DAD18" w:rsidR="0034722B" w:rsidRPr="00772EE3" w:rsidRDefault="0034722B">
      <w:pPr>
        <w:pStyle w:val="FootnoteText"/>
        <w:rPr>
          <w:sz w:val="16"/>
          <w:szCs w:val="16"/>
        </w:rPr>
      </w:pPr>
      <w:r w:rsidRPr="00772EE3">
        <w:rPr>
          <w:rStyle w:val="FootnoteReference"/>
          <w:sz w:val="16"/>
          <w:szCs w:val="16"/>
        </w:rPr>
        <w:footnoteRef/>
      </w:r>
      <w:r w:rsidRPr="00772EE3">
        <w:rPr>
          <w:sz w:val="16"/>
          <w:szCs w:val="16"/>
        </w:rPr>
        <w:t xml:space="preserve"> </w:t>
      </w:r>
      <w:r w:rsidR="00DD7905" w:rsidRPr="00772EE3">
        <w:rPr>
          <w:sz w:val="16"/>
          <w:szCs w:val="16"/>
        </w:rPr>
        <w:t>JRL, GB 133</w:t>
      </w:r>
      <w:r w:rsidR="00961CC6" w:rsidRPr="00772EE3">
        <w:rPr>
          <w:sz w:val="16"/>
          <w:szCs w:val="16"/>
        </w:rPr>
        <w:t xml:space="preserve"> MCK/2/2/2</w:t>
      </w:r>
      <w:r w:rsidR="00872963" w:rsidRPr="00772EE3">
        <w:rPr>
          <w:sz w:val="16"/>
          <w:szCs w:val="16"/>
        </w:rPr>
        <w:t xml:space="preserve"> </w:t>
      </w:r>
      <w:r w:rsidR="000A5DAA" w:rsidRPr="000A5DAA">
        <w:rPr>
          <w:sz w:val="16"/>
          <w:szCs w:val="16"/>
        </w:rPr>
        <w:t>[Letters Sent from McConnel &amp; Kennedy to Blair &amp; Andrew Sloan, 4 December 1798]</w:t>
      </w:r>
      <w:r w:rsidR="000A5DAA">
        <w:rPr>
          <w:sz w:val="16"/>
          <w:szCs w:val="16"/>
        </w:rPr>
        <w:t>.</w:t>
      </w:r>
    </w:p>
  </w:footnote>
  <w:footnote w:id="190">
    <w:p w14:paraId="1C167293" w14:textId="76622DA3" w:rsidR="00020324" w:rsidRPr="00772EE3" w:rsidRDefault="00020324">
      <w:pPr>
        <w:pStyle w:val="FootnoteText"/>
        <w:rPr>
          <w:sz w:val="16"/>
          <w:szCs w:val="16"/>
        </w:rPr>
      </w:pPr>
      <w:r w:rsidRPr="00772EE3">
        <w:rPr>
          <w:rStyle w:val="FootnoteReference"/>
          <w:sz w:val="16"/>
          <w:szCs w:val="16"/>
        </w:rPr>
        <w:footnoteRef/>
      </w:r>
      <w:r w:rsidRPr="00772EE3">
        <w:rPr>
          <w:sz w:val="16"/>
          <w:szCs w:val="16"/>
        </w:rPr>
        <w:t xml:space="preserve"> JRL, GB 133 MCK/2/1/6 [</w:t>
      </w:r>
      <w:r w:rsidR="000A5DAA" w:rsidRPr="00772EE3">
        <w:rPr>
          <w:sz w:val="16"/>
          <w:szCs w:val="16"/>
        </w:rPr>
        <w:t>Letters Received</w:t>
      </w:r>
      <w:r w:rsidR="000A5DAA">
        <w:rPr>
          <w:sz w:val="16"/>
          <w:szCs w:val="16"/>
        </w:rPr>
        <w:t xml:space="preserve"> by McConnel &amp; Kennedy from Robert Gemmill of Belfast,</w:t>
      </w:r>
      <w:r w:rsidR="000A5DAA" w:rsidRPr="00772EE3">
        <w:rPr>
          <w:sz w:val="16"/>
          <w:szCs w:val="16"/>
        </w:rPr>
        <w:t xml:space="preserve"> </w:t>
      </w:r>
      <w:r w:rsidRPr="00772EE3">
        <w:rPr>
          <w:sz w:val="16"/>
          <w:szCs w:val="16"/>
        </w:rPr>
        <w:t>18 October 1800]</w:t>
      </w:r>
      <w:r w:rsidR="000A5DAA">
        <w:rPr>
          <w:sz w:val="16"/>
          <w:szCs w:val="16"/>
        </w:rPr>
        <w:t>.</w:t>
      </w:r>
    </w:p>
  </w:footnote>
  <w:footnote w:id="191">
    <w:p w14:paraId="1F0CCFC4" w14:textId="3BA9A66B" w:rsidR="005A05DF" w:rsidRPr="00772EE3" w:rsidRDefault="005A05DF" w:rsidP="000A5DAA">
      <w:pPr>
        <w:pStyle w:val="FootnoteText"/>
        <w:rPr>
          <w:sz w:val="16"/>
          <w:szCs w:val="16"/>
        </w:rPr>
      </w:pPr>
      <w:r w:rsidRPr="00772EE3">
        <w:rPr>
          <w:rStyle w:val="FootnoteReference"/>
          <w:sz w:val="16"/>
          <w:szCs w:val="16"/>
        </w:rPr>
        <w:footnoteRef/>
      </w:r>
      <w:r w:rsidRPr="00772EE3">
        <w:rPr>
          <w:sz w:val="16"/>
          <w:szCs w:val="16"/>
        </w:rPr>
        <w:t xml:space="preserve"> </w:t>
      </w:r>
      <w:r w:rsidR="00480C92" w:rsidRPr="00772EE3">
        <w:rPr>
          <w:sz w:val="16"/>
          <w:szCs w:val="16"/>
        </w:rPr>
        <w:t>JRL, GB 133 MCK</w:t>
      </w:r>
      <w:r w:rsidR="0040741C" w:rsidRPr="00772EE3">
        <w:rPr>
          <w:sz w:val="16"/>
          <w:szCs w:val="16"/>
        </w:rPr>
        <w:t>/2/1/6</w:t>
      </w:r>
      <w:r w:rsidR="00872963" w:rsidRPr="00772EE3">
        <w:rPr>
          <w:sz w:val="16"/>
          <w:szCs w:val="16"/>
        </w:rPr>
        <w:t xml:space="preserve"> </w:t>
      </w:r>
      <w:r w:rsidR="000A5DAA" w:rsidRPr="000A5DAA">
        <w:rPr>
          <w:sz w:val="16"/>
          <w:szCs w:val="16"/>
        </w:rPr>
        <w:t>[Letters Received by McConnel &amp; Kennedy from Robert Gemmill of Belfast, 18 October 1800]</w:t>
      </w:r>
      <w:r w:rsidR="000A5DAA">
        <w:rPr>
          <w:sz w:val="16"/>
          <w:szCs w:val="16"/>
        </w:rPr>
        <w:t>.</w:t>
      </w:r>
    </w:p>
  </w:footnote>
  <w:footnote w:id="192">
    <w:p w14:paraId="4FBB627D" w14:textId="0A5E7824" w:rsidR="00711CDC" w:rsidRPr="00020324" w:rsidRDefault="00711CDC">
      <w:pPr>
        <w:pStyle w:val="FootnoteText"/>
        <w:rPr>
          <w:sz w:val="18"/>
          <w:szCs w:val="18"/>
        </w:rPr>
      </w:pPr>
      <w:r w:rsidRPr="00772EE3">
        <w:rPr>
          <w:rStyle w:val="FootnoteReference"/>
          <w:sz w:val="16"/>
          <w:szCs w:val="16"/>
        </w:rPr>
        <w:footnoteRef/>
      </w:r>
      <w:r w:rsidRPr="00772EE3">
        <w:rPr>
          <w:sz w:val="16"/>
          <w:szCs w:val="16"/>
        </w:rPr>
        <w:t xml:space="preserve"> </w:t>
      </w:r>
      <w:r w:rsidR="00480C92" w:rsidRPr="00772EE3">
        <w:rPr>
          <w:sz w:val="16"/>
          <w:szCs w:val="16"/>
        </w:rPr>
        <w:t xml:space="preserve">Sunderland, </w:t>
      </w:r>
      <w:bookmarkStart w:id="59" w:name="_Hlk149980183"/>
      <w:r w:rsidR="00480C92" w:rsidRPr="00772EE3">
        <w:rPr>
          <w:i/>
          <w:iCs/>
          <w:sz w:val="16"/>
          <w:szCs w:val="16"/>
        </w:rPr>
        <w:t>Social Capital, Trust and the Industrial Revolution</w:t>
      </w:r>
      <w:r w:rsidR="00480C92" w:rsidRPr="00772EE3">
        <w:rPr>
          <w:sz w:val="16"/>
          <w:szCs w:val="16"/>
        </w:rPr>
        <w:t>, p.</w:t>
      </w:r>
      <w:r w:rsidR="00C215D2" w:rsidRPr="00772EE3">
        <w:rPr>
          <w:sz w:val="16"/>
          <w:szCs w:val="16"/>
        </w:rPr>
        <w:t>10-15.</w:t>
      </w:r>
      <w:r w:rsidR="00480C92" w:rsidRPr="00020324">
        <w:rPr>
          <w:sz w:val="18"/>
          <w:szCs w:val="18"/>
        </w:rPr>
        <w:t xml:space="preserve">  </w:t>
      </w:r>
      <w:bookmarkEnd w:id="59"/>
    </w:p>
  </w:footnote>
  <w:footnote w:id="193">
    <w:p w14:paraId="5D687EF0" w14:textId="57BDEF0C" w:rsidR="00510CA4" w:rsidRPr="00772EE3" w:rsidRDefault="00510CA4">
      <w:pPr>
        <w:pStyle w:val="FootnoteText"/>
        <w:rPr>
          <w:sz w:val="16"/>
          <w:szCs w:val="16"/>
        </w:rPr>
      </w:pPr>
      <w:r w:rsidRPr="00772EE3">
        <w:rPr>
          <w:rStyle w:val="FootnoteReference"/>
          <w:sz w:val="16"/>
          <w:szCs w:val="16"/>
        </w:rPr>
        <w:footnoteRef/>
      </w:r>
      <w:r w:rsidR="006424AF" w:rsidRPr="00772EE3">
        <w:rPr>
          <w:sz w:val="16"/>
          <w:szCs w:val="16"/>
        </w:rPr>
        <w:t xml:space="preserve"> Katie </w:t>
      </w:r>
      <w:r w:rsidR="006424AF" w:rsidRPr="00772EE3">
        <w:rPr>
          <w:sz w:val="16"/>
          <w:szCs w:val="16"/>
        </w:rPr>
        <w:t>Donington</w:t>
      </w:r>
      <w:r w:rsidR="00961CC6" w:rsidRPr="00772EE3">
        <w:rPr>
          <w:sz w:val="16"/>
          <w:szCs w:val="16"/>
        </w:rPr>
        <w:t xml:space="preserve">, </w:t>
      </w:r>
      <w:r w:rsidR="00961CC6" w:rsidRPr="00772EE3">
        <w:rPr>
          <w:i/>
          <w:iCs/>
          <w:sz w:val="16"/>
          <w:szCs w:val="16"/>
        </w:rPr>
        <w:t>Bond</w:t>
      </w:r>
      <w:r w:rsidR="00391E57" w:rsidRPr="00772EE3">
        <w:rPr>
          <w:i/>
          <w:iCs/>
          <w:sz w:val="16"/>
          <w:szCs w:val="16"/>
        </w:rPr>
        <w:t>s</w:t>
      </w:r>
      <w:r w:rsidR="00961CC6" w:rsidRPr="00772EE3">
        <w:rPr>
          <w:i/>
          <w:iCs/>
          <w:sz w:val="16"/>
          <w:szCs w:val="16"/>
        </w:rPr>
        <w:t xml:space="preserve"> of Family</w:t>
      </w:r>
      <w:r w:rsidR="00391E57" w:rsidRPr="00772EE3">
        <w:rPr>
          <w:sz w:val="16"/>
          <w:szCs w:val="16"/>
        </w:rPr>
        <w:t xml:space="preserve">, p. 12. </w:t>
      </w:r>
    </w:p>
  </w:footnote>
  <w:footnote w:id="194">
    <w:p w14:paraId="314C3BEA" w14:textId="163C5447" w:rsidR="006424AF" w:rsidRPr="00772EE3" w:rsidRDefault="006424AF">
      <w:pPr>
        <w:pStyle w:val="FootnoteText"/>
        <w:rPr>
          <w:sz w:val="16"/>
          <w:szCs w:val="16"/>
        </w:rPr>
      </w:pPr>
      <w:r w:rsidRPr="00772EE3">
        <w:rPr>
          <w:rStyle w:val="FootnoteReference"/>
          <w:sz w:val="16"/>
          <w:szCs w:val="16"/>
        </w:rPr>
        <w:footnoteRef/>
      </w:r>
      <w:r w:rsidRPr="00772EE3">
        <w:rPr>
          <w:sz w:val="16"/>
          <w:szCs w:val="16"/>
        </w:rPr>
        <w:t xml:space="preserve"> Davidoff and Hall</w:t>
      </w:r>
      <w:r w:rsidR="005D4FAE" w:rsidRPr="00772EE3">
        <w:rPr>
          <w:sz w:val="16"/>
          <w:szCs w:val="16"/>
        </w:rPr>
        <w:t xml:space="preserve">, </w:t>
      </w:r>
      <w:r w:rsidR="005D4FAE" w:rsidRPr="00772EE3">
        <w:rPr>
          <w:i/>
          <w:iCs/>
          <w:sz w:val="16"/>
          <w:szCs w:val="16"/>
        </w:rPr>
        <w:t>Family Fortunes</w:t>
      </w:r>
      <w:r w:rsidR="005D4FAE" w:rsidRPr="00772EE3">
        <w:rPr>
          <w:sz w:val="16"/>
          <w:szCs w:val="16"/>
        </w:rPr>
        <w:t>, p</w:t>
      </w:r>
      <w:r w:rsidR="00772EE3" w:rsidRPr="00772EE3">
        <w:rPr>
          <w:sz w:val="16"/>
          <w:szCs w:val="16"/>
        </w:rPr>
        <w:t>p</w:t>
      </w:r>
      <w:r w:rsidR="005D4FAE" w:rsidRPr="00772EE3">
        <w:rPr>
          <w:sz w:val="16"/>
          <w:szCs w:val="16"/>
        </w:rPr>
        <w:t>.</w:t>
      </w:r>
      <w:r w:rsidR="00772EE3" w:rsidRPr="00772EE3">
        <w:rPr>
          <w:sz w:val="16"/>
          <w:szCs w:val="16"/>
        </w:rPr>
        <w:t xml:space="preserve"> </w:t>
      </w:r>
      <w:r w:rsidR="00C215D2" w:rsidRPr="00772EE3">
        <w:rPr>
          <w:sz w:val="16"/>
          <w:szCs w:val="16"/>
        </w:rPr>
        <w:t>262-267.</w:t>
      </w:r>
      <w:r w:rsidR="005D4FAE" w:rsidRPr="00772EE3">
        <w:rPr>
          <w:sz w:val="16"/>
          <w:szCs w:val="16"/>
        </w:rPr>
        <w:t xml:space="preserve"> </w:t>
      </w:r>
    </w:p>
  </w:footnote>
  <w:footnote w:id="195">
    <w:p w14:paraId="498B5B55" w14:textId="23E2A56B" w:rsidR="005A05DF" w:rsidRPr="00772EE3" w:rsidRDefault="005A05DF" w:rsidP="005A05DF">
      <w:pPr>
        <w:pStyle w:val="FootnoteText"/>
        <w:rPr>
          <w:sz w:val="16"/>
          <w:szCs w:val="16"/>
        </w:rPr>
      </w:pPr>
      <w:r w:rsidRPr="00772EE3">
        <w:rPr>
          <w:rStyle w:val="FootnoteReference"/>
          <w:sz w:val="16"/>
          <w:szCs w:val="16"/>
        </w:rPr>
        <w:footnoteRef/>
      </w:r>
      <w:r w:rsidRPr="00772EE3">
        <w:rPr>
          <w:sz w:val="16"/>
          <w:szCs w:val="16"/>
        </w:rPr>
        <w:t xml:space="preserve"> DL</w:t>
      </w:r>
      <w:r w:rsidR="005D4FAE" w:rsidRPr="00772EE3">
        <w:rPr>
          <w:sz w:val="16"/>
          <w:szCs w:val="16"/>
        </w:rPr>
        <w:t>S</w:t>
      </w:r>
      <w:r w:rsidRPr="00772EE3">
        <w:rPr>
          <w:sz w:val="16"/>
          <w:szCs w:val="16"/>
        </w:rPr>
        <w:t>L</w:t>
      </w:r>
      <w:r w:rsidR="00772EE3" w:rsidRPr="00772EE3">
        <w:rPr>
          <w:sz w:val="16"/>
          <w:szCs w:val="16"/>
        </w:rPr>
        <w:t>,</w:t>
      </w:r>
      <w:r w:rsidRPr="00772EE3">
        <w:rPr>
          <w:sz w:val="16"/>
          <w:szCs w:val="16"/>
        </w:rPr>
        <w:t xml:space="preserve"> BS 677</w:t>
      </w:r>
      <w:r w:rsidR="00C909A9" w:rsidRPr="00772EE3">
        <w:rPr>
          <w:sz w:val="16"/>
          <w:szCs w:val="16"/>
        </w:rPr>
        <w:t xml:space="preserve"> EVA</w:t>
      </w:r>
      <w:r w:rsidRPr="00772EE3">
        <w:rPr>
          <w:sz w:val="16"/>
          <w:szCs w:val="16"/>
        </w:rPr>
        <w:t xml:space="preserve">, DL119 </w:t>
      </w:r>
      <w:r w:rsidR="00C909A9" w:rsidRPr="00772EE3">
        <w:rPr>
          <w:sz w:val="16"/>
          <w:szCs w:val="16"/>
        </w:rPr>
        <w:t>CB</w:t>
      </w:r>
      <w:r w:rsidRPr="00772EE3">
        <w:rPr>
          <w:sz w:val="16"/>
          <w:szCs w:val="16"/>
        </w:rPr>
        <w:t xml:space="preserve"> </w:t>
      </w:r>
      <w:r w:rsidR="00C909A9" w:rsidRPr="00772EE3">
        <w:rPr>
          <w:sz w:val="16"/>
          <w:szCs w:val="16"/>
        </w:rPr>
        <w:t>R</w:t>
      </w:r>
      <w:r w:rsidRPr="00772EE3">
        <w:rPr>
          <w:sz w:val="16"/>
          <w:szCs w:val="16"/>
        </w:rPr>
        <w:t xml:space="preserve">1 </w:t>
      </w:r>
      <w:r w:rsidR="00020324" w:rsidRPr="00772EE3">
        <w:rPr>
          <w:sz w:val="16"/>
          <w:szCs w:val="16"/>
        </w:rPr>
        <w:t>[</w:t>
      </w:r>
      <w:r w:rsidR="00FD2A3C">
        <w:rPr>
          <w:sz w:val="16"/>
          <w:szCs w:val="16"/>
        </w:rPr>
        <w:t xml:space="preserve">Letter Sent from W. Evans &amp; Co. to Unidentified Recipient (Sir) 17 </w:t>
      </w:r>
      <w:r w:rsidR="00020324" w:rsidRPr="00772EE3">
        <w:rPr>
          <w:sz w:val="16"/>
          <w:szCs w:val="16"/>
        </w:rPr>
        <w:t>January 1788]</w:t>
      </w:r>
      <w:r w:rsidR="00FD2A3C">
        <w:rPr>
          <w:sz w:val="16"/>
          <w:szCs w:val="16"/>
        </w:rPr>
        <w:t>.</w:t>
      </w:r>
      <w:r w:rsidR="00020324" w:rsidRPr="00772EE3">
        <w:rPr>
          <w:sz w:val="16"/>
          <w:szCs w:val="16"/>
        </w:rPr>
        <w:t xml:space="preserve"> </w:t>
      </w:r>
      <w:r w:rsidRPr="00772EE3">
        <w:rPr>
          <w:sz w:val="16"/>
          <w:szCs w:val="16"/>
        </w:rPr>
        <w:t xml:space="preserve"> </w:t>
      </w:r>
    </w:p>
  </w:footnote>
  <w:footnote w:id="196">
    <w:p w14:paraId="4BBA91B6" w14:textId="1F23D403" w:rsidR="00020324" w:rsidRPr="00020324" w:rsidRDefault="00020324">
      <w:pPr>
        <w:pStyle w:val="FootnoteText"/>
        <w:rPr>
          <w:sz w:val="18"/>
          <w:szCs w:val="18"/>
        </w:rPr>
      </w:pPr>
      <w:r w:rsidRPr="00772EE3">
        <w:rPr>
          <w:rStyle w:val="FootnoteReference"/>
          <w:sz w:val="16"/>
          <w:szCs w:val="16"/>
        </w:rPr>
        <w:footnoteRef/>
      </w:r>
      <w:r w:rsidRPr="00772EE3">
        <w:rPr>
          <w:sz w:val="16"/>
          <w:szCs w:val="16"/>
        </w:rPr>
        <w:t xml:space="preserve"> DLSL</w:t>
      </w:r>
      <w:r w:rsidR="00772EE3" w:rsidRPr="00772EE3">
        <w:rPr>
          <w:sz w:val="16"/>
          <w:szCs w:val="16"/>
        </w:rPr>
        <w:t>,</w:t>
      </w:r>
      <w:r w:rsidRPr="00772EE3">
        <w:rPr>
          <w:sz w:val="16"/>
          <w:szCs w:val="16"/>
        </w:rPr>
        <w:t xml:space="preserve"> BS 677 EVA, DL119 CB R1 </w:t>
      </w:r>
      <w:r w:rsidR="00FD2A3C" w:rsidRPr="00FD2A3C">
        <w:rPr>
          <w:sz w:val="16"/>
          <w:szCs w:val="16"/>
        </w:rPr>
        <w:t xml:space="preserve">[Letter Sent from W. Evans &amp; Co. to Unidentified Recipient </w:t>
      </w:r>
      <w:r w:rsidR="00FD2A3C">
        <w:rPr>
          <w:sz w:val="16"/>
          <w:szCs w:val="16"/>
        </w:rPr>
        <w:t xml:space="preserve">(Sir) </w:t>
      </w:r>
      <w:r w:rsidR="00FD2A3C" w:rsidRPr="00FD2A3C">
        <w:rPr>
          <w:sz w:val="16"/>
          <w:szCs w:val="16"/>
        </w:rPr>
        <w:t xml:space="preserve">17 January 1788].  </w:t>
      </w:r>
    </w:p>
  </w:footnote>
  <w:footnote w:id="197">
    <w:p w14:paraId="023BB083" w14:textId="542E51FD" w:rsidR="005A05DF" w:rsidRPr="00040578" w:rsidRDefault="005A05DF" w:rsidP="005A05DF">
      <w:pPr>
        <w:pStyle w:val="FootnoteText"/>
        <w:rPr>
          <w:color w:val="FF0000"/>
          <w:sz w:val="16"/>
          <w:szCs w:val="16"/>
        </w:rPr>
      </w:pPr>
      <w:r w:rsidRPr="00040578">
        <w:rPr>
          <w:rStyle w:val="FootnoteReference"/>
          <w:sz w:val="16"/>
          <w:szCs w:val="16"/>
        </w:rPr>
        <w:footnoteRef/>
      </w:r>
      <w:r w:rsidRPr="00040578">
        <w:rPr>
          <w:sz w:val="16"/>
          <w:szCs w:val="16"/>
        </w:rPr>
        <w:t xml:space="preserve"> </w:t>
      </w:r>
      <w:r w:rsidR="00C909A9" w:rsidRPr="00040578">
        <w:rPr>
          <w:sz w:val="16"/>
          <w:szCs w:val="16"/>
        </w:rPr>
        <w:t xml:space="preserve">Katrina </w:t>
      </w:r>
      <w:r w:rsidR="00C909A9" w:rsidRPr="00040578">
        <w:rPr>
          <w:sz w:val="16"/>
          <w:szCs w:val="16"/>
        </w:rPr>
        <w:t xml:space="preserve">Honeyman, </w:t>
      </w:r>
      <w:r w:rsidR="00040578" w:rsidRPr="00040578">
        <w:rPr>
          <w:i/>
          <w:iCs/>
          <w:sz w:val="16"/>
          <w:szCs w:val="16"/>
        </w:rPr>
        <w:t>Origins of Enterprise: Business leadership in the Industrial Revolution</w:t>
      </w:r>
      <w:r w:rsidR="00040578" w:rsidRPr="00040578">
        <w:rPr>
          <w:sz w:val="16"/>
          <w:szCs w:val="16"/>
        </w:rPr>
        <w:t xml:space="preserve"> (Manchester: Manchester University Press, 1983)</w:t>
      </w:r>
      <w:r w:rsidR="00C909A9" w:rsidRPr="00040578">
        <w:rPr>
          <w:sz w:val="16"/>
          <w:szCs w:val="16"/>
        </w:rPr>
        <w:t xml:space="preserve">, </w:t>
      </w:r>
      <w:r w:rsidR="00040578" w:rsidRPr="00040578">
        <w:rPr>
          <w:sz w:val="16"/>
          <w:szCs w:val="16"/>
        </w:rPr>
        <w:t>p</w:t>
      </w:r>
      <w:r w:rsidR="00C909A9" w:rsidRPr="00040578">
        <w:rPr>
          <w:sz w:val="16"/>
          <w:szCs w:val="16"/>
        </w:rPr>
        <w:t>p.</w:t>
      </w:r>
      <w:r w:rsidR="00040578" w:rsidRPr="00040578">
        <w:rPr>
          <w:sz w:val="16"/>
          <w:szCs w:val="16"/>
        </w:rPr>
        <w:t xml:space="preserve"> </w:t>
      </w:r>
      <w:r w:rsidR="00C215D2" w:rsidRPr="00040578">
        <w:rPr>
          <w:sz w:val="16"/>
          <w:szCs w:val="16"/>
        </w:rPr>
        <w:t xml:space="preserve">56-58. </w:t>
      </w:r>
      <w:r w:rsidR="00C909A9" w:rsidRPr="00040578">
        <w:rPr>
          <w:sz w:val="16"/>
          <w:szCs w:val="16"/>
        </w:rPr>
        <w:t xml:space="preserve"> </w:t>
      </w:r>
    </w:p>
  </w:footnote>
  <w:footnote w:id="198">
    <w:p w14:paraId="001D72E4" w14:textId="3F1E7170" w:rsidR="00020324" w:rsidRPr="00040578" w:rsidRDefault="00020324">
      <w:pPr>
        <w:pStyle w:val="FootnoteText"/>
        <w:rPr>
          <w:sz w:val="16"/>
          <w:szCs w:val="16"/>
        </w:rPr>
      </w:pPr>
      <w:r w:rsidRPr="00040578">
        <w:rPr>
          <w:rStyle w:val="FootnoteReference"/>
          <w:sz w:val="16"/>
          <w:szCs w:val="16"/>
        </w:rPr>
        <w:footnoteRef/>
      </w:r>
      <w:r w:rsidRPr="00040578">
        <w:rPr>
          <w:sz w:val="16"/>
          <w:szCs w:val="16"/>
        </w:rPr>
        <w:t xml:space="preserve"> </w:t>
      </w:r>
      <w:r w:rsidR="00040578" w:rsidRPr="00040578">
        <w:rPr>
          <w:sz w:val="16"/>
          <w:szCs w:val="16"/>
        </w:rPr>
        <w:t xml:space="preserve">Smail, John, </w:t>
      </w:r>
      <w:r w:rsidR="00040578" w:rsidRPr="00040578">
        <w:rPr>
          <w:i/>
          <w:iCs/>
          <w:sz w:val="16"/>
          <w:szCs w:val="16"/>
        </w:rPr>
        <w:t>The Origins of Middle-Class Culture: Halifax, Yorkshire, 1660-1780</w:t>
      </w:r>
      <w:r w:rsidR="00040578" w:rsidRPr="00040578">
        <w:rPr>
          <w:sz w:val="16"/>
          <w:szCs w:val="16"/>
        </w:rPr>
        <w:t xml:space="preserve"> (Ithaca and London: Cornell University Press, 1994), p. 66. </w:t>
      </w:r>
    </w:p>
  </w:footnote>
  <w:footnote w:id="199">
    <w:p w14:paraId="0C842DDD" w14:textId="2D53C8FF" w:rsidR="00951E4A" w:rsidRPr="00040578" w:rsidRDefault="00951E4A">
      <w:pPr>
        <w:pStyle w:val="FootnoteText"/>
        <w:rPr>
          <w:sz w:val="16"/>
          <w:szCs w:val="16"/>
        </w:rPr>
      </w:pPr>
      <w:r w:rsidRPr="00040578">
        <w:rPr>
          <w:rStyle w:val="FootnoteReference"/>
          <w:sz w:val="16"/>
          <w:szCs w:val="16"/>
        </w:rPr>
        <w:footnoteRef/>
      </w:r>
      <w:r w:rsidRPr="00040578">
        <w:rPr>
          <w:sz w:val="16"/>
          <w:szCs w:val="16"/>
        </w:rPr>
        <w:t xml:space="preserve"> See </w:t>
      </w:r>
      <w:r w:rsidRPr="00040578">
        <w:rPr>
          <w:sz w:val="16"/>
          <w:szCs w:val="16"/>
        </w:rPr>
        <w:t xml:space="preserve">Smail, </w:t>
      </w:r>
      <w:r w:rsidRPr="00040578">
        <w:rPr>
          <w:i/>
          <w:iCs/>
          <w:sz w:val="16"/>
          <w:szCs w:val="16"/>
        </w:rPr>
        <w:t>The Origins of Middle-Class Culture</w:t>
      </w:r>
      <w:r w:rsidR="00040578" w:rsidRPr="00040578">
        <w:rPr>
          <w:i/>
          <w:iCs/>
          <w:sz w:val="16"/>
          <w:szCs w:val="16"/>
        </w:rPr>
        <w:t xml:space="preserve">, pp. 66-81. </w:t>
      </w:r>
    </w:p>
  </w:footnote>
  <w:footnote w:id="200">
    <w:p w14:paraId="48667DAD" w14:textId="5832BDC9" w:rsidR="007C1265" w:rsidRPr="009C5321" w:rsidRDefault="007C1265">
      <w:pPr>
        <w:pStyle w:val="FootnoteText"/>
        <w:rPr>
          <w:color w:val="FF0000"/>
          <w:sz w:val="18"/>
          <w:szCs w:val="18"/>
        </w:rPr>
      </w:pPr>
      <w:r w:rsidRPr="00040578">
        <w:rPr>
          <w:rStyle w:val="FootnoteReference"/>
          <w:sz w:val="16"/>
          <w:szCs w:val="16"/>
        </w:rPr>
        <w:footnoteRef/>
      </w:r>
      <w:r w:rsidRPr="009C5321">
        <w:rPr>
          <w:sz w:val="16"/>
          <w:szCs w:val="16"/>
        </w:rPr>
        <w:t xml:space="preserve"> Sven Beckert</w:t>
      </w:r>
      <w:r w:rsidR="00020324" w:rsidRPr="009C5321">
        <w:rPr>
          <w:sz w:val="16"/>
          <w:szCs w:val="16"/>
        </w:rPr>
        <w:t xml:space="preserve">, </w:t>
      </w:r>
      <w:r w:rsidR="00020324" w:rsidRPr="009C5321">
        <w:rPr>
          <w:i/>
          <w:iCs/>
          <w:sz w:val="16"/>
          <w:szCs w:val="16"/>
        </w:rPr>
        <w:t>Empire of Cotton: A Global History</w:t>
      </w:r>
      <w:r w:rsidR="00020324" w:rsidRPr="009C5321">
        <w:rPr>
          <w:sz w:val="16"/>
          <w:szCs w:val="16"/>
        </w:rPr>
        <w:t xml:space="preserve"> (New York: Vintage Books, 2014), p. 141.</w:t>
      </w:r>
      <w:r w:rsidR="00020324" w:rsidRPr="009C5321">
        <w:rPr>
          <w:sz w:val="18"/>
          <w:szCs w:val="18"/>
        </w:rPr>
        <w:t xml:space="preserve"> </w:t>
      </w:r>
    </w:p>
  </w:footnote>
  <w:footnote w:id="201">
    <w:p w14:paraId="4DC457F7" w14:textId="6AE30993" w:rsidR="009B04AC" w:rsidRPr="009C5321" w:rsidRDefault="009B04AC">
      <w:pPr>
        <w:pStyle w:val="FootnoteText"/>
        <w:rPr>
          <w:sz w:val="16"/>
          <w:szCs w:val="16"/>
        </w:rPr>
      </w:pPr>
      <w:r w:rsidRPr="00040578">
        <w:rPr>
          <w:rStyle w:val="FootnoteReference"/>
          <w:sz w:val="16"/>
          <w:szCs w:val="16"/>
        </w:rPr>
        <w:footnoteRef/>
      </w:r>
      <w:r w:rsidRPr="009C5321">
        <w:rPr>
          <w:sz w:val="16"/>
          <w:szCs w:val="16"/>
        </w:rPr>
        <w:t xml:space="preserve"> </w:t>
      </w:r>
      <w:r w:rsidR="007A664D" w:rsidRPr="009C5321">
        <w:rPr>
          <w:sz w:val="16"/>
          <w:szCs w:val="16"/>
        </w:rPr>
        <w:t>JRL, GB 133 MCK</w:t>
      </w:r>
      <w:r w:rsidR="00F30CFF" w:rsidRPr="009C5321">
        <w:rPr>
          <w:sz w:val="16"/>
          <w:szCs w:val="16"/>
        </w:rPr>
        <w:t>/2/</w:t>
      </w:r>
      <w:r w:rsidR="00020324" w:rsidRPr="009C5321">
        <w:rPr>
          <w:sz w:val="16"/>
          <w:szCs w:val="16"/>
        </w:rPr>
        <w:t>1</w:t>
      </w:r>
      <w:r w:rsidR="00F30CFF" w:rsidRPr="009C5321">
        <w:rPr>
          <w:sz w:val="16"/>
          <w:szCs w:val="16"/>
        </w:rPr>
        <w:t>/</w:t>
      </w:r>
      <w:r w:rsidR="00020324" w:rsidRPr="009C5321">
        <w:rPr>
          <w:sz w:val="16"/>
          <w:szCs w:val="16"/>
        </w:rPr>
        <w:t>8 [</w:t>
      </w:r>
      <w:r w:rsidR="00FD2A3C" w:rsidRPr="009C5321">
        <w:rPr>
          <w:sz w:val="16"/>
          <w:szCs w:val="16"/>
        </w:rPr>
        <w:t xml:space="preserve">Letter Received by McConnel &amp; Kennedy from William Byers &amp; Co., Belfast, </w:t>
      </w:r>
      <w:r w:rsidR="00020324" w:rsidRPr="009C5321">
        <w:rPr>
          <w:sz w:val="16"/>
          <w:szCs w:val="16"/>
        </w:rPr>
        <w:t>2 July 1802]</w:t>
      </w:r>
      <w:r w:rsidR="007E3865" w:rsidRPr="009C5321">
        <w:rPr>
          <w:sz w:val="16"/>
          <w:szCs w:val="16"/>
        </w:rPr>
        <w:t>.</w:t>
      </w:r>
      <w:r w:rsidR="00020324" w:rsidRPr="009C5321">
        <w:rPr>
          <w:sz w:val="16"/>
          <w:szCs w:val="16"/>
        </w:rPr>
        <w:t xml:space="preserve"> </w:t>
      </w:r>
    </w:p>
  </w:footnote>
  <w:footnote w:id="202">
    <w:p w14:paraId="5A674558" w14:textId="22F34EB4" w:rsidR="009B04AC" w:rsidRPr="009C5321" w:rsidRDefault="009B04AC">
      <w:pPr>
        <w:pStyle w:val="FootnoteText"/>
        <w:rPr>
          <w:sz w:val="16"/>
          <w:szCs w:val="16"/>
        </w:rPr>
      </w:pPr>
      <w:r w:rsidRPr="00040578">
        <w:rPr>
          <w:rStyle w:val="FootnoteReference"/>
          <w:sz w:val="16"/>
          <w:szCs w:val="16"/>
        </w:rPr>
        <w:footnoteRef/>
      </w:r>
      <w:r w:rsidRPr="009C5321">
        <w:rPr>
          <w:sz w:val="16"/>
          <w:szCs w:val="16"/>
        </w:rPr>
        <w:t xml:space="preserve"> </w:t>
      </w:r>
      <w:r w:rsidR="00A5371B" w:rsidRPr="009C5321">
        <w:rPr>
          <w:sz w:val="16"/>
          <w:szCs w:val="16"/>
        </w:rPr>
        <w:t>JRL, GB 133 MCK</w:t>
      </w:r>
      <w:r w:rsidR="003E67D0" w:rsidRPr="009C5321">
        <w:rPr>
          <w:sz w:val="16"/>
          <w:szCs w:val="16"/>
        </w:rPr>
        <w:t>/2/2/2</w:t>
      </w:r>
      <w:r w:rsidR="00020324" w:rsidRPr="009C5321">
        <w:rPr>
          <w:sz w:val="16"/>
          <w:szCs w:val="16"/>
        </w:rPr>
        <w:t xml:space="preserve"> [</w:t>
      </w:r>
      <w:r w:rsidR="00FD2A3C" w:rsidRPr="009C5321">
        <w:rPr>
          <w:sz w:val="16"/>
          <w:szCs w:val="16"/>
        </w:rPr>
        <w:t xml:space="preserve">Letter Sent from McConnel &amp; Kennedy to William Byers &amp; Co., Belfast, </w:t>
      </w:r>
      <w:r w:rsidR="00020324" w:rsidRPr="009C5321">
        <w:rPr>
          <w:sz w:val="16"/>
          <w:szCs w:val="16"/>
        </w:rPr>
        <w:t>10 August 1802]</w:t>
      </w:r>
      <w:r w:rsidR="007E3865" w:rsidRPr="009C5321">
        <w:rPr>
          <w:sz w:val="16"/>
          <w:szCs w:val="16"/>
        </w:rPr>
        <w:t>.</w:t>
      </w:r>
      <w:r w:rsidR="00020324" w:rsidRPr="009C5321">
        <w:rPr>
          <w:sz w:val="16"/>
          <w:szCs w:val="16"/>
        </w:rPr>
        <w:t xml:space="preserve"> </w:t>
      </w:r>
    </w:p>
  </w:footnote>
  <w:footnote w:id="203">
    <w:p w14:paraId="38A4B694" w14:textId="4AB4389E" w:rsidR="00711EF2" w:rsidRPr="009C5321" w:rsidRDefault="00711EF2">
      <w:pPr>
        <w:pStyle w:val="FootnoteText"/>
      </w:pPr>
      <w:r w:rsidRPr="00040578">
        <w:rPr>
          <w:rStyle w:val="FootnoteReference"/>
          <w:sz w:val="16"/>
          <w:szCs w:val="16"/>
        </w:rPr>
        <w:footnoteRef/>
      </w:r>
      <w:r w:rsidRPr="009C5321">
        <w:rPr>
          <w:sz w:val="16"/>
          <w:szCs w:val="16"/>
        </w:rPr>
        <w:t xml:space="preserve"> </w:t>
      </w:r>
      <w:r w:rsidR="00A5371B" w:rsidRPr="009C5321">
        <w:rPr>
          <w:sz w:val="16"/>
          <w:szCs w:val="16"/>
        </w:rPr>
        <w:t>JRL, GB 133 MCK</w:t>
      </w:r>
      <w:r w:rsidR="003E67D0" w:rsidRPr="009C5321">
        <w:rPr>
          <w:sz w:val="16"/>
          <w:szCs w:val="16"/>
        </w:rPr>
        <w:t>/2/</w:t>
      </w:r>
      <w:r w:rsidR="003A5883" w:rsidRPr="009C5321">
        <w:rPr>
          <w:sz w:val="16"/>
          <w:szCs w:val="16"/>
        </w:rPr>
        <w:t>1</w:t>
      </w:r>
      <w:r w:rsidR="003E67D0" w:rsidRPr="009C5321">
        <w:rPr>
          <w:sz w:val="16"/>
          <w:szCs w:val="16"/>
        </w:rPr>
        <w:t>/</w:t>
      </w:r>
      <w:r w:rsidR="003A5883" w:rsidRPr="009C5321">
        <w:rPr>
          <w:sz w:val="16"/>
          <w:szCs w:val="16"/>
        </w:rPr>
        <w:t>10</w:t>
      </w:r>
      <w:r w:rsidR="00020324" w:rsidRPr="009C5321">
        <w:rPr>
          <w:sz w:val="16"/>
          <w:szCs w:val="16"/>
        </w:rPr>
        <w:t xml:space="preserve"> [</w:t>
      </w:r>
      <w:r w:rsidR="007E3865" w:rsidRPr="009C5321">
        <w:rPr>
          <w:sz w:val="16"/>
          <w:szCs w:val="16"/>
        </w:rPr>
        <w:t xml:space="preserve">Letter </w:t>
      </w:r>
      <w:r w:rsidR="00DA310E" w:rsidRPr="009C5321">
        <w:rPr>
          <w:sz w:val="16"/>
          <w:szCs w:val="16"/>
        </w:rPr>
        <w:t>Received</w:t>
      </w:r>
      <w:r w:rsidR="007E3865" w:rsidRPr="009C5321">
        <w:rPr>
          <w:sz w:val="16"/>
          <w:szCs w:val="16"/>
        </w:rPr>
        <w:t xml:space="preserve"> by McConnel &amp; Kennedy from W. G. &amp; J. Strutt of Derby in </w:t>
      </w:r>
      <w:r w:rsidR="00020324" w:rsidRPr="009C5321">
        <w:rPr>
          <w:sz w:val="16"/>
          <w:szCs w:val="16"/>
        </w:rPr>
        <w:t>1804</w:t>
      </w:r>
      <w:r w:rsidR="003A5883" w:rsidRPr="009C5321">
        <w:rPr>
          <w:sz w:val="16"/>
          <w:szCs w:val="16"/>
        </w:rPr>
        <w:t>]</w:t>
      </w:r>
      <w:r w:rsidR="007E3865" w:rsidRPr="009C5321">
        <w:rPr>
          <w:sz w:val="16"/>
          <w:szCs w:val="16"/>
        </w:rPr>
        <w:t xml:space="preserve">. </w:t>
      </w:r>
      <w:r w:rsidR="003A5883" w:rsidRPr="009C5321">
        <w:rPr>
          <w:sz w:val="18"/>
          <w:szCs w:val="18"/>
        </w:rPr>
        <w:t xml:space="preserve"> </w:t>
      </w:r>
    </w:p>
  </w:footnote>
  <w:footnote w:id="204">
    <w:p w14:paraId="0D3F1FD7" w14:textId="1A3BE30D" w:rsidR="00EF4B71" w:rsidRPr="009C5321" w:rsidRDefault="00EF4B71">
      <w:pPr>
        <w:pStyle w:val="FootnoteText"/>
        <w:rPr>
          <w:sz w:val="16"/>
          <w:szCs w:val="16"/>
        </w:rPr>
      </w:pPr>
      <w:r w:rsidRPr="007E3865">
        <w:rPr>
          <w:rStyle w:val="FootnoteReference"/>
          <w:sz w:val="16"/>
          <w:szCs w:val="16"/>
        </w:rPr>
        <w:footnoteRef/>
      </w:r>
      <w:r w:rsidRPr="009C5321">
        <w:rPr>
          <w:sz w:val="16"/>
          <w:szCs w:val="16"/>
        </w:rPr>
        <w:t xml:space="preserve"> </w:t>
      </w:r>
      <w:bookmarkStart w:id="62" w:name="_Hlk170477072"/>
      <w:r w:rsidR="00274707" w:rsidRPr="009C5321">
        <w:rPr>
          <w:sz w:val="16"/>
          <w:szCs w:val="16"/>
        </w:rPr>
        <w:t>DLSL</w:t>
      </w:r>
      <w:r w:rsidR="00040578" w:rsidRPr="009C5321">
        <w:rPr>
          <w:sz w:val="16"/>
          <w:szCs w:val="16"/>
        </w:rPr>
        <w:t>,</w:t>
      </w:r>
      <w:r w:rsidR="00274707" w:rsidRPr="009C5321">
        <w:rPr>
          <w:sz w:val="16"/>
          <w:szCs w:val="16"/>
        </w:rPr>
        <w:t xml:space="preserve"> BS 677 EVA, DL119 CB R1</w:t>
      </w:r>
      <w:r w:rsidR="00EE7B40" w:rsidRPr="009C5321">
        <w:rPr>
          <w:sz w:val="16"/>
          <w:szCs w:val="16"/>
        </w:rPr>
        <w:t xml:space="preserve"> </w:t>
      </w:r>
      <w:bookmarkEnd w:id="62"/>
      <w:r w:rsidR="00EE7B40" w:rsidRPr="009C5321">
        <w:rPr>
          <w:sz w:val="16"/>
          <w:szCs w:val="16"/>
        </w:rPr>
        <w:t>[Two Letters Sent</w:t>
      </w:r>
      <w:r w:rsidR="007E3865" w:rsidRPr="009C5321">
        <w:rPr>
          <w:sz w:val="16"/>
          <w:szCs w:val="16"/>
        </w:rPr>
        <w:t xml:space="preserve"> by W. Evans &amp; Co.</w:t>
      </w:r>
      <w:r w:rsidR="00EE7B40" w:rsidRPr="009C5321">
        <w:rPr>
          <w:sz w:val="16"/>
          <w:szCs w:val="16"/>
        </w:rPr>
        <w:t xml:space="preserve"> to The Recruiting Officer of the Marine Forces at Halifax and the Colonel of the Marine Forces at Repton, Yorkshire</w:t>
      </w:r>
      <w:r w:rsidR="007E3865" w:rsidRPr="009C5321">
        <w:rPr>
          <w:sz w:val="16"/>
          <w:szCs w:val="16"/>
        </w:rPr>
        <w:t>, 2 May 1797</w:t>
      </w:r>
      <w:r w:rsidR="00EE7B40" w:rsidRPr="009C5321">
        <w:rPr>
          <w:sz w:val="16"/>
          <w:szCs w:val="16"/>
        </w:rPr>
        <w:t>]</w:t>
      </w:r>
      <w:r w:rsidR="007E3865" w:rsidRPr="009C5321">
        <w:rPr>
          <w:sz w:val="16"/>
          <w:szCs w:val="16"/>
        </w:rPr>
        <w:t>.</w:t>
      </w:r>
      <w:r w:rsidR="00EE7B40" w:rsidRPr="009C5321">
        <w:rPr>
          <w:sz w:val="16"/>
          <w:szCs w:val="16"/>
        </w:rPr>
        <w:t xml:space="preserve"> </w:t>
      </w:r>
    </w:p>
  </w:footnote>
  <w:footnote w:id="205">
    <w:p w14:paraId="46EF42E4" w14:textId="068230AF" w:rsidR="005A05DF" w:rsidRPr="009C5321" w:rsidRDefault="005A05DF" w:rsidP="005A05DF">
      <w:pPr>
        <w:pStyle w:val="FootnoteText"/>
        <w:rPr>
          <w:sz w:val="16"/>
          <w:szCs w:val="16"/>
        </w:rPr>
      </w:pPr>
      <w:r w:rsidRPr="007E3865">
        <w:rPr>
          <w:rStyle w:val="FootnoteReference"/>
          <w:sz w:val="16"/>
          <w:szCs w:val="16"/>
        </w:rPr>
        <w:footnoteRef/>
      </w:r>
      <w:r w:rsidRPr="009C5321">
        <w:rPr>
          <w:sz w:val="16"/>
          <w:szCs w:val="16"/>
        </w:rPr>
        <w:t xml:space="preserve"> DLSL</w:t>
      </w:r>
      <w:r w:rsidR="00040578" w:rsidRPr="009C5321">
        <w:rPr>
          <w:sz w:val="16"/>
          <w:szCs w:val="16"/>
        </w:rPr>
        <w:t>,</w:t>
      </w:r>
      <w:r w:rsidRPr="009C5321">
        <w:rPr>
          <w:sz w:val="16"/>
          <w:szCs w:val="16"/>
        </w:rPr>
        <w:t xml:space="preserve"> BS 677</w:t>
      </w:r>
      <w:r w:rsidR="00274707" w:rsidRPr="009C5321">
        <w:rPr>
          <w:sz w:val="16"/>
          <w:szCs w:val="16"/>
        </w:rPr>
        <w:t xml:space="preserve"> EVA</w:t>
      </w:r>
      <w:r w:rsidRPr="009C5321">
        <w:rPr>
          <w:sz w:val="16"/>
          <w:szCs w:val="16"/>
        </w:rPr>
        <w:t xml:space="preserve">, DL119 </w:t>
      </w:r>
      <w:r w:rsidR="005B56E8" w:rsidRPr="009C5321">
        <w:rPr>
          <w:sz w:val="16"/>
          <w:szCs w:val="16"/>
        </w:rPr>
        <w:t>CB R1</w:t>
      </w:r>
      <w:r w:rsidRPr="009C5321">
        <w:rPr>
          <w:sz w:val="16"/>
          <w:szCs w:val="16"/>
        </w:rPr>
        <w:t xml:space="preserve"> </w:t>
      </w:r>
      <w:r w:rsidR="007E3865" w:rsidRPr="009C5321">
        <w:rPr>
          <w:sz w:val="16"/>
          <w:szCs w:val="16"/>
        </w:rPr>
        <w:t>[Two Letters Sent by W. Evans &amp; Co. to The Recruiting Officer of the Marine Forces at Halifax and the Colonel of the Marine Forces at Repton, Yorkshire, 2 May 1797].</w:t>
      </w:r>
    </w:p>
  </w:footnote>
  <w:footnote w:id="206">
    <w:p w14:paraId="78AE7B0F" w14:textId="4EA54FD9" w:rsidR="00247820" w:rsidRDefault="00247820">
      <w:pPr>
        <w:pStyle w:val="FootnoteText"/>
      </w:pPr>
      <w:r w:rsidRPr="007E3865">
        <w:rPr>
          <w:rStyle w:val="FootnoteReference"/>
          <w:sz w:val="16"/>
          <w:szCs w:val="16"/>
        </w:rPr>
        <w:footnoteRef/>
      </w:r>
      <w:r w:rsidRPr="007E3865">
        <w:rPr>
          <w:sz w:val="16"/>
          <w:szCs w:val="16"/>
        </w:rPr>
        <w:t xml:space="preserve"> </w:t>
      </w:r>
      <w:r w:rsidR="005B56E8" w:rsidRPr="007E3865">
        <w:rPr>
          <w:sz w:val="16"/>
          <w:szCs w:val="16"/>
        </w:rPr>
        <w:t xml:space="preserve">Sunderland, </w:t>
      </w:r>
      <w:bookmarkStart w:id="63" w:name="_Hlk149981087"/>
      <w:r w:rsidR="005B56E8" w:rsidRPr="007E3865">
        <w:rPr>
          <w:i/>
          <w:iCs/>
          <w:sz w:val="16"/>
          <w:szCs w:val="16"/>
        </w:rPr>
        <w:t>Social Capital, Trust and the Industrial Revolution</w:t>
      </w:r>
      <w:r w:rsidR="005B56E8" w:rsidRPr="007E3865">
        <w:rPr>
          <w:sz w:val="16"/>
          <w:szCs w:val="16"/>
        </w:rPr>
        <w:t>, p.</w:t>
      </w:r>
      <w:r w:rsidR="002D71AD" w:rsidRPr="007E3865">
        <w:rPr>
          <w:sz w:val="16"/>
          <w:szCs w:val="16"/>
        </w:rPr>
        <w:t>22.</w:t>
      </w:r>
      <w:r w:rsidR="005B56E8" w:rsidRPr="002D71AD">
        <w:rPr>
          <w:sz w:val="22"/>
          <w:szCs w:val="22"/>
        </w:rPr>
        <w:t xml:space="preserve">  </w:t>
      </w:r>
    </w:p>
    <w:bookmarkEnd w:id="63"/>
  </w:footnote>
  <w:footnote w:id="207">
    <w:p w14:paraId="1C0C8F1C" w14:textId="71A9C68E" w:rsidR="0039207D" w:rsidRPr="00F12A9F" w:rsidRDefault="0039207D">
      <w:pPr>
        <w:pStyle w:val="FootnoteText"/>
        <w:rPr>
          <w:sz w:val="16"/>
          <w:szCs w:val="16"/>
        </w:rPr>
      </w:pPr>
      <w:r w:rsidRPr="00F12A9F">
        <w:rPr>
          <w:rStyle w:val="FootnoteReference"/>
          <w:sz w:val="16"/>
          <w:szCs w:val="16"/>
        </w:rPr>
        <w:footnoteRef/>
      </w:r>
      <w:r w:rsidRPr="00F12A9F">
        <w:rPr>
          <w:sz w:val="16"/>
          <w:szCs w:val="16"/>
        </w:rPr>
        <w:t xml:space="preserve"> </w:t>
      </w:r>
      <w:r w:rsidR="00F12A9F">
        <w:rPr>
          <w:sz w:val="16"/>
          <w:szCs w:val="16"/>
        </w:rPr>
        <w:t xml:space="preserve">S. D. </w:t>
      </w:r>
      <w:r w:rsidR="00F12A9F" w:rsidRPr="00F12A9F">
        <w:rPr>
          <w:sz w:val="16"/>
          <w:szCs w:val="16"/>
        </w:rPr>
        <w:t xml:space="preserve">Chapman, ‘The Transition to the Factory System in the Midlands Cotton Spinning Industry’, </w:t>
      </w:r>
      <w:r w:rsidR="00F12A9F" w:rsidRPr="00F12A9F">
        <w:rPr>
          <w:i/>
          <w:iCs/>
          <w:sz w:val="16"/>
          <w:szCs w:val="16"/>
        </w:rPr>
        <w:t>Economic History Review</w:t>
      </w:r>
      <w:r w:rsidR="00F12A9F" w:rsidRPr="00F12A9F">
        <w:rPr>
          <w:sz w:val="16"/>
          <w:szCs w:val="16"/>
        </w:rPr>
        <w:t>, 18</w:t>
      </w:r>
      <w:r w:rsidR="00CD6F8B">
        <w:rPr>
          <w:sz w:val="16"/>
          <w:szCs w:val="16"/>
        </w:rPr>
        <w:t>:3</w:t>
      </w:r>
      <w:r w:rsidR="00F12A9F" w:rsidRPr="00F12A9F">
        <w:rPr>
          <w:sz w:val="16"/>
          <w:szCs w:val="16"/>
        </w:rPr>
        <w:t xml:space="preserve"> (1965), pp. 526-543 (p. 528).</w:t>
      </w:r>
    </w:p>
  </w:footnote>
  <w:footnote w:id="208">
    <w:p w14:paraId="263824F7" w14:textId="2C86D59B" w:rsidR="007A5FAB" w:rsidRPr="00F12A9F" w:rsidRDefault="007A5FAB">
      <w:pPr>
        <w:pStyle w:val="FootnoteText"/>
        <w:rPr>
          <w:color w:val="FF0000"/>
          <w:sz w:val="16"/>
          <w:szCs w:val="16"/>
        </w:rPr>
      </w:pPr>
      <w:r w:rsidRPr="00F12A9F">
        <w:rPr>
          <w:rStyle w:val="FootnoteReference"/>
          <w:sz w:val="16"/>
          <w:szCs w:val="16"/>
        </w:rPr>
        <w:footnoteRef/>
      </w:r>
      <w:r w:rsidR="00040578" w:rsidRPr="00F12A9F">
        <w:rPr>
          <w:sz w:val="16"/>
          <w:szCs w:val="16"/>
        </w:rPr>
        <w:t xml:space="preserve">, Leonore, Davidoff and Catherine Hall, </w:t>
      </w:r>
      <w:r w:rsidR="00040578" w:rsidRPr="00F12A9F">
        <w:rPr>
          <w:i/>
          <w:iCs/>
          <w:sz w:val="16"/>
          <w:szCs w:val="16"/>
        </w:rPr>
        <w:t>Family Fortunes: Men and Women of the English Middle Class 1780-1850</w:t>
      </w:r>
      <w:r w:rsidR="00040578" w:rsidRPr="00F12A9F">
        <w:rPr>
          <w:sz w:val="16"/>
          <w:szCs w:val="16"/>
        </w:rPr>
        <w:t xml:space="preserve"> (London: Routledge, 1987), p.251.</w:t>
      </w:r>
    </w:p>
  </w:footnote>
  <w:footnote w:id="209">
    <w:p w14:paraId="737C6AFB" w14:textId="27EC4EBA" w:rsidR="005A05DF" w:rsidRPr="00C41485" w:rsidRDefault="005A05DF" w:rsidP="005A05DF">
      <w:pPr>
        <w:pStyle w:val="FootnoteText"/>
        <w:rPr>
          <w:sz w:val="18"/>
          <w:szCs w:val="18"/>
        </w:rPr>
      </w:pPr>
      <w:r w:rsidRPr="00F12A9F">
        <w:rPr>
          <w:rStyle w:val="FootnoteReference"/>
          <w:sz w:val="16"/>
          <w:szCs w:val="16"/>
        </w:rPr>
        <w:footnoteRef/>
      </w:r>
      <w:r w:rsidRPr="00F12A9F">
        <w:rPr>
          <w:sz w:val="16"/>
          <w:szCs w:val="16"/>
        </w:rPr>
        <w:t xml:space="preserve"> Mary B. Rose, ‘The Family Firm in British Business, 1780-1914, in M. W. Kirkby and Mary B. Rose (ed), </w:t>
      </w:r>
      <w:r w:rsidRPr="00F12A9F">
        <w:rPr>
          <w:i/>
          <w:iCs/>
          <w:sz w:val="16"/>
          <w:szCs w:val="16"/>
        </w:rPr>
        <w:t>Business Enterprise in Modern Britain: From the Eighteenth to the Twentieth Century</w:t>
      </w:r>
      <w:r w:rsidRPr="00F12A9F">
        <w:rPr>
          <w:sz w:val="16"/>
          <w:szCs w:val="16"/>
        </w:rPr>
        <w:t>, (London, 1994), p.67</w:t>
      </w:r>
      <w:r w:rsidR="008413E0" w:rsidRPr="00F12A9F">
        <w:rPr>
          <w:sz w:val="16"/>
          <w:szCs w:val="16"/>
        </w:rPr>
        <w:t>.</w:t>
      </w:r>
    </w:p>
  </w:footnote>
  <w:footnote w:id="210">
    <w:p w14:paraId="072120E3" w14:textId="730571EA" w:rsidR="005A05DF" w:rsidRPr="00C77306" w:rsidRDefault="005A05DF" w:rsidP="005A05DF">
      <w:pPr>
        <w:pStyle w:val="FootnoteText"/>
        <w:rPr>
          <w:sz w:val="16"/>
          <w:szCs w:val="16"/>
        </w:rPr>
      </w:pPr>
      <w:r w:rsidRPr="00C77306">
        <w:rPr>
          <w:rStyle w:val="FootnoteReference"/>
          <w:sz w:val="16"/>
          <w:szCs w:val="16"/>
        </w:rPr>
        <w:footnoteRef/>
      </w:r>
      <w:r w:rsidRPr="00C77306">
        <w:rPr>
          <w:sz w:val="16"/>
          <w:szCs w:val="16"/>
        </w:rPr>
        <w:t xml:space="preserve"> Hannah Barker, </w:t>
      </w:r>
      <w:r w:rsidRPr="00C77306">
        <w:rPr>
          <w:i/>
          <w:iCs/>
          <w:sz w:val="16"/>
          <w:szCs w:val="16"/>
        </w:rPr>
        <w:t>Family and Business during the Industrial Revolution</w:t>
      </w:r>
      <w:r w:rsidRPr="00C77306">
        <w:rPr>
          <w:sz w:val="16"/>
          <w:szCs w:val="16"/>
        </w:rPr>
        <w:t xml:space="preserve"> (Oxford</w:t>
      </w:r>
      <w:r w:rsidR="00C77306">
        <w:rPr>
          <w:sz w:val="16"/>
          <w:szCs w:val="16"/>
        </w:rPr>
        <w:t>: Oxford</w:t>
      </w:r>
      <w:r w:rsidRPr="00C77306">
        <w:rPr>
          <w:sz w:val="16"/>
          <w:szCs w:val="16"/>
        </w:rPr>
        <w:t xml:space="preserve"> University Press, 2017), p.13</w:t>
      </w:r>
      <w:r w:rsidR="00504758" w:rsidRPr="00C77306">
        <w:rPr>
          <w:sz w:val="16"/>
          <w:szCs w:val="16"/>
        </w:rPr>
        <w:t>.</w:t>
      </w:r>
      <w:r w:rsidRPr="00C77306">
        <w:rPr>
          <w:sz w:val="16"/>
          <w:szCs w:val="16"/>
        </w:rPr>
        <w:t xml:space="preserve"> </w:t>
      </w:r>
    </w:p>
  </w:footnote>
  <w:footnote w:id="211">
    <w:p w14:paraId="5870CA6B" w14:textId="771BCFBA" w:rsidR="00F73FBC" w:rsidRPr="00C77306" w:rsidRDefault="00F73FBC">
      <w:pPr>
        <w:pStyle w:val="FootnoteText"/>
        <w:rPr>
          <w:sz w:val="16"/>
          <w:szCs w:val="16"/>
        </w:rPr>
      </w:pPr>
      <w:r w:rsidRPr="00C77306">
        <w:rPr>
          <w:rStyle w:val="FootnoteReference"/>
          <w:sz w:val="16"/>
          <w:szCs w:val="16"/>
        </w:rPr>
        <w:footnoteRef/>
      </w:r>
      <w:r w:rsidRPr="00C77306">
        <w:rPr>
          <w:sz w:val="16"/>
          <w:szCs w:val="16"/>
        </w:rPr>
        <w:t xml:space="preserve"> </w:t>
      </w:r>
      <w:bookmarkStart w:id="70" w:name="_Hlk149980268"/>
      <w:r w:rsidR="00504758" w:rsidRPr="00C77306">
        <w:rPr>
          <w:sz w:val="16"/>
          <w:szCs w:val="16"/>
        </w:rPr>
        <w:t xml:space="preserve">Mark S. </w:t>
      </w:r>
      <w:r w:rsidR="00504758" w:rsidRPr="00C77306">
        <w:rPr>
          <w:sz w:val="16"/>
          <w:szCs w:val="16"/>
        </w:rPr>
        <w:t xml:space="preserve">Granovetter, ‘The strength of weak ties,’ </w:t>
      </w:r>
      <w:r w:rsidR="00504758" w:rsidRPr="00C77306">
        <w:rPr>
          <w:i/>
          <w:iCs/>
          <w:sz w:val="16"/>
          <w:szCs w:val="16"/>
        </w:rPr>
        <w:t>American Journal of sociology</w:t>
      </w:r>
      <w:r w:rsidR="00C77306" w:rsidRPr="00C77306">
        <w:rPr>
          <w:i/>
          <w:iCs/>
          <w:sz w:val="16"/>
          <w:szCs w:val="16"/>
        </w:rPr>
        <w:t>,</w:t>
      </w:r>
      <w:r w:rsidR="00504758" w:rsidRPr="00C77306">
        <w:rPr>
          <w:sz w:val="16"/>
          <w:szCs w:val="16"/>
        </w:rPr>
        <w:t xml:space="preserve"> 78:6 (1973)</w:t>
      </w:r>
      <w:r w:rsidR="00C77306" w:rsidRPr="00C77306">
        <w:rPr>
          <w:sz w:val="16"/>
          <w:szCs w:val="16"/>
        </w:rPr>
        <w:t>,</w:t>
      </w:r>
      <w:r w:rsidR="00504758" w:rsidRPr="00C77306">
        <w:rPr>
          <w:sz w:val="16"/>
          <w:szCs w:val="16"/>
        </w:rPr>
        <w:t xml:space="preserve"> pp. 1360-1380.</w:t>
      </w:r>
    </w:p>
    <w:bookmarkEnd w:id="70"/>
  </w:footnote>
  <w:footnote w:id="212">
    <w:p w14:paraId="5A626E49" w14:textId="6F67672D" w:rsidR="005A05DF" w:rsidRPr="00F54BBB" w:rsidRDefault="005A05DF" w:rsidP="005A05DF">
      <w:pPr>
        <w:pStyle w:val="FootnoteText"/>
        <w:rPr>
          <w:sz w:val="18"/>
          <w:szCs w:val="18"/>
        </w:rPr>
      </w:pPr>
      <w:r w:rsidRPr="00C77306">
        <w:rPr>
          <w:rStyle w:val="FootnoteReference"/>
          <w:sz w:val="16"/>
          <w:szCs w:val="16"/>
        </w:rPr>
        <w:footnoteRef/>
      </w:r>
      <w:r w:rsidRPr="00C77306">
        <w:rPr>
          <w:sz w:val="16"/>
          <w:szCs w:val="16"/>
        </w:rPr>
        <w:t xml:space="preserve"> </w:t>
      </w:r>
      <w:r w:rsidR="00C77306" w:rsidRPr="00C77306">
        <w:rPr>
          <w:sz w:val="16"/>
          <w:szCs w:val="16"/>
        </w:rPr>
        <w:t xml:space="preserve">Clive H. Lee, </w:t>
      </w:r>
      <w:r w:rsidR="00C77306" w:rsidRPr="00C77306">
        <w:rPr>
          <w:i/>
          <w:iCs/>
          <w:sz w:val="16"/>
          <w:szCs w:val="16"/>
        </w:rPr>
        <w:t xml:space="preserve">A Cotton Enterprise 1795-1840: </w:t>
      </w:r>
      <w:r w:rsidR="00C77306" w:rsidRPr="00C77306">
        <w:rPr>
          <w:i/>
          <w:iCs/>
          <w:sz w:val="16"/>
          <w:szCs w:val="16"/>
        </w:rPr>
        <w:t>M’Connel and Kennedy Fine Cotton Spinners</w:t>
      </w:r>
      <w:r w:rsidR="00C77306" w:rsidRPr="00C77306">
        <w:rPr>
          <w:sz w:val="16"/>
          <w:szCs w:val="16"/>
        </w:rPr>
        <w:t xml:space="preserve"> (Manchester: Manchester University Press, 1972)</w:t>
      </w:r>
      <w:r w:rsidR="007E3865">
        <w:rPr>
          <w:sz w:val="16"/>
          <w:szCs w:val="16"/>
        </w:rPr>
        <w:t>,</w:t>
      </w:r>
      <w:r w:rsidR="00C77306" w:rsidRPr="00C77306">
        <w:rPr>
          <w:sz w:val="16"/>
          <w:szCs w:val="16"/>
        </w:rPr>
        <w:t xml:space="preserve"> pp. 11-12.</w:t>
      </w:r>
    </w:p>
  </w:footnote>
  <w:footnote w:id="213">
    <w:p w14:paraId="0D2DDE7C" w14:textId="51CCE71C" w:rsidR="005A05DF" w:rsidRPr="00F62B97" w:rsidRDefault="005A05DF" w:rsidP="005A05DF">
      <w:pPr>
        <w:pStyle w:val="FootnoteText"/>
        <w:rPr>
          <w:sz w:val="16"/>
          <w:szCs w:val="16"/>
        </w:rPr>
      </w:pPr>
      <w:r w:rsidRPr="00F62B97">
        <w:rPr>
          <w:rStyle w:val="FootnoteReference"/>
          <w:sz w:val="16"/>
          <w:szCs w:val="16"/>
        </w:rPr>
        <w:footnoteRef/>
      </w:r>
      <w:r w:rsidRPr="00F62B97">
        <w:rPr>
          <w:sz w:val="16"/>
          <w:szCs w:val="16"/>
        </w:rPr>
        <w:t xml:space="preserve"> </w:t>
      </w:r>
      <w:r w:rsidR="00C77306" w:rsidRPr="00F62B97">
        <w:rPr>
          <w:sz w:val="16"/>
          <w:szCs w:val="16"/>
        </w:rPr>
        <w:t xml:space="preserve">Lee, </w:t>
      </w:r>
      <w:r w:rsidR="00C77306" w:rsidRPr="00F62B97">
        <w:rPr>
          <w:i/>
          <w:iCs/>
          <w:sz w:val="16"/>
          <w:szCs w:val="16"/>
        </w:rPr>
        <w:t>A Cotton Enterprise</w:t>
      </w:r>
      <w:r w:rsidR="00C77306" w:rsidRPr="00F62B97">
        <w:rPr>
          <w:sz w:val="16"/>
          <w:szCs w:val="16"/>
        </w:rPr>
        <w:t>, p. 12.</w:t>
      </w:r>
    </w:p>
  </w:footnote>
  <w:footnote w:id="214">
    <w:p w14:paraId="599DA2FA" w14:textId="61D401FF" w:rsidR="00B625C7" w:rsidRPr="00F54BBB" w:rsidRDefault="00B625C7">
      <w:pPr>
        <w:pStyle w:val="FootnoteText"/>
        <w:rPr>
          <w:sz w:val="18"/>
          <w:szCs w:val="18"/>
        </w:rPr>
      </w:pPr>
      <w:r w:rsidRPr="00F62B97">
        <w:rPr>
          <w:rStyle w:val="FootnoteReference"/>
          <w:sz w:val="16"/>
          <w:szCs w:val="16"/>
        </w:rPr>
        <w:footnoteRef/>
      </w:r>
      <w:r w:rsidRPr="00F62B97">
        <w:rPr>
          <w:sz w:val="16"/>
          <w:szCs w:val="16"/>
        </w:rPr>
        <w:t xml:space="preserve"> </w:t>
      </w:r>
      <w:r w:rsidR="00F62B97" w:rsidRPr="00F62B97">
        <w:rPr>
          <w:sz w:val="16"/>
          <w:szCs w:val="16"/>
        </w:rPr>
        <w:t xml:space="preserve">Alistair Livingston, ‘The </w:t>
      </w:r>
      <w:r w:rsidR="00F62B97" w:rsidRPr="00F62B97">
        <w:rPr>
          <w:sz w:val="16"/>
          <w:szCs w:val="16"/>
        </w:rPr>
        <w:t xml:space="preserve">Glenkens, Cattle, Cotton and Capitalism,’ </w:t>
      </w:r>
      <w:r w:rsidR="00F62B97" w:rsidRPr="00F62B97">
        <w:rPr>
          <w:i/>
          <w:iCs/>
          <w:sz w:val="16"/>
          <w:szCs w:val="16"/>
        </w:rPr>
        <w:t>Transactions of Dumfriesshire and Galloway Natural History and Antiquarian Society</w:t>
      </w:r>
      <w:r w:rsidR="00F62B97" w:rsidRPr="00F62B97">
        <w:rPr>
          <w:sz w:val="16"/>
          <w:szCs w:val="16"/>
        </w:rPr>
        <w:t xml:space="preserve">, Third Series, vol. 90 (2016), pp. 67-78 (p.70).  </w:t>
      </w:r>
    </w:p>
  </w:footnote>
  <w:footnote w:id="215">
    <w:p w14:paraId="33BCE71B" w14:textId="4552E7B3" w:rsidR="005A05DF" w:rsidRPr="00F62B97" w:rsidRDefault="005A05DF" w:rsidP="005A05DF">
      <w:pPr>
        <w:pStyle w:val="FootnoteText"/>
        <w:rPr>
          <w:sz w:val="16"/>
          <w:szCs w:val="16"/>
        </w:rPr>
      </w:pPr>
      <w:r w:rsidRPr="00F62B97">
        <w:rPr>
          <w:rStyle w:val="FootnoteReference"/>
          <w:sz w:val="16"/>
          <w:szCs w:val="16"/>
        </w:rPr>
        <w:footnoteRef/>
      </w:r>
      <w:r w:rsidRPr="00F62B97">
        <w:rPr>
          <w:sz w:val="16"/>
          <w:szCs w:val="16"/>
        </w:rPr>
        <w:t xml:space="preserve"> </w:t>
      </w:r>
      <w:r w:rsidR="00185BD0" w:rsidRPr="00185BD0">
        <w:rPr>
          <w:sz w:val="16"/>
          <w:szCs w:val="16"/>
        </w:rPr>
        <w:t>Ancestry Ireland Unlimited Company</w:t>
      </w:r>
      <w:r w:rsidR="00185BD0">
        <w:rPr>
          <w:sz w:val="16"/>
          <w:szCs w:val="16"/>
        </w:rPr>
        <w:t>,</w:t>
      </w:r>
      <w:r w:rsidR="00185BD0" w:rsidRPr="00185BD0">
        <w:rPr>
          <w:sz w:val="16"/>
          <w:szCs w:val="16"/>
        </w:rPr>
        <w:t xml:space="preserve"> </w:t>
      </w:r>
      <w:r w:rsidR="009B338C" w:rsidRPr="002F419A">
        <w:rPr>
          <w:i/>
          <w:iCs/>
          <w:sz w:val="16"/>
          <w:szCs w:val="16"/>
        </w:rPr>
        <w:t xml:space="preserve">Marriage Alliance of Henry McConnel and Margaret Kennedy - </w:t>
      </w:r>
      <w:r w:rsidR="00F54BBB" w:rsidRPr="002F419A">
        <w:rPr>
          <w:i/>
          <w:iCs/>
          <w:sz w:val="16"/>
          <w:szCs w:val="16"/>
        </w:rPr>
        <w:t>Manchester, England, Marriages and Banns, 1754-1930 (Cathedral)</w:t>
      </w:r>
      <w:r w:rsidR="003144FB" w:rsidRPr="002F419A">
        <w:rPr>
          <w:i/>
          <w:iCs/>
          <w:sz w:val="16"/>
          <w:szCs w:val="16"/>
        </w:rPr>
        <w:t xml:space="preserve"> – 15 June 1829 – Henry McConnel, Spouse: Margaret Alexander Kennedy</w:t>
      </w:r>
      <w:r w:rsidR="00185BD0">
        <w:rPr>
          <w:sz w:val="16"/>
          <w:szCs w:val="16"/>
        </w:rPr>
        <w:t>,</w:t>
      </w:r>
      <w:r w:rsidR="00185BD0" w:rsidRPr="00185BD0">
        <w:t xml:space="preserve"> </w:t>
      </w:r>
      <w:r w:rsidR="00185BD0" w:rsidRPr="00185BD0">
        <w:rPr>
          <w:sz w:val="16"/>
          <w:szCs w:val="16"/>
        </w:rPr>
        <w:t>Ancestry Ireland Unlimited Company</w:t>
      </w:r>
      <w:r w:rsidR="00185BD0">
        <w:rPr>
          <w:sz w:val="16"/>
          <w:szCs w:val="16"/>
        </w:rPr>
        <w:t xml:space="preserve">, 2002-2024 </w:t>
      </w:r>
      <w:hyperlink r:id="rId6" w:history="1">
        <w:r w:rsidR="00185BD0" w:rsidRPr="00F62B97">
          <w:rPr>
            <w:rStyle w:val="Hyperlink"/>
            <w:sz w:val="16"/>
            <w:szCs w:val="16"/>
          </w:rPr>
          <w:t>https://www.ancestry.co.uk/</w:t>
        </w:r>
      </w:hyperlink>
      <w:r w:rsidR="00F62B97" w:rsidRPr="00F62B97">
        <w:rPr>
          <w:sz w:val="16"/>
          <w:szCs w:val="16"/>
        </w:rPr>
        <w:t xml:space="preserve"> [last accessed 12 January 2024]</w:t>
      </w:r>
      <w:r w:rsidR="007E3865">
        <w:rPr>
          <w:sz w:val="16"/>
          <w:szCs w:val="16"/>
        </w:rPr>
        <w:t>.</w:t>
      </w:r>
    </w:p>
  </w:footnote>
  <w:footnote w:id="216">
    <w:p w14:paraId="70FAC927" w14:textId="06108B51" w:rsidR="005A05DF" w:rsidRPr="00F54BBB" w:rsidRDefault="005A05DF" w:rsidP="005A05DF">
      <w:pPr>
        <w:pStyle w:val="FootnoteText"/>
        <w:rPr>
          <w:sz w:val="18"/>
          <w:szCs w:val="18"/>
        </w:rPr>
      </w:pPr>
      <w:r w:rsidRPr="00F62B97">
        <w:rPr>
          <w:rStyle w:val="FootnoteReference"/>
          <w:sz w:val="16"/>
          <w:szCs w:val="16"/>
        </w:rPr>
        <w:footnoteRef/>
      </w:r>
      <w:r w:rsidRPr="00F62B97">
        <w:rPr>
          <w:sz w:val="16"/>
          <w:szCs w:val="16"/>
        </w:rPr>
        <w:t xml:space="preserve"> See Margaret Hunt, </w:t>
      </w:r>
      <w:r w:rsidRPr="00F62B97">
        <w:rPr>
          <w:i/>
          <w:iCs/>
          <w:sz w:val="16"/>
          <w:szCs w:val="16"/>
        </w:rPr>
        <w:t>The Middling Sort: Commerce, Gender and the Family in England, 1680-1780</w:t>
      </w:r>
      <w:r w:rsidRPr="00F62B97">
        <w:rPr>
          <w:sz w:val="16"/>
          <w:szCs w:val="16"/>
        </w:rPr>
        <w:t xml:space="preserve">, (University of California Press, 1996) and </w:t>
      </w:r>
      <w:r w:rsidR="00F62B97" w:rsidRPr="00F62B97">
        <w:rPr>
          <w:sz w:val="16"/>
          <w:szCs w:val="16"/>
        </w:rPr>
        <w:t xml:space="preserve">Michael Young and Peter Willmott, </w:t>
      </w:r>
      <w:r w:rsidR="00F62B97" w:rsidRPr="00F62B97">
        <w:rPr>
          <w:i/>
          <w:iCs/>
          <w:sz w:val="16"/>
          <w:szCs w:val="16"/>
        </w:rPr>
        <w:t>Family and Kinship in East London</w:t>
      </w:r>
      <w:r w:rsidR="00F62B97" w:rsidRPr="00F62B97">
        <w:rPr>
          <w:sz w:val="16"/>
          <w:szCs w:val="16"/>
        </w:rPr>
        <w:t xml:space="preserve"> (London: Routledge, 1986) Reprint, pp. xxvii-xxix</w:t>
      </w:r>
      <w:r w:rsidR="007E3865">
        <w:rPr>
          <w:sz w:val="16"/>
          <w:szCs w:val="16"/>
        </w:rPr>
        <w:t>.</w:t>
      </w:r>
    </w:p>
  </w:footnote>
  <w:footnote w:id="217">
    <w:p w14:paraId="3FBEA763" w14:textId="4602750D" w:rsidR="00401EE4" w:rsidRPr="00F62B97" w:rsidRDefault="00401EE4" w:rsidP="00931189">
      <w:pPr>
        <w:pStyle w:val="FootnoteText"/>
        <w:rPr>
          <w:sz w:val="16"/>
          <w:szCs w:val="16"/>
        </w:rPr>
      </w:pPr>
      <w:r w:rsidRPr="00F62B97">
        <w:rPr>
          <w:rStyle w:val="FootnoteReference"/>
          <w:sz w:val="16"/>
          <w:szCs w:val="16"/>
        </w:rPr>
        <w:footnoteRef/>
      </w:r>
      <w:r w:rsidRPr="00F62B97">
        <w:rPr>
          <w:sz w:val="16"/>
          <w:szCs w:val="16"/>
        </w:rPr>
        <w:t xml:space="preserve"> </w:t>
      </w:r>
      <w:r w:rsidR="00CE40BA" w:rsidRPr="00F62B97">
        <w:rPr>
          <w:sz w:val="16"/>
          <w:szCs w:val="16"/>
        </w:rPr>
        <w:t>Silvia A, C</w:t>
      </w:r>
      <w:r w:rsidR="00861BC4" w:rsidRPr="00F62B97">
        <w:rPr>
          <w:sz w:val="16"/>
          <w:szCs w:val="16"/>
        </w:rPr>
        <w:t xml:space="preserve">onca </w:t>
      </w:r>
      <w:r w:rsidR="00CE40BA" w:rsidRPr="00F62B97">
        <w:rPr>
          <w:sz w:val="16"/>
          <w:szCs w:val="16"/>
        </w:rPr>
        <w:t xml:space="preserve">Messina, </w:t>
      </w:r>
      <w:r w:rsidR="00CE40BA" w:rsidRPr="00F62B97">
        <w:rPr>
          <w:i/>
          <w:iCs/>
          <w:sz w:val="16"/>
          <w:szCs w:val="16"/>
        </w:rPr>
        <w:t xml:space="preserve">Cotton Enterprises: Networks and Strategies: Lombardy in the Industrial Revolution, 1815-1860 </w:t>
      </w:r>
      <w:r w:rsidR="00CE40BA" w:rsidRPr="00F62B97">
        <w:rPr>
          <w:sz w:val="16"/>
          <w:szCs w:val="16"/>
        </w:rPr>
        <w:t>(London: Routledge, 2015)</w:t>
      </w:r>
      <w:r w:rsidR="00861BC4" w:rsidRPr="00F62B97">
        <w:rPr>
          <w:sz w:val="16"/>
          <w:szCs w:val="16"/>
        </w:rPr>
        <w:t>, p</w:t>
      </w:r>
      <w:r w:rsidR="00453AB7" w:rsidRPr="00F62B97">
        <w:rPr>
          <w:sz w:val="16"/>
          <w:szCs w:val="16"/>
        </w:rPr>
        <w:t xml:space="preserve">. 17. </w:t>
      </w:r>
    </w:p>
  </w:footnote>
  <w:footnote w:id="218">
    <w:p w14:paraId="6003CEE8" w14:textId="0C95B351" w:rsidR="005A05DF" w:rsidRPr="00F62B97" w:rsidRDefault="005A05DF" w:rsidP="005A05DF">
      <w:pPr>
        <w:pStyle w:val="FootnoteText"/>
        <w:rPr>
          <w:sz w:val="16"/>
          <w:szCs w:val="16"/>
        </w:rPr>
      </w:pPr>
      <w:r w:rsidRPr="00F62B97">
        <w:rPr>
          <w:rStyle w:val="FootnoteReference"/>
          <w:sz w:val="16"/>
          <w:szCs w:val="16"/>
        </w:rPr>
        <w:footnoteRef/>
      </w:r>
      <w:r w:rsidRPr="00F62B97">
        <w:rPr>
          <w:sz w:val="16"/>
          <w:szCs w:val="16"/>
        </w:rPr>
        <w:t xml:space="preserve"> </w:t>
      </w:r>
      <w:bookmarkStart w:id="74" w:name="_Hlk156661986"/>
      <w:r w:rsidR="00185BD0" w:rsidRPr="00185BD0">
        <w:rPr>
          <w:sz w:val="16"/>
          <w:szCs w:val="16"/>
        </w:rPr>
        <w:t>Ancestry Ireland Unlimited Company</w:t>
      </w:r>
      <w:bookmarkEnd w:id="74"/>
      <w:r w:rsidR="00185BD0">
        <w:rPr>
          <w:sz w:val="16"/>
          <w:szCs w:val="16"/>
        </w:rPr>
        <w:t>,</w:t>
      </w:r>
      <w:r w:rsidR="00185BD0" w:rsidRPr="00185BD0">
        <w:rPr>
          <w:sz w:val="16"/>
          <w:szCs w:val="16"/>
        </w:rPr>
        <w:t xml:space="preserve"> </w:t>
      </w:r>
      <w:r w:rsidRPr="00F62B97">
        <w:rPr>
          <w:i/>
          <w:iCs/>
          <w:sz w:val="16"/>
          <w:szCs w:val="16"/>
        </w:rPr>
        <w:t>England &amp; Wales Marriages</w:t>
      </w:r>
      <w:r w:rsidRPr="00F62B97">
        <w:rPr>
          <w:sz w:val="16"/>
          <w:szCs w:val="16"/>
        </w:rPr>
        <w:t xml:space="preserve">, 1538-1988, Place: </w:t>
      </w:r>
      <w:r w:rsidRPr="00F62B97">
        <w:rPr>
          <w:sz w:val="16"/>
          <w:szCs w:val="16"/>
        </w:rPr>
        <w:t>Gonalston,</w:t>
      </w:r>
      <w:r w:rsidR="007E3865">
        <w:rPr>
          <w:sz w:val="16"/>
          <w:szCs w:val="16"/>
        </w:rPr>
        <w:t xml:space="preserve"> </w:t>
      </w:r>
      <w:r w:rsidRPr="00F62B97">
        <w:rPr>
          <w:sz w:val="16"/>
          <w:szCs w:val="16"/>
        </w:rPr>
        <w:t>Nottinghamshire, England; Collection; BT</w:t>
      </w:r>
      <w:r w:rsidR="00F62B97" w:rsidRPr="00F62B97">
        <w:rPr>
          <w:sz w:val="16"/>
          <w:szCs w:val="16"/>
        </w:rPr>
        <w:t>S</w:t>
      </w:r>
      <w:r w:rsidRPr="00F62B97">
        <w:rPr>
          <w:sz w:val="16"/>
          <w:szCs w:val="16"/>
        </w:rPr>
        <w:t>; Date Range: 1793 - 1799; Film Number: 503496</w:t>
      </w:r>
      <w:r w:rsidR="00185BD0">
        <w:rPr>
          <w:sz w:val="16"/>
          <w:szCs w:val="16"/>
        </w:rPr>
        <w:t>,</w:t>
      </w:r>
      <w:r w:rsidR="00185BD0" w:rsidRPr="00185BD0">
        <w:t xml:space="preserve"> </w:t>
      </w:r>
      <w:r w:rsidR="00185BD0" w:rsidRPr="00185BD0">
        <w:rPr>
          <w:sz w:val="16"/>
          <w:szCs w:val="16"/>
        </w:rPr>
        <w:t>Ancestry Ireland Unlimited Company</w:t>
      </w:r>
      <w:r w:rsidR="00185BD0">
        <w:rPr>
          <w:sz w:val="16"/>
          <w:szCs w:val="16"/>
        </w:rPr>
        <w:t xml:space="preserve">, 2002-2024 </w:t>
      </w:r>
      <w:hyperlink r:id="rId7" w:history="1">
        <w:r w:rsidR="00185BD0" w:rsidRPr="00F62B97">
          <w:rPr>
            <w:rStyle w:val="Hyperlink"/>
            <w:sz w:val="16"/>
            <w:szCs w:val="16"/>
          </w:rPr>
          <w:t>https://www.ancestry.co.uk/</w:t>
        </w:r>
      </w:hyperlink>
      <w:r w:rsidR="00F62B97" w:rsidRPr="00F62B97">
        <w:rPr>
          <w:sz w:val="16"/>
          <w:szCs w:val="16"/>
        </w:rPr>
        <w:t xml:space="preserve"> </w:t>
      </w:r>
      <w:bookmarkStart w:id="75" w:name="_Hlk156580460"/>
      <w:r w:rsidR="00F62B97" w:rsidRPr="00F62B97">
        <w:rPr>
          <w:sz w:val="16"/>
          <w:szCs w:val="16"/>
        </w:rPr>
        <w:t>[last accessed 12 January 2024]</w:t>
      </w:r>
      <w:r w:rsidR="007E3865">
        <w:rPr>
          <w:sz w:val="16"/>
          <w:szCs w:val="16"/>
        </w:rPr>
        <w:t>.</w:t>
      </w:r>
      <w:r w:rsidR="00F62B97" w:rsidRPr="00F62B97">
        <w:rPr>
          <w:sz w:val="16"/>
          <w:szCs w:val="16"/>
        </w:rPr>
        <w:t xml:space="preserve"> </w:t>
      </w:r>
    </w:p>
    <w:bookmarkEnd w:id="75"/>
  </w:footnote>
  <w:footnote w:id="219">
    <w:p w14:paraId="0D25904C" w14:textId="0F5B5F6C" w:rsidR="005A05DF" w:rsidRPr="00C8069B" w:rsidRDefault="005A05DF" w:rsidP="005A05DF">
      <w:pPr>
        <w:pStyle w:val="FootnoteText"/>
        <w:rPr>
          <w:sz w:val="18"/>
          <w:szCs w:val="18"/>
        </w:rPr>
      </w:pPr>
      <w:r w:rsidRPr="00F62B97">
        <w:rPr>
          <w:rStyle w:val="FootnoteReference"/>
          <w:sz w:val="16"/>
          <w:szCs w:val="16"/>
        </w:rPr>
        <w:footnoteRef/>
      </w:r>
      <w:r w:rsidRPr="00F62B97">
        <w:rPr>
          <w:sz w:val="16"/>
          <w:szCs w:val="16"/>
        </w:rPr>
        <w:t xml:space="preserve">  </w:t>
      </w:r>
      <w:bookmarkStart w:id="76" w:name="_Hlk156661946"/>
      <w:r w:rsidR="00F62B97" w:rsidRPr="00F62B97">
        <w:rPr>
          <w:sz w:val="16"/>
          <w:szCs w:val="16"/>
        </w:rPr>
        <w:t>Graces Guide Ltd</w:t>
      </w:r>
      <w:bookmarkEnd w:id="76"/>
      <w:r w:rsidR="00F62B97" w:rsidRPr="00F62B97">
        <w:rPr>
          <w:sz w:val="16"/>
          <w:szCs w:val="16"/>
        </w:rPr>
        <w:t xml:space="preserve">, </w:t>
      </w:r>
      <w:r w:rsidR="00F62B97" w:rsidRPr="00185BD0">
        <w:rPr>
          <w:i/>
          <w:iCs/>
          <w:sz w:val="16"/>
          <w:szCs w:val="16"/>
        </w:rPr>
        <w:t>Graces Guide to British Industrial History</w:t>
      </w:r>
      <w:r w:rsidR="00F62B97" w:rsidRPr="00F62B97">
        <w:rPr>
          <w:sz w:val="16"/>
          <w:szCs w:val="16"/>
        </w:rPr>
        <w:t>,</w:t>
      </w:r>
      <w:r w:rsidR="00185BD0" w:rsidRPr="00185BD0">
        <w:t xml:space="preserve"> </w:t>
      </w:r>
      <w:r w:rsidR="00185BD0" w:rsidRPr="00185BD0">
        <w:rPr>
          <w:sz w:val="16"/>
          <w:szCs w:val="16"/>
        </w:rPr>
        <w:t>Graces Guide Ltd</w:t>
      </w:r>
      <w:r w:rsidR="00F62B97" w:rsidRPr="00F62B97">
        <w:rPr>
          <w:sz w:val="16"/>
          <w:szCs w:val="16"/>
        </w:rPr>
        <w:t xml:space="preserve"> 2021 </w:t>
      </w:r>
      <w:hyperlink r:id="rId8" w:history="1">
        <w:r w:rsidR="00F62B97" w:rsidRPr="00F62B97">
          <w:rPr>
            <w:rStyle w:val="Hyperlink"/>
            <w:sz w:val="16"/>
            <w:szCs w:val="16"/>
          </w:rPr>
          <w:t>https://www.gracesguide.co.uk</w:t>
        </w:r>
      </w:hyperlink>
      <w:r w:rsidR="00F62B97" w:rsidRPr="00F62B97">
        <w:rPr>
          <w:sz w:val="16"/>
          <w:szCs w:val="16"/>
        </w:rPr>
        <w:t xml:space="preserve"> [last accessed 12 January 2024] Search Term: Newton Street Mills</w:t>
      </w:r>
      <w:r w:rsidR="007E3865">
        <w:rPr>
          <w:sz w:val="16"/>
          <w:szCs w:val="16"/>
        </w:rPr>
        <w:t>.</w:t>
      </w:r>
    </w:p>
  </w:footnote>
  <w:footnote w:id="220">
    <w:p w14:paraId="751D6A4E" w14:textId="17DC3CDC" w:rsidR="005A05DF" w:rsidRPr="00F62B97" w:rsidRDefault="005A05DF" w:rsidP="005A05DF">
      <w:pPr>
        <w:pStyle w:val="FootnoteText"/>
        <w:rPr>
          <w:sz w:val="16"/>
          <w:szCs w:val="16"/>
        </w:rPr>
      </w:pPr>
      <w:r w:rsidRPr="00F62B97">
        <w:rPr>
          <w:rStyle w:val="FootnoteReference"/>
          <w:sz w:val="16"/>
          <w:szCs w:val="16"/>
        </w:rPr>
        <w:footnoteRef/>
      </w:r>
      <w:r w:rsidRPr="00F62B97">
        <w:rPr>
          <w:sz w:val="16"/>
          <w:szCs w:val="16"/>
        </w:rPr>
        <w:t xml:space="preserve"> </w:t>
      </w:r>
      <w:r w:rsidR="00185BD0" w:rsidRPr="00185BD0">
        <w:rPr>
          <w:sz w:val="16"/>
          <w:szCs w:val="16"/>
        </w:rPr>
        <w:t xml:space="preserve">Graces Guide Ltd </w:t>
      </w:r>
      <w:r w:rsidRPr="00F62B97">
        <w:rPr>
          <w:i/>
          <w:iCs/>
          <w:sz w:val="16"/>
          <w:szCs w:val="16"/>
        </w:rPr>
        <w:t xml:space="preserve">Manchester, England, </w:t>
      </w:r>
      <w:r w:rsidR="000835B3" w:rsidRPr="00F62B97">
        <w:rPr>
          <w:i/>
          <w:iCs/>
          <w:sz w:val="16"/>
          <w:szCs w:val="16"/>
        </w:rPr>
        <w:t>Marriages,</w:t>
      </w:r>
      <w:r w:rsidRPr="00F62B97">
        <w:rPr>
          <w:i/>
          <w:iCs/>
          <w:sz w:val="16"/>
          <w:szCs w:val="16"/>
        </w:rPr>
        <w:t xml:space="preserve"> and Banns, 1754-1930</w:t>
      </w:r>
      <w:r w:rsidRPr="00F62B97">
        <w:rPr>
          <w:sz w:val="16"/>
          <w:szCs w:val="16"/>
        </w:rPr>
        <w:t xml:space="preserve"> (Cathedral) and England, Select Marriages, 1538–1973, 19 November 1830</w:t>
      </w:r>
      <w:r w:rsidR="00185BD0" w:rsidRPr="00185BD0">
        <w:rPr>
          <w:sz w:val="16"/>
          <w:szCs w:val="16"/>
        </w:rPr>
        <w:t xml:space="preserve"> </w:t>
      </w:r>
      <w:r w:rsidR="00185BD0" w:rsidRPr="00F62B97">
        <w:rPr>
          <w:sz w:val="16"/>
          <w:szCs w:val="16"/>
        </w:rPr>
        <w:t>Documents for the marriage of Elizabeth Kennedy and John Greg</w:t>
      </w:r>
      <w:r w:rsidRPr="00F62B97">
        <w:rPr>
          <w:sz w:val="16"/>
          <w:szCs w:val="16"/>
        </w:rPr>
        <w:t>, FHL Film Number: 438194, 438195</w:t>
      </w:r>
      <w:r w:rsidR="00185BD0">
        <w:rPr>
          <w:sz w:val="16"/>
          <w:szCs w:val="16"/>
        </w:rPr>
        <w:t xml:space="preserve">, </w:t>
      </w:r>
      <w:r w:rsidR="00185BD0" w:rsidRPr="00185BD0">
        <w:rPr>
          <w:sz w:val="16"/>
          <w:szCs w:val="16"/>
        </w:rPr>
        <w:t>Ancestry Ireland Unlimited Company</w:t>
      </w:r>
      <w:r w:rsidR="00185BD0">
        <w:rPr>
          <w:sz w:val="16"/>
          <w:szCs w:val="16"/>
        </w:rPr>
        <w:t xml:space="preserve">, 2002-2024 </w:t>
      </w:r>
      <w:hyperlink r:id="rId9" w:history="1">
        <w:r w:rsidR="00185BD0" w:rsidRPr="00F62B97">
          <w:rPr>
            <w:rStyle w:val="Hyperlink"/>
            <w:sz w:val="16"/>
            <w:szCs w:val="16"/>
          </w:rPr>
          <w:t>https://www.ancestry.co.uk/</w:t>
        </w:r>
      </w:hyperlink>
      <w:r w:rsidR="00F62B97" w:rsidRPr="00F62B97">
        <w:rPr>
          <w:sz w:val="16"/>
          <w:szCs w:val="16"/>
        </w:rPr>
        <w:t xml:space="preserve"> [last accessed 12 January 2024</w:t>
      </w:r>
      <w:r w:rsidR="00185BD0">
        <w:rPr>
          <w:sz w:val="16"/>
          <w:szCs w:val="16"/>
        </w:rPr>
        <w:t>]</w:t>
      </w:r>
      <w:r w:rsidR="007E3865">
        <w:rPr>
          <w:sz w:val="16"/>
          <w:szCs w:val="16"/>
        </w:rPr>
        <w:t>.</w:t>
      </w:r>
    </w:p>
  </w:footnote>
  <w:footnote w:id="221">
    <w:p w14:paraId="0484231B" w14:textId="701C4389" w:rsidR="005A05DF" w:rsidRPr="00BC5331" w:rsidRDefault="005A05DF" w:rsidP="005A05DF">
      <w:pPr>
        <w:pStyle w:val="FootnoteText"/>
        <w:rPr>
          <w:sz w:val="18"/>
          <w:szCs w:val="18"/>
        </w:rPr>
      </w:pPr>
      <w:r w:rsidRPr="00F62B97">
        <w:rPr>
          <w:rStyle w:val="FootnoteReference"/>
          <w:sz w:val="16"/>
          <w:szCs w:val="16"/>
        </w:rPr>
        <w:footnoteRef/>
      </w:r>
      <w:r w:rsidRPr="00F62B97">
        <w:rPr>
          <w:sz w:val="16"/>
          <w:szCs w:val="16"/>
        </w:rPr>
        <w:t xml:space="preserve"> </w:t>
      </w:r>
      <w:r w:rsidR="00185BD0" w:rsidRPr="00185BD0">
        <w:rPr>
          <w:sz w:val="16"/>
          <w:szCs w:val="16"/>
        </w:rPr>
        <w:t>Ancestry Ireland Unlimited Company</w:t>
      </w:r>
      <w:r w:rsidR="00185BD0">
        <w:rPr>
          <w:sz w:val="16"/>
          <w:szCs w:val="16"/>
        </w:rPr>
        <w:t>,</w:t>
      </w:r>
      <w:r w:rsidR="00185BD0" w:rsidRPr="00185BD0">
        <w:rPr>
          <w:sz w:val="16"/>
          <w:szCs w:val="16"/>
        </w:rPr>
        <w:t xml:space="preserve"> </w:t>
      </w:r>
      <w:r w:rsidRPr="00F62B97">
        <w:rPr>
          <w:i/>
          <w:iCs/>
          <w:sz w:val="16"/>
          <w:szCs w:val="16"/>
        </w:rPr>
        <w:t xml:space="preserve">Lancashire, England, Church of England </w:t>
      </w:r>
      <w:r w:rsidR="000835B3" w:rsidRPr="00F62B97">
        <w:rPr>
          <w:i/>
          <w:iCs/>
          <w:sz w:val="16"/>
          <w:szCs w:val="16"/>
        </w:rPr>
        <w:t>Marriages,</w:t>
      </w:r>
      <w:r w:rsidRPr="00F62B97">
        <w:rPr>
          <w:i/>
          <w:iCs/>
          <w:sz w:val="16"/>
          <w:szCs w:val="16"/>
        </w:rPr>
        <w:t xml:space="preserve"> and Banns, 1754-1936</w:t>
      </w:r>
      <w:r w:rsidRPr="00F62B97">
        <w:rPr>
          <w:sz w:val="16"/>
          <w:szCs w:val="16"/>
        </w:rPr>
        <w:t>, 30 May 1837, Bishops Transcripts, Cathedral</w:t>
      </w:r>
      <w:r w:rsidR="00F62B97" w:rsidRPr="00F62B97">
        <w:rPr>
          <w:sz w:val="16"/>
          <w:szCs w:val="16"/>
        </w:rPr>
        <w:t xml:space="preserve"> </w:t>
      </w:r>
      <w:r w:rsidR="00185BD0" w:rsidRPr="00F62B97">
        <w:rPr>
          <w:sz w:val="16"/>
          <w:szCs w:val="16"/>
        </w:rPr>
        <w:t>Documents for the marriage of Henry McConnel and Isabella Aitchison Murray</w:t>
      </w:r>
      <w:r w:rsidR="00185BD0">
        <w:rPr>
          <w:sz w:val="16"/>
          <w:szCs w:val="16"/>
        </w:rPr>
        <w:t>,</w:t>
      </w:r>
      <w:r w:rsidR="00185BD0" w:rsidRPr="00185BD0">
        <w:t xml:space="preserve"> </w:t>
      </w:r>
      <w:r w:rsidR="00185BD0" w:rsidRPr="00185BD0">
        <w:rPr>
          <w:sz w:val="16"/>
          <w:szCs w:val="16"/>
        </w:rPr>
        <w:t>Ancestry Ireland Unlimited Company</w:t>
      </w:r>
      <w:r w:rsidR="00185BD0">
        <w:rPr>
          <w:sz w:val="16"/>
          <w:szCs w:val="16"/>
        </w:rPr>
        <w:t>, 2002-2024</w:t>
      </w:r>
      <w:r w:rsidR="00185BD0" w:rsidRPr="00F62B97">
        <w:rPr>
          <w:sz w:val="16"/>
          <w:szCs w:val="16"/>
        </w:rPr>
        <w:t xml:space="preserve"> </w:t>
      </w:r>
      <w:hyperlink r:id="rId10" w:history="1">
        <w:r w:rsidR="00185BD0" w:rsidRPr="00C47018">
          <w:rPr>
            <w:rStyle w:val="Hyperlink"/>
            <w:sz w:val="16"/>
            <w:szCs w:val="16"/>
          </w:rPr>
          <w:t>https://www.ancestry.co.uk/</w:t>
        </w:r>
      </w:hyperlink>
      <w:r w:rsidR="00185BD0" w:rsidRPr="00F62B97">
        <w:rPr>
          <w:sz w:val="16"/>
          <w:szCs w:val="16"/>
        </w:rPr>
        <w:t xml:space="preserve"> </w:t>
      </w:r>
      <w:r w:rsidR="00F62B97" w:rsidRPr="00F62B97">
        <w:rPr>
          <w:sz w:val="16"/>
          <w:szCs w:val="16"/>
        </w:rPr>
        <w:t>[last accessed 12 January 2024]</w:t>
      </w:r>
      <w:r w:rsidR="007E3865">
        <w:rPr>
          <w:sz w:val="16"/>
          <w:szCs w:val="16"/>
        </w:rPr>
        <w:t>.</w:t>
      </w:r>
    </w:p>
  </w:footnote>
  <w:footnote w:id="222">
    <w:p w14:paraId="5C438485" w14:textId="1C309797" w:rsidR="005A05DF" w:rsidRPr="00F62B97" w:rsidRDefault="005A05DF" w:rsidP="005A05DF">
      <w:pPr>
        <w:pStyle w:val="FootnoteText"/>
        <w:rPr>
          <w:sz w:val="16"/>
          <w:szCs w:val="16"/>
        </w:rPr>
      </w:pPr>
      <w:r w:rsidRPr="00F62B97">
        <w:rPr>
          <w:rStyle w:val="FootnoteReference"/>
          <w:sz w:val="16"/>
          <w:szCs w:val="16"/>
        </w:rPr>
        <w:footnoteRef/>
      </w:r>
      <w:r w:rsidRPr="00F62B97">
        <w:rPr>
          <w:sz w:val="16"/>
          <w:szCs w:val="16"/>
        </w:rPr>
        <w:t xml:space="preserve"> </w:t>
      </w:r>
      <w:r w:rsidR="00185BD0" w:rsidRPr="00185BD0">
        <w:rPr>
          <w:sz w:val="16"/>
          <w:szCs w:val="16"/>
        </w:rPr>
        <w:t>Ancestry Ireland Unlimited Company</w:t>
      </w:r>
      <w:r w:rsidR="00185BD0">
        <w:rPr>
          <w:sz w:val="16"/>
          <w:szCs w:val="16"/>
        </w:rPr>
        <w:t>,</w:t>
      </w:r>
      <w:r w:rsidR="00185BD0" w:rsidRPr="00185BD0">
        <w:rPr>
          <w:sz w:val="16"/>
          <w:szCs w:val="16"/>
        </w:rPr>
        <w:t xml:space="preserve"> </w:t>
      </w:r>
      <w:r w:rsidRPr="00185BD0">
        <w:rPr>
          <w:i/>
          <w:iCs/>
          <w:sz w:val="16"/>
          <w:szCs w:val="16"/>
        </w:rPr>
        <w:t xml:space="preserve">Documents </w:t>
      </w:r>
      <w:r w:rsidR="00F73AA1" w:rsidRPr="00185BD0">
        <w:rPr>
          <w:i/>
          <w:iCs/>
          <w:sz w:val="16"/>
          <w:szCs w:val="16"/>
        </w:rPr>
        <w:t xml:space="preserve">to support </w:t>
      </w:r>
      <w:r w:rsidRPr="00185BD0">
        <w:rPr>
          <w:i/>
          <w:iCs/>
          <w:sz w:val="16"/>
          <w:szCs w:val="16"/>
        </w:rPr>
        <w:t>the marriage of Anne Kennedy and Gustavus Albert Escher:</w:t>
      </w:r>
      <w:r w:rsidR="00F73AA1" w:rsidRPr="00185BD0">
        <w:rPr>
          <w:i/>
          <w:iCs/>
          <w:sz w:val="16"/>
          <w:szCs w:val="16"/>
        </w:rPr>
        <w:t xml:space="preserve"> 1861 Census</w:t>
      </w:r>
      <w:r w:rsidR="003612F8" w:rsidRPr="00185BD0">
        <w:rPr>
          <w:i/>
          <w:iCs/>
          <w:sz w:val="16"/>
          <w:szCs w:val="16"/>
        </w:rPr>
        <w:t xml:space="preserve"> for </w:t>
      </w:r>
      <w:r w:rsidR="00C5573F" w:rsidRPr="00185BD0">
        <w:rPr>
          <w:i/>
          <w:iCs/>
          <w:sz w:val="16"/>
          <w:szCs w:val="16"/>
        </w:rPr>
        <w:t xml:space="preserve">Mary Olga Escher the </w:t>
      </w:r>
      <w:r w:rsidR="00727C52" w:rsidRPr="00185BD0">
        <w:rPr>
          <w:i/>
          <w:iCs/>
          <w:sz w:val="16"/>
          <w:szCs w:val="16"/>
        </w:rPr>
        <w:t>stepdaughter</w:t>
      </w:r>
      <w:r w:rsidR="00C5573F" w:rsidRPr="00185BD0">
        <w:rPr>
          <w:i/>
          <w:iCs/>
          <w:sz w:val="16"/>
          <w:szCs w:val="16"/>
        </w:rPr>
        <w:t xml:space="preserve"> of James Heywood</w:t>
      </w:r>
      <w:r w:rsidRPr="00185BD0">
        <w:rPr>
          <w:i/>
          <w:iCs/>
          <w:sz w:val="16"/>
          <w:szCs w:val="16"/>
        </w:rPr>
        <w:t xml:space="preserve"> </w:t>
      </w:r>
      <w:r w:rsidR="00C5573F" w:rsidRPr="00185BD0">
        <w:rPr>
          <w:i/>
          <w:iCs/>
          <w:sz w:val="16"/>
          <w:szCs w:val="16"/>
        </w:rPr>
        <w:t>and daughter of Annie Heywood.</w:t>
      </w:r>
      <w:r w:rsidR="004B4696" w:rsidRPr="00185BD0">
        <w:rPr>
          <w:i/>
          <w:iCs/>
          <w:sz w:val="16"/>
          <w:szCs w:val="16"/>
        </w:rPr>
        <w:t xml:space="preserve"> T</w:t>
      </w:r>
      <w:r w:rsidR="00727C52" w:rsidRPr="00185BD0">
        <w:rPr>
          <w:i/>
          <w:iCs/>
          <w:sz w:val="16"/>
          <w:szCs w:val="16"/>
        </w:rPr>
        <w:t xml:space="preserve">he marriage banns for Anne Escher and James Heywood show John Kennedy as Anne’s father. </w:t>
      </w:r>
      <w:r w:rsidR="004B4696" w:rsidRPr="00185BD0">
        <w:rPr>
          <w:i/>
          <w:iCs/>
          <w:sz w:val="16"/>
          <w:szCs w:val="16"/>
        </w:rPr>
        <w:t xml:space="preserve">These </w:t>
      </w:r>
      <w:r w:rsidR="007E3865" w:rsidRPr="00185BD0">
        <w:rPr>
          <w:i/>
          <w:iCs/>
          <w:sz w:val="16"/>
          <w:szCs w:val="16"/>
        </w:rPr>
        <w:t>B</w:t>
      </w:r>
      <w:r w:rsidR="004B4696" w:rsidRPr="00185BD0">
        <w:rPr>
          <w:i/>
          <w:iCs/>
          <w:sz w:val="16"/>
          <w:szCs w:val="16"/>
        </w:rPr>
        <w:t xml:space="preserve">anns are for </w:t>
      </w:r>
      <w:r w:rsidR="00727C52" w:rsidRPr="00185BD0">
        <w:rPr>
          <w:i/>
          <w:iCs/>
          <w:sz w:val="16"/>
          <w:szCs w:val="16"/>
        </w:rPr>
        <w:t>Manchester, England, Church of England Marriages and Banns, 1754-1930</w:t>
      </w:r>
      <w:r w:rsidR="006C2A1B" w:rsidRPr="00185BD0">
        <w:rPr>
          <w:i/>
          <w:iCs/>
          <w:sz w:val="16"/>
          <w:szCs w:val="16"/>
        </w:rPr>
        <w:t xml:space="preserve"> – 11 June 1858</w:t>
      </w:r>
      <w:r w:rsidR="00684F36" w:rsidRPr="00185BD0">
        <w:rPr>
          <w:i/>
          <w:iCs/>
          <w:sz w:val="16"/>
          <w:szCs w:val="16"/>
        </w:rPr>
        <w:t xml:space="preserve"> - Reference Number: GB127.M273/1/3/1</w:t>
      </w:r>
      <w:r w:rsidR="00185BD0">
        <w:rPr>
          <w:i/>
          <w:iCs/>
          <w:sz w:val="16"/>
          <w:szCs w:val="16"/>
        </w:rPr>
        <w:t xml:space="preserve">, </w:t>
      </w:r>
      <w:r w:rsidR="00185BD0" w:rsidRPr="00185BD0">
        <w:rPr>
          <w:sz w:val="16"/>
          <w:szCs w:val="16"/>
        </w:rPr>
        <w:t>Ancestry Ireland Unlimited Company</w:t>
      </w:r>
      <w:r w:rsidR="00185BD0">
        <w:rPr>
          <w:sz w:val="16"/>
          <w:szCs w:val="16"/>
        </w:rPr>
        <w:t xml:space="preserve">, 2002-2024 </w:t>
      </w:r>
      <w:hyperlink r:id="rId11" w:history="1">
        <w:r w:rsidR="00185BD0" w:rsidRPr="00C47018">
          <w:rPr>
            <w:rStyle w:val="Hyperlink"/>
            <w:sz w:val="16"/>
            <w:szCs w:val="16"/>
          </w:rPr>
          <w:t>https://www.ancestry.co.uk/</w:t>
        </w:r>
      </w:hyperlink>
      <w:r w:rsidR="00185BD0" w:rsidRPr="00185BD0">
        <w:rPr>
          <w:sz w:val="16"/>
          <w:szCs w:val="16"/>
        </w:rPr>
        <w:t xml:space="preserve"> </w:t>
      </w:r>
      <w:r w:rsidR="00F62B97" w:rsidRPr="00F62B97">
        <w:rPr>
          <w:sz w:val="16"/>
          <w:szCs w:val="16"/>
        </w:rPr>
        <w:t xml:space="preserve"> [last accessed 12 January 2024]</w:t>
      </w:r>
      <w:r w:rsidR="007E3865">
        <w:rPr>
          <w:sz w:val="16"/>
          <w:szCs w:val="16"/>
        </w:rPr>
        <w:t>.</w:t>
      </w:r>
      <w:r w:rsidR="00F62B97" w:rsidRPr="00F62B97">
        <w:rPr>
          <w:sz w:val="16"/>
          <w:szCs w:val="16"/>
        </w:rPr>
        <w:t xml:space="preserve"> </w:t>
      </w:r>
      <w:r w:rsidR="00684F36" w:rsidRPr="00F62B97">
        <w:rPr>
          <w:sz w:val="16"/>
          <w:szCs w:val="16"/>
        </w:rPr>
        <w:t xml:space="preserve"> </w:t>
      </w:r>
    </w:p>
  </w:footnote>
  <w:footnote w:id="223">
    <w:p w14:paraId="613C15DF" w14:textId="460E7B59" w:rsidR="003B4A2D" w:rsidRPr="00F62B97" w:rsidRDefault="003B4A2D">
      <w:pPr>
        <w:pStyle w:val="FootnoteText"/>
        <w:rPr>
          <w:sz w:val="16"/>
          <w:szCs w:val="16"/>
        </w:rPr>
      </w:pPr>
      <w:r w:rsidRPr="00F62B97">
        <w:rPr>
          <w:rStyle w:val="FootnoteReference"/>
          <w:sz w:val="16"/>
          <w:szCs w:val="16"/>
        </w:rPr>
        <w:footnoteRef/>
      </w:r>
      <w:r w:rsidRPr="00F62B97">
        <w:rPr>
          <w:sz w:val="16"/>
          <w:szCs w:val="16"/>
        </w:rPr>
        <w:t xml:space="preserve"> </w:t>
      </w:r>
      <w:r w:rsidR="00F62B97" w:rsidRPr="00F62B97">
        <w:rPr>
          <w:sz w:val="16"/>
          <w:szCs w:val="16"/>
        </w:rPr>
        <w:t xml:space="preserve">Lindsay, Jean, ‘An Industrial Community – The Evans’ Cotton Mill at Darley Abbey Derbyshire, 1783-1810’, </w:t>
      </w:r>
      <w:r w:rsidR="00F62B97" w:rsidRPr="00D109CC">
        <w:rPr>
          <w:i/>
          <w:iCs/>
          <w:sz w:val="16"/>
          <w:szCs w:val="16"/>
        </w:rPr>
        <w:t>Business History Review</w:t>
      </w:r>
      <w:r w:rsidR="00F62B97" w:rsidRPr="00F62B97">
        <w:rPr>
          <w:sz w:val="16"/>
          <w:szCs w:val="16"/>
        </w:rPr>
        <w:t xml:space="preserve">, 34:3 (1960), pp. 277-301 (p.301). </w:t>
      </w:r>
    </w:p>
  </w:footnote>
  <w:footnote w:id="224">
    <w:p w14:paraId="253FC79F" w14:textId="71BDE636" w:rsidR="005A05DF" w:rsidRPr="00D109CC" w:rsidRDefault="005A05DF" w:rsidP="005A05DF">
      <w:pPr>
        <w:pStyle w:val="FootnoteText"/>
        <w:rPr>
          <w:sz w:val="16"/>
          <w:szCs w:val="16"/>
        </w:rPr>
      </w:pPr>
      <w:r w:rsidRPr="00D109CC">
        <w:rPr>
          <w:rStyle w:val="FootnoteReference"/>
          <w:sz w:val="16"/>
          <w:szCs w:val="16"/>
        </w:rPr>
        <w:footnoteRef/>
      </w:r>
      <w:r w:rsidRPr="00D109CC">
        <w:rPr>
          <w:sz w:val="16"/>
          <w:szCs w:val="16"/>
        </w:rPr>
        <w:t xml:space="preserve"> </w:t>
      </w:r>
      <w:r w:rsidR="00D109CC" w:rsidRPr="00D109CC">
        <w:rPr>
          <w:sz w:val="16"/>
          <w:szCs w:val="16"/>
        </w:rPr>
        <w:t xml:space="preserve">Margaret R. Hunt, </w:t>
      </w:r>
      <w:r w:rsidR="00D109CC" w:rsidRPr="00D109CC">
        <w:rPr>
          <w:i/>
          <w:iCs/>
          <w:sz w:val="16"/>
          <w:szCs w:val="16"/>
        </w:rPr>
        <w:t>The Middling Sort: Commerce, Gender and the Family in England, 1680-1780</w:t>
      </w:r>
      <w:r w:rsidR="00D109CC" w:rsidRPr="00D109CC">
        <w:rPr>
          <w:sz w:val="16"/>
          <w:szCs w:val="16"/>
        </w:rPr>
        <w:t xml:space="preserve"> (London: University of California Press, 1996), p.151.</w:t>
      </w:r>
    </w:p>
  </w:footnote>
  <w:footnote w:id="225">
    <w:p w14:paraId="3D254B68" w14:textId="07DA2172" w:rsidR="00D964BA" w:rsidRPr="00D109CC" w:rsidRDefault="00D964BA">
      <w:pPr>
        <w:pStyle w:val="FootnoteText"/>
        <w:rPr>
          <w:sz w:val="16"/>
          <w:szCs w:val="16"/>
        </w:rPr>
      </w:pPr>
      <w:r w:rsidRPr="00D109CC">
        <w:rPr>
          <w:rStyle w:val="FootnoteReference"/>
          <w:sz w:val="16"/>
          <w:szCs w:val="16"/>
        </w:rPr>
        <w:footnoteRef/>
      </w:r>
      <w:r w:rsidRPr="00D109CC">
        <w:rPr>
          <w:sz w:val="16"/>
          <w:szCs w:val="16"/>
        </w:rPr>
        <w:t xml:space="preserve"> </w:t>
      </w:r>
      <w:r w:rsidR="008356A1" w:rsidRPr="00D109CC">
        <w:rPr>
          <w:sz w:val="16"/>
          <w:szCs w:val="16"/>
        </w:rPr>
        <w:t xml:space="preserve">John Gillis, </w:t>
      </w:r>
      <w:r w:rsidR="008356A1" w:rsidRPr="00D109CC">
        <w:rPr>
          <w:i/>
          <w:iCs/>
          <w:sz w:val="16"/>
          <w:szCs w:val="16"/>
        </w:rPr>
        <w:t>For Better, For Worse: British Marriage</w:t>
      </w:r>
      <w:r w:rsidR="00BC5331" w:rsidRPr="00D109CC">
        <w:rPr>
          <w:i/>
          <w:iCs/>
          <w:sz w:val="16"/>
          <w:szCs w:val="16"/>
        </w:rPr>
        <w:t>, 1600 to the Present</w:t>
      </w:r>
      <w:r w:rsidR="00BC5331" w:rsidRPr="00D109CC">
        <w:rPr>
          <w:sz w:val="16"/>
          <w:szCs w:val="16"/>
        </w:rPr>
        <w:t xml:space="preserve"> (New York and Oxford: Oxford University Press, 1986) </w:t>
      </w:r>
    </w:p>
  </w:footnote>
  <w:footnote w:id="226">
    <w:p w14:paraId="1AD9E86B" w14:textId="2927EA27" w:rsidR="005A05DF" w:rsidRPr="00D109CC" w:rsidRDefault="005A05DF" w:rsidP="005A05DF">
      <w:pPr>
        <w:pStyle w:val="FootnoteText"/>
        <w:rPr>
          <w:sz w:val="16"/>
          <w:szCs w:val="16"/>
        </w:rPr>
      </w:pPr>
      <w:r w:rsidRPr="00D109CC">
        <w:rPr>
          <w:rStyle w:val="FootnoteReference"/>
          <w:sz w:val="16"/>
          <w:szCs w:val="16"/>
        </w:rPr>
        <w:footnoteRef/>
      </w:r>
      <w:r w:rsidRPr="00D109CC">
        <w:rPr>
          <w:sz w:val="16"/>
          <w:szCs w:val="16"/>
        </w:rPr>
        <w:t xml:space="preserve"> Gillian Cookson, ‘Family Firms and Business Networks: Textile Engineering in Yorkshire, 1780-1830</w:t>
      </w:r>
      <w:r w:rsidR="00D109CC" w:rsidRPr="00D109CC">
        <w:rPr>
          <w:sz w:val="16"/>
          <w:szCs w:val="16"/>
        </w:rPr>
        <w:t>’</w:t>
      </w:r>
      <w:r w:rsidRPr="00D109CC">
        <w:rPr>
          <w:sz w:val="16"/>
          <w:szCs w:val="16"/>
        </w:rPr>
        <w:t xml:space="preserve">, </w:t>
      </w:r>
      <w:r w:rsidRPr="00D109CC">
        <w:rPr>
          <w:i/>
          <w:iCs/>
          <w:sz w:val="16"/>
          <w:szCs w:val="16"/>
        </w:rPr>
        <w:t>Business History</w:t>
      </w:r>
      <w:r w:rsidRPr="00D109CC">
        <w:rPr>
          <w:sz w:val="16"/>
          <w:szCs w:val="16"/>
        </w:rPr>
        <w:t>, 39:1 (1997), pp. 1-2</w:t>
      </w:r>
      <w:r w:rsidR="00D109CC">
        <w:rPr>
          <w:sz w:val="16"/>
          <w:szCs w:val="16"/>
        </w:rPr>
        <w:t>0 (pp.1-2)</w:t>
      </w:r>
      <w:r w:rsidR="00453AB7" w:rsidRPr="00D109CC">
        <w:rPr>
          <w:sz w:val="16"/>
          <w:szCs w:val="16"/>
        </w:rPr>
        <w:t xml:space="preserve">. </w:t>
      </w:r>
    </w:p>
  </w:footnote>
  <w:footnote w:id="227">
    <w:p w14:paraId="34B6198D" w14:textId="77322757" w:rsidR="005A05DF" w:rsidRPr="00D109CC" w:rsidRDefault="005A05DF" w:rsidP="005A05DF">
      <w:pPr>
        <w:pStyle w:val="FootnoteText"/>
        <w:rPr>
          <w:sz w:val="16"/>
          <w:szCs w:val="16"/>
        </w:rPr>
      </w:pPr>
      <w:r w:rsidRPr="00D109CC">
        <w:rPr>
          <w:rStyle w:val="FootnoteReference"/>
          <w:sz w:val="16"/>
          <w:szCs w:val="16"/>
        </w:rPr>
        <w:footnoteRef/>
      </w:r>
      <w:r w:rsidRPr="00D109CC">
        <w:rPr>
          <w:sz w:val="16"/>
          <w:szCs w:val="16"/>
        </w:rPr>
        <w:t xml:space="preserve"> </w:t>
      </w:r>
      <w:r w:rsidRPr="00D109CC">
        <w:rPr>
          <w:sz w:val="16"/>
          <w:szCs w:val="16"/>
        </w:rPr>
        <w:t>S</w:t>
      </w:r>
      <w:r w:rsidR="00D109CC" w:rsidRPr="00D109CC">
        <w:rPr>
          <w:sz w:val="16"/>
          <w:szCs w:val="16"/>
        </w:rPr>
        <w:t>tana</w:t>
      </w:r>
      <w:r w:rsidRPr="00D109CC">
        <w:rPr>
          <w:sz w:val="16"/>
          <w:szCs w:val="16"/>
        </w:rPr>
        <w:t xml:space="preserve"> Nenadic, ‘The Small Family Firm in Victorian Britain,’ </w:t>
      </w:r>
      <w:r w:rsidRPr="00D109CC">
        <w:rPr>
          <w:i/>
          <w:iCs/>
          <w:sz w:val="16"/>
          <w:szCs w:val="16"/>
        </w:rPr>
        <w:t>Business History</w:t>
      </w:r>
      <w:r w:rsidRPr="00D109CC">
        <w:rPr>
          <w:sz w:val="16"/>
          <w:szCs w:val="16"/>
        </w:rPr>
        <w:t>, 35 (1993), p</w:t>
      </w:r>
      <w:r w:rsidR="00D109CC" w:rsidRPr="00D109CC">
        <w:rPr>
          <w:sz w:val="16"/>
          <w:szCs w:val="16"/>
        </w:rPr>
        <w:t>p 86-114 (p.</w:t>
      </w:r>
      <w:r w:rsidRPr="00D109CC">
        <w:rPr>
          <w:sz w:val="16"/>
          <w:szCs w:val="16"/>
        </w:rPr>
        <w:t xml:space="preserve"> 89</w:t>
      </w:r>
      <w:r w:rsidR="00D109CC" w:rsidRPr="00D109CC">
        <w:rPr>
          <w:sz w:val="16"/>
          <w:szCs w:val="16"/>
        </w:rPr>
        <w:t>)</w:t>
      </w:r>
      <w:r w:rsidR="00453AB7" w:rsidRPr="00D109CC">
        <w:rPr>
          <w:sz w:val="16"/>
          <w:szCs w:val="16"/>
        </w:rPr>
        <w:t>.</w:t>
      </w:r>
    </w:p>
  </w:footnote>
  <w:footnote w:id="228">
    <w:p w14:paraId="7C14A059" w14:textId="07AB247F" w:rsidR="00A52ECC" w:rsidRPr="00BC1D77" w:rsidRDefault="00A52ECC" w:rsidP="00A52ECC">
      <w:pPr>
        <w:pStyle w:val="FootnoteText"/>
        <w:rPr>
          <w:sz w:val="16"/>
          <w:szCs w:val="16"/>
        </w:rPr>
      </w:pPr>
      <w:r w:rsidRPr="00BC1D77">
        <w:rPr>
          <w:rStyle w:val="FootnoteReference"/>
          <w:sz w:val="16"/>
          <w:szCs w:val="16"/>
        </w:rPr>
        <w:footnoteRef/>
      </w:r>
      <w:r w:rsidRPr="00BC1D77">
        <w:rPr>
          <w:sz w:val="16"/>
          <w:szCs w:val="16"/>
        </w:rPr>
        <w:t>DLSL, BS 677 EVA, DL119 CB R1</w:t>
      </w:r>
      <w:r w:rsidR="00BC1D77" w:rsidRPr="00BC1D77">
        <w:rPr>
          <w:sz w:val="16"/>
          <w:szCs w:val="16"/>
        </w:rPr>
        <w:t xml:space="preserve"> [letters to Samuel Evans between 1806-1808]</w:t>
      </w:r>
      <w:r w:rsidRPr="00BC1D77">
        <w:rPr>
          <w:sz w:val="16"/>
          <w:szCs w:val="16"/>
        </w:rPr>
        <w:t xml:space="preserve"> and</w:t>
      </w:r>
      <w:r w:rsidR="00BC1D77" w:rsidRPr="00BC1D77">
        <w:rPr>
          <w:sz w:val="16"/>
          <w:szCs w:val="16"/>
        </w:rPr>
        <w:t xml:space="preserve"> JRL, GB 133 MCK/2/1/2-2/1/4 and JRL, GB 133 MCK/2/2/1-2/2/3</w:t>
      </w:r>
      <w:r w:rsidR="00BC1D77">
        <w:rPr>
          <w:sz w:val="16"/>
          <w:szCs w:val="16"/>
        </w:rPr>
        <w:t xml:space="preserve"> </w:t>
      </w:r>
      <w:r w:rsidR="00BC1D77" w:rsidRPr="00BC1D77">
        <w:rPr>
          <w:sz w:val="16"/>
          <w:szCs w:val="16"/>
        </w:rPr>
        <w:t xml:space="preserve">[Letters between McConnel &amp; Kennedy and Robert Kennedy of Glasgow].   </w:t>
      </w:r>
    </w:p>
  </w:footnote>
  <w:footnote w:id="229">
    <w:p w14:paraId="48FF1768" w14:textId="7E41B397" w:rsidR="005A05DF" w:rsidRPr="00D109CC" w:rsidRDefault="005A05DF" w:rsidP="005A05DF">
      <w:pPr>
        <w:pStyle w:val="FootnoteText"/>
        <w:rPr>
          <w:color w:val="FF0000"/>
          <w:sz w:val="16"/>
          <w:szCs w:val="16"/>
        </w:rPr>
      </w:pPr>
      <w:r w:rsidRPr="00D109CC">
        <w:rPr>
          <w:rStyle w:val="FootnoteReference"/>
          <w:sz w:val="16"/>
          <w:szCs w:val="16"/>
        </w:rPr>
        <w:footnoteRef/>
      </w:r>
      <w:r w:rsidRPr="00D109CC">
        <w:rPr>
          <w:sz w:val="16"/>
          <w:szCs w:val="16"/>
        </w:rPr>
        <w:t xml:space="preserve"> </w:t>
      </w:r>
      <w:r w:rsidR="00D109CC" w:rsidRPr="00D109CC">
        <w:rPr>
          <w:sz w:val="16"/>
          <w:szCs w:val="16"/>
        </w:rPr>
        <w:t>Leonore Davidoff, and Catherine Hall,</w:t>
      </w:r>
      <w:r w:rsidR="00D109CC">
        <w:rPr>
          <w:sz w:val="16"/>
          <w:szCs w:val="16"/>
        </w:rPr>
        <w:t xml:space="preserve"> </w:t>
      </w:r>
      <w:r w:rsidR="00D109CC" w:rsidRPr="00D109CC">
        <w:rPr>
          <w:i/>
          <w:iCs/>
          <w:sz w:val="16"/>
          <w:szCs w:val="16"/>
        </w:rPr>
        <w:t>Family Fortunes: Men and Women of the English Middle Class 1780-1850</w:t>
      </w:r>
      <w:r w:rsidR="00D109CC" w:rsidRPr="00D109CC">
        <w:rPr>
          <w:sz w:val="16"/>
          <w:szCs w:val="16"/>
        </w:rPr>
        <w:t xml:space="preserve"> (London: Routledge, 1987), pp. 251-257.  </w:t>
      </w:r>
    </w:p>
  </w:footnote>
  <w:footnote w:id="230">
    <w:p w14:paraId="7D31BACF" w14:textId="66F7E66E" w:rsidR="005A05DF" w:rsidRPr="00D109CC" w:rsidRDefault="005A05DF" w:rsidP="005A05DF">
      <w:pPr>
        <w:pStyle w:val="FootnoteText"/>
        <w:rPr>
          <w:sz w:val="16"/>
          <w:szCs w:val="16"/>
        </w:rPr>
      </w:pPr>
      <w:r w:rsidRPr="00D109CC">
        <w:rPr>
          <w:rStyle w:val="FootnoteReference"/>
          <w:sz w:val="16"/>
          <w:szCs w:val="16"/>
        </w:rPr>
        <w:footnoteRef/>
      </w:r>
      <w:r w:rsidRPr="00D109CC">
        <w:rPr>
          <w:sz w:val="16"/>
          <w:szCs w:val="16"/>
        </w:rPr>
        <w:t xml:space="preserve"> Katie </w:t>
      </w:r>
      <w:r w:rsidRPr="00D109CC">
        <w:rPr>
          <w:sz w:val="16"/>
          <w:szCs w:val="16"/>
        </w:rPr>
        <w:t xml:space="preserve">Donington, </w:t>
      </w:r>
      <w:r w:rsidRPr="00D109CC">
        <w:rPr>
          <w:i/>
          <w:iCs/>
          <w:sz w:val="16"/>
          <w:szCs w:val="16"/>
        </w:rPr>
        <w:t>Bonds of Family: Slavery, Commerce and Culture in the British Atlantic World</w:t>
      </w:r>
      <w:r w:rsidRPr="00D109CC">
        <w:rPr>
          <w:sz w:val="16"/>
          <w:szCs w:val="16"/>
        </w:rPr>
        <w:t>, (Manchester University Press, 2020), p. 4</w:t>
      </w:r>
      <w:r w:rsidR="00220556" w:rsidRPr="00D109CC">
        <w:rPr>
          <w:sz w:val="16"/>
          <w:szCs w:val="16"/>
        </w:rPr>
        <w:t>.</w:t>
      </w:r>
    </w:p>
  </w:footnote>
  <w:footnote w:id="231">
    <w:p w14:paraId="53503042" w14:textId="4D49F281" w:rsidR="008E4E8F" w:rsidRPr="00D109CC" w:rsidRDefault="008E4E8F">
      <w:pPr>
        <w:pStyle w:val="FootnoteText"/>
        <w:rPr>
          <w:sz w:val="16"/>
          <w:szCs w:val="16"/>
        </w:rPr>
      </w:pPr>
      <w:r w:rsidRPr="00D109CC">
        <w:rPr>
          <w:rStyle w:val="FootnoteReference"/>
          <w:sz w:val="16"/>
          <w:szCs w:val="16"/>
        </w:rPr>
        <w:footnoteRef/>
      </w:r>
      <w:r w:rsidRPr="00D109CC">
        <w:rPr>
          <w:sz w:val="16"/>
          <w:szCs w:val="16"/>
        </w:rPr>
        <w:t xml:space="preserve"> </w:t>
      </w:r>
      <w:r w:rsidR="00E74F6E" w:rsidRPr="00D109CC">
        <w:rPr>
          <w:sz w:val="16"/>
          <w:szCs w:val="16"/>
        </w:rPr>
        <w:t xml:space="preserve">D. M. Smith, ‘The </w:t>
      </w:r>
      <w:r w:rsidR="00AE4754">
        <w:rPr>
          <w:sz w:val="16"/>
          <w:szCs w:val="16"/>
        </w:rPr>
        <w:t>C</w:t>
      </w:r>
      <w:r w:rsidR="00E74F6E" w:rsidRPr="00D109CC">
        <w:rPr>
          <w:sz w:val="16"/>
          <w:szCs w:val="16"/>
        </w:rPr>
        <w:t xml:space="preserve">otton </w:t>
      </w:r>
      <w:r w:rsidR="00AE4754">
        <w:rPr>
          <w:sz w:val="16"/>
          <w:szCs w:val="16"/>
        </w:rPr>
        <w:t>I</w:t>
      </w:r>
      <w:r w:rsidR="00E74F6E" w:rsidRPr="00D109CC">
        <w:rPr>
          <w:sz w:val="16"/>
          <w:szCs w:val="16"/>
        </w:rPr>
        <w:t xml:space="preserve">ndustry in the East Midlands,’ </w:t>
      </w:r>
      <w:r w:rsidR="00E74F6E" w:rsidRPr="00D109CC">
        <w:rPr>
          <w:i/>
          <w:iCs/>
          <w:sz w:val="16"/>
          <w:szCs w:val="16"/>
        </w:rPr>
        <w:t>Geography</w:t>
      </w:r>
      <w:r w:rsidR="00E74F6E" w:rsidRPr="00D109CC">
        <w:rPr>
          <w:sz w:val="16"/>
          <w:szCs w:val="16"/>
        </w:rPr>
        <w:t>, 47.3 (1962)</w:t>
      </w:r>
      <w:r w:rsidR="00496E3F" w:rsidRPr="00D109CC">
        <w:rPr>
          <w:sz w:val="16"/>
          <w:szCs w:val="16"/>
        </w:rPr>
        <w:t xml:space="preserve">, pp. </w:t>
      </w:r>
      <w:r w:rsidR="00E74F6E" w:rsidRPr="00D109CC">
        <w:rPr>
          <w:sz w:val="16"/>
          <w:szCs w:val="16"/>
        </w:rPr>
        <w:t>256-269.</w:t>
      </w:r>
    </w:p>
  </w:footnote>
  <w:footnote w:id="232">
    <w:p w14:paraId="43F72236" w14:textId="7FBA65F1" w:rsidR="008E4E8F" w:rsidRPr="00D109CC" w:rsidRDefault="008E4E8F">
      <w:pPr>
        <w:pStyle w:val="FootnoteText"/>
        <w:rPr>
          <w:sz w:val="16"/>
          <w:szCs w:val="16"/>
        </w:rPr>
      </w:pPr>
      <w:r w:rsidRPr="00D109CC">
        <w:rPr>
          <w:rStyle w:val="FootnoteReference"/>
          <w:sz w:val="16"/>
          <w:szCs w:val="16"/>
        </w:rPr>
        <w:footnoteRef/>
      </w:r>
      <w:r w:rsidRPr="00D109CC">
        <w:rPr>
          <w:sz w:val="16"/>
          <w:szCs w:val="16"/>
        </w:rPr>
        <w:t xml:space="preserve"> </w:t>
      </w:r>
      <w:r w:rsidR="00271EDB" w:rsidRPr="00D109CC">
        <w:rPr>
          <w:sz w:val="16"/>
          <w:szCs w:val="16"/>
        </w:rPr>
        <w:t>DLSL</w:t>
      </w:r>
      <w:r w:rsidR="00D109CC" w:rsidRPr="00D109CC">
        <w:rPr>
          <w:sz w:val="16"/>
          <w:szCs w:val="16"/>
        </w:rPr>
        <w:t>,</w:t>
      </w:r>
      <w:r w:rsidR="00C767C5" w:rsidRPr="00D109CC">
        <w:rPr>
          <w:sz w:val="16"/>
          <w:szCs w:val="16"/>
        </w:rPr>
        <w:t xml:space="preserve"> BS</w:t>
      </w:r>
      <w:r w:rsidR="007E3865">
        <w:rPr>
          <w:sz w:val="16"/>
          <w:szCs w:val="16"/>
        </w:rPr>
        <w:t xml:space="preserve"> </w:t>
      </w:r>
      <w:r w:rsidR="00C767C5" w:rsidRPr="00D109CC">
        <w:rPr>
          <w:sz w:val="16"/>
          <w:szCs w:val="16"/>
        </w:rPr>
        <w:t>677 EVA, DL119 CB R1</w:t>
      </w:r>
      <w:r w:rsidR="00BA0F9F">
        <w:rPr>
          <w:sz w:val="16"/>
          <w:szCs w:val="16"/>
        </w:rPr>
        <w:t xml:space="preserve"> [See letters to Samuel Evans between 1806-1808]</w:t>
      </w:r>
      <w:r w:rsidR="000A5DAA">
        <w:rPr>
          <w:sz w:val="16"/>
          <w:szCs w:val="16"/>
        </w:rPr>
        <w:t>.</w:t>
      </w:r>
      <w:r w:rsidR="00BA0F9F">
        <w:rPr>
          <w:sz w:val="16"/>
          <w:szCs w:val="16"/>
        </w:rPr>
        <w:t xml:space="preserve"> </w:t>
      </w:r>
    </w:p>
  </w:footnote>
  <w:footnote w:id="233">
    <w:p w14:paraId="084A1A11" w14:textId="4C8C6A53" w:rsidR="00D342A4" w:rsidRPr="00D109CC" w:rsidRDefault="00D342A4">
      <w:pPr>
        <w:pStyle w:val="FootnoteText"/>
        <w:rPr>
          <w:sz w:val="16"/>
          <w:szCs w:val="16"/>
        </w:rPr>
      </w:pPr>
      <w:r w:rsidRPr="00D109CC">
        <w:rPr>
          <w:rStyle w:val="FootnoteReference"/>
          <w:sz w:val="16"/>
          <w:szCs w:val="16"/>
        </w:rPr>
        <w:footnoteRef/>
      </w:r>
      <w:r w:rsidRPr="00D109CC">
        <w:rPr>
          <w:sz w:val="16"/>
          <w:szCs w:val="16"/>
        </w:rPr>
        <w:t xml:space="preserve"> </w:t>
      </w:r>
      <w:bookmarkStart w:id="78" w:name="_Hlk156662314"/>
      <w:r w:rsidR="00185BD0" w:rsidRPr="00185BD0">
        <w:rPr>
          <w:sz w:val="16"/>
          <w:szCs w:val="16"/>
        </w:rPr>
        <w:t>Ancestry Ireland Unlimited Company</w:t>
      </w:r>
      <w:bookmarkEnd w:id="78"/>
      <w:r w:rsidR="00185BD0">
        <w:rPr>
          <w:sz w:val="16"/>
          <w:szCs w:val="16"/>
        </w:rPr>
        <w:t>,</w:t>
      </w:r>
      <w:r w:rsidR="00185BD0" w:rsidRPr="00185BD0">
        <w:rPr>
          <w:sz w:val="16"/>
          <w:szCs w:val="16"/>
        </w:rPr>
        <w:t xml:space="preserve"> </w:t>
      </w:r>
      <w:r w:rsidR="000D7958" w:rsidRPr="00185BD0">
        <w:rPr>
          <w:i/>
          <w:iCs/>
          <w:sz w:val="16"/>
          <w:szCs w:val="16"/>
        </w:rPr>
        <w:t>Wills and Probate of James McConnel - Cheshire and Lancashire: - Wills and Administrations, 1831-1833</w:t>
      </w:r>
      <w:r w:rsidR="00B535EF" w:rsidRPr="00185BD0">
        <w:rPr>
          <w:i/>
          <w:iCs/>
          <w:sz w:val="16"/>
          <w:szCs w:val="16"/>
        </w:rPr>
        <w:t xml:space="preserve"> - The National Archives; Kew, Surrey, England; Records of the Prerogative Court of Canterbury, Series PROB 11; Class: PROB 11; Piece: 1805</w:t>
      </w:r>
      <w:r w:rsidR="00185BD0">
        <w:rPr>
          <w:i/>
          <w:iCs/>
          <w:sz w:val="16"/>
          <w:szCs w:val="16"/>
        </w:rPr>
        <w:t>,</w:t>
      </w:r>
      <w:r w:rsidR="00185BD0" w:rsidRPr="00185BD0">
        <w:t xml:space="preserve"> </w:t>
      </w:r>
      <w:r w:rsidR="00185BD0" w:rsidRPr="00185BD0">
        <w:rPr>
          <w:sz w:val="16"/>
          <w:szCs w:val="16"/>
        </w:rPr>
        <w:t>Ancestry Ireland Unlimited Company</w:t>
      </w:r>
      <w:r w:rsidR="00185BD0">
        <w:rPr>
          <w:sz w:val="16"/>
          <w:szCs w:val="16"/>
        </w:rPr>
        <w:t>, 2002-2024</w:t>
      </w:r>
      <w:r w:rsidR="00185BD0" w:rsidRPr="00185BD0">
        <w:rPr>
          <w:sz w:val="16"/>
          <w:szCs w:val="16"/>
        </w:rPr>
        <w:t xml:space="preserve"> </w:t>
      </w:r>
      <w:hyperlink r:id="rId12" w:history="1">
        <w:r w:rsidR="00185BD0" w:rsidRPr="00D109CC">
          <w:rPr>
            <w:rStyle w:val="Hyperlink"/>
            <w:sz w:val="16"/>
            <w:szCs w:val="16"/>
          </w:rPr>
          <w:t>https://www.ancestry.co.uk/</w:t>
        </w:r>
      </w:hyperlink>
      <w:r w:rsidR="00185BD0" w:rsidRPr="00D109CC">
        <w:rPr>
          <w:sz w:val="16"/>
          <w:szCs w:val="16"/>
        </w:rPr>
        <w:t xml:space="preserve"> </w:t>
      </w:r>
      <w:r w:rsidR="00D109CC" w:rsidRPr="00D109CC">
        <w:rPr>
          <w:sz w:val="16"/>
          <w:szCs w:val="16"/>
        </w:rPr>
        <w:t>[last accessed 12 January 2024</w:t>
      </w:r>
      <w:r w:rsidR="00185BD0">
        <w:rPr>
          <w:sz w:val="16"/>
          <w:szCs w:val="16"/>
        </w:rPr>
        <w:t>].</w:t>
      </w:r>
      <w:r w:rsidR="00D109CC" w:rsidRPr="00D109CC">
        <w:rPr>
          <w:sz w:val="16"/>
          <w:szCs w:val="16"/>
        </w:rPr>
        <w:t xml:space="preserve"> </w:t>
      </w:r>
    </w:p>
  </w:footnote>
  <w:footnote w:id="234">
    <w:p w14:paraId="0FF0C979" w14:textId="73BC88B0" w:rsidR="00783287" w:rsidRPr="00D109CC" w:rsidRDefault="00783287">
      <w:pPr>
        <w:pStyle w:val="FootnoteText"/>
        <w:rPr>
          <w:sz w:val="16"/>
          <w:szCs w:val="16"/>
        </w:rPr>
      </w:pPr>
      <w:r w:rsidRPr="00D109CC">
        <w:rPr>
          <w:rStyle w:val="FootnoteReference"/>
          <w:sz w:val="16"/>
          <w:szCs w:val="16"/>
        </w:rPr>
        <w:footnoteRef/>
      </w:r>
      <w:r w:rsidRPr="00D109CC">
        <w:rPr>
          <w:sz w:val="16"/>
          <w:szCs w:val="16"/>
        </w:rPr>
        <w:t xml:space="preserve"> </w:t>
      </w:r>
      <w:r w:rsidR="00185BD0" w:rsidRPr="00185BD0">
        <w:rPr>
          <w:sz w:val="16"/>
          <w:szCs w:val="16"/>
        </w:rPr>
        <w:t>Ancestry Ireland Unlimited Company</w:t>
      </w:r>
      <w:r w:rsidR="00185BD0">
        <w:rPr>
          <w:sz w:val="16"/>
          <w:szCs w:val="16"/>
        </w:rPr>
        <w:t>,</w:t>
      </w:r>
      <w:r w:rsidR="00185BD0" w:rsidRPr="00185BD0">
        <w:rPr>
          <w:sz w:val="16"/>
          <w:szCs w:val="16"/>
        </w:rPr>
        <w:t xml:space="preserve"> </w:t>
      </w:r>
      <w:r w:rsidR="002D4B0A" w:rsidRPr="00185BD0">
        <w:rPr>
          <w:i/>
          <w:iCs/>
          <w:sz w:val="16"/>
          <w:szCs w:val="16"/>
        </w:rPr>
        <w:t>Will of Thomas Evans</w:t>
      </w:r>
      <w:r w:rsidR="007D4EC8" w:rsidRPr="00185BD0">
        <w:rPr>
          <w:i/>
          <w:iCs/>
          <w:sz w:val="16"/>
          <w:szCs w:val="16"/>
        </w:rPr>
        <w:t xml:space="preserve"> - </w:t>
      </w:r>
      <w:r w:rsidR="00FE11E6" w:rsidRPr="00185BD0">
        <w:rPr>
          <w:i/>
          <w:iCs/>
          <w:sz w:val="16"/>
          <w:szCs w:val="16"/>
        </w:rPr>
        <w:t xml:space="preserve">England &amp; Wales, Prerogative Court of Canterbury Wills, 1384-1858 - </w:t>
      </w:r>
      <w:r w:rsidR="007D4EC8" w:rsidRPr="00185BD0">
        <w:rPr>
          <w:i/>
          <w:iCs/>
          <w:sz w:val="16"/>
          <w:szCs w:val="16"/>
        </w:rPr>
        <w:t>The National Archives; Kew, England; Prerogative Court of Canterbury and Related Probate Jurisdictions: Will Registers; Class: PROB 11; Piece: 1553</w:t>
      </w:r>
      <w:r w:rsidR="00185BD0">
        <w:rPr>
          <w:i/>
          <w:iCs/>
          <w:sz w:val="16"/>
          <w:szCs w:val="16"/>
        </w:rPr>
        <w:t xml:space="preserve">, </w:t>
      </w:r>
      <w:r w:rsidR="00185BD0" w:rsidRPr="00185BD0">
        <w:rPr>
          <w:sz w:val="16"/>
          <w:szCs w:val="16"/>
        </w:rPr>
        <w:t>Ancestry Ireland Unlimited Company</w:t>
      </w:r>
      <w:r w:rsidR="00185BD0">
        <w:rPr>
          <w:sz w:val="16"/>
          <w:szCs w:val="16"/>
        </w:rPr>
        <w:t>, 2002-2024</w:t>
      </w:r>
      <w:r w:rsidR="002F419A">
        <w:rPr>
          <w:sz w:val="16"/>
          <w:szCs w:val="16"/>
        </w:rPr>
        <w:t xml:space="preserve"> </w:t>
      </w:r>
      <w:hyperlink r:id="rId13" w:history="1">
        <w:r w:rsidR="002F419A" w:rsidRPr="00C47018">
          <w:rPr>
            <w:rStyle w:val="Hyperlink"/>
            <w:sz w:val="16"/>
            <w:szCs w:val="16"/>
          </w:rPr>
          <w:t>https://www.ancestry.co.uk/</w:t>
        </w:r>
      </w:hyperlink>
      <w:r w:rsidR="002F419A">
        <w:rPr>
          <w:sz w:val="16"/>
          <w:szCs w:val="16"/>
        </w:rPr>
        <w:t xml:space="preserve"> </w:t>
      </w:r>
      <w:r w:rsidR="00D109CC" w:rsidRPr="00D109CC">
        <w:rPr>
          <w:sz w:val="16"/>
          <w:szCs w:val="16"/>
        </w:rPr>
        <w:t>[last accessed 12 January 2024]</w:t>
      </w:r>
      <w:r w:rsidR="000A5DAA">
        <w:rPr>
          <w:sz w:val="16"/>
          <w:szCs w:val="16"/>
        </w:rPr>
        <w:t>.</w:t>
      </w:r>
      <w:r w:rsidR="00D109CC" w:rsidRPr="00D109CC">
        <w:rPr>
          <w:sz w:val="16"/>
          <w:szCs w:val="16"/>
        </w:rPr>
        <w:t xml:space="preserve">  </w:t>
      </w:r>
    </w:p>
  </w:footnote>
  <w:footnote w:id="235">
    <w:p w14:paraId="6F1704C3" w14:textId="2015BB4C" w:rsidR="00783287" w:rsidRDefault="00783287">
      <w:pPr>
        <w:pStyle w:val="FootnoteText"/>
      </w:pPr>
      <w:r w:rsidRPr="00D109CC">
        <w:rPr>
          <w:rStyle w:val="FootnoteReference"/>
          <w:sz w:val="16"/>
          <w:szCs w:val="16"/>
        </w:rPr>
        <w:footnoteRef/>
      </w:r>
      <w:r w:rsidRPr="00D109CC">
        <w:rPr>
          <w:sz w:val="16"/>
          <w:szCs w:val="16"/>
        </w:rPr>
        <w:t xml:space="preserve"> </w:t>
      </w:r>
      <w:r w:rsidR="002F419A" w:rsidRPr="002F419A">
        <w:rPr>
          <w:sz w:val="16"/>
          <w:szCs w:val="16"/>
        </w:rPr>
        <w:t>Ancestry Ireland Unlimited Company</w:t>
      </w:r>
      <w:r w:rsidR="002F419A">
        <w:rPr>
          <w:sz w:val="16"/>
          <w:szCs w:val="16"/>
        </w:rPr>
        <w:t>,</w:t>
      </w:r>
      <w:r w:rsidR="002F419A" w:rsidRPr="002F419A">
        <w:rPr>
          <w:sz w:val="16"/>
          <w:szCs w:val="16"/>
        </w:rPr>
        <w:t xml:space="preserve"> </w:t>
      </w:r>
      <w:r w:rsidR="00C767C5" w:rsidRPr="002F419A">
        <w:rPr>
          <w:i/>
          <w:iCs/>
          <w:sz w:val="16"/>
          <w:szCs w:val="16"/>
        </w:rPr>
        <w:t xml:space="preserve">Will of Walter Evans </w:t>
      </w:r>
      <w:r w:rsidR="00610F2F" w:rsidRPr="002F419A">
        <w:rPr>
          <w:i/>
          <w:iCs/>
          <w:sz w:val="16"/>
          <w:szCs w:val="16"/>
        </w:rPr>
        <w:t xml:space="preserve">- </w:t>
      </w:r>
      <w:r w:rsidR="00C07DC0" w:rsidRPr="002F419A">
        <w:rPr>
          <w:i/>
          <w:iCs/>
          <w:sz w:val="16"/>
          <w:szCs w:val="16"/>
        </w:rPr>
        <w:t xml:space="preserve">England &amp; Wales, Prerogative Court of Canterbury Wills, 1384-1858 - </w:t>
      </w:r>
      <w:r w:rsidR="00610F2F" w:rsidRPr="002F419A">
        <w:rPr>
          <w:i/>
          <w:iCs/>
          <w:sz w:val="16"/>
          <w:szCs w:val="16"/>
        </w:rPr>
        <w:t>The National Archives; Kew, Surrey, England; Records of the Prerogative Court of Canterbury, Series PROB 11; Class: PROB 11; Piece: 1917</w:t>
      </w:r>
      <w:r w:rsidR="002F419A">
        <w:rPr>
          <w:i/>
          <w:iCs/>
          <w:sz w:val="16"/>
          <w:szCs w:val="16"/>
        </w:rPr>
        <w:t>,</w:t>
      </w:r>
      <w:r w:rsidR="002F419A" w:rsidRPr="002F419A">
        <w:t xml:space="preserve"> </w:t>
      </w:r>
      <w:r w:rsidR="002F419A" w:rsidRPr="002F419A">
        <w:rPr>
          <w:sz w:val="16"/>
          <w:szCs w:val="16"/>
        </w:rPr>
        <w:t>Ancestry Ireland Unlimited Company</w:t>
      </w:r>
      <w:r w:rsidR="002F419A">
        <w:rPr>
          <w:sz w:val="16"/>
          <w:szCs w:val="16"/>
        </w:rPr>
        <w:t xml:space="preserve">, 2002-2024 </w:t>
      </w:r>
      <w:bookmarkStart w:id="79" w:name="_Hlk156662385"/>
      <w:r w:rsidR="002F419A">
        <w:rPr>
          <w:sz w:val="16"/>
          <w:szCs w:val="16"/>
        </w:rPr>
        <w:fldChar w:fldCharType="begin"/>
      </w:r>
      <w:r w:rsidR="002F419A">
        <w:rPr>
          <w:sz w:val="16"/>
          <w:szCs w:val="16"/>
        </w:rPr>
        <w:instrText>HYPERLINK "</w:instrText>
      </w:r>
      <w:r w:rsidR="002F419A" w:rsidRPr="002F419A">
        <w:rPr>
          <w:sz w:val="16"/>
          <w:szCs w:val="16"/>
        </w:rPr>
        <w:instrText>https://www.ancestry.co.uk/</w:instrText>
      </w:r>
      <w:r w:rsidR="002F419A">
        <w:rPr>
          <w:sz w:val="16"/>
          <w:szCs w:val="16"/>
        </w:rPr>
        <w:instrText>"</w:instrText>
      </w:r>
      <w:r w:rsidR="002F419A">
        <w:rPr>
          <w:sz w:val="16"/>
          <w:szCs w:val="16"/>
        </w:rPr>
      </w:r>
      <w:r w:rsidR="002F419A">
        <w:rPr>
          <w:sz w:val="16"/>
          <w:szCs w:val="16"/>
        </w:rPr>
        <w:fldChar w:fldCharType="separate"/>
      </w:r>
      <w:r w:rsidR="002F419A" w:rsidRPr="00C47018">
        <w:rPr>
          <w:rStyle w:val="Hyperlink"/>
          <w:sz w:val="16"/>
          <w:szCs w:val="16"/>
        </w:rPr>
        <w:t>https://www.ancestry.co.uk/</w:t>
      </w:r>
      <w:r w:rsidR="002F419A">
        <w:rPr>
          <w:sz w:val="16"/>
          <w:szCs w:val="16"/>
        </w:rPr>
        <w:fldChar w:fldCharType="end"/>
      </w:r>
      <w:bookmarkEnd w:id="79"/>
      <w:r w:rsidR="00D109CC" w:rsidRPr="00D109CC">
        <w:rPr>
          <w:sz w:val="16"/>
          <w:szCs w:val="16"/>
        </w:rPr>
        <w:t xml:space="preserve"> [last accessed 12 January 2024]</w:t>
      </w:r>
      <w:r w:rsidR="000A5DAA">
        <w:rPr>
          <w:sz w:val="16"/>
          <w:szCs w:val="16"/>
        </w:rPr>
        <w:t>.</w:t>
      </w:r>
      <w:r w:rsidR="00D109CC" w:rsidRPr="00D109CC">
        <w:rPr>
          <w:sz w:val="16"/>
          <w:szCs w:val="16"/>
        </w:rPr>
        <w:t xml:space="preserve">   </w:t>
      </w:r>
    </w:p>
  </w:footnote>
  <w:footnote w:id="236">
    <w:p w14:paraId="688267B4" w14:textId="653EA965" w:rsidR="009415D2" w:rsidRPr="00D109CC" w:rsidRDefault="009415D2">
      <w:pPr>
        <w:pStyle w:val="FootnoteText"/>
        <w:rPr>
          <w:sz w:val="16"/>
          <w:szCs w:val="16"/>
        </w:rPr>
      </w:pPr>
      <w:r w:rsidRPr="00D109CC">
        <w:rPr>
          <w:rStyle w:val="FootnoteReference"/>
          <w:sz w:val="16"/>
          <w:szCs w:val="16"/>
        </w:rPr>
        <w:footnoteRef/>
      </w:r>
      <w:r w:rsidRPr="00D109CC">
        <w:rPr>
          <w:sz w:val="16"/>
          <w:szCs w:val="16"/>
        </w:rPr>
        <w:t xml:space="preserve"> </w:t>
      </w:r>
      <w:r w:rsidR="00915CA0" w:rsidRPr="00D109CC">
        <w:rPr>
          <w:sz w:val="16"/>
          <w:szCs w:val="16"/>
        </w:rPr>
        <w:t xml:space="preserve">William J. Goode, ‘The Role of the Family in Industrialization,’ </w:t>
      </w:r>
      <w:r w:rsidR="00915CA0" w:rsidRPr="00D109CC">
        <w:rPr>
          <w:i/>
          <w:iCs/>
          <w:sz w:val="16"/>
          <w:szCs w:val="16"/>
        </w:rPr>
        <w:t>Science, Technology, and Development</w:t>
      </w:r>
      <w:r w:rsidR="00915CA0" w:rsidRPr="00D109CC">
        <w:rPr>
          <w:sz w:val="16"/>
          <w:szCs w:val="16"/>
        </w:rPr>
        <w:t>, 7 (1962) p. 32.</w:t>
      </w:r>
    </w:p>
  </w:footnote>
  <w:footnote w:id="237">
    <w:p w14:paraId="01C549DB" w14:textId="0A2A0E18" w:rsidR="00017341" w:rsidRPr="009705DF" w:rsidRDefault="00017341">
      <w:pPr>
        <w:pStyle w:val="FootnoteText"/>
        <w:rPr>
          <w:sz w:val="16"/>
          <w:szCs w:val="16"/>
        </w:rPr>
      </w:pPr>
      <w:r w:rsidRPr="009705DF">
        <w:rPr>
          <w:rStyle w:val="FootnoteReference"/>
          <w:sz w:val="16"/>
          <w:szCs w:val="16"/>
        </w:rPr>
        <w:footnoteRef/>
      </w:r>
      <w:r w:rsidRPr="009705DF">
        <w:rPr>
          <w:sz w:val="16"/>
          <w:szCs w:val="16"/>
        </w:rPr>
        <w:t xml:space="preserve"> </w:t>
      </w:r>
      <w:r w:rsidR="009705DF" w:rsidRPr="009705DF">
        <w:rPr>
          <w:sz w:val="16"/>
          <w:szCs w:val="16"/>
        </w:rPr>
        <w:t xml:space="preserve">David Sunderland, </w:t>
      </w:r>
      <w:r w:rsidR="009705DF" w:rsidRPr="009705DF">
        <w:rPr>
          <w:i/>
          <w:iCs/>
          <w:sz w:val="16"/>
          <w:szCs w:val="16"/>
        </w:rPr>
        <w:t>Social Capital, Trust and the Industrial Revolution, 1780-1880</w:t>
      </w:r>
      <w:r w:rsidR="009705DF" w:rsidRPr="009705DF">
        <w:rPr>
          <w:sz w:val="16"/>
          <w:szCs w:val="16"/>
        </w:rPr>
        <w:t xml:space="preserve"> (London: Routledge, 2007)</w:t>
      </w:r>
      <w:r w:rsidR="00481B97" w:rsidRPr="009705DF">
        <w:rPr>
          <w:sz w:val="16"/>
          <w:szCs w:val="16"/>
        </w:rPr>
        <w:t>, p.</w:t>
      </w:r>
      <w:r w:rsidR="006201E9" w:rsidRPr="009705DF">
        <w:rPr>
          <w:sz w:val="16"/>
          <w:szCs w:val="16"/>
        </w:rPr>
        <w:t xml:space="preserve"> 32.</w:t>
      </w:r>
      <w:r w:rsidR="00481B97" w:rsidRPr="009705DF">
        <w:rPr>
          <w:sz w:val="16"/>
          <w:szCs w:val="16"/>
        </w:rPr>
        <w:t xml:space="preserve"> </w:t>
      </w:r>
    </w:p>
  </w:footnote>
  <w:footnote w:id="238">
    <w:p w14:paraId="52D09067" w14:textId="25060D7F" w:rsidR="00017341" w:rsidRPr="009705DF" w:rsidRDefault="00017341">
      <w:pPr>
        <w:pStyle w:val="FootnoteText"/>
        <w:rPr>
          <w:sz w:val="16"/>
          <w:szCs w:val="16"/>
        </w:rPr>
      </w:pPr>
      <w:r w:rsidRPr="009705DF">
        <w:rPr>
          <w:rStyle w:val="FootnoteReference"/>
          <w:sz w:val="16"/>
          <w:szCs w:val="16"/>
        </w:rPr>
        <w:footnoteRef/>
      </w:r>
      <w:r w:rsidRPr="009705DF">
        <w:rPr>
          <w:sz w:val="16"/>
          <w:szCs w:val="16"/>
        </w:rPr>
        <w:t xml:space="preserve"> </w:t>
      </w:r>
      <w:r w:rsidR="006D7C40" w:rsidRPr="009705DF">
        <w:rPr>
          <w:sz w:val="16"/>
          <w:szCs w:val="16"/>
        </w:rPr>
        <w:t xml:space="preserve">Naomi Tadmor, ‘The concept of the household-family in eighteenth-century England,’ </w:t>
      </w:r>
      <w:r w:rsidR="006D7C40" w:rsidRPr="009705DF">
        <w:rPr>
          <w:i/>
          <w:iCs/>
          <w:sz w:val="16"/>
          <w:szCs w:val="16"/>
        </w:rPr>
        <w:t>Past &amp; Present,</w:t>
      </w:r>
      <w:r w:rsidR="006D7C40" w:rsidRPr="009705DF">
        <w:rPr>
          <w:sz w:val="16"/>
          <w:szCs w:val="16"/>
        </w:rPr>
        <w:t xml:space="preserve"> 151:1 (1996)</w:t>
      </w:r>
      <w:r w:rsidR="007918AF" w:rsidRPr="009705DF">
        <w:rPr>
          <w:sz w:val="16"/>
          <w:szCs w:val="16"/>
        </w:rPr>
        <w:t xml:space="preserve">, pp. </w:t>
      </w:r>
      <w:r w:rsidR="006D7C40" w:rsidRPr="009705DF">
        <w:rPr>
          <w:sz w:val="16"/>
          <w:szCs w:val="16"/>
        </w:rPr>
        <w:t>111-140.</w:t>
      </w:r>
    </w:p>
  </w:footnote>
  <w:footnote w:id="239">
    <w:p w14:paraId="77D882B8" w14:textId="4B3BB540"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Davidoff and Hall</w:t>
      </w:r>
      <w:r w:rsidR="00481B97" w:rsidRPr="009705DF">
        <w:rPr>
          <w:sz w:val="16"/>
          <w:szCs w:val="16"/>
        </w:rPr>
        <w:t xml:space="preserve">, </w:t>
      </w:r>
      <w:r w:rsidR="00481B97" w:rsidRPr="009705DF">
        <w:rPr>
          <w:i/>
          <w:iCs/>
          <w:sz w:val="16"/>
          <w:szCs w:val="16"/>
        </w:rPr>
        <w:t>Family Fortunes</w:t>
      </w:r>
      <w:r w:rsidR="00481B97" w:rsidRPr="009705DF">
        <w:rPr>
          <w:sz w:val="16"/>
          <w:szCs w:val="16"/>
        </w:rPr>
        <w:t>, p</w:t>
      </w:r>
      <w:r w:rsidR="009705DF" w:rsidRPr="009705DF">
        <w:rPr>
          <w:sz w:val="16"/>
          <w:szCs w:val="16"/>
        </w:rPr>
        <w:t>p</w:t>
      </w:r>
      <w:r w:rsidR="00481B97" w:rsidRPr="009705DF">
        <w:rPr>
          <w:sz w:val="16"/>
          <w:szCs w:val="16"/>
        </w:rPr>
        <w:t>.</w:t>
      </w:r>
      <w:r w:rsidR="006201E9" w:rsidRPr="009705DF">
        <w:rPr>
          <w:sz w:val="16"/>
          <w:szCs w:val="16"/>
        </w:rPr>
        <w:t xml:space="preserve"> 251-257. </w:t>
      </w:r>
      <w:r w:rsidR="00481B97" w:rsidRPr="009705DF">
        <w:rPr>
          <w:sz w:val="16"/>
          <w:szCs w:val="16"/>
        </w:rPr>
        <w:t xml:space="preserve"> </w:t>
      </w:r>
    </w:p>
  </w:footnote>
  <w:footnote w:id="240">
    <w:p w14:paraId="481BBFDC" w14:textId="4C3A46E2" w:rsidR="005A05DF" w:rsidRPr="00FF3199" w:rsidRDefault="005A05DF" w:rsidP="005A05DF">
      <w:pPr>
        <w:pStyle w:val="FootnoteText"/>
        <w:rPr>
          <w:sz w:val="18"/>
          <w:szCs w:val="18"/>
        </w:rPr>
      </w:pPr>
      <w:r w:rsidRPr="009705DF">
        <w:rPr>
          <w:rStyle w:val="FootnoteReference"/>
          <w:sz w:val="16"/>
          <w:szCs w:val="16"/>
        </w:rPr>
        <w:footnoteRef/>
      </w:r>
      <w:r w:rsidRPr="009705DF">
        <w:rPr>
          <w:sz w:val="16"/>
          <w:szCs w:val="16"/>
        </w:rPr>
        <w:t xml:space="preserve"> </w:t>
      </w:r>
      <w:r w:rsidRPr="009705DF">
        <w:rPr>
          <w:i/>
          <w:iCs/>
          <w:sz w:val="16"/>
          <w:szCs w:val="16"/>
        </w:rPr>
        <w:t>Ibid</w:t>
      </w:r>
      <w:r w:rsidR="00481B97" w:rsidRPr="009705DF">
        <w:rPr>
          <w:i/>
          <w:iCs/>
          <w:sz w:val="16"/>
          <w:szCs w:val="16"/>
        </w:rPr>
        <w:t>,</w:t>
      </w:r>
      <w:r w:rsidR="00481B97" w:rsidRPr="009705DF">
        <w:rPr>
          <w:sz w:val="16"/>
          <w:szCs w:val="16"/>
        </w:rPr>
        <w:t xml:space="preserve"> p. </w:t>
      </w:r>
      <w:r w:rsidR="006201E9" w:rsidRPr="009705DF">
        <w:rPr>
          <w:sz w:val="16"/>
          <w:szCs w:val="16"/>
        </w:rPr>
        <w:t>256.</w:t>
      </w:r>
      <w:r w:rsidR="006201E9" w:rsidRPr="006201E9">
        <w:rPr>
          <w:sz w:val="18"/>
          <w:szCs w:val="18"/>
        </w:rPr>
        <w:t xml:space="preserve"> </w:t>
      </w:r>
    </w:p>
  </w:footnote>
  <w:footnote w:id="241">
    <w:p w14:paraId="6B9C2DDD" w14:textId="78A0AD6D"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Karen </w:t>
      </w:r>
      <w:bookmarkStart w:id="81" w:name="_Hlk156662426"/>
      <w:r w:rsidRPr="009705DF">
        <w:rPr>
          <w:sz w:val="16"/>
          <w:szCs w:val="16"/>
        </w:rPr>
        <w:t xml:space="preserve">Harvey, ‘Men Making Home: Masculinity and Domesticity in Eighteenth-Century Britain,’ </w:t>
      </w:r>
      <w:r w:rsidRPr="009705DF">
        <w:rPr>
          <w:i/>
          <w:iCs/>
          <w:sz w:val="16"/>
          <w:szCs w:val="16"/>
        </w:rPr>
        <w:t>Gender &amp; History</w:t>
      </w:r>
      <w:r w:rsidRPr="009705DF">
        <w:rPr>
          <w:sz w:val="16"/>
          <w:szCs w:val="16"/>
        </w:rPr>
        <w:t>,</w:t>
      </w:r>
      <w:bookmarkEnd w:id="81"/>
      <w:r w:rsidRPr="009705DF">
        <w:rPr>
          <w:sz w:val="16"/>
          <w:szCs w:val="16"/>
        </w:rPr>
        <w:t xml:space="preserve"> 21:3 (2009), </w:t>
      </w:r>
      <w:r w:rsidR="009705DF" w:rsidRPr="009705DF">
        <w:rPr>
          <w:sz w:val="16"/>
          <w:szCs w:val="16"/>
        </w:rPr>
        <w:t>pp. 520-540 (</w:t>
      </w:r>
      <w:r w:rsidRPr="009705DF">
        <w:rPr>
          <w:sz w:val="16"/>
          <w:szCs w:val="16"/>
        </w:rPr>
        <w:t>p 521</w:t>
      </w:r>
      <w:r w:rsidR="009705DF" w:rsidRPr="009705DF">
        <w:rPr>
          <w:sz w:val="16"/>
          <w:szCs w:val="16"/>
        </w:rPr>
        <w:t>)</w:t>
      </w:r>
      <w:r w:rsidRPr="009705DF">
        <w:rPr>
          <w:sz w:val="16"/>
          <w:szCs w:val="16"/>
        </w:rPr>
        <w:t xml:space="preserve">. </w:t>
      </w:r>
    </w:p>
  </w:footnote>
  <w:footnote w:id="242">
    <w:p w14:paraId="61987A68" w14:textId="15F1FA4E"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w:t>
      </w:r>
      <w:r w:rsidR="002F419A" w:rsidRPr="002F419A">
        <w:rPr>
          <w:sz w:val="16"/>
          <w:szCs w:val="16"/>
        </w:rPr>
        <w:t xml:space="preserve">Harvey, ‘Men Making Home: Masculinity and Domesticity in Eighteenth-Century Britain,’ </w:t>
      </w:r>
      <w:r w:rsidR="002F419A" w:rsidRPr="002F419A">
        <w:rPr>
          <w:i/>
          <w:iCs/>
          <w:sz w:val="16"/>
          <w:szCs w:val="16"/>
        </w:rPr>
        <w:t>Gender &amp; History</w:t>
      </w:r>
      <w:r w:rsidR="002F419A" w:rsidRPr="002F419A">
        <w:rPr>
          <w:sz w:val="16"/>
          <w:szCs w:val="16"/>
        </w:rPr>
        <w:t>,</w:t>
      </w:r>
      <w:r w:rsidRPr="009705DF">
        <w:rPr>
          <w:sz w:val="16"/>
          <w:szCs w:val="16"/>
        </w:rPr>
        <w:t xml:space="preserve"> p. 524</w:t>
      </w:r>
      <w:r w:rsidR="00570454" w:rsidRPr="009705DF">
        <w:rPr>
          <w:sz w:val="16"/>
          <w:szCs w:val="16"/>
        </w:rPr>
        <w:t>.</w:t>
      </w:r>
    </w:p>
  </w:footnote>
  <w:footnote w:id="243">
    <w:p w14:paraId="319CE330" w14:textId="0A8B986A"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DLSL</w:t>
      </w:r>
      <w:r w:rsidR="009705DF" w:rsidRPr="009705DF">
        <w:rPr>
          <w:sz w:val="16"/>
          <w:szCs w:val="16"/>
        </w:rPr>
        <w:t>,</w:t>
      </w:r>
      <w:r w:rsidRPr="009705DF">
        <w:rPr>
          <w:sz w:val="16"/>
          <w:szCs w:val="16"/>
        </w:rPr>
        <w:t xml:space="preserve"> BS 677 EVA</w:t>
      </w:r>
      <w:r w:rsidR="007918AF" w:rsidRPr="009705DF">
        <w:rPr>
          <w:sz w:val="16"/>
          <w:szCs w:val="16"/>
        </w:rPr>
        <w:t>, DL119 LB</w:t>
      </w:r>
      <w:r w:rsidRPr="009705DF">
        <w:rPr>
          <w:sz w:val="16"/>
          <w:szCs w:val="16"/>
        </w:rPr>
        <w:t xml:space="preserve"> R3</w:t>
      </w:r>
      <w:r w:rsidR="003A3250">
        <w:rPr>
          <w:sz w:val="16"/>
          <w:szCs w:val="16"/>
        </w:rPr>
        <w:t xml:space="preserve"> [Ledger </w:t>
      </w:r>
      <w:r w:rsidR="00D03159">
        <w:rPr>
          <w:sz w:val="16"/>
          <w:szCs w:val="16"/>
        </w:rPr>
        <w:t>E</w:t>
      </w:r>
      <w:r w:rsidR="003A3250">
        <w:rPr>
          <w:sz w:val="16"/>
          <w:szCs w:val="16"/>
        </w:rPr>
        <w:t>ntries for Mrs. Evans of Darley 1796-1804].</w:t>
      </w:r>
    </w:p>
  </w:footnote>
  <w:footnote w:id="244">
    <w:p w14:paraId="6AC4887E" w14:textId="6F4BE7D3"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w:t>
      </w:r>
      <w:r w:rsidR="009705DF" w:rsidRPr="009705DF">
        <w:rPr>
          <w:sz w:val="16"/>
          <w:szCs w:val="16"/>
        </w:rPr>
        <w:t xml:space="preserve">DLSL, BS 677 EVA, DL119 </w:t>
      </w:r>
      <w:r w:rsidR="007918AF" w:rsidRPr="009705DF">
        <w:rPr>
          <w:sz w:val="16"/>
          <w:szCs w:val="16"/>
        </w:rPr>
        <w:t>LB R3</w:t>
      </w:r>
      <w:r w:rsidR="003A3250">
        <w:rPr>
          <w:sz w:val="16"/>
          <w:szCs w:val="16"/>
        </w:rPr>
        <w:t xml:space="preserve"> </w:t>
      </w:r>
      <w:r w:rsidR="003A3250" w:rsidRPr="003A3250">
        <w:rPr>
          <w:sz w:val="16"/>
          <w:szCs w:val="16"/>
        </w:rPr>
        <w:t xml:space="preserve">[Ledger </w:t>
      </w:r>
      <w:r w:rsidR="00D03159">
        <w:rPr>
          <w:sz w:val="16"/>
          <w:szCs w:val="16"/>
        </w:rPr>
        <w:t>E</w:t>
      </w:r>
      <w:r w:rsidR="003A3250" w:rsidRPr="003A3250">
        <w:rPr>
          <w:sz w:val="16"/>
          <w:szCs w:val="16"/>
        </w:rPr>
        <w:t>ntr</w:t>
      </w:r>
      <w:r w:rsidR="003A3250">
        <w:rPr>
          <w:sz w:val="16"/>
          <w:szCs w:val="16"/>
        </w:rPr>
        <w:t>ies</w:t>
      </w:r>
      <w:r w:rsidR="003A3250" w:rsidRPr="003A3250">
        <w:rPr>
          <w:sz w:val="16"/>
          <w:szCs w:val="16"/>
        </w:rPr>
        <w:t xml:space="preserve"> for Mrs. Evans of Darley 1796-1804].</w:t>
      </w:r>
    </w:p>
  </w:footnote>
  <w:footnote w:id="245">
    <w:p w14:paraId="10B544BC" w14:textId="2CE5C4B7" w:rsidR="005A05DF" w:rsidRPr="009705DF" w:rsidRDefault="005A05DF" w:rsidP="009705DF">
      <w:pPr>
        <w:pStyle w:val="FootnoteText"/>
        <w:rPr>
          <w:sz w:val="16"/>
          <w:szCs w:val="16"/>
        </w:rPr>
      </w:pPr>
      <w:r w:rsidRPr="009705DF">
        <w:rPr>
          <w:rStyle w:val="FootnoteReference"/>
          <w:sz w:val="16"/>
          <w:szCs w:val="16"/>
        </w:rPr>
        <w:footnoteRef/>
      </w:r>
      <w:r w:rsidRPr="009705DF">
        <w:rPr>
          <w:sz w:val="16"/>
          <w:szCs w:val="16"/>
        </w:rPr>
        <w:t xml:space="preserve"> Erasmus Darwin, </w:t>
      </w:r>
      <w:r w:rsidRPr="009705DF">
        <w:rPr>
          <w:i/>
          <w:iCs/>
          <w:sz w:val="16"/>
          <w:szCs w:val="16"/>
        </w:rPr>
        <w:t xml:space="preserve">A </w:t>
      </w:r>
      <w:r w:rsidR="009705DF" w:rsidRPr="009705DF">
        <w:rPr>
          <w:i/>
          <w:iCs/>
          <w:sz w:val="16"/>
          <w:szCs w:val="16"/>
        </w:rPr>
        <w:t>p</w:t>
      </w:r>
      <w:r w:rsidRPr="009705DF">
        <w:rPr>
          <w:i/>
          <w:iCs/>
          <w:sz w:val="16"/>
          <w:szCs w:val="16"/>
        </w:rPr>
        <w:t xml:space="preserve">lan for the </w:t>
      </w:r>
      <w:r w:rsidR="009705DF" w:rsidRPr="009705DF">
        <w:rPr>
          <w:i/>
          <w:iCs/>
          <w:sz w:val="16"/>
          <w:szCs w:val="16"/>
        </w:rPr>
        <w:t>Co</w:t>
      </w:r>
      <w:r w:rsidRPr="009705DF">
        <w:rPr>
          <w:i/>
          <w:iCs/>
          <w:sz w:val="16"/>
          <w:szCs w:val="16"/>
        </w:rPr>
        <w:t xml:space="preserve">nduct of </w:t>
      </w:r>
      <w:r w:rsidR="009705DF" w:rsidRPr="009705DF">
        <w:rPr>
          <w:i/>
          <w:iCs/>
          <w:sz w:val="16"/>
          <w:szCs w:val="16"/>
        </w:rPr>
        <w:t>F</w:t>
      </w:r>
      <w:r w:rsidRPr="009705DF">
        <w:rPr>
          <w:i/>
          <w:iCs/>
          <w:sz w:val="16"/>
          <w:szCs w:val="16"/>
        </w:rPr>
        <w:t xml:space="preserve">emale </w:t>
      </w:r>
      <w:r w:rsidR="009705DF" w:rsidRPr="009705DF">
        <w:rPr>
          <w:i/>
          <w:iCs/>
          <w:sz w:val="16"/>
          <w:szCs w:val="16"/>
        </w:rPr>
        <w:t>E</w:t>
      </w:r>
      <w:r w:rsidRPr="009705DF">
        <w:rPr>
          <w:i/>
          <w:iCs/>
          <w:sz w:val="16"/>
          <w:szCs w:val="16"/>
        </w:rPr>
        <w:t xml:space="preserve">ducation, in </w:t>
      </w:r>
      <w:r w:rsidR="009705DF" w:rsidRPr="009705DF">
        <w:rPr>
          <w:i/>
          <w:iCs/>
          <w:sz w:val="16"/>
          <w:szCs w:val="16"/>
        </w:rPr>
        <w:t>B</w:t>
      </w:r>
      <w:r w:rsidRPr="009705DF">
        <w:rPr>
          <w:i/>
          <w:iCs/>
          <w:sz w:val="16"/>
          <w:szCs w:val="16"/>
        </w:rPr>
        <w:t xml:space="preserve">oarding </w:t>
      </w:r>
      <w:r w:rsidR="009705DF" w:rsidRPr="009705DF">
        <w:rPr>
          <w:i/>
          <w:iCs/>
          <w:sz w:val="16"/>
          <w:szCs w:val="16"/>
        </w:rPr>
        <w:t>S</w:t>
      </w:r>
      <w:r w:rsidRPr="009705DF">
        <w:rPr>
          <w:i/>
          <w:iCs/>
          <w:sz w:val="16"/>
          <w:szCs w:val="16"/>
        </w:rPr>
        <w:t xml:space="preserve">chools, </w:t>
      </w:r>
      <w:r w:rsidR="009705DF" w:rsidRPr="009705DF">
        <w:rPr>
          <w:i/>
          <w:iCs/>
          <w:sz w:val="16"/>
          <w:szCs w:val="16"/>
        </w:rPr>
        <w:t>P</w:t>
      </w:r>
      <w:r w:rsidRPr="009705DF">
        <w:rPr>
          <w:i/>
          <w:iCs/>
          <w:sz w:val="16"/>
          <w:szCs w:val="16"/>
        </w:rPr>
        <w:t xml:space="preserve">rivate </w:t>
      </w:r>
      <w:r w:rsidR="009705DF" w:rsidRPr="009705DF">
        <w:rPr>
          <w:i/>
          <w:iCs/>
          <w:sz w:val="16"/>
          <w:szCs w:val="16"/>
        </w:rPr>
        <w:t>F</w:t>
      </w:r>
      <w:r w:rsidRPr="009705DF">
        <w:rPr>
          <w:i/>
          <w:iCs/>
          <w:sz w:val="16"/>
          <w:szCs w:val="16"/>
        </w:rPr>
        <w:t xml:space="preserve">amilies, and </w:t>
      </w:r>
      <w:r w:rsidR="009705DF" w:rsidRPr="009705DF">
        <w:rPr>
          <w:i/>
          <w:iCs/>
          <w:sz w:val="16"/>
          <w:szCs w:val="16"/>
        </w:rPr>
        <w:t>P</w:t>
      </w:r>
      <w:r w:rsidRPr="009705DF">
        <w:rPr>
          <w:i/>
          <w:iCs/>
          <w:sz w:val="16"/>
          <w:szCs w:val="16"/>
        </w:rPr>
        <w:t xml:space="preserve">ublic </w:t>
      </w:r>
      <w:r w:rsidR="009705DF" w:rsidRPr="009705DF">
        <w:rPr>
          <w:i/>
          <w:iCs/>
          <w:sz w:val="16"/>
          <w:szCs w:val="16"/>
        </w:rPr>
        <w:t>S</w:t>
      </w:r>
      <w:r w:rsidRPr="009705DF">
        <w:rPr>
          <w:i/>
          <w:iCs/>
          <w:sz w:val="16"/>
          <w:szCs w:val="16"/>
        </w:rPr>
        <w:t>eminaries</w:t>
      </w:r>
      <w:r w:rsidRPr="009705DF">
        <w:rPr>
          <w:sz w:val="16"/>
          <w:szCs w:val="16"/>
        </w:rPr>
        <w:t xml:space="preserve">, </w:t>
      </w:r>
      <w:r w:rsidR="009705DF" w:rsidRPr="009705DF">
        <w:rPr>
          <w:sz w:val="16"/>
          <w:szCs w:val="16"/>
        </w:rPr>
        <w:t>(London: J. Johnson of St. Paul’s Churchyard, 1797)</w:t>
      </w:r>
      <w:r w:rsidR="007E3865">
        <w:rPr>
          <w:sz w:val="16"/>
          <w:szCs w:val="16"/>
        </w:rPr>
        <w:t>.</w:t>
      </w:r>
    </w:p>
  </w:footnote>
  <w:footnote w:id="246">
    <w:p w14:paraId="151A969F" w14:textId="7CE8697A" w:rsidR="005A05DF" w:rsidRPr="006273E4" w:rsidRDefault="005A05DF" w:rsidP="005A05DF">
      <w:pPr>
        <w:pStyle w:val="FootnoteText"/>
        <w:rPr>
          <w:sz w:val="18"/>
          <w:szCs w:val="18"/>
        </w:rPr>
      </w:pPr>
      <w:r w:rsidRPr="009705DF">
        <w:rPr>
          <w:rStyle w:val="FootnoteReference"/>
          <w:sz w:val="16"/>
          <w:szCs w:val="16"/>
        </w:rPr>
        <w:footnoteRef/>
      </w:r>
      <w:r w:rsidRPr="009705DF">
        <w:rPr>
          <w:sz w:val="16"/>
          <w:szCs w:val="16"/>
        </w:rPr>
        <w:t xml:space="preserve"> Megan Boyes, </w:t>
      </w:r>
      <w:r w:rsidRPr="009705DF">
        <w:rPr>
          <w:i/>
          <w:iCs/>
          <w:sz w:val="16"/>
          <w:szCs w:val="16"/>
        </w:rPr>
        <w:t>Allestree Hall</w:t>
      </w:r>
      <w:r w:rsidRPr="009705DF">
        <w:rPr>
          <w:sz w:val="16"/>
          <w:szCs w:val="16"/>
        </w:rPr>
        <w:t>, (Derby, 1982)</w:t>
      </w:r>
      <w:r w:rsidR="006E7992" w:rsidRPr="009705DF">
        <w:rPr>
          <w:sz w:val="16"/>
          <w:szCs w:val="16"/>
        </w:rPr>
        <w:t>, p. 5.</w:t>
      </w:r>
      <w:r w:rsidRPr="006273E4">
        <w:rPr>
          <w:sz w:val="18"/>
          <w:szCs w:val="18"/>
        </w:rPr>
        <w:t xml:space="preserve"> </w:t>
      </w:r>
    </w:p>
  </w:footnote>
  <w:footnote w:id="247">
    <w:p w14:paraId="38111FB0" w14:textId="7CE71533"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w:t>
      </w:r>
      <w:r w:rsidR="002F419A" w:rsidRPr="002F419A">
        <w:rPr>
          <w:sz w:val="16"/>
          <w:szCs w:val="16"/>
        </w:rPr>
        <w:t>Ancestry Ireland Unlimited Company</w:t>
      </w:r>
      <w:r w:rsidR="002F419A">
        <w:rPr>
          <w:sz w:val="16"/>
          <w:szCs w:val="16"/>
        </w:rPr>
        <w:t xml:space="preserve">, </w:t>
      </w:r>
      <w:r w:rsidRPr="002F419A">
        <w:rPr>
          <w:i/>
          <w:iCs/>
          <w:sz w:val="16"/>
          <w:szCs w:val="16"/>
        </w:rPr>
        <w:t>England &amp; Wales, Civil Registration Death Index, 1837-1915, Vol. 20, p. 111 entry for Gustavus Albert Escher, September 1845, Chorlton, Lancashire</w:t>
      </w:r>
      <w:r w:rsidR="002F419A">
        <w:rPr>
          <w:sz w:val="16"/>
          <w:szCs w:val="16"/>
        </w:rPr>
        <w:t xml:space="preserve">, </w:t>
      </w:r>
      <w:r w:rsidR="002F419A" w:rsidRPr="002F419A">
        <w:rPr>
          <w:sz w:val="16"/>
          <w:szCs w:val="16"/>
        </w:rPr>
        <w:t>Ancestry Ireland Unlimited Company</w:t>
      </w:r>
      <w:r w:rsidR="002F419A">
        <w:rPr>
          <w:sz w:val="16"/>
          <w:szCs w:val="16"/>
        </w:rPr>
        <w:t>, 2002-2024</w:t>
      </w:r>
      <w:r w:rsidR="00CE2921" w:rsidRPr="009705DF">
        <w:rPr>
          <w:sz w:val="16"/>
          <w:szCs w:val="16"/>
        </w:rPr>
        <w:t xml:space="preserve"> </w:t>
      </w:r>
      <w:bookmarkStart w:id="82" w:name="_Hlk149981554"/>
      <w:r w:rsidR="002F419A">
        <w:fldChar w:fldCharType="begin"/>
      </w:r>
      <w:r w:rsidR="002F419A">
        <w:instrText>HYPERLINK "https://www.ancestry.co.uk/"</w:instrText>
      </w:r>
      <w:r w:rsidR="002F419A">
        <w:fldChar w:fldCharType="separate"/>
      </w:r>
      <w:r w:rsidR="002F419A" w:rsidRPr="009705DF">
        <w:rPr>
          <w:rStyle w:val="Hyperlink"/>
          <w:sz w:val="16"/>
          <w:szCs w:val="16"/>
        </w:rPr>
        <w:t>https://www.ancestry.co.uk/</w:t>
      </w:r>
      <w:r w:rsidR="002F419A">
        <w:rPr>
          <w:rStyle w:val="Hyperlink"/>
          <w:sz w:val="16"/>
          <w:szCs w:val="16"/>
        </w:rPr>
        <w:fldChar w:fldCharType="end"/>
      </w:r>
      <w:r w:rsidR="002F419A" w:rsidRPr="009705DF">
        <w:rPr>
          <w:sz w:val="16"/>
          <w:szCs w:val="16"/>
        </w:rPr>
        <w:t xml:space="preserve"> </w:t>
      </w:r>
      <w:r w:rsidR="009705DF" w:rsidRPr="009705DF">
        <w:rPr>
          <w:sz w:val="16"/>
          <w:szCs w:val="16"/>
        </w:rPr>
        <w:t xml:space="preserve">[last accessed 12 January 2024]  </w:t>
      </w:r>
    </w:p>
    <w:bookmarkEnd w:id="82"/>
  </w:footnote>
  <w:footnote w:id="248">
    <w:p w14:paraId="03F9792F" w14:textId="75BB74CE"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w:t>
      </w:r>
      <w:r w:rsidR="002F419A" w:rsidRPr="002F419A">
        <w:rPr>
          <w:sz w:val="16"/>
          <w:szCs w:val="16"/>
        </w:rPr>
        <w:t>Ancestry Ireland Unlimited Company</w:t>
      </w:r>
      <w:r w:rsidR="002F419A">
        <w:rPr>
          <w:sz w:val="16"/>
          <w:szCs w:val="16"/>
        </w:rPr>
        <w:t>,</w:t>
      </w:r>
      <w:r w:rsidR="002F419A" w:rsidRPr="002F419A">
        <w:rPr>
          <w:sz w:val="16"/>
          <w:szCs w:val="16"/>
        </w:rPr>
        <w:t xml:space="preserve"> </w:t>
      </w:r>
      <w:r w:rsidRPr="009705DF">
        <w:rPr>
          <w:sz w:val="16"/>
          <w:szCs w:val="16"/>
        </w:rPr>
        <w:t xml:space="preserve">Marriage </w:t>
      </w:r>
      <w:r w:rsidRPr="002F419A">
        <w:rPr>
          <w:i/>
          <w:iCs/>
          <w:sz w:val="16"/>
          <w:szCs w:val="16"/>
        </w:rPr>
        <w:t>Entry for James Heywood and Anne Escher at Ardwick, St. Thomas, Manchester, England, Church of England Marriages and Banns, 1754-1930 – Date 11</w:t>
      </w:r>
      <w:r w:rsidRPr="002F419A">
        <w:rPr>
          <w:i/>
          <w:iCs/>
          <w:sz w:val="16"/>
          <w:szCs w:val="16"/>
          <w:vertAlign w:val="superscript"/>
        </w:rPr>
        <w:t>th</w:t>
      </w:r>
      <w:r w:rsidRPr="002F419A">
        <w:rPr>
          <w:i/>
          <w:iCs/>
          <w:sz w:val="16"/>
          <w:szCs w:val="16"/>
        </w:rPr>
        <w:t xml:space="preserve"> of June 1853</w:t>
      </w:r>
      <w:r w:rsidR="002F419A">
        <w:rPr>
          <w:i/>
          <w:iCs/>
          <w:sz w:val="16"/>
          <w:szCs w:val="16"/>
        </w:rPr>
        <w:t>,</w:t>
      </w:r>
      <w:r w:rsidR="002F419A" w:rsidRPr="002F419A">
        <w:t xml:space="preserve"> </w:t>
      </w:r>
      <w:r w:rsidR="002F419A" w:rsidRPr="002F419A">
        <w:rPr>
          <w:sz w:val="16"/>
          <w:szCs w:val="16"/>
        </w:rPr>
        <w:t>Ancestry Ireland Unlimited Company</w:t>
      </w:r>
      <w:r w:rsidR="002F419A">
        <w:rPr>
          <w:sz w:val="16"/>
          <w:szCs w:val="16"/>
        </w:rPr>
        <w:t xml:space="preserve">, 2002-2024 </w:t>
      </w:r>
      <w:hyperlink r:id="rId14" w:history="1">
        <w:r w:rsidR="002F419A" w:rsidRPr="009705DF">
          <w:rPr>
            <w:rStyle w:val="Hyperlink"/>
            <w:sz w:val="16"/>
            <w:szCs w:val="16"/>
          </w:rPr>
          <w:t>https://www.ancestry.co.uk/</w:t>
        </w:r>
      </w:hyperlink>
      <w:r w:rsidR="002F419A" w:rsidRPr="002F419A">
        <w:rPr>
          <w:sz w:val="16"/>
          <w:szCs w:val="16"/>
        </w:rPr>
        <w:t xml:space="preserve"> </w:t>
      </w:r>
      <w:r w:rsidR="009705DF" w:rsidRPr="009705DF">
        <w:rPr>
          <w:sz w:val="16"/>
          <w:szCs w:val="16"/>
        </w:rPr>
        <w:t xml:space="preserve">[last accessed 12 January 2024]  </w:t>
      </w:r>
    </w:p>
  </w:footnote>
  <w:footnote w:id="249">
    <w:p w14:paraId="14AAB62D" w14:textId="4B0E5A68" w:rsidR="005A05DF" w:rsidRPr="009705DF" w:rsidRDefault="005A05DF" w:rsidP="005A05DF">
      <w:pPr>
        <w:pStyle w:val="FootnoteText"/>
        <w:rPr>
          <w:sz w:val="16"/>
          <w:szCs w:val="16"/>
        </w:rPr>
      </w:pPr>
      <w:r w:rsidRPr="009705DF">
        <w:rPr>
          <w:rStyle w:val="FootnoteReference"/>
          <w:sz w:val="16"/>
          <w:szCs w:val="16"/>
        </w:rPr>
        <w:footnoteRef/>
      </w:r>
      <w:r w:rsidRPr="009705DF">
        <w:rPr>
          <w:sz w:val="16"/>
          <w:szCs w:val="16"/>
        </w:rPr>
        <w:t xml:space="preserve"> </w:t>
      </w:r>
      <w:bookmarkStart w:id="83" w:name="_Hlk170477402"/>
      <w:r w:rsidRPr="009705DF">
        <w:rPr>
          <w:sz w:val="16"/>
          <w:szCs w:val="16"/>
        </w:rPr>
        <w:t>JRL,</w:t>
      </w:r>
      <w:r w:rsidR="00CE2921" w:rsidRPr="009705DF">
        <w:rPr>
          <w:sz w:val="16"/>
          <w:szCs w:val="16"/>
        </w:rPr>
        <w:t xml:space="preserve"> GB 133</w:t>
      </w:r>
      <w:r w:rsidRPr="009705DF">
        <w:rPr>
          <w:sz w:val="16"/>
          <w:szCs w:val="16"/>
        </w:rPr>
        <w:t xml:space="preserve"> MCK </w:t>
      </w:r>
      <w:bookmarkEnd w:id="83"/>
      <w:r w:rsidRPr="009705DF">
        <w:rPr>
          <w:sz w:val="16"/>
          <w:szCs w:val="16"/>
        </w:rPr>
        <w:t xml:space="preserve">3/1/1, MCK 3/1/2 and MCK 3/1/3 </w:t>
      </w:r>
      <w:r w:rsidR="00D03159">
        <w:rPr>
          <w:sz w:val="16"/>
          <w:szCs w:val="16"/>
        </w:rPr>
        <w:t xml:space="preserve">[Financial Documents of McConnel &amp; Kennedy and the Heywood Bank]. </w:t>
      </w:r>
    </w:p>
  </w:footnote>
  <w:footnote w:id="250">
    <w:p w14:paraId="152CF467" w14:textId="42E54873" w:rsidR="005A05DF" w:rsidRPr="00090216" w:rsidRDefault="005A05DF" w:rsidP="005A05DF">
      <w:pPr>
        <w:pStyle w:val="FootnoteText"/>
        <w:rPr>
          <w:sz w:val="16"/>
          <w:szCs w:val="16"/>
        </w:rPr>
      </w:pPr>
      <w:r w:rsidRPr="00090216">
        <w:rPr>
          <w:rStyle w:val="FootnoteReference"/>
          <w:sz w:val="16"/>
          <w:szCs w:val="16"/>
        </w:rPr>
        <w:footnoteRef/>
      </w:r>
      <w:r w:rsidRPr="00090216">
        <w:rPr>
          <w:sz w:val="16"/>
          <w:szCs w:val="16"/>
        </w:rPr>
        <w:t xml:space="preserve"> </w:t>
      </w:r>
      <w:r w:rsidR="00D03159">
        <w:rPr>
          <w:sz w:val="16"/>
          <w:szCs w:val="16"/>
        </w:rPr>
        <w:t xml:space="preserve">Findmypast, </w:t>
      </w:r>
      <w:r w:rsidR="00D03159" w:rsidRPr="00704CC3">
        <w:rPr>
          <w:i/>
          <w:iCs/>
          <w:sz w:val="16"/>
          <w:szCs w:val="16"/>
        </w:rPr>
        <w:t xml:space="preserve">Wills and Probate: </w:t>
      </w:r>
      <w:r w:rsidR="00D76296" w:rsidRPr="00704CC3">
        <w:rPr>
          <w:i/>
          <w:iCs/>
          <w:sz w:val="16"/>
          <w:szCs w:val="16"/>
        </w:rPr>
        <w:t xml:space="preserve">The </w:t>
      </w:r>
      <w:r w:rsidR="00D03159" w:rsidRPr="00704CC3">
        <w:rPr>
          <w:i/>
          <w:iCs/>
          <w:sz w:val="16"/>
          <w:szCs w:val="16"/>
        </w:rPr>
        <w:t>W</w:t>
      </w:r>
      <w:r w:rsidR="00D76296" w:rsidRPr="00704CC3">
        <w:rPr>
          <w:i/>
          <w:iCs/>
          <w:sz w:val="16"/>
          <w:szCs w:val="16"/>
        </w:rPr>
        <w:t>ill of Edmund Evans</w:t>
      </w:r>
      <w:r w:rsidR="00D03159">
        <w:rPr>
          <w:i/>
          <w:iCs/>
          <w:sz w:val="16"/>
          <w:szCs w:val="16"/>
        </w:rPr>
        <w:t xml:space="preserve">, </w:t>
      </w:r>
      <w:r w:rsidR="00D03159">
        <w:rPr>
          <w:sz w:val="16"/>
          <w:szCs w:val="16"/>
        </w:rPr>
        <w:t>Findmypast, 2024</w:t>
      </w:r>
      <w:r w:rsidR="00363C93">
        <w:rPr>
          <w:sz w:val="16"/>
          <w:szCs w:val="16"/>
        </w:rPr>
        <w:t xml:space="preserve"> </w:t>
      </w:r>
      <w:hyperlink r:id="rId15" w:history="1">
        <w:r w:rsidR="00363C93" w:rsidRPr="00C47018">
          <w:rPr>
            <w:rStyle w:val="Hyperlink"/>
            <w:sz w:val="16"/>
            <w:szCs w:val="16"/>
          </w:rPr>
          <w:t>https://www.findmypast.co.uk/</w:t>
        </w:r>
      </w:hyperlink>
      <w:r w:rsidR="00510D46" w:rsidRPr="00090216">
        <w:rPr>
          <w:sz w:val="16"/>
          <w:szCs w:val="16"/>
        </w:rPr>
        <w:t xml:space="preserve"> [</w:t>
      </w:r>
      <w:r w:rsidR="00363C93">
        <w:rPr>
          <w:sz w:val="16"/>
          <w:szCs w:val="16"/>
        </w:rPr>
        <w:t>l</w:t>
      </w:r>
      <w:r w:rsidR="00090216" w:rsidRPr="00090216">
        <w:rPr>
          <w:sz w:val="16"/>
          <w:szCs w:val="16"/>
        </w:rPr>
        <w:t xml:space="preserve">ast </w:t>
      </w:r>
      <w:r w:rsidR="00510D46" w:rsidRPr="00090216">
        <w:rPr>
          <w:sz w:val="16"/>
          <w:szCs w:val="16"/>
        </w:rPr>
        <w:t xml:space="preserve">accessed </w:t>
      </w:r>
      <w:r w:rsidR="00363C93">
        <w:rPr>
          <w:sz w:val="16"/>
          <w:szCs w:val="16"/>
        </w:rPr>
        <w:t>12 January 2024</w:t>
      </w:r>
      <w:r w:rsidR="00CE04CE" w:rsidRPr="00090216">
        <w:rPr>
          <w:sz w:val="16"/>
          <w:szCs w:val="16"/>
        </w:rPr>
        <w:t>]</w:t>
      </w:r>
      <w:r w:rsidR="00D03159">
        <w:rPr>
          <w:sz w:val="16"/>
          <w:szCs w:val="16"/>
        </w:rPr>
        <w:t xml:space="preserve">. </w:t>
      </w:r>
      <w:r w:rsidR="00645811" w:rsidRPr="00090216">
        <w:rPr>
          <w:sz w:val="16"/>
          <w:szCs w:val="16"/>
        </w:rPr>
        <w:t>For the conversion of the currency see the National Archives</w:t>
      </w:r>
      <w:r w:rsidR="00D03159">
        <w:rPr>
          <w:sz w:val="16"/>
          <w:szCs w:val="16"/>
        </w:rPr>
        <w:t xml:space="preserve">, </w:t>
      </w:r>
      <w:r w:rsidR="00D03159" w:rsidRPr="00704CC3">
        <w:rPr>
          <w:i/>
          <w:iCs/>
          <w:sz w:val="16"/>
          <w:szCs w:val="16"/>
        </w:rPr>
        <w:t>C</w:t>
      </w:r>
      <w:r w:rsidR="00645811" w:rsidRPr="00704CC3">
        <w:rPr>
          <w:i/>
          <w:iCs/>
          <w:sz w:val="16"/>
          <w:szCs w:val="16"/>
        </w:rPr>
        <w:t xml:space="preserve">urrency </w:t>
      </w:r>
      <w:r w:rsidR="00D03159" w:rsidRPr="00704CC3">
        <w:rPr>
          <w:i/>
          <w:iCs/>
          <w:sz w:val="16"/>
          <w:szCs w:val="16"/>
        </w:rPr>
        <w:t>C</w:t>
      </w:r>
      <w:r w:rsidR="00645811" w:rsidRPr="00704CC3">
        <w:rPr>
          <w:i/>
          <w:iCs/>
          <w:sz w:val="16"/>
          <w:szCs w:val="16"/>
        </w:rPr>
        <w:t>onverter</w:t>
      </w:r>
      <w:r w:rsidR="00D03159">
        <w:rPr>
          <w:sz w:val="16"/>
          <w:szCs w:val="16"/>
        </w:rPr>
        <w:t>, National Archives, 2024</w:t>
      </w:r>
      <w:r w:rsidR="00090216" w:rsidRPr="00090216">
        <w:rPr>
          <w:sz w:val="16"/>
          <w:szCs w:val="16"/>
        </w:rPr>
        <w:t xml:space="preserve"> </w:t>
      </w:r>
      <w:hyperlink r:id="rId16" w:history="1">
        <w:r w:rsidR="00363C93" w:rsidRPr="00C47018">
          <w:rPr>
            <w:rStyle w:val="Hyperlink"/>
            <w:sz w:val="16"/>
            <w:szCs w:val="16"/>
          </w:rPr>
          <w:t>https://www.nationalarchives.gov.uk/currency-converter/</w:t>
        </w:r>
      </w:hyperlink>
      <w:r w:rsidR="00363C93" w:rsidRPr="00D03159">
        <w:rPr>
          <w:rStyle w:val="Hyperlink"/>
          <w:sz w:val="16"/>
          <w:szCs w:val="16"/>
          <w:u w:val="none"/>
        </w:rPr>
        <w:t xml:space="preserve"> </w:t>
      </w:r>
      <w:r w:rsidR="00090216" w:rsidRPr="00090216">
        <w:rPr>
          <w:sz w:val="16"/>
          <w:szCs w:val="16"/>
        </w:rPr>
        <w:t xml:space="preserve">[last accessed </w:t>
      </w:r>
      <w:r w:rsidR="00090216" w:rsidRPr="00090216">
        <w:rPr>
          <w:rStyle w:val="Hyperlink"/>
          <w:color w:val="auto"/>
          <w:sz w:val="16"/>
          <w:szCs w:val="16"/>
          <w:u w:val="none"/>
        </w:rPr>
        <w:t>12 January 202</w:t>
      </w:r>
      <w:r w:rsidR="00090216" w:rsidRPr="00D03159">
        <w:rPr>
          <w:rStyle w:val="Hyperlink"/>
          <w:color w:val="auto"/>
          <w:sz w:val="16"/>
          <w:szCs w:val="16"/>
          <w:u w:val="none"/>
        </w:rPr>
        <w:t>4]</w:t>
      </w:r>
      <w:r w:rsidR="00D03159" w:rsidRPr="00D03159">
        <w:rPr>
          <w:rStyle w:val="Hyperlink"/>
          <w:color w:val="auto"/>
          <w:sz w:val="16"/>
          <w:szCs w:val="16"/>
          <w:u w:val="none"/>
        </w:rPr>
        <w:t>.</w:t>
      </w:r>
      <w:r w:rsidR="00D03159">
        <w:rPr>
          <w:rStyle w:val="Hyperlink"/>
          <w:color w:val="auto"/>
          <w:sz w:val="16"/>
          <w:szCs w:val="16"/>
        </w:rPr>
        <w:t xml:space="preserve"> </w:t>
      </w:r>
      <w:r w:rsidR="008A7BF3" w:rsidRPr="00090216">
        <w:rPr>
          <w:sz w:val="16"/>
          <w:szCs w:val="16"/>
        </w:rPr>
        <w:t xml:space="preserve"> </w:t>
      </w:r>
    </w:p>
  </w:footnote>
  <w:footnote w:id="251">
    <w:p w14:paraId="7FF80730" w14:textId="7D655E9A" w:rsidR="00C15CF9" w:rsidRPr="00090216" w:rsidRDefault="00C15CF9">
      <w:pPr>
        <w:pStyle w:val="FootnoteText"/>
        <w:rPr>
          <w:sz w:val="16"/>
          <w:szCs w:val="16"/>
        </w:rPr>
      </w:pPr>
      <w:r w:rsidRPr="00090216">
        <w:rPr>
          <w:rStyle w:val="FootnoteReference"/>
          <w:sz w:val="16"/>
          <w:szCs w:val="16"/>
        </w:rPr>
        <w:footnoteRef/>
      </w:r>
      <w:r w:rsidRPr="00090216">
        <w:rPr>
          <w:sz w:val="16"/>
          <w:szCs w:val="16"/>
        </w:rPr>
        <w:t xml:space="preserve"> </w:t>
      </w:r>
      <w:r w:rsidR="007822D3" w:rsidRPr="00090216">
        <w:rPr>
          <w:sz w:val="16"/>
          <w:szCs w:val="16"/>
        </w:rPr>
        <w:t xml:space="preserve">Brian Cooper, </w:t>
      </w:r>
      <w:r w:rsidR="007822D3" w:rsidRPr="00090216">
        <w:rPr>
          <w:i/>
          <w:iCs/>
          <w:sz w:val="16"/>
          <w:szCs w:val="16"/>
        </w:rPr>
        <w:t>Transformation of a Valley: The Derbyshire Derwent</w:t>
      </w:r>
      <w:r w:rsidR="007822D3" w:rsidRPr="00090216">
        <w:rPr>
          <w:sz w:val="16"/>
          <w:szCs w:val="16"/>
        </w:rPr>
        <w:t>, (</w:t>
      </w:r>
      <w:r w:rsidR="00090216" w:rsidRPr="00090216">
        <w:rPr>
          <w:sz w:val="16"/>
          <w:szCs w:val="16"/>
        </w:rPr>
        <w:t xml:space="preserve">Cromford: </w:t>
      </w:r>
      <w:r w:rsidR="007822D3" w:rsidRPr="00090216">
        <w:rPr>
          <w:sz w:val="16"/>
          <w:szCs w:val="16"/>
        </w:rPr>
        <w:t>Scarthin Books, 1991), pp. 104-105.</w:t>
      </w:r>
    </w:p>
  </w:footnote>
  <w:footnote w:id="252">
    <w:p w14:paraId="727C525B" w14:textId="5C8952CD" w:rsidR="00F553D5" w:rsidRPr="00D130C3" w:rsidRDefault="00F553D5">
      <w:pPr>
        <w:pStyle w:val="FootnoteText"/>
        <w:rPr>
          <w:sz w:val="18"/>
          <w:szCs w:val="18"/>
        </w:rPr>
      </w:pPr>
      <w:r w:rsidRPr="00090216">
        <w:rPr>
          <w:rStyle w:val="FootnoteReference"/>
          <w:sz w:val="16"/>
          <w:szCs w:val="16"/>
        </w:rPr>
        <w:footnoteRef/>
      </w:r>
      <w:r w:rsidR="00C32265" w:rsidRPr="00090216">
        <w:rPr>
          <w:sz w:val="16"/>
          <w:szCs w:val="16"/>
        </w:rPr>
        <w:t xml:space="preserve"> Colin C.</w:t>
      </w:r>
      <w:r w:rsidRPr="00090216">
        <w:rPr>
          <w:sz w:val="16"/>
          <w:szCs w:val="16"/>
        </w:rPr>
        <w:t xml:space="preserve"> Owen, </w:t>
      </w:r>
      <w:r w:rsidR="00B57129" w:rsidRPr="00090216">
        <w:rPr>
          <w:sz w:val="16"/>
          <w:szCs w:val="16"/>
        </w:rPr>
        <w:t>‘</w:t>
      </w:r>
      <w:r w:rsidR="00C32265" w:rsidRPr="00090216">
        <w:rPr>
          <w:i/>
          <w:iCs/>
          <w:sz w:val="16"/>
          <w:szCs w:val="16"/>
        </w:rPr>
        <w:t>The Greates</w:t>
      </w:r>
      <w:r w:rsidR="00B57129" w:rsidRPr="00090216">
        <w:rPr>
          <w:i/>
          <w:iCs/>
          <w:sz w:val="16"/>
          <w:szCs w:val="16"/>
        </w:rPr>
        <w:t>t Brewery in the World’: A History of Bass, Ratcliff &amp; Gretton</w:t>
      </w:r>
      <w:r w:rsidR="00090216" w:rsidRPr="00090216">
        <w:rPr>
          <w:sz w:val="16"/>
          <w:szCs w:val="16"/>
        </w:rPr>
        <w:t xml:space="preserve"> </w:t>
      </w:r>
      <w:r w:rsidR="000E5D58" w:rsidRPr="00090216">
        <w:rPr>
          <w:sz w:val="16"/>
          <w:szCs w:val="16"/>
        </w:rPr>
        <w:t xml:space="preserve">(Chesterfield: Derbyshire Record Society, Volume XIX, 1992), </w:t>
      </w:r>
      <w:r w:rsidR="00754305" w:rsidRPr="00090216">
        <w:rPr>
          <w:sz w:val="16"/>
          <w:szCs w:val="16"/>
        </w:rPr>
        <w:t>pp</w:t>
      </w:r>
      <w:r w:rsidR="000E5D58" w:rsidRPr="00090216">
        <w:rPr>
          <w:sz w:val="16"/>
          <w:szCs w:val="16"/>
        </w:rPr>
        <w:t>.</w:t>
      </w:r>
      <w:r w:rsidR="00754305" w:rsidRPr="00090216">
        <w:rPr>
          <w:sz w:val="16"/>
          <w:szCs w:val="16"/>
        </w:rPr>
        <w:t xml:space="preserve"> 4-</w:t>
      </w:r>
      <w:r w:rsidR="000E5D58" w:rsidRPr="00090216">
        <w:rPr>
          <w:sz w:val="16"/>
          <w:szCs w:val="16"/>
        </w:rPr>
        <w:t xml:space="preserve"> 10.</w:t>
      </w:r>
      <w:r w:rsidR="00754305" w:rsidRPr="00090216">
        <w:rPr>
          <w:sz w:val="16"/>
          <w:szCs w:val="16"/>
        </w:rPr>
        <w:t xml:space="preserve"> </w:t>
      </w:r>
      <w:r w:rsidR="00F45B85" w:rsidRPr="00090216">
        <w:rPr>
          <w:sz w:val="16"/>
          <w:szCs w:val="16"/>
        </w:rPr>
        <w:t xml:space="preserve">and Colin C. Owen, </w:t>
      </w:r>
      <w:r w:rsidR="00F45B85" w:rsidRPr="00090216">
        <w:rPr>
          <w:i/>
          <w:iCs/>
          <w:sz w:val="16"/>
          <w:szCs w:val="16"/>
        </w:rPr>
        <w:t>Burton</w:t>
      </w:r>
      <w:r w:rsidR="00A614CC" w:rsidRPr="00090216">
        <w:rPr>
          <w:i/>
          <w:iCs/>
          <w:sz w:val="16"/>
          <w:szCs w:val="16"/>
        </w:rPr>
        <w:t xml:space="preserve"> upon Trent: The Development of Industry,</w:t>
      </w:r>
      <w:r w:rsidR="00A614CC" w:rsidRPr="00090216">
        <w:rPr>
          <w:sz w:val="16"/>
          <w:szCs w:val="16"/>
        </w:rPr>
        <w:t xml:space="preserve"> </w:t>
      </w:r>
      <w:r w:rsidR="00F42ACE" w:rsidRPr="00090216">
        <w:rPr>
          <w:sz w:val="16"/>
          <w:szCs w:val="16"/>
        </w:rPr>
        <w:t xml:space="preserve">(Chichester: Phillimore, 1978), p. </w:t>
      </w:r>
      <w:r w:rsidR="00301CB8" w:rsidRPr="00090216">
        <w:rPr>
          <w:sz w:val="16"/>
          <w:szCs w:val="16"/>
        </w:rPr>
        <w:t>57.</w:t>
      </w:r>
      <w:r w:rsidR="00301CB8" w:rsidRPr="00D130C3">
        <w:rPr>
          <w:sz w:val="18"/>
          <w:szCs w:val="18"/>
        </w:rPr>
        <w:t xml:space="preserve"> </w:t>
      </w:r>
      <w:r w:rsidRPr="00D130C3">
        <w:rPr>
          <w:sz w:val="18"/>
          <w:szCs w:val="18"/>
        </w:rPr>
        <w:t xml:space="preserve"> </w:t>
      </w:r>
    </w:p>
  </w:footnote>
  <w:footnote w:id="253">
    <w:p w14:paraId="13EACD41" w14:textId="7A1B434D" w:rsidR="00C15CF9" w:rsidRPr="00090216" w:rsidRDefault="00C15CF9">
      <w:pPr>
        <w:pStyle w:val="FootnoteText"/>
        <w:rPr>
          <w:sz w:val="16"/>
          <w:szCs w:val="16"/>
        </w:rPr>
      </w:pPr>
      <w:r w:rsidRPr="00090216">
        <w:rPr>
          <w:rStyle w:val="FootnoteReference"/>
          <w:sz w:val="16"/>
          <w:szCs w:val="16"/>
        </w:rPr>
        <w:footnoteRef/>
      </w:r>
      <w:r w:rsidR="00530264" w:rsidRPr="00090216">
        <w:rPr>
          <w:sz w:val="16"/>
          <w:szCs w:val="16"/>
        </w:rPr>
        <w:t xml:space="preserve"> Jean Lindsay, ‘An Industrial Community – The Evans’ Cotton Mill at Darley Abbey Derbyshire, 1783-1810’, Business History Review, 34:3, (1960) pp. 277-301.</w:t>
      </w:r>
    </w:p>
  </w:footnote>
  <w:footnote w:id="254">
    <w:p w14:paraId="267A0954" w14:textId="18B172B0" w:rsidR="00C15CF9" w:rsidRPr="00090216" w:rsidRDefault="00C15CF9">
      <w:pPr>
        <w:pStyle w:val="FootnoteText"/>
        <w:rPr>
          <w:sz w:val="16"/>
          <w:szCs w:val="16"/>
        </w:rPr>
      </w:pPr>
      <w:r w:rsidRPr="00090216">
        <w:rPr>
          <w:rStyle w:val="FootnoteReference"/>
          <w:sz w:val="16"/>
          <w:szCs w:val="16"/>
        </w:rPr>
        <w:footnoteRef/>
      </w:r>
      <w:r w:rsidRPr="00090216">
        <w:rPr>
          <w:sz w:val="16"/>
          <w:szCs w:val="16"/>
        </w:rPr>
        <w:t xml:space="preserve"> </w:t>
      </w:r>
      <w:r w:rsidR="004A757C" w:rsidRPr="00090216">
        <w:rPr>
          <w:sz w:val="16"/>
          <w:szCs w:val="16"/>
        </w:rPr>
        <w:t xml:space="preserve">Katrina </w:t>
      </w:r>
      <w:r w:rsidR="004A757C" w:rsidRPr="00090216">
        <w:rPr>
          <w:sz w:val="16"/>
          <w:szCs w:val="16"/>
        </w:rPr>
        <w:t xml:space="preserve">Honeyman, </w:t>
      </w:r>
      <w:r w:rsidR="00090216" w:rsidRPr="00090216">
        <w:rPr>
          <w:i/>
          <w:iCs/>
          <w:sz w:val="16"/>
          <w:szCs w:val="16"/>
        </w:rPr>
        <w:t>Origins of Enterprise: Business leadership in the Industrial Revolution</w:t>
      </w:r>
      <w:r w:rsidR="00090216" w:rsidRPr="00090216">
        <w:rPr>
          <w:sz w:val="16"/>
          <w:szCs w:val="16"/>
        </w:rPr>
        <w:t xml:space="preserve"> (Manchester: Manchester University Press, 1983), pp. 47-49.</w:t>
      </w:r>
    </w:p>
  </w:footnote>
  <w:footnote w:id="255">
    <w:p w14:paraId="1D8827C7" w14:textId="70945E71" w:rsidR="006F7A29" w:rsidRPr="00090216" w:rsidRDefault="006F7A29">
      <w:pPr>
        <w:pStyle w:val="FootnoteText"/>
        <w:rPr>
          <w:color w:val="FF0000"/>
          <w:sz w:val="16"/>
          <w:szCs w:val="16"/>
        </w:rPr>
      </w:pPr>
      <w:r w:rsidRPr="00090216">
        <w:rPr>
          <w:rStyle w:val="FootnoteReference"/>
          <w:sz w:val="16"/>
          <w:szCs w:val="16"/>
        </w:rPr>
        <w:footnoteRef/>
      </w:r>
      <w:r w:rsidRPr="00090216">
        <w:rPr>
          <w:sz w:val="16"/>
          <w:szCs w:val="16"/>
        </w:rPr>
        <w:t xml:space="preserve"> </w:t>
      </w:r>
      <w:r w:rsidR="00090216" w:rsidRPr="00090216">
        <w:rPr>
          <w:sz w:val="16"/>
          <w:szCs w:val="16"/>
        </w:rPr>
        <w:t xml:space="preserve">Honeyman, </w:t>
      </w:r>
      <w:r w:rsidR="00090216" w:rsidRPr="00090216">
        <w:rPr>
          <w:i/>
          <w:iCs/>
          <w:sz w:val="16"/>
          <w:szCs w:val="16"/>
        </w:rPr>
        <w:t>Origins of Enterprise,</w:t>
      </w:r>
      <w:r w:rsidR="00090216" w:rsidRPr="00090216">
        <w:rPr>
          <w:sz w:val="16"/>
          <w:szCs w:val="16"/>
        </w:rPr>
        <w:t xml:space="preserve"> p</w:t>
      </w:r>
      <w:r w:rsidR="004A757C" w:rsidRPr="00090216">
        <w:rPr>
          <w:sz w:val="16"/>
          <w:szCs w:val="16"/>
        </w:rPr>
        <w:t>p.</w:t>
      </w:r>
      <w:r w:rsidR="00D130C3" w:rsidRPr="00090216">
        <w:rPr>
          <w:sz w:val="16"/>
          <w:szCs w:val="16"/>
        </w:rPr>
        <w:t xml:space="preserve"> 48-49.</w:t>
      </w:r>
      <w:r w:rsidR="004A757C" w:rsidRPr="00090216">
        <w:rPr>
          <w:sz w:val="16"/>
          <w:szCs w:val="16"/>
        </w:rPr>
        <w:t xml:space="preserve"> </w:t>
      </w:r>
    </w:p>
  </w:footnote>
  <w:footnote w:id="256">
    <w:p w14:paraId="78A8CF82" w14:textId="2BB78484" w:rsidR="005A05DF" w:rsidRPr="00863648" w:rsidRDefault="005A05DF" w:rsidP="005A05DF">
      <w:pPr>
        <w:pStyle w:val="FootnoteText"/>
        <w:rPr>
          <w:sz w:val="18"/>
          <w:szCs w:val="18"/>
        </w:rPr>
      </w:pPr>
      <w:r w:rsidRPr="00090216">
        <w:rPr>
          <w:rStyle w:val="FootnoteReference"/>
          <w:sz w:val="16"/>
          <w:szCs w:val="16"/>
        </w:rPr>
        <w:footnoteRef/>
      </w:r>
      <w:r w:rsidRPr="00090216">
        <w:rPr>
          <w:sz w:val="16"/>
          <w:szCs w:val="16"/>
        </w:rPr>
        <w:t xml:space="preserve"> </w:t>
      </w:r>
      <w:r w:rsidR="007C537A" w:rsidRPr="00090216">
        <w:rPr>
          <w:sz w:val="16"/>
          <w:szCs w:val="16"/>
        </w:rPr>
        <w:t xml:space="preserve">John Lawson Kennedy, </w:t>
      </w:r>
      <w:r w:rsidR="007C537A" w:rsidRPr="00090216">
        <w:rPr>
          <w:i/>
          <w:iCs/>
          <w:sz w:val="16"/>
          <w:szCs w:val="16"/>
        </w:rPr>
        <w:t xml:space="preserve">Memoir of John Kennedy of </w:t>
      </w:r>
      <w:r w:rsidR="007C537A" w:rsidRPr="00090216">
        <w:rPr>
          <w:i/>
          <w:iCs/>
          <w:sz w:val="16"/>
          <w:szCs w:val="16"/>
        </w:rPr>
        <w:t xml:space="preserve">Knocknalling, in Galloway, and of his </w:t>
      </w:r>
      <w:r w:rsidR="00F825E2" w:rsidRPr="00090216">
        <w:rPr>
          <w:i/>
          <w:iCs/>
          <w:sz w:val="16"/>
          <w:szCs w:val="16"/>
        </w:rPr>
        <w:t>Descendants</w:t>
      </w:r>
      <w:r w:rsidR="007C537A" w:rsidRPr="00090216">
        <w:rPr>
          <w:i/>
          <w:iCs/>
          <w:sz w:val="16"/>
          <w:szCs w:val="16"/>
        </w:rPr>
        <w:t xml:space="preserve"> with a </w:t>
      </w:r>
      <w:r w:rsidR="00F825E2" w:rsidRPr="00090216">
        <w:rPr>
          <w:i/>
          <w:iCs/>
          <w:sz w:val="16"/>
          <w:szCs w:val="16"/>
        </w:rPr>
        <w:t>S</w:t>
      </w:r>
      <w:r w:rsidR="007C537A" w:rsidRPr="00090216">
        <w:rPr>
          <w:i/>
          <w:iCs/>
          <w:sz w:val="16"/>
          <w:szCs w:val="16"/>
        </w:rPr>
        <w:t xml:space="preserve">hort </w:t>
      </w:r>
      <w:r w:rsidR="00F825E2" w:rsidRPr="00090216">
        <w:rPr>
          <w:i/>
          <w:iCs/>
          <w:sz w:val="16"/>
          <w:szCs w:val="16"/>
        </w:rPr>
        <w:t>Sketch of the Family of Kennedy of Dunure</w:t>
      </w:r>
      <w:r w:rsidR="00F825E2" w:rsidRPr="00090216">
        <w:rPr>
          <w:sz w:val="16"/>
          <w:szCs w:val="16"/>
        </w:rPr>
        <w:t>, (Unpublished: 1858), p</w:t>
      </w:r>
      <w:r w:rsidR="00CD6F8B">
        <w:rPr>
          <w:sz w:val="16"/>
          <w:szCs w:val="16"/>
        </w:rPr>
        <w:t xml:space="preserve">. </w:t>
      </w:r>
      <w:r w:rsidR="00F825E2" w:rsidRPr="00090216">
        <w:rPr>
          <w:sz w:val="16"/>
          <w:szCs w:val="16"/>
        </w:rPr>
        <w:t>1.</w:t>
      </w:r>
      <w:r w:rsidR="00F825E2" w:rsidRPr="00863648">
        <w:rPr>
          <w:sz w:val="18"/>
          <w:szCs w:val="18"/>
        </w:rPr>
        <w:t xml:space="preserve"> </w:t>
      </w:r>
    </w:p>
  </w:footnote>
  <w:footnote w:id="257">
    <w:p w14:paraId="03149917" w14:textId="240D9788" w:rsidR="007E4C10" w:rsidRPr="00090216" w:rsidRDefault="007E4C10" w:rsidP="007E4C10">
      <w:pPr>
        <w:pStyle w:val="FootnoteText"/>
        <w:rPr>
          <w:sz w:val="16"/>
          <w:szCs w:val="16"/>
        </w:rPr>
      </w:pPr>
      <w:r w:rsidRPr="00090216">
        <w:rPr>
          <w:rStyle w:val="FootnoteReference"/>
          <w:sz w:val="16"/>
          <w:szCs w:val="16"/>
        </w:rPr>
        <w:footnoteRef/>
      </w:r>
      <w:r w:rsidRPr="00090216">
        <w:rPr>
          <w:sz w:val="16"/>
          <w:szCs w:val="16"/>
        </w:rPr>
        <w:t xml:space="preserve"> Alistair Livingston</w:t>
      </w:r>
      <w:r w:rsidR="003049F8" w:rsidRPr="00090216">
        <w:rPr>
          <w:sz w:val="16"/>
          <w:szCs w:val="16"/>
        </w:rPr>
        <w:t xml:space="preserve">, ‘The </w:t>
      </w:r>
      <w:r w:rsidR="003049F8" w:rsidRPr="00090216">
        <w:rPr>
          <w:sz w:val="16"/>
          <w:szCs w:val="16"/>
        </w:rPr>
        <w:t xml:space="preserve">Glenkens, Cattle, Cotton and Capitalism,’ p. 69.  </w:t>
      </w:r>
    </w:p>
  </w:footnote>
  <w:footnote w:id="258">
    <w:p w14:paraId="5337103C" w14:textId="77777777" w:rsidR="000C3B2A" w:rsidRPr="006273E4" w:rsidRDefault="000C3B2A" w:rsidP="000C3B2A">
      <w:pPr>
        <w:pStyle w:val="FootnoteText"/>
        <w:rPr>
          <w:sz w:val="18"/>
          <w:szCs w:val="18"/>
        </w:rPr>
      </w:pPr>
      <w:r w:rsidRPr="009705DF">
        <w:rPr>
          <w:rStyle w:val="FootnoteReference"/>
          <w:sz w:val="16"/>
          <w:szCs w:val="16"/>
        </w:rPr>
        <w:footnoteRef/>
      </w:r>
      <w:r w:rsidRPr="009705DF">
        <w:rPr>
          <w:sz w:val="16"/>
          <w:szCs w:val="16"/>
        </w:rPr>
        <w:t xml:space="preserve"> John Seed and Janet Wolff, ‘Class and Culture in Nineteenth Century Manchester,’ </w:t>
      </w:r>
      <w:r w:rsidRPr="009705DF">
        <w:rPr>
          <w:i/>
          <w:iCs/>
          <w:sz w:val="16"/>
          <w:szCs w:val="16"/>
        </w:rPr>
        <w:t>Theory, Culture and Society</w:t>
      </w:r>
      <w:r w:rsidRPr="009705DF">
        <w:rPr>
          <w:sz w:val="16"/>
          <w:szCs w:val="16"/>
        </w:rPr>
        <w:t xml:space="preserve">, 2:2 (1984), pp. 38-53 (p.40). </w:t>
      </w:r>
    </w:p>
  </w:footnote>
  <w:footnote w:id="259">
    <w:p w14:paraId="0276A7B7"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w:t>
      </w:r>
      <w:bookmarkStart w:id="87" w:name="_Hlk156581825"/>
      <w:r w:rsidRPr="00A1445B">
        <w:rPr>
          <w:sz w:val="16"/>
          <w:szCs w:val="16"/>
        </w:rPr>
        <w:t>Alistair Livingston, ‘</w:t>
      </w:r>
      <w:r w:rsidRPr="00A1445B">
        <w:rPr>
          <w:sz w:val="16"/>
          <w:szCs w:val="16"/>
        </w:rPr>
        <w:t xml:space="preserve">Glenkens, Cattle, Cotton, and Capitalism,’ p. 74. </w:t>
      </w:r>
    </w:p>
    <w:bookmarkEnd w:id="87"/>
  </w:footnote>
  <w:footnote w:id="260">
    <w:p w14:paraId="1D0CC9C3"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Seed and Wolff, ‘Class and Culture in Nineteenth Century Manchester,’ </w:t>
      </w:r>
      <w:r w:rsidRPr="00A1445B">
        <w:rPr>
          <w:i/>
          <w:iCs/>
          <w:sz w:val="16"/>
          <w:szCs w:val="16"/>
        </w:rPr>
        <w:t>Theory, Culture and Society</w:t>
      </w:r>
      <w:r w:rsidRPr="00A1445B">
        <w:rPr>
          <w:sz w:val="16"/>
          <w:szCs w:val="16"/>
        </w:rPr>
        <w:t>, p.40 and</w:t>
      </w:r>
      <w:r w:rsidRPr="002F419A">
        <w:t xml:space="preserve"> </w:t>
      </w:r>
      <w:r w:rsidRPr="002F419A">
        <w:rPr>
          <w:sz w:val="16"/>
          <w:szCs w:val="16"/>
        </w:rPr>
        <w:t>Ancestry Ireland Unlimited Company</w:t>
      </w:r>
      <w:r>
        <w:rPr>
          <w:sz w:val="16"/>
          <w:szCs w:val="16"/>
        </w:rPr>
        <w:t>,</w:t>
      </w:r>
      <w:r w:rsidRPr="00A1445B">
        <w:rPr>
          <w:sz w:val="16"/>
          <w:szCs w:val="16"/>
        </w:rPr>
        <w:t xml:space="preserve"> C</w:t>
      </w:r>
      <w:r w:rsidRPr="002F419A">
        <w:rPr>
          <w:i/>
          <w:iCs/>
          <w:sz w:val="16"/>
          <w:szCs w:val="16"/>
        </w:rPr>
        <w:t>ambridge University Alumni, 1261-1900, Trinity College: Admitted Michaelmas 1833</w:t>
      </w:r>
      <w:r>
        <w:rPr>
          <w:i/>
          <w:iCs/>
          <w:sz w:val="16"/>
          <w:szCs w:val="16"/>
        </w:rPr>
        <w:t xml:space="preserve">, </w:t>
      </w:r>
      <w:r w:rsidRPr="002F419A">
        <w:rPr>
          <w:sz w:val="16"/>
          <w:szCs w:val="16"/>
        </w:rPr>
        <w:t>Ancestry Ireland Unlimited Company</w:t>
      </w:r>
      <w:r>
        <w:rPr>
          <w:sz w:val="16"/>
          <w:szCs w:val="16"/>
        </w:rPr>
        <w:t>, 2002-2024</w:t>
      </w:r>
      <w:r w:rsidRPr="002F419A">
        <w:rPr>
          <w:sz w:val="16"/>
          <w:szCs w:val="16"/>
        </w:rPr>
        <w:t xml:space="preserve"> </w:t>
      </w:r>
      <w:hyperlink r:id="rId17" w:history="1">
        <w:r w:rsidRPr="00A1445B">
          <w:rPr>
            <w:rStyle w:val="Hyperlink"/>
            <w:sz w:val="16"/>
            <w:szCs w:val="16"/>
          </w:rPr>
          <w:t>https://www.ancestry.co.uk/</w:t>
        </w:r>
      </w:hyperlink>
      <w:r w:rsidRPr="00A1445B">
        <w:rPr>
          <w:sz w:val="16"/>
          <w:szCs w:val="16"/>
        </w:rPr>
        <w:t xml:space="preserve"> [last accessed 12 January 2024].   </w:t>
      </w:r>
    </w:p>
  </w:footnote>
  <w:footnote w:id="261">
    <w:p w14:paraId="0EA4ECC0"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John Seed, Unitarianism, ‘Political Economy, and the Antinomies of Liberal Culture in Manchester, 1830-50,’ </w:t>
      </w:r>
      <w:r w:rsidRPr="00A1445B">
        <w:rPr>
          <w:i/>
          <w:iCs/>
          <w:sz w:val="16"/>
          <w:szCs w:val="16"/>
        </w:rPr>
        <w:t>Social History</w:t>
      </w:r>
      <w:r w:rsidRPr="00A1445B">
        <w:rPr>
          <w:sz w:val="16"/>
          <w:szCs w:val="16"/>
        </w:rPr>
        <w:t xml:space="preserve">, 7:1 (1982), pp. 1-25 (p. 7). </w:t>
      </w:r>
    </w:p>
  </w:footnote>
  <w:footnote w:id="262">
    <w:p w14:paraId="681B40FD"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Philip </w:t>
      </w:r>
      <w:r w:rsidRPr="00A1445B">
        <w:rPr>
          <w:sz w:val="16"/>
          <w:szCs w:val="16"/>
        </w:rPr>
        <w:t>Riden</w:t>
      </w:r>
      <w:r w:rsidRPr="00A1445B">
        <w:rPr>
          <w:i/>
          <w:iCs/>
          <w:sz w:val="16"/>
          <w:szCs w:val="16"/>
        </w:rPr>
        <w:t>, A History of Chesterfield Grammar School</w:t>
      </w:r>
      <w:r w:rsidRPr="00A1445B">
        <w:rPr>
          <w:sz w:val="16"/>
          <w:szCs w:val="16"/>
        </w:rPr>
        <w:t xml:space="preserve"> (Chesterfield: Merton, 2017), p. 95.</w:t>
      </w:r>
    </w:p>
  </w:footnote>
  <w:footnote w:id="263">
    <w:p w14:paraId="78990F6F" w14:textId="77777777" w:rsidR="000C3B2A" w:rsidRPr="00EB2506" w:rsidRDefault="000C3B2A" w:rsidP="000C3B2A">
      <w:pPr>
        <w:pStyle w:val="FootnoteText"/>
        <w:rPr>
          <w:color w:val="FF0000"/>
          <w:sz w:val="18"/>
          <w:szCs w:val="18"/>
        </w:rPr>
      </w:pPr>
      <w:r w:rsidRPr="00A1445B">
        <w:rPr>
          <w:rStyle w:val="FootnoteReference"/>
          <w:sz w:val="16"/>
          <w:szCs w:val="16"/>
        </w:rPr>
        <w:footnoteRef/>
      </w:r>
      <w:r w:rsidRPr="00A1445B">
        <w:rPr>
          <w:sz w:val="16"/>
          <w:szCs w:val="16"/>
        </w:rPr>
        <w:t xml:space="preserve"> Desmond King Hele, </w:t>
      </w:r>
      <w:r w:rsidRPr="00A1445B">
        <w:rPr>
          <w:i/>
          <w:iCs/>
          <w:sz w:val="16"/>
          <w:szCs w:val="16"/>
        </w:rPr>
        <w:t>The Collected Letters of Erasmus Darwin</w:t>
      </w:r>
      <w:r w:rsidRPr="00A1445B">
        <w:rPr>
          <w:sz w:val="16"/>
          <w:szCs w:val="16"/>
        </w:rPr>
        <w:t xml:space="preserve"> (Cambridge: Cambridge University Press 2007), p.33. [Charles Darwin] and Seed, and Wolff, ‘Class and culture in nineteenth-century Manchester,’ </w:t>
      </w:r>
      <w:r w:rsidRPr="00A1445B">
        <w:rPr>
          <w:i/>
          <w:iCs/>
          <w:sz w:val="16"/>
          <w:szCs w:val="16"/>
        </w:rPr>
        <w:t>Theory, Culture &amp; Society, p.53.</w:t>
      </w:r>
      <w:r w:rsidRPr="00A1445B">
        <w:rPr>
          <w:sz w:val="16"/>
          <w:szCs w:val="16"/>
        </w:rPr>
        <w:t xml:space="preserve"> [John Lawson Kennedy]</w:t>
      </w:r>
      <w:r w:rsidRPr="003F7241">
        <w:rPr>
          <w:sz w:val="18"/>
          <w:szCs w:val="18"/>
        </w:rPr>
        <w:t xml:space="preserve"> </w:t>
      </w:r>
    </w:p>
  </w:footnote>
  <w:footnote w:id="264">
    <w:p w14:paraId="22F21A40"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Old </w:t>
      </w:r>
      <w:r w:rsidRPr="00A1445B">
        <w:rPr>
          <w:sz w:val="16"/>
          <w:szCs w:val="16"/>
        </w:rPr>
        <w:t xml:space="preserve">Cestrefeldians Society, A Tribute to Excellence, 2014 </w:t>
      </w:r>
      <w:hyperlink r:id="rId18" w:history="1">
        <w:r w:rsidRPr="00A1445B">
          <w:rPr>
            <w:rStyle w:val="Hyperlink"/>
            <w:sz w:val="16"/>
            <w:szCs w:val="16"/>
          </w:rPr>
          <w:t>http://www.oldcestrefeldians.org.uk/History.html</w:t>
        </w:r>
      </w:hyperlink>
      <w:r w:rsidRPr="00A1445B">
        <w:rPr>
          <w:sz w:val="16"/>
          <w:szCs w:val="16"/>
        </w:rPr>
        <w:t xml:space="preserve">  [last accessed 12 January 2024]   </w:t>
      </w:r>
      <w:hyperlink r:id="rId19" w:history="1">
        <w:r w:rsidRPr="00A1445B">
          <w:rPr>
            <w:color w:val="0000FF"/>
            <w:sz w:val="16"/>
            <w:szCs w:val="16"/>
            <w:u w:val="single"/>
          </w:rPr>
          <w:t>A Tribute to Excellence.pdf (oldcestrefeldians.org.uk)</w:t>
        </w:r>
      </w:hyperlink>
      <w:r w:rsidRPr="00A1445B">
        <w:rPr>
          <w:sz w:val="16"/>
          <w:szCs w:val="16"/>
        </w:rPr>
        <w:t xml:space="preserve"> </w:t>
      </w:r>
    </w:p>
  </w:footnote>
  <w:footnote w:id="265">
    <w:p w14:paraId="3CE5C5B8"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w:t>
      </w:r>
      <w:r w:rsidRPr="002F419A">
        <w:rPr>
          <w:sz w:val="16"/>
          <w:szCs w:val="16"/>
        </w:rPr>
        <w:t>Ancestry Ireland Unlimited Company</w:t>
      </w:r>
      <w:r>
        <w:rPr>
          <w:sz w:val="16"/>
          <w:szCs w:val="16"/>
        </w:rPr>
        <w:t xml:space="preserve">, </w:t>
      </w:r>
      <w:r w:rsidRPr="002F419A">
        <w:rPr>
          <w:sz w:val="16"/>
          <w:szCs w:val="16"/>
        </w:rPr>
        <w:t>In</w:t>
      </w:r>
      <w:r w:rsidRPr="002F419A">
        <w:rPr>
          <w:i/>
          <w:iCs/>
          <w:sz w:val="16"/>
          <w:szCs w:val="16"/>
        </w:rPr>
        <w:t xml:space="preserve"> 1758, Thomas Evans was the apprentice master of Joseph </w:t>
      </w:r>
      <w:r w:rsidRPr="002F419A">
        <w:rPr>
          <w:i/>
          <w:iCs/>
          <w:sz w:val="16"/>
          <w:szCs w:val="16"/>
        </w:rPr>
        <w:t>Chamberton in Derby. He paid duties in January. The National Archives of the UK (TNA); Kew, Surrey, England; Collection: Board of Stamps: Apprenticeship Books: Series IR 1; Class: IR 1; Piece: 53</w:t>
      </w:r>
      <w:r>
        <w:rPr>
          <w:i/>
          <w:iCs/>
          <w:sz w:val="16"/>
          <w:szCs w:val="16"/>
        </w:rPr>
        <w:t xml:space="preserve">, </w:t>
      </w:r>
      <w:r w:rsidRPr="002F419A">
        <w:rPr>
          <w:sz w:val="16"/>
          <w:szCs w:val="16"/>
        </w:rPr>
        <w:t>Ancestry Ireland Unlimited Company</w:t>
      </w:r>
      <w:r>
        <w:rPr>
          <w:sz w:val="16"/>
          <w:szCs w:val="16"/>
        </w:rPr>
        <w:t xml:space="preserve">, 2002-2024 </w:t>
      </w:r>
      <w:hyperlink r:id="rId20" w:history="1">
        <w:r w:rsidRPr="00C47018">
          <w:rPr>
            <w:rStyle w:val="Hyperlink"/>
            <w:sz w:val="16"/>
            <w:szCs w:val="16"/>
          </w:rPr>
          <w:t>https://www.ancestry.co.uk/</w:t>
        </w:r>
      </w:hyperlink>
      <w:r w:rsidRPr="00A1445B">
        <w:rPr>
          <w:sz w:val="16"/>
          <w:szCs w:val="16"/>
        </w:rPr>
        <w:t xml:space="preserve"> [last accessed 12 January 2024</w:t>
      </w:r>
      <w:r>
        <w:rPr>
          <w:sz w:val="16"/>
          <w:szCs w:val="16"/>
        </w:rPr>
        <w:t>]</w:t>
      </w:r>
      <w:r w:rsidRPr="00A1445B">
        <w:rPr>
          <w:sz w:val="16"/>
          <w:szCs w:val="16"/>
        </w:rPr>
        <w:t xml:space="preserve">.   </w:t>
      </w:r>
    </w:p>
  </w:footnote>
  <w:footnote w:id="266">
    <w:p w14:paraId="55DEEDB9" w14:textId="77777777" w:rsidR="000C3B2A" w:rsidRPr="009C5321"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Benjamin </w:t>
      </w:r>
      <w:r w:rsidRPr="00A1445B">
        <w:rPr>
          <w:sz w:val="16"/>
          <w:szCs w:val="16"/>
        </w:rPr>
        <w:t xml:space="preserve">Tacchella, (ed.) </w:t>
      </w:r>
      <w:r w:rsidRPr="00A1445B">
        <w:rPr>
          <w:i/>
          <w:iCs/>
          <w:sz w:val="16"/>
          <w:szCs w:val="16"/>
        </w:rPr>
        <w:t>The Derby School Register, 1570-1901</w:t>
      </w:r>
      <w:r w:rsidRPr="00A1445B">
        <w:rPr>
          <w:sz w:val="16"/>
          <w:szCs w:val="16"/>
        </w:rPr>
        <w:t xml:space="preserve">, (Bemrose &amp; Sons, Limited, 1902), pp. 26-27. </w:t>
      </w:r>
    </w:p>
  </w:footnote>
  <w:footnote w:id="267">
    <w:p w14:paraId="6452AFCA" w14:textId="77777777" w:rsidR="000C3B2A" w:rsidRPr="00A1445B" w:rsidRDefault="000C3B2A" w:rsidP="000C3B2A">
      <w:pPr>
        <w:pStyle w:val="FootnoteText"/>
        <w:rPr>
          <w:sz w:val="16"/>
          <w:szCs w:val="16"/>
        </w:rPr>
      </w:pPr>
      <w:r w:rsidRPr="00A1445B">
        <w:rPr>
          <w:rStyle w:val="FootnoteReference"/>
          <w:sz w:val="16"/>
          <w:szCs w:val="16"/>
        </w:rPr>
        <w:footnoteRef/>
      </w:r>
      <w:r w:rsidRPr="009C5321">
        <w:rPr>
          <w:sz w:val="16"/>
          <w:szCs w:val="16"/>
        </w:rPr>
        <w:t xml:space="preserve">Ancestry Ireland Unlimited Company, </w:t>
      </w:r>
      <w:r w:rsidRPr="009C5321">
        <w:rPr>
          <w:i/>
          <w:iCs/>
          <w:sz w:val="16"/>
          <w:szCs w:val="16"/>
        </w:rPr>
        <w:t>Cambridge University Alumni, 1261-1900</w:t>
      </w:r>
      <w:r w:rsidRPr="009C5321">
        <w:rPr>
          <w:sz w:val="16"/>
          <w:szCs w:val="16"/>
        </w:rPr>
        <w:t xml:space="preserve"> </w:t>
      </w:r>
      <w:r w:rsidRPr="009C5321">
        <w:rPr>
          <w:i/>
          <w:iCs/>
          <w:sz w:val="16"/>
          <w:szCs w:val="16"/>
        </w:rPr>
        <w:t xml:space="preserve">- Scott, </w:t>
      </w:r>
      <w:r w:rsidRPr="009C5321">
        <w:rPr>
          <w:i/>
          <w:iCs/>
          <w:sz w:val="16"/>
          <w:szCs w:val="16"/>
        </w:rPr>
        <w:t xml:space="preserve">IMSS./I; Burke, IL.G./I; Walford, </w:t>
      </w:r>
      <w:r w:rsidRPr="009C5321">
        <w:rPr>
          <w:i/>
          <w:iCs/>
          <w:sz w:val="16"/>
          <w:szCs w:val="16"/>
        </w:rPr>
        <w:t xml:space="preserve">ICo. </w:t>
      </w:r>
      <w:r w:rsidRPr="002F419A">
        <w:rPr>
          <w:i/>
          <w:iCs/>
          <w:sz w:val="16"/>
          <w:szCs w:val="16"/>
        </w:rPr>
        <w:t>Families; The Standard/I, July 13, 1903</w:t>
      </w:r>
      <w:r>
        <w:rPr>
          <w:i/>
          <w:iCs/>
          <w:sz w:val="16"/>
          <w:szCs w:val="16"/>
        </w:rPr>
        <w:t xml:space="preserve">, </w:t>
      </w:r>
      <w:r w:rsidRPr="002F419A">
        <w:rPr>
          <w:sz w:val="16"/>
          <w:szCs w:val="16"/>
        </w:rPr>
        <w:t>Ancestry Ireland Unlimited Company</w:t>
      </w:r>
      <w:r>
        <w:rPr>
          <w:sz w:val="16"/>
          <w:szCs w:val="16"/>
        </w:rPr>
        <w:t>, 2002-2024</w:t>
      </w:r>
      <w:r w:rsidRPr="00A1445B">
        <w:rPr>
          <w:sz w:val="16"/>
          <w:szCs w:val="16"/>
        </w:rPr>
        <w:t xml:space="preserve"> </w:t>
      </w:r>
      <w:hyperlink r:id="rId21" w:history="1">
        <w:r w:rsidRPr="00A1445B">
          <w:rPr>
            <w:rStyle w:val="Hyperlink"/>
            <w:sz w:val="16"/>
            <w:szCs w:val="16"/>
          </w:rPr>
          <w:t>https://www.ancestry.co.uk/</w:t>
        </w:r>
      </w:hyperlink>
      <w:r w:rsidRPr="00A1445B">
        <w:rPr>
          <w:sz w:val="16"/>
          <w:szCs w:val="16"/>
        </w:rPr>
        <w:t xml:space="preserve"> [last accessed 12 January 2024].    </w:t>
      </w:r>
    </w:p>
  </w:footnote>
  <w:footnote w:id="268">
    <w:p w14:paraId="532ED390"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David Sunderland, </w:t>
      </w:r>
      <w:r w:rsidRPr="00A1445B">
        <w:rPr>
          <w:i/>
          <w:iCs/>
          <w:sz w:val="16"/>
          <w:szCs w:val="16"/>
        </w:rPr>
        <w:t>Social Capital, Trust and the Industrial Revolution, 1780-1880</w:t>
      </w:r>
      <w:r w:rsidRPr="00A1445B">
        <w:rPr>
          <w:sz w:val="16"/>
          <w:szCs w:val="16"/>
        </w:rPr>
        <w:t xml:space="preserve"> (London: Routledge, 2007), pp. 80-84.  </w:t>
      </w:r>
    </w:p>
  </w:footnote>
  <w:footnote w:id="269">
    <w:p w14:paraId="46772CD4" w14:textId="77777777" w:rsidR="000C3B2A" w:rsidRPr="00A1445B" w:rsidRDefault="000C3B2A" w:rsidP="000C3B2A">
      <w:pPr>
        <w:pStyle w:val="FootnoteText"/>
        <w:rPr>
          <w:sz w:val="16"/>
          <w:szCs w:val="16"/>
        </w:rPr>
      </w:pPr>
      <w:r w:rsidRPr="00A1445B">
        <w:rPr>
          <w:rStyle w:val="FootnoteReference"/>
          <w:sz w:val="16"/>
          <w:szCs w:val="16"/>
        </w:rPr>
        <w:footnoteRef/>
      </w:r>
      <w:r w:rsidRPr="00A1445B">
        <w:rPr>
          <w:sz w:val="16"/>
          <w:szCs w:val="16"/>
        </w:rPr>
        <w:t xml:space="preserve"> Sunderland, </w:t>
      </w:r>
      <w:r w:rsidRPr="00A1445B">
        <w:rPr>
          <w:i/>
          <w:iCs/>
          <w:sz w:val="16"/>
          <w:szCs w:val="16"/>
        </w:rPr>
        <w:t>Social Capital, Trust and the Industrial Revolution</w:t>
      </w:r>
      <w:r w:rsidRPr="00A1445B">
        <w:rPr>
          <w:sz w:val="16"/>
          <w:szCs w:val="16"/>
        </w:rPr>
        <w:t>. pp. 80-84.</w:t>
      </w:r>
    </w:p>
  </w:footnote>
  <w:footnote w:id="270">
    <w:p w14:paraId="64FFA1F9" w14:textId="77777777" w:rsidR="000C3B2A" w:rsidRPr="007301F5" w:rsidRDefault="000C3B2A" w:rsidP="000C3B2A">
      <w:pPr>
        <w:pStyle w:val="FootnoteText"/>
        <w:rPr>
          <w:sz w:val="18"/>
          <w:szCs w:val="18"/>
        </w:rPr>
      </w:pPr>
      <w:r w:rsidRPr="00A1445B">
        <w:rPr>
          <w:rStyle w:val="FootnoteReference"/>
          <w:sz w:val="16"/>
          <w:szCs w:val="16"/>
        </w:rPr>
        <w:footnoteRef/>
      </w:r>
      <w:r w:rsidRPr="00A1445B">
        <w:rPr>
          <w:sz w:val="16"/>
          <w:szCs w:val="16"/>
        </w:rPr>
        <w:t xml:space="preserve"> See Davidoff and Hall, </w:t>
      </w:r>
      <w:r w:rsidRPr="00A1445B">
        <w:rPr>
          <w:i/>
          <w:iCs/>
          <w:sz w:val="16"/>
          <w:szCs w:val="16"/>
        </w:rPr>
        <w:t>Family Fortunes</w:t>
      </w:r>
      <w:r w:rsidRPr="00A1445B">
        <w:rPr>
          <w:sz w:val="16"/>
          <w:szCs w:val="16"/>
        </w:rPr>
        <w:t>, p. 257.</w:t>
      </w:r>
      <w:r w:rsidRPr="002230AF">
        <w:rPr>
          <w:sz w:val="18"/>
          <w:szCs w:val="18"/>
        </w:rPr>
        <w:t xml:space="preserve"> </w:t>
      </w:r>
    </w:p>
  </w:footnote>
  <w:footnote w:id="271">
    <w:p w14:paraId="3DF5A8F2" w14:textId="77777777" w:rsidR="000C3B2A" w:rsidRPr="00090216" w:rsidRDefault="000C3B2A" w:rsidP="000C3B2A">
      <w:pPr>
        <w:pStyle w:val="FootnoteText"/>
        <w:rPr>
          <w:sz w:val="16"/>
          <w:szCs w:val="16"/>
        </w:rPr>
      </w:pPr>
      <w:r w:rsidRPr="007301F5">
        <w:rPr>
          <w:rStyle w:val="FootnoteReference"/>
          <w:sz w:val="18"/>
          <w:szCs w:val="18"/>
        </w:rPr>
        <w:footnoteRef/>
      </w:r>
      <w:r>
        <w:rPr>
          <w:sz w:val="18"/>
          <w:szCs w:val="18"/>
        </w:rPr>
        <w:t xml:space="preserve"> </w:t>
      </w:r>
      <w:r w:rsidRPr="00090216">
        <w:rPr>
          <w:sz w:val="16"/>
          <w:szCs w:val="16"/>
        </w:rPr>
        <w:t xml:space="preserve">Paul Elliott, </w:t>
      </w:r>
      <w:r w:rsidRPr="00AE4754">
        <w:rPr>
          <w:i/>
          <w:iCs/>
          <w:sz w:val="16"/>
          <w:szCs w:val="16"/>
        </w:rPr>
        <w:t>The Derby Philosophers: Science and Culture in British Urban Society, 1700-1850</w:t>
      </w:r>
      <w:r w:rsidRPr="00090216">
        <w:rPr>
          <w:sz w:val="16"/>
          <w:szCs w:val="16"/>
        </w:rPr>
        <w:t xml:space="preserve"> (Manchester: Manchester University Press, 2009), p, 221. </w:t>
      </w:r>
    </w:p>
  </w:footnote>
  <w:footnote w:id="272">
    <w:p w14:paraId="145F1D70" w14:textId="77777777" w:rsidR="000C3B2A" w:rsidRPr="00090216" w:rsidRDefault="000C3B2A" w:rsidP="000C3B2A">
      <w:pPr>
        <w:pStyle w:val="FootnoteText"/>
        <w:rPr>
          <w:sz w:val="16"/>
          <w:szCs w:val="16"/>
        </w:rPr>
      </w:pPr>
      <w:r w:rsidRPr="00090216">
        <w:rPr>
          <w:rStyle w:val="FootnoteReference"/>
          <w:sz w:val="16"/>
          <w:szCs w:val="16"/>
        </w:rPr>
        <w:footnoteRef/>
      </w:r>
      <w:r w:rsidRPr="00090216">
        <w:rPr>
          <w:sz w:val="16"/>
          <w:szCs w:val="16"/>
        </w:rPr>
        <w:t xml:space="preserve"> Erasmus Darwin, </w:t>
      </w:r>
      <w:r w:rsidRPr="00AE4754">
        <w:rPr>
          <w:i/>
          <w:iCs/>
          <w:sz w:val="16"/>
          <w:szCs w:val="16"/>
        </w:rPr>
        <w:t>A plan for the Conduct of Female Education, in Boarding Schools, Private Families, and Public Seminaries</w:t>
      </w:r>
      <w:r w:rsidRPr="00090216">
        <w:rPr>
          <w:sz w:val="16"/>
          <w:szCs w:val="16"/>
        </w:rPr>
        <w:t xml:space="preserve"> (London: J. Johnson of St. Paul’s Churchyard, 1797)</w:t>
      </w:r>
    </w:p>
  </w:footnote>
  <w:footnote w:id="273">
    <w:p w14:paraId="1FF91D24" w14:textId="77777777" w:rsidR="000C3B2A" w:rsidRPr="00090216" w:rsidRDefault="000C3B2A" w:rsidP="000C3B2A">
      <w:pPr>
        <w:pStyle w:val="FootnoteText"/>
        <w:rPr>
          <w:sz w:val="16"/>
          <w:szCs w:val="16"/>
        </w:rPr>
      </w:pPr>
      <w:r w:rsidRPr="00090216">
        <w:rPr>
          <w:rStyle w:val="FootnoteReference"/>
          <w:sz w:val="16"/>
          <w:szCs w:val="16"/>
        </w:rPr>
        <w:footnoteRef/>
      </w:r>
      <w:r w:rsidRPr="00090216">
        <w:rPr>
          <w:sz w:val="16"/>
          <w:szCs w:val="16"/>
        </w:rPr>
        <w:t xml:space="preserve"> Desmond King-Hele (ed), </w:t>
      </w:r>
      <w:r w:rsidRPr="00090216">
        <w:rPr>
          <w:i/>
          <w:iCs/>
          <w:sz w:val="16"/>
          <w:szCs w:val="16"/>
        </w:rPr>
        <w:t>The Collected Letters of Erasmus Darwin</w:t>
      </w:r>
      <w:r w:rsidRPr="00090216">
        <w:rPr>
          <w:sz w:val="16"/>
          <w:szCs w:val="16"/>
        </w:rPr>
        <w:t xml:space="preserve"> (Cambridge: Cambridge University Press, 2007), pp. 462-463.</w:t>
      </w:r>
    </w:p>
  </w:footnote>
  <w:footnote w:id="274">
    <w:p w14:paraId="32DFC48C" w14:textId="77777777" w:rsidR="000C3B2A" w:rsidRPr="00090216" w:rsidRDefault="000C3B2A" w:rsidP="000C3B2A">
      <w:pPr>
        <w:pStyle w:val="FootnoteText"/>
        <w:rPr>
          <w:sz w:val="16"/>
          <w:szCs w:val="16"/>
        </w:rPr>
      </w:pPr>
      <w:r w:rsidRPr="00090216">
        <w:rPr>
          <w:rStyle w:val="FootnoteReference"/>
          <w:sz w:val="16"/>
          <w:szCs w:val="16"/>
        </w:rPr>
        <w:footnoteRef/>
      </w:r>
      <w:r w:rsidRPr="00090216">
        <w:rPr>
          <w:sz w:val="16"/>
          <w:szCs w:val="16"/>
        </w:rPr>
        <w:t xml:space="preserve"> See Davidoff and Hall, </w:t>
      </w:r>
      <w:r w:rsidRPr="00090216">
        <w:rPr>
          <w:i/>
          <w:iCs/>
          <w:sz w:val="16"/>
          <w:szCs w:val="16"/>
        </w:rPr>
        <w:t>Family Fortunes</w:t>
      </w:r>
      <w:r w:rsidRPr="00090216">
        <w:rPr>
          <w:sz w:val="16"/>
          <w:szCs w:val="16"/>
        </w:rPr>
        <w:t xml:space="preserve"> and for debates on women’s hidden investment</w:t>
      </w:r>
      <w:r>
        <w:rPr>
          <w:sz w:val="16"/>
          <w:szCs w:val="16"/>
        </w:rPr>
        <w:t>, see</w:t>
      </w:r>
      <w:r w:rsidRPr="00090216">
        <w:rPr>
          <w:sz w:val="16"/>
          <w:szCs w:val="16"/>
        </w:rPr>
        <w:t xml:space="preserve"> Alastair Owens, ‘A Hidden Investment? Women and Business in England, c. 1750–1900,’ English language version of ‘</w:t>
      </w:r>
      <w:r w:rsidRPr="00090216">
        <w:rPr>
          <w:i/>
          <w:iCs/>
          <w:sz w:val="16"/>
          <w:szCs w:val="16"/>
        </w:rPr>
        <w:t xml:space="preserve">Una </w:t>
      </w:r>
      <w:r w:rsidRPr="00090216">
        <w:rPr>
          <w:i/>
          <w:iCs/>
          <w:sz w:val="16"/>
          <w:szCs w:val="16"/>
        </w:rPr>
        <w:t>Inverió Oculta</w:t>
      </w:r>
      <w:r>
        <w:rPr>
          <w:i/>
          <w:iCs/>
          <w:sz w:val="16"/>
          <w:szCs w:val="16"/>
        </w:rPr>
        <w:t>,</w:t>
      </w:r>
      <w:r w:rsidRPr="00090216">
        <w:rPr>
          <w:sz w:val="16"/>
          <w:szCs w:val="16"/>
        </w:rPr>
        <w:t xml:space="preserve"> pp. 1750-1900.</w:t>
      </w:r>
      <w:r w:rsidRPr="00704CC3">
        <w:rPr>
          <w:sz w:val="16"/>
          <w:szCs w:val="16"/>
        </w:rPr>
        <w:t xml:space="preserve"> </w:t>
      </w:r>
      <w:r>
        <w:rPr>
          <w:sz w:val="16"/>
          <w:szCs w:val="16"/>
        </w:rPr>
        <w:t>(p.</w:t>
      </w:r>
      <w:r w:rsidRPr="00090216">
        <w:rPr>
          <w:sz w:val="16"/>
          <w:szCs w:val="16"/>
        </w:rPr>
        <w:t>1750)</w:t>
      </w:r>
      <w:r>
        <w:rPr>
          <w:sz w:val="16"/>
          <w:szCs w:val="16"/>
        </w:rPr>
        <w:t>.</w:t>
      </w:r>
    </w:p>
  </w:footnote>
  <w:footnote w:id="275">
    <w:p w14:paraId="7F2DA1FD" w14:textId="77777777" w:rsidR="005A05DF" w:rsidRPr="00090216" w:rsidRDefault="005A05DF" w:rsidP="005A05DF">
      <w:pPr>
        <w:pStyle w:val="FootnoteText"/>
        <w:rPr>
          <w:sz w:val="16"/>
          <w:szCs w:val="16"/>
        </w:rPr>
      </w:pPr>
      <w:r w:rsidRPr="00090216">
        <w:rPr>
          <w:rStyle w:val="FootnoteReference"/>
          <w:sz w:val="16"/>
          <w:szCs w:val="16"/>
        </w:rPr>
        <w:footnoteRef/>
      </w:r>
      <w:r w:rsidRPr="00090216">
        <w:rPr>
          <w:sz w:val="16"/>
          <w:szCs w:val="16"/>
        </w:rPr>
        <w:t xml:space="preserve"> Gillian Cookson, ‘Family Firms and Business Networks: Textile Engineering in Yorkshire, 1780-1830,’ </w:t>
      </w:r>
      <w:r w:rsidRPr="00090216">
        <w:rPr>
          <w:i/>
          <w:iCs/>
          <w:sz w:val="16"/>
          <w:szCs w:val="16"/>
        </w:rPr>
        <w:t>Business History,</w:t>
      </w:r>
      <w:r w:rsidRPr="00090216">
        <w:rPr>
          <w:sz w:val="16"/>
          <w:szCs w:val="16"/>
        </w:rPr>
        <w:t xml:space="preserve"> 39:1, (1997), pp.1-2. (pp.1-20).</w:t>
      </w:r>
    </w:p>
  </w:footnote>
  <w:footnote w:id="276">
    <w:p w14:paraId="1B579652" w14:textId="72E1C408" w:rsidR="004E36C1" w:rsidRPr="000D3B78" w:rsidRDefault="004E36C1">
      <w:pPr>
        <w:pStyle w:val="FootnoteText"/>
        <w:rPr>
          <w:sz w:val="16"/>
          <w:szCs w:val="16"/>
        </w:rPr>
      </w:pPr>
      <w:r w:rsidRPr="000D3B78">
        <w:rPr>
          <w:rStyle w:val="FootnoteReference"/>
          <w:sz w:val="16"/>
          <w:szCs w:val="16"/>
        </w:rPr>
        <w:footnoteRef/>
      </w:r>
      <w:r w:rsidRPr="000D3B78">
        <w:rPr>
          <w:sz w:val="16"/>
          <w:szCs w:val="16"/>
        </w:rPr>
        <w:t xml:space="preserve"> </w:t>
      </w:r>
      <w:r w:rsidR="004E772C" w:rsidRPr="000D3B78">
        <w:rPr>
          <w:sz w:val="16"/>
          <w:szCs w:val="16"/>
        </w:rPr>
        <w:t xml:space="preserve">See </w:t>
      </w:r>
      <w:r w:rsidR="00863648" w:rsidRPr="000D3B78">
        <w:rPr>
          <w:sz w:val="16"/>
          <w:szCs w:val="16"/>
        </w:rPr>
        <w:t>Carolyn Downs, ‘Networks, trust, and risk mitigation during the American Revolutionary War’, p. 511</w:t>
      </w:r>
      <w:r w:rsidR="000D3B78">
        <w:rPr>
          <w:sz w:val="16"/>
          <w:szCs w:val="16"/>
        </w:rPr>
        <w:t xml:space="preserve"> and </w:t>
      </w:r>
      <w:r w:rsidR="000D3B78" w:rsidRPr="000D3B78">
        <w:rPr>
          <w:sz w:val="16"/>
          <w:szCs w:val="16"/>
        </w:rPr>
        <w:t xml:space="preserve">Mary B. Rose, </w:t>
      </w:r>
      <w:r w:rsidR="000D3B78" w:rsidRPr="000D3B78">
        <w:rPr>
          <w:i/>
          <w:iCs/>
          <w:sz w:val="16"/>
          <w:szCs w:val="16"/>
        </w:rPr>
        <w:t>Firms, Networks, and Business Values</w:t>
      </w:r>
      <w:r w:rsidR="000D3B78" w:rsidRPr="000D3B78">
        <w:rPr>
          <w:sz w:val="16"/>
          <w:szCs w:val="16"/>
        </w:rPr>
        <w:t>, (Cambridge University Press, 2000), p.59.</w:t>
      </w:r>
    </w:p>
  </w:footnote>
  <w:footnote w:id="277">
    <w:p w14:paraId="14AC592E" w14:textId="4DD4AA34" w:rsidR="005A05DF" w:rsidRPr="00312A75" w:rsidRDefault="005A05DF" w:rsidP="005A05DF">
      <w:pPr>
        <w:pStyle w:val="FootnoteText"/>
        <w:rPr>
          <w:sz w:val="16"/>
          <w:szCs w:val="16"/>
        </w:rPr>
      </w:pPr>
      <w:r w:rsidRPr="00312A75">
        <w:rPr>
          <w:rStyle w:val="FootnoteReference"/>
          <w:sz w:val="16"/>
          <w:szCs w:val="16"/>
        </w:rPr>
        <w:footnoteRef/>
      </w:r>
      <w:r w:rsidR="00090216" w:rsidRPr="00312A75">
        <w:rPr>
          <w:sz w:val="16"/>
          <w:szCs w:val="16"/>
        </w:rPr>
        <w:t xml:space="preserve"> JRL, GB 133 </w:t>
      </w:r>
      <w:r w:rsidRPr="00312A75">
        <w:rPr>
          <w:sz w:val="16"/>
          <w:szCs w:val="16"/>
        </w:rPr>
        <w:t xml:space="preserve">MCK 2/2/3 </w:t>
      </w:r>
      <w:r w:rsidR="00090216" w:rsidRPr="00312A75">
        <w:rPr>
          <w:sz w:val="16"/>
          <w:szCs w:val="16"/>
        </w:rPr>
        <w:t>[</w:t>
      </w:r>
      <w:r w:rsidRPr="00312A75">
        <w:rPr>
          <w:sz w:val="16"/>
          <w:szCs w:val="16"/>
        </w:rPr>
        <w:t>Correspondence between McConnel &amp; Kennedy and Alexander Barclay</w:t>
      </w:r>
      <w:r w:rsidR="00F475FB" w:rsidRPr="00F475FB">
        <w:rPr>
          <w:sz w:val="16"/>
          <w:szCs w:val="16"/>
        </w:rPr>
        <w:t xml:space="preserve"> </w:t>
      </w:r>
      <w:r w:rsidR="00F475FB">
        <w:rPr>
          <w:sz w:val="16"/>
          <w:szCs w:val="16"/>
        </w:rPr>
        <w:t xml:space="preserve">13 </w:t>
      </w:r>
      <w:r w:rsidR="00F475FB" w:rsidRPr="00312A75">
        <w:rPr>
          <w:sz w:val="16"/>
          <w:szCs w:val="16"/>
        </w:rPr>
        <w:t>April 13, 1805</w:t>
      </w:r>
      <w:r w:rsidR="00090216" w:rsidRPr="00312A75">
        <w:rPr>
          <w:sz w:val="16"/>
          <w:szCs w:val="16"/>
        </w:rPr>
        <w:t>]</w:t>
      </w:r>
      <w:r w:rsidR="00F475FB">
        <w:rPr>
          <w:sz w:val="16"/>
          <w:szCs w:val="16"/>
        </w:rPr>
        <w:t>.</w:t>
      </w:r>
    </w:p>
  </w:footnote>
  <w:footnote w:id="278">
    <w:p w14:paraId="32E5ED56" w14:textId="717D7D7E" w:rsidR="005A05DF" w:rsidRPr="00BF2189" w:rsidRDefault="005A05DF" w:rsidP="005A05DF">
      <w:pPr>
        <w:pStyle w:val="FootnoteText"/>
        <w:rPr>
          <w:sz w:val="18"/>
          <w:szCs w:val="18"/>
        </w:rPr>
      </w:pPr>
      <w:r w:rsidRPr="00312A75">
        <w:rPr>
          <w:rStyle w:val="FootnoteReference"/>
          <w:sz w:val="16"/>
          <w:szCs w:val="16"/>
        </w:rPr>
        <w:footnoteRef/>
      </w:r>
      <w:r w:rsidRPr="00312A75">
        <w:rPr>
          <w:sz w:val="16"/>
          <w:szCs w:val="16"/>
        </w:rPr>
        <w:t xml:space="preserve"> Alistair Owens, </w:t>
      </w:r>
      <w:r w:rsidR="00312A75" w:rsidRPr="00312A75">
        <w:rPr>
          <w:sz w:val="16"/>
          <w:szCs w:val="16"/>
        </w:rPr>
        <w:t xml:space="preserve">‘Inheritance and the Life Cycle of Family Firms in the Early Industrial Revolution,’ </w:t>
      </w:r>
      <w:r w:rsidR="00312A75" w:rsidRPr="00312A75">
        <w:rPr>
          <w:i/>
          <w:iCs/>
          <w:sz w:val="16"/>
          <w:szCs w:val="16"/>
        </w:rPr>
        <w:t>Business History</w:t>
      </w:r>
      <w:r w:rsidR="00312A75" w:rsidRPr="00312A75">
        <w:rPr>
          <w:sz w:val="16"/>
          <w:szCs w:val="16"/>
        </w:rPr>
        <w:t>, 44:1 (2002), pp. 21-47 (p. 43).</w:t>
      </w:r>
    </w:p>
  </w:footnote>
  <w:footnote w:id="279">
    <w:p w14:paraId="39CEDBDA" w14:textId="6F1E7BB4" w:rsidR="005A05DF" w:rsidRPr="00312A75" w:rsidRDefault="005A05DF" w:rsidP="005A05DF">
      <w:pPr>
        <w:pStyle w:val="FootnoteText"/>
        <w:rPr>
          <w:sz w:val="16"/>
          <w:szCs w:val="16"/>
        </w:rPr>
      </w:pPr>
      <w:r w:rsidRPr="00312A75">
        <w:rPr>
          <w:rStyle w:val="FootnoteReference"/>
          <w:sz w:val="16"/>
          <w:szCs w:val="16"/>
        </w:rPr>
        <w:footnoteRef/>
      </w:r>
      <w:r w:rsidRPr="00312A75">
        <w:rPr>
          <w:sz w:val="16"/>
          <w:szCs w:val="16"/>
        </w:rPr>
        <w:t xml:space="preserve"> Margaret R. Hunt, </w:t>
      </w:r>
      <w:r w:rsidRPr="00312A75">
        <w:rPr>
          <w:i/>
          <w:iCs/>
          <w:sz w:val="16"/>
          <w:szCs w:val="16"/>
        </w:rPr>
        <w:t>The Middling Sort: Commerce, Gender, and the Family in England, 1680-1780</w:t>
      </w:r>
      <w:r w:rsidRPr="00312A75">
        <w:rPr>
          <w:sz w:val="16"/>
          <w:szCs w:val="16"/>
        </w:rPr>
        <w:t xml:space="preserve"> (University of California Press, 1996), p. 24</w:t>
      </w:r>
      <w:r w:rsidR="00EA63A3" w:rsidRPr="00312A75">
        <w:rPr>
          <w:sz w:val="16"/>
          <w:szCs w:val="16"/>
        </w:rPr>
        <w:t>.</w:t>
      </w:r>
    </w:p>
  </w:footnote>
  <w:footnote w:id="280">
    <w:p w14:paraId="7BE398A8" w14:textId="773C95A3" w:rsidR="005A05DF" w:rsidRPr="00941AA8" w:rsidRDefault="005A05DF" w:rsidP="005A05DF">
      <w:pPr>
        <w:pStyle w:val="FootnoteText"/>
        <w:rPr>
          <w:sz w:val="16"/>
          <w:szCs w:val="16"/>
        </w:rPr>
      </w:pPr>
      <w:r w:rsidRPr="00941AA8">
        <w:rPr>
          <w:rStyle w:val="FootnoteReference"/>
          <w:sz w:val="16"/>
          <w:szCs w:val="16"/>
        </w:rPr>
        <w:footnoteRef/>
      </w:r>
      <w:r w:rsidRPr="00941AA8">
        <w:rPr>
          <w:sz w:val="16"/>
          <w:szCs w:val="16"/>
        </w:rPr>
        <w:t xml:space="preserve"> </w:t>
      </w:r>
      <w:r w:rsidR="00941AA8" w:rsidRPr="00941AA8">
        <w:rPr>
          <w:sz w:val="16"/>
          <w:szCs w:val="16"/>
        </w:rPr>
        <w:t xml:space="preserve">Peter </w:t>
      </w:r>
      <w:r w:rsidRPr="00941AA8">
        <w:rPr>
          <w:sz w:val="16"/>
          <w:szCs w:val="16"/>
        </w:rPr>
        <w:t>Ester, ‘Still Bowling Together: Social Capital of Dutch Protestant Immigrant Groups in North America</w:t>
      </w:r>
      <w:r w:rsidR="00941AA8" w:rsidRPr="00941AA8">
        <w:rPr>
          <w:sz w:val="16"/>
          <w:szCs w:val="16"/>
        </w:rPr>
        <w:t>,</w:t>
      </w:r>
      <w:r w:rsidRPr="00941AA8">
        <w:rPr>
          <w:sz w:val="16"/>
          <w:szCs w:val="16"/>
        </w:rPr>
        <w:t xml:space="preserve">’ </w:t>
      </w:r>
      <w:r w:rsidR="00941AA8" w:rsidRPr="00941AA8">
        <w:rPr>
          <w:sz w:val="16"/>
          <w:szCs w:val="16"/>
        </w:rPr>
        <w:t>i</w:t>
      </w:r>
      <w:r w:rsidRPr="00941AA8">
        <w:rPr>
          <w:sz w:val="16"/>
          <w:szCs w:val="16"/>
        </w:rPr>
        <w:t xml:space="preserve">n </w:t>
      </w:r>
      <w:r w:rsidRPr="00941AA8">
        <w:rPr>
          <w:i/>
          <w:iCs/>
          <w:sz w:val="16"/>
          <w:szCs w:val="16"/>
        </w:rPr>
        <w:t>Morsels in the Melting Pot</w:t>
      </w:r>
      <w:r w:rsidRPr="00941AA8">
        <w:rPr>
          <w:sz w:val="16"/>
          <w:szCs w:val="16"/>
        </w:rPr>
        <w:t>, ed</w:t>
      </w:r>
      <w:r w:rsidR="00941AA8" w:rsidRPr="00941AA8">
        <w:rPr>
          <w:sz w:val="16"/>
          <w:szCs w:val="16"/>
        </w:rPr>
        <w:t>. by</w:t>
      </w:r>
      <w:r w:rsidRPr="00941AA8">
        <w:rPr>
          <w:sz w:val="16"/>
          <w:szCs w:val="16"/>
        </w:rPr>
        <w:t xml:space="preserve"> Georg </w:t>
      </w:r>
      <w:r w:rsidRPr="00941AA8">
        <w:rPr>
          <w:sz w:val="16"/>
          <w:szCs w:val="16"/>
        </w:rPr>
        <w:t xml:space="preserve">Hanrick and Hans Krabbendam (Amsterdam: VU University Press, 2005), pp. 185-186. </w:t>
      </w:r>
    </w:p>
  </w:footnote>
  <w:footnote w:id="281">
    <w:p w14:paraId="65646B27" w14:textId="24EB702E" w:rsidR="005A05DF" w:rsidRPr="00941AA8" w:rsidRDefault="005A05DF" w:rsidP="005A05DF">
      <w:pPr>
        <w:pStyle w:val="FootnoteText"/>
        <w:rPr>
          <w:sz w:val="16"/>
          <w:szCs w:val="16"/>
        </w:rPr>
      </w:pPr>
      <w:r w:rsidRPr="00941AA8">
        <w:rPr>
          <w:rStyle w:val="FootnoteReference"/>
          <w:sz w:val="16"/>
          <w:szCs w:val="16"/>
        </w:rPr>
        <w:footnoteRef/>
      </w:r>
      <w:r w:rsidRPr="00941AA8">
        <w:rPr>
          <w:sz w:val="16"/>
          <w:szCs w:val="16"/>
        </w:rPr>
        <w:t xml:space="preserve"> </w:t>
      </w:r>
      <w:r w:rsidR="00941AA8" w:rsidRPr="00941AA8">
        <w:rPr>
          <w:sz w:val="16"/>
          <w:szCs w:val="16"/>
        </w:rPr>
        <w:t xml:space="preserve">Sheryllynne Haggerty, </w:t>
      </w:r>
      <w:r w:rsidR="00941AA8" w:rsidRPr="00941AA8">
        <w:rPr>
          <w:i/>
          <w:iCs/>
          <w:sz w:val="16"/>
          <w:szCs w:val="16"/>
        </w:rPr>
        <w:t xml:space="preserve">Merely for </w:t>
      </w:r>
      <w:r w:rsidR="00941AA8" w:rsidRPr="00941AA8">
        <w:rPr>
          <w:i/>
          <w:iCs/>
          <w:sz w:val="16"/>
          <w:szCs w:val="16"/>
        </w:rPr>
        <w:t>Money?: Business Culture in the British Atlantic, 1750-1815</w:t>
      </w:r>
      <w:r w:rsidR="00941AA8" w:rsidRPr="00941AA8">
        <w:rPr>
          <w:sz w:val="16"/>
          <w:szCs w:val="16"/>
        </w:rPr>
        <w:t xml:space="preserve"> (Liverpool: Liverpool University Press, 2012) pp. 1-2.</w:t>
      </w:r>
    </w:p>
  </w:footnote>
  <w:footnote w:id="282">
    <w:p w14:paraId="586F9667" w14:textId="54EEBC6F" w:rsidR="005A05DF" w:rsidRPr="00941AA8" w:rsidRDefault="005A05DF" w:rsidP="005A05DF">
      <w:pPr>
        <w:pStyle w:val="FootnoteText"/>
        <w:rPr>
          <w:sz w:val="16"/>
          <w:szCs w:val="16"/>
        </w:rPr>
      </w:pPr>
      <w:r w:rsidRPr="00941AA8">
        <w:rPr>
          <w:rStyle w:val="FootnoteReference"/>
          <w:sz w:val="16"/>
          <w:szCs w:val="16"/>
        </w:rPr>
        <w:footnoteRef/>
      </w:r>
      <w:r w:rsidRPr="00941AA8">
        <w:rPr>
          <w:sz w:val="16"/>
          <w:szCs w:val="16"/>
        </w:rPr>
        <w:t xml:space="preserve"> </w:t>
      </w:r>
      <w:r w:rsidR="00941AA8" w:rsidRPr="00941AA8">
        <w:rPr>
          <w:sz w:val="16"/>
          <w:szCs w:val="16"/>
        </w:rPr>
        <w:t xml:space="preserve">Haggerty, </w:t>
      </w:r>
      <w:r w:rsidR="00941AA8" w:rsidRPr="00941AA8">
        <w:rPr>
          <w:i/>
          <w:iCs/>
          <w:sz w:val="16"/>
          <w:szCs w:val="16"/>
        </w:rPr>
        <w:t xml:space="preserve">Merely for </w:t>
      </w:r>
      <w:r w:rsidR="00941AA8" w:rsidRPr="00941AA8">
        <w:rPr>
          <w:i/>
          <w:iCs/>
          <w:sz w:val="16"/>
          <w:szCs w:val="16"/>
        </w:rPr>
        <w:t>Money?,</w:t>
      </w:r>
      <w:r w:rsidR="008E4DB8" w:rsidRPr="00941AA8">
        <w:rPr>
          <w:sz w:val="16"/>
          <w:szCs w:val="16"/>
        </w:rPr>
        <w:t xml:space="preserve"> pp. 1-2. </w:t>
      </w:r>
      <w:r w:rsidRPr="00941AA8">
        <w:rPr>
          <w:sz w:val="16"/>
          <w:szCs w:val="16"/>
        </w:rPr>
        <w:t xml:space="preserve"> </w:t>
      </w:r>
    </w:p>
  </w:footnote>
  <w:footnote w:id="283">
    <w:p w14:paraId="4BE9C216" w14:textId="65BF0265" w:rsidR="005A05DF" w:rsidRPr="00941AA8" w:rsidRDefault="005A05DF" w:rsidP="005A05DF">
      <w:pPr>
        <w:pStyle w:val="FootnoteText"/>
        <w:rPr>
          <w:sz w:val="16"/>
          <w:szCs w:val="16"/>
        </w:rPr>
      </w:pPr>
      <w:r w:rsidRPr="00941AA8">
        <w:rPr>
          <w:rStyle w:val="FootnoteReference"/>
          <w:sz w:val="16"/>
          <w:szCs w:val="16"/>
        </w:rPr>
        <w:footnoteRef/>
      </w:r>
      <w:r w:rsidRPr="00941AA8">
        <w:rPr>
          <w:sz w:val="16"/>
          <w:szCs w:val="16"/>
        </w:rPr>
        <w:t xml:space="preserve"> </w:t>
      </w:r>
      <w:bookmarkStart w:id="94" w:name="_Hlk150152539"/>
      <w:r w:rsidRPr="00941AA8">
        <w:rPr>
          <w:sz w:val="16"/>
          <w:szCs w:val="16"/>
        </w:rPr>
        <w:t xml:space="preserve">Mary B. Rose, </w:t>
      </w:r>
      <w:r w:rsidRPr="00941AA8">
        <w:rPr>
          <w:i/>
          <w:iCs/>
          <w:sz w:val="16"/>
          <w:szCs w:val="16"/>
        </w:rPr>
        <w:t>Firms, Networks, and Business Values</w:t>
      </w:r>
      <w:r w:rsidR="009D6DB8" w:rsidRPr="00941AA8">
        <w:rPr>
          <w:sz w:val="16"/>
          <w:szCs w:val="16"/>
        </w:rPr>
        <w:t xml:space="preserve"> (Cambr</w:t>
      </w:r>
      <w:bookmarkEnd w:id="94"/>
      <w:r w:rsidR="009D6DB8" w:rsidRPr="00941AA8">
        <w:rPr>
          <w:sz w:val="16"/>
          <w:szCs w:val="16"/>
        </w:rPr>
        <w:t xml:space="preserve">idge University Press, 2000), </w:t>
      </w:r>
      <w:r w:rsidRPr="00941AA8">
        <w:rPr>
          <w:sz w:val="16"/>
          <w:szCs w:val="16"/>
        </w:rPr>
        <w:t>p.59</w:t>
      </w:r>
      <w:r w:rsidR="008E4DB8" w:rsidRPr="00941AA8">
        <w:rPr>
          <w:sz w:val="16"/>
          <w:szCs w:val="16"/>
        </w:rPr>
        <w:t>.</w:t>
      </w:r>
      <w:r w:rsidRPr="00941AA8">
        <w:rPr>
          <w:sz w:val="16"/>
          <w:szCs w:val="16"/>
        </w:rPr>
        <w:t xml:space="preserve"> </w:t>
      </w:r>
    </w:p>
  </w:footnote>
  <w:footnote w:id="284">
    <w:p w14:paraId="61C7A992" w14:textId="6E262607"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Rose, Firms, </w:t>
      </w:r>
      <w:r w:rsidRPr="00C839BA">
        <w:rPr>
          <w:i/>
          <w:iCs/>
          <w:sz w:val="16"/>
          <w:szCs w:val="16"/>
        </w:rPr>
        <w:t>Networks and Business Values</w:t>
      </w:r>
      <w:r w:rsidRPr="00C839BA">
        <w:rPr>
          <w:sz w:val="16"/>
          <w:szCs w:val="16"/>
        </w:rPr>
        <w:t>, p. 65</w:t>
      </w:r>
      <w:r w:rsidR="00941AA8" w:rsidRPr="00C839BA">
        <w:rPr>
          <w:sz w:val="16"/>
          <w:szCs w:val="16"/>
        </w:rPr>
        <w:t>.</w:t>
      </w:r>
    </w:p>
  </w:footnote>
  <w:footnote w:id="285">
    <w:p w14:paraId="43C12F3D" w14:textId="1D74A0B2" w:rsidR="005A05DF" w:rsidRDefault="005A05DF" w:rsidP="005A05DF">
      <w:pPr>
        <w:pStyle w:val="FootnoteText"/>
      </w:pPr>
      <w:r w:rsidRPr="00C839BA">
        <w:rPr>
          <w:rStyle w:val="FootnoteReference"/>
          <w:sz w:val="16"/>
          <w:szCs w:val="16"/>
        </w:rPr>
        <w:footnoteRef/>
      </w:r>
      <w:r w:rsidRPr="00C839BA">
        <w:rPr>
          <w:sz w:val="16"/>
          <w:szCs w:val="16"/>
        </w:rPr>
        <w:t xml:space="preserve"> </w:t>
      </w:r>
      <w:r w:rsidR="00C839BA" w:rsidRPr="00C839BA">
        <w:rPr>
          <w:sz w:val="16"/>
          <w:szCs w:val="16"/>
        </w:rPr>
        <w:t xml:space="preserve">David Sunderland, </w:t>
      </w:r>
      <w:r w:rsidR="00C839BA" w:rsidRPr="00C839BA">
        <w:rPr>
          <w:i/>
          <w:iCs/>
          <w:sz w:val="16"/>
          <w:szCs w:val="16"/>
        </w:rPr>
        <w:t>Social Capital, Trust and the Industrial Revolution, 1780-1880</w:t>
      </w:r>
      <w:r w:rsidR="00C839BA" w:rsidRPr="00C839BA">
        <w:rPr>
          <w:sz w:val="16"/>
          <w:szCs w:val="16"/>
        </w:rPr>
        <w:t xml:space="preserve"> (London: Routledge, 2007),</w:t>
      </w:r>
      <w:r w:rsidR="00D03C03" w:rsidRPr="00C839BA">
        <w:rPr>
          <w:sz w:val="16"/>
          <w:szCs w:val="16"/>
        </w:rPr>
        <w:t xml:space="preserve"> </w:t>
      </w:r>
      <w:r w:rsidR="00A51FC1" w:rsidRPr="00C839BA">
        <w:rPr>
          <w:sz w:val="16"/>
          <w:szCs w:val="16"/>
        </w:rPr>
        <w:t>p. 148.</w:t>
      </w:r>
      <w:r w:rsidR="00A51FC1" w:rsidRPr="00A51FC1">
        <w:t xml:space="preserve"> </w:t>
      </w:r>
    </w:p>
  </w:footnote>
  <w:footnote w:id="286">
    <w:p w14:paraId="019C94E2" w14:textId="2B998DB5" w:rsidR="0087383E" w:rsidRPr="00C839BA" w:rsidRDefault="0087383E">
      <w:pPr>
        <w:pStyle w:val="FootnoteText"/>
        <w:rPr>
          <w:sz w:val="16"/>
          <w:szCs w:val="16"/>
        </w:rPr>
      </w:pPr>
      <w:r w:rsidRPr="00C839BA">
        <w:rPr>
          <w:rStyle w:val="FootnoteReference"/>
          <w:sz w:val="16"/>
          <w:szCs w:val="16"/>
        </w:rPr>
        <w:footnoteRef/>
      </w:r>
      <w:r w:rsidRPr="00C839BA">
        <w:rPr>
          <w:sz w:val="16"/>
          <w:szCs w:val="16"/>
        </w:rPr>
        <w:t xml:space="preserve"> </w:t>
      </w:r>
      <w:r w:rsidR="004574A6" w:rsidRPr="00C839BA">
        <w:rPr>
          <w:sz w:val="16"/>
          <w:szCs w:val="16"/>
        </w:rPr>
        <w:t>JRL, GB 133 MCK/2/1/8</w:t>
      </w:r>
      <w:r w:rsidR="007E3865">
        <w:rPr>
          <w:sz w:val="16"/>
          <w:szCs w:val="16"/>
        </w:rPr>
        <w:t xml:space="preserve"> </w:t>
      </w:r>
      <w:bookmarkStart w:id="96" w:name="_Hlk156648037"/>
      <w:r w:rsidR="007E3865">
        <w:rPr>
          <w:sz w:val="16"/>
          <w:szCs w:val="16"/>
        </w:rPr>
        <w:t>[Letter Received by McConnel &amp; Kennedy from Will Howard &amp; Sons of Stockport, 30 September 1802].</w:t>
      </w:r>
      <w:r w:rsidR="004574A6" w:rsidRPr="00C839BA">
        <w:rPr>
          <w:sz w:val="16"/>
          <w:szCs w:val="16"/>
        </w:rPr>
        <w:t xml:space="preserve"> </w:t>
      </w:r>
      <w:bookmarkEnd w:id="96"/>
    </w:p>
  </w:footnote>
  <w:footnote w:id="287">
    <w:p w14:paraId="68348BD4" w14:textId="4F7D71F8" w:rsidR="00D04FCA" w:rsidRPr="00C839BA" w:rsidRDefault="00D04FCA">
      <w:pPr>
        <w:pStyle w:val="FootnoteText"/>
        <w:rPr>
          <w:sz w:val="16"/>
          <w:szCs w:val="16"/>
        </w:rPr>
      </w:pPr>
      <w:r w:rsidRPr="00C839BA">
        <w:rPr>
          <w:rStyle w:val="FootnoteReference"/>
          <w:sz w:val="16"/>
          <w:szCs w:val="16"/>
        </w:rPr>
        <w:footnoteRef/>
      </w:r>
      <w:r w:rsidRPr="00C839BA">
        <w:rPr>
          <w:sz w:val="16"/>
          <w:szCs w:val="16"/>
        </w:rPr>
        <w:t xml:space="preserve"> </w:t>
      </w:r>
      <w:r w:rsidR="00C839BA" w:rsidRPr="00C839BA">
        <w:rPr>
          <w:sz w:val="16"/>
          <w:szCs w:val="16"/>
        </w:rPr>
        <w:t xml:space="preserve">JRL, GB 133 </w:t>
      </w:r>
      <w:r w:rsidR="000F384C" w:rsidRPr="00C839BA">
        <w:rPr>
          <w:sz w:val="16"/>
          <w:szCs w:val="16"/>
        </w:rPr>
        <w:t xml:space="preserve">MCK/2/1/8 </w:t>
      </w:r>
      <w:r w:rsidR="007E3865" w:rsidRPr="007E3865">
        <w:rPr>
          <w:sz w:val="16"/>
          <w:szCs w:val="16"/>
        </w:rPr>
        <w:t>[Letter Received by McConnel &amp; Kennedy from Will Howard &amp; Sons of Stockport, 30 September 1802].</w:t>
      </w:r>
    </w:p>
  </w:footnote>
  <w:footnote w:id="288">
    <w:p w14:paraId="5B2EE942" w14:textId="6A10B80C" w:rsidR="007C3E43" w:rsidRPr="00C839BA" w:rsidRDefault="007C3E43">
      <w:pPr>
        <w:pStyle w:val="FootnoteText"/>
        <w:rPr>
          <w:sz w:val="16"/>
          <w:szCs w:val="16"/>
        </w:rPr>
      </w:pPr>
      <w:r w:rsidRPr="00C839BA">
        <w:rPr>
          <w:rStyle w:val="FootnoteReference"/>
          <w:sz w:val="16"/>
          <w:szCs w:val="16"/>
        </w:rPr>
        <w:footnoteRef/>
      </w:r>
      <w:r w:rsidRPr="00C839BA">
        <w:rPr>
          <w:sz w:val="16"/>
          <w:szCs w:val="16"/>
        </w:rPr>
        <w:t xml:space="preserve"> </w:t>
      </w:r>
      <w:r w:rsidR="00C839BA" w:rsidRPr="00C839BA">
        <w:rPr>
          <w:sz w:val="16"/>
          <w:szCs w:val="16"/>
        </w:rPr>
        <w:t xml:space="preserve">Robert S. Fitton, and Alfred P. Wadsworth, </w:t>
      </w:r>
      <w:r w:rsidR="00C839BA" w:rsidRPr="00C839BA">
        <w:rPr>
          <w:i/>
          <w:iCs/>
          <w:sz w:val="16"/>
          <w:szCs w:val="16"/>
        </w:rPr>
        <w:t xml:space="preserve">The </w:t>
      </w:r>
      <w:r w:rsidR="00C839BA" w:rsidRPr="00C839BA">
        <w:rPr>
          <w:i/>
          <w:iCs/>
          <w:sz w:val="16"/>
          <w:szCs w:val="16"/>
        </w:rPr>
        <w:t>Strutts and the Arkwrights, 1758-1830</w:t>
      </w:r>
      <w:r w:rsidR="00C839BA" w:rsidRPr="00C839BA">
        <w:rPr>
          <w:sz w:val="16"/>
          <w:szCs w:val="16"/>
        </w:rPr>
        <w:t xml:space="preserve"> (Manchester: Manchester University Press, 1958)</w:t>
      </w:r>
      <w:r w:rsidR="00C07AA6" w:rsidRPr="00C839BA">
        <w:rPr>
          <w:sz w:val="16"/>
          <w:szCs w:val="16"/>
        </w:rPr>
        <w:t>,</w:t>
      </w:r>
      <w:r w:rsidR="00502D6C" w:rsidRPr="00C839BA">
        <w:rPr>
          <w:sz w:val="16"/>
          <w:szCs w:val="16"/>
        </w:rPr>
        <w:t xml:space="preserve"> p</w:t>
      </w:r>
      <w:r w:rsidR="006D62B0" w:rsidRPr="00C839BA">
        <w:rPr>
          <w:sz w:val="16"/>
          <w:szCs w:val="16"/>
        </w:rPr>
        <w:t>p</w:t>
      </w:r>
      <w:r w:rsidR="00502D6C" w:rsidRPr="00C839BA">
        <w:rPr>
          <w:sz w:val="16"/>
          <w:szCs w:val="16"/>
        </w:rPr>
        <w:t xml:space="preserve">. </w:t>
      </w:r>
      <w:r w:rsidR="004B1C19" w:rsidRPr="00C839BA">
        <w:rPr>
          <w:sz w:val="16"/>
          <w:szCs w:val="16"/>
        </w:rPr>
        <w:t>164-165</w:t>
      </w:r>
      <w:r w:rsidR="00C07AA6" w:rsidRPr="00C839BA">
        <w:rPr>
          <w:sz w:val="16"/>
          <w:szCs w:val="16"/>
        </w:rPr>
        <w:t>.</w:t>
      </w:r>
    </w:p>
  </w:footnote>
  <w:footnote w:id="289">
    <w:p w14:paraId="04F7F24F" w14:textId="7807A790" w:rsidR="00A5462E" w:rsidRDefault="00A5462E">
      <w:pPr>
        <w:pStyle w:val="FootnoteText"/>
      </w:pPr>
      <w:r w:rsidRPr="00C839BA">
        <w:rPr>
          <w:rStyle w:val="FootnoteReference"/>
          <w:sz w:val="16"/>
          <w:szCs w:val="16"/>
        </w:rPr>
        <w:footnoteRef/>
      </w:r>
      <w:r w:rsidRPr="00C839BA">
        <w:rPr>
          <w:sz w:val="16"/>
          <w:szCs w:val="16"/>
        </w:rPr>
        <w:t xml:space="preserve"> </w:t>
      </w:r>
      <w:r w:rsidR="00C839BA" w:rsidRPr="00C839BA">
        <w:rPr>
          <w:sz w:val="16"/>
          <w:szCs w:val="16"/>
        </w:rPr>
        <w:t xml:space="preserve">Fitton and Wadsworth, </w:t>
      </w:r>
      <w:r w:rsidR="00C839BA" w:rsidRPr="00C839BA">
        <w:rPr>
          <w:i/>
          <w:iCs/>
          <w:sz w:val="16"/>
          <w:szCs w:val="16"/>
        </w:rPr>
        <w:t xml:space="preserve">The </w:t>
      </w:r>
      <w:r w:rsidR="00C839BA" w:rsidRPr="00C839BA">
        <w:rPr>
          <w:i/>
          <w:iCs/>
          <w:sz w:val="16"/>
          <w:szCs w:val="16"/>
        </w:rPr>
        <w:t>Strutts and the Arkwrights</w:t>
      </w:r>
      <w:r w:rsidR="00C839BA" w:rsidRPr="00C839BA">
        <w:rPr>
          <w:sz w:val="16"/>
          <w:szCs w:val="16"/>
        </w:rPr>
        <w:t>, p</w:t>
      </w:r>
      <w:r w:rsidR="006D62B0" w:rsidRPr="00C839BA">
        <w:rPr>
          <w:sz w:val="16"/>
          <w:szCs w:val="16"/>
        </w:rPr>
        <w:t>p. 164-165.</w:t>
      </w:r>
      <w:r w:rsidR="006D62B0">
        <w:t xml:space="preserve"> </w:t>
      </w:r>
    </w:p>
  </w:footnote>
  <w:footnote w:id="290">
    <w:p w14:paraId="653E11E5" w14:textId="1237613F"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Desmond King-Hele (ed), </w:t>
      </w:r>
      <w:r w:rsidRPr="00C839BA">
        <w:rPr>
          <w:i/>
          <w:iCs/>
          <w:sz w:val="16"/>
          <w:szCs w:val="16"/>
        </w:rPr>
        <w:t>The Collected Letters of Erasmus Darwin</w:t>
      </w:r>
      <w:r w:rsidR="00C839BA" w:rsidRPr="00C839BA">
        <w:rPr>
          <w:sz w:val="16"/>
          <w:szCs w:val="16"/>
        </w:rPr>
        <w:t xml:space="preserve"> </w:t>
      </w:r>
      <w:r w:rsidRPr="00C839BA">
        <w:rPr>
          <w:sz w:val="16"/>
          <w:szCs w:val="16"/>
        </w:rPr>
        <w:t>(Cambridge</w:t>
      </w:r>
      <w:r w:rsidR="00C839BA" w:rsidRPr="00C839BA">
        <w:rPr>
          <w:sz w:val="16"/>
          <w:szCs w:val="16"/>
        </w:rPr>
        <w:t>: Cambridge</w:t>
      </w:r>
      <w:r w:rsidRPr="00C839BA">
        <w:rPr>
          <w:sz w:val="16"/>
          <w:szCs w:val="16"/>
        </w:rPr>
        <w:t xml:space="preserve"> University Press, 2007), pp. 213, 307, 421, 435-436, 453-454, 458, 460, 462-463, 574-575, 577.  </w:t>
      </w:r>
    </w:p>
  </w:footnote>
  <w:footnote w:id="291">
    <w:p w14:paraId="19417D1F" w14:textId="22A85208"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C839BA" w:rsidRPr="00C839BA">
        <w:rPr>
          <w:sz w:val="16"/>
          <w:szCs w:val="16"/>
        </w:rPr>
        <w:t xml:space="preserve">King-Hele (ed), </w:t>
      </w:r>
      <w:r w:rsidR="00C839BA" w:rsidRPr="00C839BA">
        <w:rPr>
          <w:i/>
          <w:iCs/>
          <w:sz w:val="16"/>
          <w:szCs w:val="16"/>
        </w:rPr>
        <w:t>The Collected Letters of Erasmus Darwin,</w:t>
      </w:r>
      <w:r w:rsidRPr="00C839BA">
        <w:rPr>
          <w:sz w:val="16"/>
          <w:szCs w:val="16"/>
        </w:rPr>
        <w:t xml:space="preserve"> p. 211</w:t>
      </w:r>
      <w:r w:rsidR="00E66A27" w:rsidRPr="00C839BA">
        <w:rPr>
          <w:sz w:val="16"/>
          <w:szCs w:val="16"/>
        </w:rPr>
        <w:t>.</w:t>
      </w:r>
    </w:p>
  </w:footnote>
  <w:footnote w:id="292">
    <w:p w14:paraId="0069DC91" w14:textId="23209491"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FC1B9F" w:rsidRPr="00C839BA">
        <w:rPr>
          <w:sz w:val="16"/>
          <w:szCs w:val="16"/>
        </w:rPr>
        <w:t xml:space="preserve">Stanley D. Chapman, ‘James </w:t>
      </w:r>
      <w:r w:rsidR="00FC1B9F" w:rsidRPr="00C839BA">
        <w:rPr>
          <w:sz w:val="16"/>
          <w:szCs w:val="16"/>
        </w:rPr>
        <w:t xml:space="preserve">Longsdon (1745–1821), Farmer and Fustian Manufacturer: The Small Firm in the Early English Cotton Industry,’ </w:t>
      </w:r>
      <w:r w:rsidR="00FC1B9F" w:rsidRPr="00C839BA">
        <w:rPr>
          <w:i/>
          <w:iCs/>
          <w:sz w:val="16"/>
          <w:szCs w:val="16"/>
        </w:rPr>
        <w:t>Textile History</w:t>
      </w:r>
      <w:r w:rsidR="00FC1B9F" w:rsidRPr="00C839BA">
        <w:rPr>
          <w:sz w:val="16"/>
          <w:szCs w:val="16"/>
        </w:rPr>
        <w:t>, 1:3 (1970), pp. 265-292</w:t>
      </w:r>
      <w:r w:rsidR="00C839BA" w:rsidRPr="00C839BA">
        <w:rPr>
          <w:sz w:val="16"/>
          <w:szCs w:val="16"/>
        </w:rPr>
        <w:t>.</w:t>
      </w:r>
    </w:p>
  </w:footnote>
  <w:footnote w:id="293">
    <w:p w14:paraId="783F5308" w14:textId="6337B366"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890288" w:rsidRPr="00C839BA">
        <w:rPr>
          <w:sz w:val="16"/>
          <w:szCs w:val="16"/>
        </w:rPr>
        <w:t xml:space="preserve">Katrina </w:t>
      </w:r>
      <w:r w:rsidR="00890288" w:rsidRPr="00C839BA">
        <w:rPr>
          <w:sz w:val="16"/>
          <w:szCs w:val="16"/>
        </w:rPr>
        <w:t xml:space="preserve">Honeyman, </w:t>
      </w:r>
      <w:r w:rsidR="00C839BA" w:rsidRPr="00C839BA">
        <w:rPr>
          <w:i/>
          <w:iCs/>
          <w:sz w:val="16"/>
          <w:szCs w:val="16"/>
        </w:rPr>
        <w:t>Origins of Enterprise: Business leadership in the Industrial Revolution</w:t>
      </w:r>
      <w:r w:rsidR="00C839BA" w:rsidRPr="00C839BA">
        <w:rPr>
          <w:sz w:val="16"/>
          <w:szCs w:val="16"/>
        </w:rPr>
        <w:t xml:space="preserve"> (Manchester: Manchester University Press, 1983)</w:t>
      </w:r>
      <w:r w:rsidR="00890288" w:rsidRPr="00C839BA">
        <w:rPr>
          <w:sz w:val="16"/>
          <w:szCs w:val="16"/>
        </w:rPr>
        <w:t xml:space="preserve">, </w:t>
      </w:r>
      <w:r w:rsidR="00C839BA" w:rsidRPr="00C839BA">
        <w:rPr>
          <w:sz w:val="16"/>
          <w:szCs w:val="16"/>
        </w:rPr>
        <w:t>p</w:t>
      </w:r>
      <w:r w:rsidR="00890288" w:rsidRPr="00C839BA">
        <w:rPr>
          <w:sz w:val="16"/>
          <w:szCs w:val="16"/>
        </w:rPr>
        <w:t xml:space="preserve">p. </w:t>
      </w:r>
      <w:r w:rsidR="00D130C3" w:rsidRPr="00C839BA">
        <w:rPr>
          <w:sz w:val="16"/>
          <w:szCs w:val="16"/>
        </w:rPr>
        <w:t xml:space="preserve">42-49. </w:t>
      </w:r>
    </w:p>
  </w:footnote>
  <w:footnote w:id="294">
    <w:p w14:paraId="30614821" w14:textId="755CED95"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530264" w:rsidRPr="00C839BA">
        <w:rPr>
          <w:sz w:val="16"/>
          <w:szCs w:val="16"/>
        </w:rPr>
        <w:t xml:space="preserve">Jean Lindsay, ‘An Industrial Community – The Evans’ Cotton Mill at Darley Abbey Derbyshire, 1783-1810’, </w:t>
      </w:r>
      <w:r w:rsidR="00530264" w:rsidRPr="00C839BA">
        <w:rPr>
          <w:i/>
          <w:iCs/>
          <w:sz w:val="16"/>
          <w:szCs w:val="16"/>
        </w:rPr>
        <w:t>Business History Review</w:t>
      </w:r>
      <w:r w:rsidR="00530264" w:rsidRPr="00C839BA">
        <w:rPr>
          <w:sz w:val="16"/>
          <w:szCs w:val="16"/>
        </w:rPr>
        <w:t>, 34:3 (1960)</w:t>
      </w:r>
      <w:r w:rsidR="00C839BA" w:rsidRPr="00C839BA">
        <w:rPr>
          <w:sz w:val="16"/>
          <w:szCs w:val="16"/>
        </w:rPr>
        <w:t>,</w:t>
      </w:r>
      <w:r w:rsidR="00530264" w:rsidRPr="00C839BA">
        <w:rPr>
          <w:sz w:val="16"/>
          <w:szCs w:val="16"/>
        </w:rPr>
        <w:t xml:space="preserve"> pp. 277-301.</w:t>
      </w:r>
    </w:p>
  </w:footnote>
  <w:footnote w:id="295">
    <w:p w14:paraId="01BEA038" w14:textId="3FCC3AD6" w:rsidR="000736D0" w:rsidRPr="00C839BA" w:rsidRDefault="000736D0">
      <w:pPr>
        <w:pStyle w:val="FootnoteText"/>
        <w:rPr>
          <w:sz w:val="16"/>
          <w:szCs w:val="16"/>
        </w:rPr>
      </w:pPr>
      <w:r w:rsidRPr="00C839BA">
        <w:rPr>
          <w:rStyle w:val="FootnoteReference"/>
          <w:sz w:val="16"/>
          <w:szCs w:val="16"/>
        </w:rPr>
        <w:footnoteRef/>
      </w:r>
      <w:r w:rsidRPr="00C839BA">
        <w:rPr>
          <w:sz w:val="16"/>
          <w:szCs w:val="16"/>
        </w:rPr>
        <w:t xml:space="preserve"> </w:t>
      </w:r>
      <w:r w:rsidR="00EE1338" w:rsidRPr="00C839BA">
        <w:rPr>
          <w:sz w:val="16"/>
          <w:szCs w:val="16"/>
        </w:rPr>
        <w:t xml:space="preserve">Mary B. Rose, </w:t>
      </w:r>
      <w:r w:rsidR="00EE1338" w:rsidRPr="00C839BA">
        <w:rPr>
          <w:i/>
          <w:iCs/>
          <w:sz w:val="16"/>
          <w:szCs w:val="16"/>
        </w:rPr>
        <w:t>Firms, Networks, and Business Values</w:t>
      </w:r>
      <w:r w:rsidR="00EE1338" w:rsidRPr="00C839BA">
        <w:rPr>
          <w:sz w:val="16"/>
          <w:szCs w:val="16"/>
        </w:rPr>
        <w:t xml:space="preserve">, p.69. </w:t>
      </w:r>
    </w:p>
  </w:footnote>
  <w:footnote w:id="296">
    <w:p w14:paraId="5E8FB807" w14:textId="6638174F" w:rsidR="00D45C7A" w:rsidRPr="00C839BA" w:rsidRDefault="00D45C7A">
      <w:pPr>
        <w:pStyle w:val="FootnoteText"/>
        <w:rPr>
          <w:sz w:val="16"/>
          <w:szCs w:val="16"/>
        </w:rPr>
      </w:pPr>
      <w:r w:rsidRPr="00C839BA">
        <w:rPr>
          <w:rStyle w:val="FootnoteReference"/>
          <w:sz w:val="16"/>
          <w:szCs w:val="16"/>
        </w:rPr>
        <w:footnoteRef/>
      </w:r>
      <w:r w:rsidRPr="00C839BA">
        <w:rPr>
          <w:sz w:val="16"/>
          <w:szCs w:val="16"/>
        </w:rPr>
        <w:t xml:space="preserve"> </w:t>
      </w:r>
      <w:r w:rsidR="00410A4D" w:rsidRPr="00C839BA">
        <w:rPr>
          <w:sz w:val="16"/>
          <w:szCs w:val="16"/>
        </w:rPr>
        <w:t>DLSL BS</w:t>
      </w:r>
      <w:r w:rsidR="007E3865">
        <w:rPr>
          <w:sz w:val="16"/>
          <w:szCs w:val="16"/>
        </w:rPr>
        <w:t xml:space="preserve"> </w:t>
      </w:r>
      <w:r w:rsidR="00410A4D" w:rsidRPr="00C839BA">
        <w:rPr>
          <w:sz w:val="16"/>
          <w:szCs w:val="16"/>
        </w:rPr>
        <w:t>677 EVA, DL119</w:t>
      </w:r>
      <w:r w:rsidR="00CC1823">
        <w:rPr>
          <w:sz w:val="16"/>
          <w:szCs w:val="16"/>
        </w:rPr>
        <w:t>,</w:t>
      </w:r>
      <w:r w:rsidR="00410A4D" w:rsidRPr="00C839BA">
        <w:rPr>
          <w:sz w:val="16"/>
          <w:szCs w:val="16"/>
        </w:rPr>
        <w:t xml:space="preserve"> LB R2</w:t>
      </w:r>
      <w:r w:rsidR="007E3865">
        <w:rPr>
          <w:sz w:val="16"/>
          <w:szCs w:val="16"/>
        </w:rPr>
        <w:t xml:space="preserve"> and</w:t>
      </w:r>
      <w:r w:rsidR="00410A4D" w:rsidRPr="00C839BA">
        <w:rPr>
          <w:sz w:val="16"/>
          <w:szCs w:val="16"/>
        </w:rPr>
        <w:t xml:space="preserve"> R3</w:t>
      </w:r>
      <w:r w:rsidR="007E3865">
        <w:rPr>
          <w:sz w:val="16"/>
          <w:szCs w:val="16"/>
        </w:rPr>
        <w:t xml:space="preserve"> [Business Ledgers].</w:t>
      </w:r>
    </w:p>
  </w:footnote>
  <w:footnote w:id="297">
    <w:p w14:paraId="3BA7BAAB" w14:textId="45FAF22B" w:rsidR="00D45C7A" w:rsidRPr="00530264" w:rsidRDefault="00D45C7A">
      <w:pPr>
        <w:pStyle w:val="FootnoteText"/>
        <w:rPr>
          <w:sz w:val="18"/>
          <w:szCs w:val="18"/>
        </w:rPr>
      </w:pPr>
      <w:r w:rsidRPr="00C839BA">
        <w:rPr>
          <w:rStyle w:val="FootnoteReference"/>
          <w:sz w:val="16"/>
          <w:szCs w:val="16"/>
        </w:rPr>
        <w:footnoteRef/>
      </w:r>
      <w:r w:rsidRPr="00C839BA">
        <w:rPr>
          <w:sz w:val="16"/>
          <w:szCs w:val="16"/>
        </w:rPr>
        <w:t xml:space="preserve"> </w:t>
      </w:r>
      <w:r w:rsidR="00097AC7" w:rsidRPr="00C839BA">
        <w:rPr>
          <w:sz w:val="16"/>
          <w:szCs w:val="16"/>
        </w:rPr>
        <w:t>DLSL BS</w:t>
      </w:r>
      <w:r w:rsidR="007E3865">
        <w:rPr>
          <w:sz w:val="16"/>
          <w:szCs w:val="16"/>
        </w:rPr>
        <w:t xml:space="preserve"> </w:t>
      </w:r>
      <w:r w:rsidR="00097AC7" w:rsidRPr="00C839BA">
        <w:rPr>
          <w:sz w:val="16"/>
          <w:szCs w:val="16"/>
        </w:rPr>
        <w:t>677 EVA, DL119</w:t>
      </w:r>
      <w:r w:rsidR="00CC1823">
        <w:rPr>
          <w:sz w:val="16"/>
          <w:szCs w:val="16"/>
        </w:rPr>
        <w:t>,</w:t>
      </w:r>
      <w:r w:rsidR="00097AC7" w:rsidRPr="00C839BA">
        <w:rPr>
          <w:sz w:val="16"/>
          <w:szCs w:val="16"/>
        </w:rPr>
        <w:t xml:space="preserve"> LB R2</w:t>
      </w:r>
      <w:r w:rsidR="007E3865">
        <w:rPr>
          <w:sz w:val="16"/>
          <w:szCs w:val="16"/>
        </w:rPr>
        <w:t xml:space="preserve"> and</w:t>
      </w:r>
      <w:r w:rsidR="00097AC7" w:rsidRPr="00C839BA">
        <w:rPr>
          <w:sz w:val="16"/>
          <w:szCs w:val="16"/>
        </w:rPr>
        <w:t xml:space="preserve"> R3</w:t>
      </w:r>
      <w:r w:rsidR="007E3865">
        <w:rPr>
          <w:sz w:val="16"/>
          <w:szCs w:val="16"/>
        </w:rPr>
        <w:t xml:space="preserve"> [Business Ledgers]. </w:t>
      </w:r>
    </w:p>
  </w:footnote>
  <w:footnote w:id="298">
    <w:p w14:paraId="4F8E89C4" w14:textId="11FCDB0E" w:rsidR="007A2331" w:rsidRPr="00C839BA" w:rsidRDefault="007A2331">
      <w:pPr>
        <w:pStyle w:val="FootnoteText"/>
        <w:rPr>
          <w:sz w:val="16"/>
          <w:szCs w:val="16"/>
        </w:rPr>
      </w:pPr>
      <w:r w:rsidRPr="00C839BA">
        <w:rPr>
          <w:rStyle w:val="FootnoteReference"/>
          <w:sz w:val="16"/>
          <w:szCs w:val="16"/>
        </w:rPr>
        <w:footnoteRef/>
      </w:r>
      <w:r w:rsidRPr="00C839BA">
        <w:rPr>
          <w:sz w:val="16"/>
          <w:szCs w:val="16"/>
        </w:rPr>
        <w:t xml:space="preserve"> </w:t>
      </w:r>
      <w:bookmarkStart w:id="98" w:name="_Hlk150005102"/>
      <w:r w:rsidRPr="00C839BA">
        <w:rPr>
          <w:sz w:val="16"/>
          <w:szCs w:val="16"/>
        </w:rPr>
        <w:t>DLSL</w:t>
      </w:r>
      <w:r w:rsidR="00C839BA">
        <w:rPr>
          <w:sz w:val="16"/>
          <w:szCs w:val="16"/>
        </w:rPr>
        <w:t>,</w:t>
      </w:r>
      <w:r w:rsidR="006F2B88" w:rsidRPr="00C839BA">
        <w:rPr>
          <w:sz w:val="16"/>
          <w:szCs w:val="16"/>
        </w:rPr>
        <w:t xml:space="preserve"> BS</w:t>
      </w:r>
      <w:r w:rsidR="00C839BA">
        <w:rPr>
          <w:sz w:val="16"/>
          <w:szCs w:val="16"/>
        </w:rPr>
        <w:t xml:space="preserve"> </w:t>
      </w:r>
      <w:r w:rsidR="006F2B88" w:rsidRPr="00C839BA">
        <w:rPr>
          <w:sz w:val="16"/>
          <w:szCs w:val="16"/>
        </w:rPr>
        <w:t>677 EVA, DL119 CB R1</w:t>
      </w:r>
      <w:bookmarkEnd w:id="98"/>
      <w:r w:rsidR="007E3865">
        <w:rPr>
          <w:sz w:val="16"/>
          <w:szCs w:val="16"/>
        </w:rPr>
        <w:t xml:space="preserve"> [Letter Sent from W. Evans &amp; Co. to Messrs. Bott &amp; Co. of Tutbury</w:t>
      </w:r>
      <w:r w:rsidR="00D03159">
        <w:rPr>
          <w:sz w:val="16"/>
          <w:szCs w:val="16"/>
        </w:rPr>
        <w:t xml:space="preserve">, 14 December 1787]. </w:t>
      </w:r>
    </w:p>
  </w:footnote>
  <w:footnote w:id="299">
    <w:p w14:paraId="2D22131C" w14:textId="7437541C" w:rsidR="00AE06D5" w:rsidRPr="00C839BA" w:rsidRDefault="00AE06D5" w:rsidP="00AE06D5">
      <w:pPr>
        <w:pStyle w:val="FootnoteText"/>
        <w:rPr>
          <w:sz w:val="16"/>
          <w:szCs w:val="16"/>
        </w:rPr>
      </w:pPr>
      <w:r w:rsidRPr="00C839BA">
        <w:rPr>
          <w:rStyle w:val="FootnoteReference"/>
          <w:sz w:val="16"/>
          <w:szCs w:val="16"/>
        </w:rPr>
        <w:footnoteRef/>
      </w:r>
      <w:r w:rsidRPr="00C839BA">
        <w:rPr>
          <w:sz w:val="16"/>
          <w:szCs w:val="16"/>
        </w:rPr>
        <w:t xml:space="preserve"> </w:t>
      </w:r>
      <w:r w:rsidR="00691F3D" w:rsidRPr="00C839BA">
        <w:rPr>
          <w:sz w:val="16"/>
          <w:szCs w:val="16"/>
        </w:rPr>
        <w:t>DLSL</w:t>
      </w:r>
      <w:r w:rsidR="007E3865">
        <w:rPr>
          <w:sz w:val="16"/>
          <w:szCs w:val="16"/>
        </w:rPr>
        <w:t>,</w:t>
      </w:r>
      <w:r w:rsidR="00691F3D" w:rsidRPr="00C839BA">
        <w:rPr>
          <w:sz w:val="16"/>
          <w:szCs w:val="16"/>
        </w:rPr>
        <w:t xml:space="preserve"> BS</w:t>
      </w:r>
      <w:r w:rsidR="00C839BA">
        <w:rPr>
          <w:sz w:val="16"/>
          <w:szCs w:val="16"/>
        </w:rPr>
        <w:t xml:space="preserve"> </w:t>
      </w:r>
      <w:r w:rsidR="00691F3D" w:rsidRPr="00C839BA">
        <w:rPr>
          <w:sz w:val="16"/>
          <w:szCs w:val="16"/>
        </w:rPr>
        <w:t>677 EVA, DL119 CB R1</w:t>
      </w:r>
      <w:r w:rsidR="00D03159">
        <w:rPr>
          <w:sz w:val="16"/>
          <w:szCs w:val="16"/>
        </w:rPr>
        <w:t xml:space="preserve"> </w:t>
      </w:r>
      <w:r w:rsidR="00D03159" w:rsidRPr="00D03159">
        <w:rPr>
          <w:sz w:val="16"/>
          <w:szCs w:val="16"/>
        </w:rPr>
        <w:t>[Letter Sent from W. Evans &amp; Co. to Messrs. Bott &amp; Co. of Tutbury, 14 December 1787].</w:t>
      </w:r>
    </w:p>
  </w:footnote>
  <w:footnote w:id="300">
    <w:p w14:paraId="4B5F3681" w14:textId="10128B8E" w:rsidR="00AE06D5" w:rsidRPr="00C839BA" w:rsidRDefault="00AE06D5">
      <w:pPr>
        <w:pStyle w:val="FootnoteText"/>
        <w:rPr>
          <w:sz w:val="16"/>
          <w:szCs w:val="16"/>
        </w:rPr>
      </w:pPr>
      <w:r w:rsidRPr="00C839BA">
        <w:rPr>
          <w:rStyle w:val="FootnoteReference"/>
          <w:sz w:val="16"/>
          <w:szCs w:val="16"/>
        </w:rPr>
        <w:footnoteRef/>
      </w:r>
      <w:r w:rsidRPr="00C839BA">
        <w:rPr>
          <w:sz w:val="16"/>
          <w:szCs w:val="16"/>
        </w:rPr>
        <w:t xml:space="preserve"> </w:t>
      </w:r>
      <w:bookmarkStart w:id="99" w:name="_Hlk156728291"/>
      <w:r w:rsidR="00691F3D" w:rsidRPr="00C839BA">
        <w:rPr>
          <w:sz w:val="16"/>
          <w:szCs w:val="16"/>
        </w:rPr>
        <w:t>DLSL</w:t>
      </w:r>
      <w:r w:rsidR="007E3865">
        <w:rPr>
          <w:sz w:val="16"/>
          <w:szCs w:val="16"/>
        </w:rPr>
        <w:t>,</w:t>
      </w:r>
      <w:r w:rsidR="00691F3D" w:rsidRPr="00C839BA">
        <w:rPr>
          <w:sz w:val="16"/>
          <w:szCs w:val="16"/>
        </w:rPr>
        <w:t xml:space="preserve"> BS</w:t>
      </w:r>
      <w:r w:rsidR="00C839BA">
        <w:rPr>
          <w:sz w:val="16"/>
          <w:szCs w:val="16"/>
        </w:rPr>
        <w:t xml:space="preserve"> </w:t>
      </w:r>
      <w:r w:rsidR="00691F3D" w:rsidRPr="00C839BA">
        <w:rPr>
          <w:sz w:val="16"/>
          <w:szCs w:val="16"/>
        </w:rPr>
        <w:t>677 EVA, DL119 CB R1</w:t>
      </w:r>
      <w:r w:rsidR="00D03159">
        <w:rPr>
          <w:sz w:val="16"/>
          <w:szCs w:val="16"/>
        </w:rPr>
        <w:t>[Two Letters Sent from W. Evans &amp; Co. to John Robinson of Bulwell and James Robinson of Papplewick, 29 June 1795].</w:t>
      </w:r>
      <w:bookmarkEnd w:id="99"/>
    </w:p>
  </w:footnote>
  <w:footnote w:id="301">
    <w:p w14:paraId="3ACFE295" w14:textId="048DFE61" w:rsidR="00CB2513" w:rsidRPr="00C839BA" w:rsidRDefault="00CB2513">
      <w:pPr>
        <w:pStyle w:val="FootnoteText"/>
        <w:rPr>
          <w:sz w:val="16"/>
          <w:szCs w:val="16"/>
        </w:rPr>
      </w:pPr>
      <w:r w:rsidRPr="00C839BA">
        <w:rPr>
          <w:rStyle w:val="FootnoteReference"/>
          <w:sz w:val="16"/>
          <w:szCs w:val="16"/>
        </w:rPr>
        <w:footnoteRef/>
      </w:r>
      <w:r w:rsidRPr="00C839BA">
        <w:rPr>
          <w:sz w:val="16"/>
          <w:szCs w:val="16"/>
        </w:rPr>
        <w:t xml:space="preserve"> </w:t>
      </w:r>
      <w:r w:rsidR="006F2B88" w:rsidRPr="00C839BA">
        <w:rPr>
          <w:sz w:val="16"/>
          <w:szCs w:val="16"/>
        </w:rPr>
        <w:t>J</w:t>
      </w:r>
      <w:r w:rsidR="00C839BA">
        <w:rPr>
          <w:sz w:val="16"/>
          <w:szCs w:val="16"/>
        </w:rPr>
        <w:t>R</w:t>
      </w:r>
      <w:r w:rsidR="006F2B88" w:rsidRPr="00C839BA">
        <w:rPr>
          <w:sz w:val="16"/>
          <w:szCs w:val="16"/>
        </w:rPr>
        <w:t>L, GB 133 MCK</w:t>
      </w:r>
      <w:r w:rsidR="007571AE" w:rsidRPr="00C839BA">
        <w:rPr>
          <w:sz w:val="16"/>
          <w:szCs w:val="16"/>
        </w:rPr>
        <w:t>/2/2/1</w:t>
      </w:r>
      <w:r w:rsidR="00D03159">
        <w:rPr>
          <w:sz w:val="16"/>
          <w:szCs w:val="16"/>
        </w:rPr>
        <w:t xml:space="preserve"> [Letter Sent from McConnel &amp; Kennedy to Taylor &amp; Haywood of Duffield, Derbyshire, 18 April 1795]. </w:t>
      </w:r>
    </w:p>
  </w:footnote>
  <w:footnote w:id="302">
    <w:p w14:paraId="1F18E358" w14:textId="6944C599"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691F3D" w:rsidRPr="00C839BA">
        <w:rPr>
          <w:sz w:val="16"/>
          <w:szCs w:val="16"/>
        </w:rPr>
        <w:t>J</w:t>
      </w:r>
      <w:r w:rsidR="00C839BA">
        <w:rPr>
          <w:sz w:val="16"/>
          <w:szCs w:val="16"/>
        </w:rPr>
        <w:t>R</w:t>
      </w:r>
      <w:r w:rsidR="00691F3D" w:rsidRPr="00C839BA">
        <w:rPr>
          <w:sz w:val="16"/>
          <w:szCs w:val="16"/>
        </w:rPr>
        <w:t>L, GB 133 MCK/2/2/1</w:t>
      </w:r>
      <w:r w:rsidR="00D03159">
        <w:rPr>
          <w:sz w:val="16"/>
          <w:szCs w:val="16"/>
        </w:rPr>
        <w:t xml:space="preserve"> </w:t>
      </w:r>
      <w:r w:rsidR="00D03159" w:rsidRPr="00D03159">
        <w:rPr>
          <w:sz w:val="16"/>
          <w:szCs w:val="16"/>
        </w:rPr>
        <w:t>[Letter Sent from McConnel &amp; Kennedy to Taylor &amp; Haywood of Duffield, Derbyshire, 18 April 1795].</w:t>
      </w:r>
    </w:p>
  </w:footnote>
  <w:footnote w:id="303">
    <w:p w14:paraId="18D67A24" w14:textId="6BC12615" w:rsidR="005A05DF" w:rsidRDefault="005A05DF" w:rsidP="005A05DF">
      <w:pPr>
        <w:pStyle w:val="FootnoteText"/>
      </w:pPr>
      <w:r w:rsidRPr="00C839BA">
        <w:rPr>
          <w:rStyle w:val="FootnoteReference"/>
          <w:sz w:val="16"/>
          <w:szCs w:val="16"/>
        </w:rPr>
        <w:footnoteRef/>
      </w:r>
      <w:r w:rsidRPr="00C839BA">
        <w:rPr>
          <w:sz w:val="16"/>
          <w:szCs w:val="16"/>
        </w:rPr>
        <w:t xml:space="preserve"> </w:t>
      </w:r>
      <w:r w:rsidR="00D03C03" w:rsidRPr="00C839BA">
        <w:rPr>
          <w:sz w:val="16"/>
          <w:szCs w:val="16"/>
        </w:rPr>
        <w:t xml:space="preserve">Sunderland, </w:t>
      </w:r>
      <w:r w:rsidR="00D03C03" w:rsidRPr="00C839BA">
        <w:rPr>
          <w:i/>
          <w:iCs/>
          <w:sz w:val="16"/>
          <w:szCs w:val="16"/>
        </w:rPr>
        <w:t>Social Capital, Trust and the Industrial Revolution</w:t>
      </w:r>
      <w:r w:rsidR="00D03C03" w:rsidRPr="00C839BA">
        <w:rPr>
          <w:sz w:val="16"/>
          <w:szCs w:val="16"/>
        </w:rPr>
        <w:t>, p. 50.</w:t>
      </w:r>
      <w:r w:rsidR="00D03C03" w:rsidRPr="00D03C03">
        <w:t xml:space="preserve"> </w:t>
      </w:r>
    </w:p>
  </w:footnote>
  <w:footnote w:id="304">
    <w:p w14:paraId="77188261" w14:textId="643711CE"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John Seed, ‘Unitarianism, Political Economy and the Antinomies of Liberal Culture in Manchester, 1830-50.,’ </w:t>
      </w:r>
      <w:r w:rsidRPr="00C839BA">
        <w:rPr>
          <w:i/>
          <w:iCs/>
          <w:sz w:val="16"/>
          <w:szCs w:val="16"/>
        </w:rPr>
        <w:t>Social History</w:t>
      </w:r>
      <w:r w:rsidRPr="00C839BA">
        <w:rPr>
          <w:sz w:val="16"/>
          <w:szCs w:val="16"/>
        </w:rPr>
        <w:t xml:space="preserve">, 7:1 (1982), </w:t>
      </w:r>
      <w:r w:rsidR="00C839BA" w:rsidRPr="00C839BA">
        <w:rPr>
          <w:sz w:val="16"/>
          <w:szCs w:val="16"/>
        </w:rPr>
        <w:t>pp. 1-25 (</w:t>
      </w:r>
      <w:r w:rsidRPr="00C839BA">
        <w:rPr>
          <w:sz w:val="16"/>
          <w:szCs w:val="16"/>
        </w:rPr>
        <w:t>p. 3</w:t>
      </w:r>
      <w:r w:rsidR="00C839BA" w:rsidRPr="00C839BA">
        <w:rPr>
          <w:sz w:val="16"/>
          <w:szCs w:val="16"/>
        </w:rPr>
        <w:t>).</w:t>
      </w:r>
    </w:p>
  </w:footnote>
  <w:footnote w:id="305">
    <w:p w14:paraId="024EB223" w14:textId="6BF3821B" w:rsidR="005A05DF" w:rsidRPr="00C839BA" w:rsidRDefault="005A05DF" w:rsidP="005A05DF">
      <w:pPr>
        <w:pStyle w:val="FootnoteText"/>
        <w:rPr>
          <w:sz w:val="16"/>
          <w:szCs w:val="16"/>
        </w:rPr>
      </w:pPr>
      <w:r w:rsidRPr="00C839BA">
        <w:rPr>
          <w:rStyle w:val="FootnoteReference"/>
          <w:sz w:val="16"/>
          <w:szCs w:val="16"/>
        </w:rPr>
        <w:footnoteRef/>
      </w:r>
      <w:r w:rsidRPr="00C839BA">
        <w:rPr>
          <w:sz w:val="16"/>
          <w:szCs w:val="16"/>
        </w:rPr>
        <w:t xml:space="preserve"> </w:t>
      </w:r>
      <w:r w:rsidR="00C839BA" w:rsidRPr="00C839BA">
        <w:rPr>
          <w:sz w:val="16"/>
          <w:szCs w:val="16"/>
        </w:rPr>
        <w:t xml:space="preserve">Leonore Davidoff, and Catherine Hall, </w:t>
      </w:r>
      <w:r w:rsidR="00C839BA" w:rsidRPr="00C839BA">
        <w:rPr>
          <w:i/>
          <w:iCs/>
          <w:sz w:val="16"/>
          <w:szCs w:val="16"/>
        </w:rPr>
        <w:t>Family Fortunes: Men and Women of the English Middle Class 1780-1850</w:t>
      </w:r>
      <w:r w:rsidR="00C839BA" w:rsidRPr="00C839BA">
        <w:rPr>
          <w:sz w:val="16"/>
          <w:szCs w:val="16"/>
        </w:rPr>
        <w:t xml:space="preserve"> (London: Routledge, 1987) </w:t>
      </w:r>
      <w:r w:rsidR="00B224C7" w:rsidRPr="00C839BA">
        <w:rPr>
          <w:sz w:val="16"/>
          <w:szCs w:val="16"/>
        </w:rPr>
        <w:t>p</w:t>
      </w:r>
      <w:r w:rsidR="00C839BA" w:rsidRPr="00C839BA">
        <w:rPr>
          <w:sz w:val="16"/>
          <w:szCs w:val="16"/>
        </w:rPr>
        <w:t>p</w:t>
      </w:r>
      <w:r w:rsidR="00B224C7" w:rsidRPr="00C839BA">
        <w:rPr>
          <w:sz w:val="16"/>
          <w:szCs w:val="16"/>
        </w:rPr>
        <w:t>.</w:t>
      </w:r>
      <w:r w:rsidR="00D130C3" w:rsidRPr="00C839BA">
        <w:rPr>
          <w:sz w:val="16"/>
          <w:szCs w:val="16"/>
        </w:rPr>
        <w:t xml:space="preserve"> 259-266. </w:t>
      </w:r>
      <w:r w:rsidR="00B224C7" w:rsidRPr="00C839BA">
        <w:rPr>
          <w:sz w:val="16"/>
          <w:szCs w:val="16"/>
        </w:rPr>
        <w:t xml:space="preserve"> </w:t>
      </w:r>
    </w:p>
  </w:footnote>
  <w:footnote w:id="306">
    <w:p w14:paraId="3A0F9031" w14:textId="65F437E5" w:rsidR="00B7321E" w:rsidRPr="00171C1B" w:rsidRDefault="00B7321E">
      <w:pPr>
        <w:pStyle w:val="FootnoteText"/>
        <w:rPr>
          <w:sz w:val="16"/>
          <w:szCs w:val="16"/>
        </w:rPr>
      </w:pPr>
      <w:r w:rsidRPr="00171C1B">
        <w:rPr>
          <w:rStyle w:val="FootnoteReference"/>
          <w:sz w:val="16"/>
          <w:szCs w:val="16"/>
        </w:rPr>
        <w:footnoteRef/>
      </w:r>
      <w:r w:rsidR="0002293C" w:rsidRPr="00171C1B">
        <w:rPr>
          <w:sz w:val="16"/>
          <w:szCs w:val="16"/>
        </w:rPr>
        <w:t xml:space="preserve"> </w:t>
      </w:r>
      <w:r w:rsidR="00363C93" w:rsidRPr="00363C93">
        <w:rPr>
          <w:sz w:val="16"/>
          <w:szCs w:val="16"/>
        </w:rPr>
        <w:t>Ancestry Ireland Unlimited Company</w:t>
      </w:r>
      <w:r w:rsidR="00363C93">
        <w:rPr>
          <w:sz w:val="16"/>
          <w:szCs w:val="16"/>
        </w:rPr>
        <w:t>,</w:t>
      </w:r>
      <w:r w:rsidR="00363C93" w:rsidRPr="00363C93">
        <w:rPr>
          <w:sz w:val="16"/>
          <w:szCs w:val="16"/>
        </w:rPr>
        <w:t xml:space="preserve"> </w:t>
      </w:r>
      <w:r w:rsidR="0002293C" w:rsidRPr="00363C93">
        <w:rPr>
          <w:i/>
          <w:iCs/>
          <w:sz w:val="16"/>
          <w:szCs w:val="16"/>
        </w:rPr>
        <w:t xml:space="preserve">Marriage alliance of Ann </w:t>
      </w:r>
      <w:r w:rsidR="0002293C" w:rsidRPr="00363C93">
        <w:rPr>
          <w:i/>
          <w:iCs/>
          <w:sz w:val="16"/>
          <w:szCs w:val="16"/>
        </w:rPr>
        <w:t>Plymley and Patrick Kelly -</w:t>
      </w:r>
      <w:r w:rsidRPr="00363C93">
        <w:rPr>
          <w:i/>
          <w:iCs/>
          <w:sz w:val="16"/>
          <w:szCs w:val="16"/>
        </w:rPr>
        <w:t xml:space="preserve"> </w:t>
      </w:r>
      <w:r w:rsidR="0002293C" w:rsidRPr="00363C93">
        <w:rPr>
          <w:i/>
          <w:iCs/>
          <w:sz w:val="16"/>
          <w:szCs w:val="16"/>
        </w:rPr>
        <w:t>London Metropolitan Archives; London, England; London Church of England Parish Registers; Reference Number: P69/Mgt1/A/01/Ms 4347/2</w:t>
      </w:r>
      <w:r w:rsidR="0027063E" w:rsidRPr="00363C93">
        <w:rPr>
          <w:i/>
          <w:iCs/>
          <w:sz w:val="16"/>
          <w:szCs w:val="16"/>
        </w:rPr>
        <w:t xml:space="preserve"> - London, England, Church of England Marriages and Banns, 1754-1932 </w:t>
      </w:r>
      <w:r w:rsidR="003A0656" w:rsidRPr="00363C93">
        <w:rPr>
          <w:i/>
          <w:iCs/>
          <w:sz w:val="16"/>
          <w:szCs w:val="16"/>
        </w:rPr>
        <w:t>– 1 August 1790, St. Margaret Lothbury Parish Register</w:t>
      </w:r>
      <w:r w:rsidR="00363C93">
        <w:rPr>
          <w:i/>
          <w:iCs/>
          <w:sz w:val="16"/>
          <w:szCs w:val="16"/>
        </w:rPr>
        <w:t>,</w:t>
      </w:r>
      <w:r w:rsidR="00363C93" w:rsidRPr="00363C93">
        <w:t xml:space="preserve"> </w:t>
      </w:r>
      <w:r w:rsidR="00363C93" w:rsidRPr="00363C93">
        <w:rPr>
          <w:sz w:val="16"/>
          <w:szCs w:val="16"/>
        </w:rPr>
        <w:t>Ancestry Ireland Unlimited Company</w:t>
      </w:r>
      <w:r w:rsidR="00363C93">
        <w:rPr>
          <w:sz w:val="16"/>
          <w:szCs w:val="16"/>
        </w:rPr>
        <w:t>, 2002-2024</w:t>
      </w:r>
      <w:r w:rsidR="00363C93" w:rsidRPr="00363C93">
        <w:rPr>
          <w:sz w:val="16"/>
          <w:szCs w:val="16"/>
        </w:rPr>
        <w:t xml:space="preserve"> </w:t>
      </w:r>
      <w:r w:rsidR="003A0656" w:rsidRPr="00171C1B">
        <w:rPr>
          <w:sz w:val="16"/>
          <w:szCs w:val="16"/>
        </w:rPr>
        <w:t xml:space="preserve"> </w:t>
      </w:r>
      <w:hyperlink r:id="rId22" w:history="1">
        <w:r w:rsidR="00363C93" w:rsidRPr="00171C1B">
          <w:rPr>
            <w:rStyle w:val="Hyperlink"/>
            <w:sz w:val="16"/>
            <w:szCs w:val="16"/>
          </w:rPr>
          <w:t>https://www.ancestry.co.uk/</w:t>
        </w:r>
      </w:hyperlink>
      <w:r w:rsidR="00363C93" w:rsidRPr="00171C1B">
        <w:rPr>
          <w:sz w:val="16"/>
          <w:szCs w:val="16"/>
        </w:rPr>
        <w:t xml:space="preserve"> </w:t>
      </w:r>
      <w:r w:rsidR="00171C1B" w:rsidRPr="00171C1B">
        <w:rPr>
          <w:sz w:val="16"/>
          <w:szCs w:val="16"/>
        </w:rPr>
        <w:t>[last accessed 12 January 2024]</w:t>
      </w:r>
      <w:r w:rsidR="00363C93">
        <w:rPr>
          <w:sz w:val="16"/>
          <w:szCs w:val="16"/>
        </w:rPr>
        <w:t>.</w:t>
      </w:r>
      <w:r w:rsidR="00171C1B" w:rsidRPr="00171C1B">
        <w:rPr>
          <w:sz w:val="16"/>
          <w:szCs w:val="16"/>
        </w:rPr>
        <w:t xml:space="preserve">  </w:t>
      </w:r>
    </w:p>
  </w:footnote>
  <w:footnote w:id="307">
    <w:p w14:paraId="4EF22D83" w14:textId="3B57FCE5" w:rsidR="00F37B07" w:rsidRPr="00171C1B" w:rsidRDefault="00F37B07">
      <w:pPr>
        <w:pStyle w:val="FootnoteText"/>
        <w:rPr>
          <w:sz w:val="16"/>
          <w:szCs w:val="16"/>
        </w:rPr>
      </w:pPr>
      <w:r w:rsidRPr="00171C1B">
        <w:rPr>
          <w:rStyle w:val="FootnoteReference"/>
          <w:sz w:val="16"/>
          <w:szCs w:val="16"/>
        </w:rPr>
        <w:footnoteRef/>
      </w:r>
      <w:r w:rsidRPr="00171C1B">
        <w:rPr>
          <w:sz w:val="16"/>
          <w:szCs w:val="16"/>
        </w:rPr>
        <w:t xml:space="preserve"> </w:t>
      </w:r>
      <w:r w:rsidR="00701BA7" w:rsidRPr="00171C1B">
        <w:rPr>
          <w:sz w:val="16"/>
          <w:szCs w:val="16"/>
        </w:rPr>
        <w:t>DLSL</w:t>
      </w:r>
      <w:r w:rsidR="00171C1B" w:rsidRPr="00171C1B">
        <w:rPr>
          <w:sz w:val="16"/>
          <w:szCs w:val="16"/>
        </w:rPr>
        <w:t>,</w:t>
      </w:r>
      <w:r w:rsidR="00701BA7" w:rsidRPr="00171C1B">
        <w:rPr>
          <w:sz w:val="16"/>
          <w:szCs w:val="16"/>
        </w:rPr>
        <w:t xml:space="preserve"> BS677 EVA, DL119</w:t>
      </w:r>
      <w:r w:rsidR="00171C1B" w:rsidRPr="00171C1B">
        <w:rPr>
          <w:sz w:val="16"/>
          <w:szCs w:val="16"/>
        </w:rPr>
        <w:t>,</w:t>
      </w:r>
      <w:r w:rsidR="00701BA7" w:rsidRPr="00171C1B">
        <w:rPr>
          <w:sz w:val="16"/>
          <w:szCs w:val="16"/>
        </w:rPr>
        <w:t xml:space="preserve"> CB R1, LB R2</w:t>
      </w:r>
      <w:r w:rsidR="00D03159">
        <w:rPr>
          <w:sz w:val="16"/>
          <w:szCs w:val="16"/>
        </w:rPr>
        <w:t xml:space="preserve"> [Various Letters and Ledger Entries for George Greaves]. </w:t>
      </w:r>
    </w:p>
  </w:footnote>
  <w:footnote w:id="308">
    <w:p w14:paraId="447D5ABA" w14:textId="039653B0" w:rsidR="00F37B07" w:rsidRPr="00171C1B" w:rsidRDefault="00F37B07">
      <w:pPr>
        <w:pStyle w:val="FootnoteText"/>
        <w:rPr>
          <w:sz w:val="16"/>
          <w:szCs w:val="16"/>
        </w:rPr>
      </w:pPr>
      <w:r w:rsidRPr="00171C1B">
        <w:rPr>
          <w:rStyle w:val="FootnoteReference"/>
          <w:sz w:val="16"/>
          <w:szCs w:val="16"/>
        </w:rPr>
        <w:footnoteRef/>
      </w:r>
      <w:r w:rsidRPr="00171C1B">
        <w:rPr>
          <w:sz w:val="16"/>
          <w:szCs w:val="16"/>
        </w:rPr>
        <w:t xml:space="preserve"> </w:t>
      </w:r>
      <w:r w:rsidR="00363C93" w:rsidRPr="00363C93">
        <w:rPr>
          <w:sz w:val="16"/>
          <w:szCs w:val="16"/>
        </w:rPr>
        <w:t>Ancestry Ireland Unlimited Company</w:t>
      </w:r>
      <w:r w:rsidR="00363C93">
        <w:rPr>
          <w:sz w:val="16"/>
          <w:szCs w:val="16"/>
        </w:rPr>
        <w:t>,</w:t>
      </w:r>
      <w:r w:rsidR="00363C93" w:rsidRPr="00363C93">
        <w:rPr>
          <w:sz w:val="16"/>
          <w:szCs w:val="16"/>
        </w:rPr>
        <w:t xml:space="preserve"> </w:t>
      </w:r>
      <w:r w:rsidR="006629E2" w:rsidRPr="00363C93">
        <w:rPr>
          <w:i/>
          <w:iCs/>
          <w:sz w:val="16"/>
          <w:szCs w:val="16"/>
        </w:rPr>
        <w:t xml:space="preserve">George Greaves Baptism Record: </w:t>
      </w:r>
      <w:r w:rsidR="000718F1" w:rsidRPr="00363C93">
        <w:rPr>
          <w:i/>
          <w:iCs/>
          <w:sz w:val="16"/>
          <w:szCs w:val="16"/>
        </w:rPr>
        <w:t xml:space="preserve">29 September 1789, </w:t>
      </w:r>
      <w:r w:rsidR="006629E2" w:rsidRPr="00363C93">
        <w:rPr>
          <w:i/>
          <w:iCs/>
          <w:sz w:val="16"/>
          <w:szCs w:val="16"/>
        </w:rPr>
        <w:t xml:space="preserve">St Margaret, </w:t>
      </w:r>
      <w:r w:rsidR="006629E2" w:rsidRPr="00363C93">
        <w:rPr>
          <w:i/>
          <w:iCs/>
          <w:sz w:val="16"/>
          <w:szCs w:val="16"/>
        </w:rPr>
        <w:t>Lothbury, City of London, London, England</w:t>
      </w:r>
      <w:r w:rsidR="000C403A" w:rsidRPr="00363C93">
        <w:rPr>
          <w:i/>
          <w:iCs/>
          <w:sz w:val="16"/>
          <w:szCs w:val="16"/>
        </w:rPr>
        <w:t xml:space="preserve"> - London Metropolitan Archives; London, England; London Church of England Parish Registers; Reference Number: P69/Mgt1/A/002/Ms04348</w:t>
      </w:r>
      <w:r w:rsidR="00363C93">
        <w:rPr>
          <w:i/>
          <w:iCs/>
          <w:sz w:val="16"/>
          <w:szCs w:val="16"/>
        </w:rPr>
        <w:t xml:space="preserve">, </w:t>
      </w:r>
      <w:r w:rsidR="00363C93" w:rsidRPr="00363C93">
        <w:rPr>
          <w:sz w:val="16"/>
          <w:szCs w:val="16"/>
        </w:rPr>
        <w:t>Ancestry Ireland Unlimited Company</w:t>
      </w:r>
      <w:r w:rsidR="00363C93">
        <w:rPr>
          <w:sz w:val="16"/>
          <w:szCs w:val="16"/>
        </w:rPr>
        <w:t>, 2002-2024</w:t>
      </w:r>
      <w:r w:rsidR="00171C1B" w:rsidRPr="00171C1B">
        <w:rPr>
          <w:sz w:val="16"/>
          <w:szCs w:val="16"/>
        </w:rPr>
        <w:t xml:space="preserve"> </w:t>
      </w:r>
      <w:hyperlink r:id="rId23" w:history="1">
        <w:r w:rsidR="00363C93" w:rsidRPr="00171C1B">
          <w:rPr>
            <w:rStyle w:val="Hyperlink"/>
            <w:sz w:val="16"/>
            <w:szCs w:val="16"/>
          </w:rPr>
          <w:t>https://www.ancestry.co.uk/</w:t>
        </w:r>
      </w:hyperlink>
      <w:r w:rsidR="00363C93" w:rsidRPr="00171C1B">
        <w:rPr>
          <w:sz w:val="16"/>
          <w:szCs w:val="16"/>
        </w:rPr>
        <w:t xml:space="preserve"> </w:t>
      </w:r>
      <w:r w:rsidR="00171C1B" w:rsidRPr="00171C1B">
        <w:rPr>
          <w:sz w:val="16"/>
          <w:szCs w:val="16"/>
        </w:rPr>
        <w:t>[last accessed 12 January 2024]</w:t>
      </w:r>
      <w:r w:rsidR="00363C93">
        <w:rPr>
          <w:sz w:val="16"/>
          <w:szCs w:val="16"/>
        </w:rPr>
        <w:t>.</w:t>
      </w:r>
      <w:r w:rsidR="00171C1B" w:rsidRPr="00171C1B">
        <w:rPr>
          <w:sz w:val="16"/>
          <w:szCs w:val="16"/>
        </w:rPr>
        <w:t xml:space="preserve">  </w:t>
      </w:r>
    </w:p>
  </w:footnote>
  <w:footnote w:id="309">
    <w:p w14:paraId="4DC01161" w14:textId="729263F4" w:rsidR="00C12704" w:rsidRDefault="00C12704">
      <w:pPr>
        <w:pStyle w:val="FootnoteText"/>
      </w:pPr>
      <w:r w:rsidRPr="00171C1B">
        <w:rPr>
          <w:rStyle w:val="FootnoteReference"/>
          <w:sz w:val="16"/>
          <w:szCs w:val="16"/>
        </w:rPr>
        <w:footnoteRef/>
      </w:r>
      <w:r w:rsidRPr="00171C1B">
        <w:rPr>
          <w:sz w:val="16"/>
          <w:szCs w:val="16"/>
        </w:rPr>
        <w:t xml:space="preserve"> </w:t>
      </w:r>
      <w:r w:rsidR="00F4754F" w:rsidRPr="00171C1B">
        <w:rPr>
          <w:sz w:val="16"/>
          <w:szCs w:val="16"/>
        </w:rPr>
        <w:t>DLSL</w:t>
      </w:r>
      <w:r w:rsidR="00171C1B" w:rsidRPr="00171C1B">
        <w:rPr>
          <w:sz w:val="16"/>
          <w:szCs w:val="16"/>
        </w:rPr>
        <w:t>,</w:t>
      </w:r>
      <w:r w:rsidR="00F4754F" w:rsidRPr="00171C1B">
        <w:rPr>
          <w:sz w:val="16"/>
          <w:szCs w:val="16"/>
        </w:rPr>
        <w:t xml:space="preserve"> BS677 EVA, DL1</w:t>
      </w:r>
      <w:r w:rsidR="00171C1B" w:rsidRPr="00171C1B">
        <w:rPr>
          <w:sz w:val="16"/>
          <w:szCs w:val="16"/>
        </w:rPr>
        <w:t>1</w:t>
      </w:r>
      <w:r w:rsidR="00F4754F" w:rsidRPr="00171C1B">
        <w:rPr>
          <w:sz w:val="16"/>
          <w:szCs w:val="16"/>
        </w:rPr>
        <w:t>9</w:t>
      </w:r>
      <w:r w:rsidR="00171C1B" w:rsidRPr="00171C1B">
        <w:rPr>
          <w:sz w:val="16"/>
          <w:szCs w:val="16"/>
        </w:rPr>
        <w:t>,</w:t>
      </w:r>
      <w:r w:rsidR="00F4754F" w:rsidRPr="00171C1B">
        <w:rPr>
          <w:sz w:val="16"/>
          <w:szCs w:val="16"/>
        </w:rPr>
        <w:t xml:space="preserve"> CB R1</w:t>
      </w:r>
      <w:r w:rsidR="00F475FB">
        <w:rPr>
          <w:sz w:val="16"/>
          <w:szCs w:val="16"/>
        </w:rPr>
        <w:t>.</w:t>
      </w:r>
    </w:p>
  </w:footnote>
  <w:footnote w:id="310">
    <w:p w14:paraId="20149599" w14:textId="5FC977A2"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Mehmet </w:t>
      </w:r>
      <w:bookmarkStart w:id="101" w:name="_Hlk156584359"/>
      <w:r w:rsidRPr="00171C1B">
        <w:rPr>
          <w:sz w:val="16"/>
          <w:szCs w:val="16"/>
        </w:rPr>
        <w:t>Kara</w:t>
      </w:r>
      <w:r w:rsidRPr="00171C1B">
        <w:rPr>
          <w:rFonts w:cstheme="minorHAnsi"/>
          <w:sz w:val="16"/>
          <w:szCs w:val="16"/>
        </w:rPr>
        <w:t>ç</w:t>
      </w:r>
      <w:r w:rsidRPr="00171C1B">
        <w:rPr>
          <w:sz w:val="16"/>
          <w:szCs w:val="16"/>
        </w:rPr>
        <w:t xml:space="preserve">uka, ‘Religion and Economic Development in History: Institutions and the Role of Religious Networks,’ </w:t>
      </w:r>
      <w:r w:rsidRPr="00171C1B">
        <w:rPr>
          <w:i/>
          <w:iCs/>
          <w:sz w:val="16"/>
          <w:szCs w:val="16"/>
        </w:rPr>
        <w:t>Journal of Economic Issues</w:t>
      </w:r>
      <w:bookmarkEnd w:id="101"/>
      <w:r w:rsidRPr="00171C1B">
        <w:rPr>
          <w:sz w:val="16"/>
          <w:szCs w:val="16"/>
        </w:rPr>
        <w:t xml:space="preserve">, 52:1 (2018), pp. 57-79. </w:t>
      </w:r>
    </w:p>
  </w:footnote>
  <w:footnote w:id="311">
    <w:p w14:paraId="50BBE0DB" w14:textId="2CD168D6"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w:t>
      </w:r>
      <w:r w:rsidR="00171C1B" w:rsidRPr="00171C1B">
        <w:rPr>
          <w:sz w:val="16"/>
          <w:szCs w:val="16"/>
        </w:rPr>
        <w:t xml:space="preserve">Karaçuka, ‘Religion and Economic Development in History: Institutions and the Role of Religious Networks,’ </w:t>
      </w:r>
      <w:r w:rsidR="00171C1B" w:rsidRPr="00171C1B">
        <w:rPr>
          <w:i/>
          <w:iCs/>
          <w:sz w:val="16"/>
          <w:szCs w:val="16"/>
        </w:rPr>
        <w:t>Journal of Economic Issues</w:t>
      </w:r>
      <w:r w:rsidRPr="00171C1B">
        <w:rPr>
          <w:sz w:val="16"/>
          <w:szCs w:val="16"/>
        </w:rPr>
        <w:t xml:space="preserve">, p.57. </w:t>
      </w:r>
    </w:p>
  </w:footnote>
  <w:footnote w:id="312">
    <w:p w14:paraId="2CE03EF9" w14:textId="63DE3189" w:rsidR="004B6BDD" w:rsidRPr="00171C1B" w:rsidRDefault="004B6BDD">
      <w:pPr>
        <w:pStyle w:val="FootnoteText"/>
        <w:rPr>
          <w:sz w:val="16"/>
          <w:szCs w:val="16"/>
        </w:rPr>
      </w:pPr>
      <w:r w:rsidRPr="00171C1B">
        <w:rPr>
          <w:rStyle w:val="FootnoteReference"/>
          <w:sz w:val="16"/>
          <w:szCs w:val="16"/>
        </w:rPr>
        <w:footnoteRef/>
      </w:r>
      <w:r w:rsidRPr="00171C1B">
        <w:rPr>
          <w:sz w:val="16"/>
          <w:szCs w:val="16"/>
        </w:rPr>
        <w:t xml:space="preserve"> </w:t>
      </w:r>
      <w:r w:rsidR="00363C93" w:rsidRPr="00363C93">
        <w:rPr>
          <w:sz w:val="16"/>
          <w:szCs w:val="16"/>
        </w:rPr>
        <w:t>Ancestry Ireland Unlimited Company</w:t>
      </w:r>
      <w:r w:rsidR="00363C93">
        <w:rPr>
          <w:sz w:val="16"/>
          <w:szCs w:val="16"/>
        </w:rPr>
        <w:t>,</w:t>
      </w:r>
      <w:r w:rsidR="00363C93" w:rsidRPr="00363C93">
        <w:rPr>
          <w:sz w:val="16"/>
          <w:szCs w:val="16"/>
        </w:rPr>
        <w:t xml:space="preserve"> </w:t>
      </w:r>
      <w:r w:rsidR="00BC1609" w:rsidRPr="00363C93">
        <w:rPr>
          <w:i/>
          <w:iCs/>
          <w:sz w:val="16"/>
          <w:szCs w:val="16"/>
        </w:rPr>
        <w:t>Manchester, England; Reference Number: GB127.M30/3/1/1</w:t>
      </w:r>
      <w:r w:rsidR="00614A96" w:rsidRPr="00363C93">
        <w:rPr>
          <w:i/>
          <w:iCs/>
          <w:sz w:val="16"/>
          <w:szCs w:val="16"/>
        </w:rPr>
        <w:t xml:space="preserve"> - Manchester, England, Non-Conformist Births and Baptisms, 1758-1912 – Unitarian Chapel, </w:t>
      </w:r>
      <w:r w:rsidR="00F45B16" w:rsidRPr="00363C93">
        <w:rPr>
          <w:i/>
          <w:iCs/>
          <w:sz w:val="16"/>
          <w:szCs w:val="16"/>
        </w:rPr>
        <w:t>Mosley Street/</w:t>
      </w:r>
      <w:r w:rsidR="00614A96" w:rsidRPr="00363C93">
        <w:rPr>
          <w:i/>
          <w:iCs/>
          <w:sz w:val="16"/>
          <w:szCs w:val="16"/>
        </w:rPr>
        <w:t>Upper Brook Street</w:t>
      </w:r>
      <w:r w:rsidR="00363C93">
        <w:rPr>
          <w:i/>
          <w:iCs/>
          <w:sz w:val="16"/>
          <w:szCs w:val="16"/>
        </w:rPr>
        <w:t>,</w:t>
      </w:r>
      <w:r w:rsidR="00363C93" w:rsidRPr="00363C93">
        <w:t xml:space="preserve"> </w:t>
      </w:r>
      <w:r w:rsidR="00363C93" w:rsidRPr="00363C93">
        <w:rPr>
          <w:sz w:val="16"/>
          <w:szCs w:val="16"/>
        </w:rPr>
        <w:t>Ancestry Ireland Unlimited Company</w:t>
      </w:r>
      <w:r w:rsidR="00363C93">
        <w:rPr>
          <w:sz w:val="16"/>
          <w:szCs w:val="16"/>
        </w:rPr>
        <w:t xml:space="preserve">, 2002-2024 </w:t>
      </w:r>
      <w:hyperlink r:id="rId24" w:history="1">
        <w:r w:rsidR="00363C93" w:rsidRPr="00C47018">
          <w:rPr>
            <w:rStyle w:val="Hyperlink"/>
            <w:sz w:val="16"/>
            <w:szCs w:val="16"/>
          </w:rPr>
          <w:t>https://www.ancestry.co.uk/</w:t>
        </w:r>
      </w:hyperlink>
      <w:r w:rsidR="00363C93">
        <w:rPr>
          <w:i/>
          <w:iCs/>
          <w:sz w:val="16"/>
          <w:szCs w:val="16"/>
        </w:rPr>
        <w:t xml:space="preserve"> </w:t>
      </w:r>
      <w:r w:rsidR="00171C1B" w:rsidRPr="00171C1B">
        <w:rPr>
          <w:sz w:val="16"/>
          <w:szCs w:val="16"/>
        </w:rPr>
        <w:t>[last accessed 12 January 2024]</w:t>
      </w:r>
      <w:r w:rsidR="00363C93">
        <w:rPr>
          <w:sz w:val="16"/>
          <w:szCs w:val="16"/>
        </w:rPr>
        <w:t>.</w:t>
      </w:r>
      <w:r w:rsidR="00171C1B" w:rsidRPr="00171C1B">
        <w:rPr>
          <w:sz w:val="16"/>
          <w:szCs w:val="16"/>
        </w:rPr>
        <w:t xml:space="preserve">  </w:t>
      </w:r>
    </w:p>
  </w:footnote>
  <w:footnote w:id="313">
    <w:p w14:paraId="56DC7243" w14:textId="7B67E1F9" w:rsidR="004B6BDD" w:rsidRPr="00DC0095" w:rsidRDefault="004B6BDD">
      <w:pPr>
        <w:pStyle w:val="FootnoteText"/>
        <w:rPr>
          <w:sz w:val="18"/>
          <w:szCs w:val="18"/>
        </w:rPr>
      </w:pPr>
      <w:r w:rsidRPr="00171C1B">
        <w:rPr>
          <w:rStyle w:val="FootnoteReference"/>
          <w:sz w:val="16"/>
          <w:szCs w:val="16"/>
        </w:rPr>
        <w:footnoteRef/>
      </w:r>
      <w:r w:rsidRPr="00171C1B">
        <w:rPr>
          <w:sz w:val="16"/>
          <w:szCs w:val="16"/>
        </w:rPr>
        <w:t xml:space="preserve"> </w:t>
      </w:r>
      <w:bookmarkStart w:id="102" w:name="_Hlk170478806"/>
      <w:r w:rsidR="00363C93" w:rsidRPr="00363C93">
        <w:rPr>
          <w:sz w:val="16"/>
          <w:szCs w:val="16"/>
        </w:rPr>
        <w:t>Ancestry Ireland Unlimited Company</w:t>
      </w:r>
      <w:r w:rsidR="00363C93">
        <w:rPr>
          <w:sz w:val="16"/>
          <w:szCs w:val="16"/>
        </w:rPr>
        <w:t>,</w:t>
      </w:r>
      <w:r w:rsidR="00363C93" w:rsidRPr="00363C93">
        <w:rPr>
          <w:sz w:val="16"/>
          <w:szCs w:val="16"/>
        </w:rPr>
        <w:t xml:space="preserve"> </w:t>
      </w:r>
      <w:r w:rsidR="001E529A" w:rsidRPr="00363C93">
        <w:rPr>
          <w:i/>
          <w:iCs/>
          <w:sz w:val="16"/>
          <w:szCs w:val="16"/>
        </w:rPr>
        <w:t xml:space="preserve">Non-Conformist Register for </w:t>
      </w:r>
      <w:r w:rsidR="00F45B16" w:rsidRPr="00363C93">
        <w:rPr>
          <w:i/>
          <w:iCs/>
          <w:sz w:val="16"/>
          <w:szCs w:val="16"/>
        </w:rPr>
        <w:t>Unitarian Chapel, Mosle</w:t>
      </w:r>
      <w:r w:rsidR="00171C1B" w:rsidRPr="00363C93">
        <w:rPr>
          <w:i/>
          <w:iCs/>
          <w:sz w:val="16"/>
          <w:szCs w:val="16"/>
        </w:rPr>
        <w:t xml:space="preserve">y </w:t>
      </w:r>
      <w:r w:rsidR="00F45B16" w:rsidRPr="00363C93">
        <w:rPr>
          <w:i/>
          <w:iCs/>
          <w:sz w:val="16"/>
          <w:szCs w:val="16"/>
        </w:rPr>
        <w:t>Street/Upper Brook Street</w:t>
      </w:r>
      <w:r w:rsidR="00363C93">
        <w:rPr>
          <w:sz w:val="16"/>
          <w:szCs w:val="16"/>
        </w:rPr>
        <w:t>,</w:t>
      </w:r>
      <w:r w:rsidR="00363C93" w:rsidRPr="00363C93">
        <w:t xml:space="preserve"> </w:t>
      </w:r>
      <w:r w:rsidR="00363C93" w:rsidRPr="00363C93">
        <w:rPr>
          <w:sz w:val="16"/>
          <w:szCs w:val="16"/>
        </w:rPr>
        <w:t>Ancestry Ireland Unlimited Company</w:t>
      </w:r>
      <w:r w:rsidR="00363C93">
        <w:rPr>
          <w:sz w:val="16"/>
          <w:szCs w:val="16"/>
        </w:rPr>
        <w:t xml:space="preserve">, 2002-2024 </w:t>
      </w:r>
      <w:hyperlink r:id="rId25" w:history="1">
        <w:r w:rsidR="00363C93" w:rsidRPr="00171C1B">
          <w:rPr>
            <w:rStyle w:val="Hyperlink"/>
            <w:sz w:val="16"/>
            <w:szCs w:val="16"/>
          </w:rPr>
          <w:t>https://www.ancestry.co.uk/</w:t>
        </w:r>
      </w:hyperlink>
      <w:r w:rsidR="00363C93">
        <w:rPr>
          <w:sz w:val="18"/>
          <w:szCs w:val="18"/>
        </w:rPr>
        <w:t xml:space="preserve"> </w:t>
      </w:r>
      <w:r w:rsidR="00171C1B" w:rsidRPr="00171C1B">
        <w:rPr>
          <w:sz w:val="16"/>
          <w:szCs w:val="16"/>
        </w:rPr>
        <w:t>[last accessed 12 January 2024</w:t>
      </w:r>
      <w:r w:rsidR="00363C93">
        <w:rPr>
          <w:sz w:val="16"/>
          <w:szCs w:val="16"/>
        </w:rPr>
        <w:t>].</w:t>
      </w:r>
      <w:r w:rsidR="00171C1B" w:rsidRPr="00171C1B">
        <w:rPr>
          <w:sz w:val="16"/>
          <w:szCs w:val="16"/>
        </w:rPr>
        <w:t xml:space="preserve"> </w:t>
      </w:r>
      <w:bookmarkEnd w:id="102"/>
    </w:p>
  </w:footnote>
  <w:footnote w:id="314">
    <w:p w14:paraId="1E37697E" w14:textId="35D92966" w:rsidR="00C35294" w:rsidRDefault="00C35294">
      <w:pPr>
        <w:pStyle w:val="FootnoteText"/>
      </w:pPr>
      <w:r>
        <w:rPr>
          <w:rStyle w:val="FootnoteReference"/>
        </w:rPr>
        <w:footnoteRef/>
      </w:r>
      <w:r>
        <w:t xml:space="preserve"> </w:t>
      </w:r>
      <w:r w:rsidR="00CD1D60" w:rsidRPr="00363C93">
        <w:rPr>
          <w:sz w:val="16"/>
          <w:szCs w:val="16"/>
        </w:rPr>
        <w:t>Ancestry Ireland Unlimited Company</w:t>
      </w:r>
      <w:r w:rsidR="00CD1D60">
        <w:rPr>
          <w:sz w:val="16"/>
          <w:szCs w:val="16"/>
        </w:rPr>
        <w:t>,</w:t>
      </w:r>
      <w:r w:rsidR="00CD1D60" w:rsidRPr="00363C93">
        <w:rPr>
          <w:sz w:val="16"/>
          <w:szCs w:val="16"/>
        </w:rPr>
        <w:t xml:space="preserve"> </w:t>
      </w:r>
      <w:r w:rsidR="00CD1D60" w:rsidRPr="00363C93">
        <w:rPr>
          <w:i/>
          <w:iCs/>
          <w:sz w:val="16"/>
          <w:szCs w:val="16"/>
        </w:rPr>
        <w:t>Non-Conformist Register for Unitarian Chapel, Mosley Street/Upper Brook Street</w:t>
      </w:r>
      <w:r w:rsidR="00CD1D60">
        <w:rPr>
          <w:sz w:val="16"/>
          <w:szCs w:val="16"/>
        </w:rPr>
        <w:t>,</w:t>
      </w:r>
      <w:r w:rsidR="00CD1D60" w:rsidRPr="00363C93">
        <w:t xml:space="preserve"> </w:t>
      </w:r>
      <w:r w:rsidR="00CD1D60" w:rsidRPr="00363C93">
        <w:rPr>
          <w:sz w:val="16"/>
          <w:szCs w:val="16"/>
        </w:rPr>
        <w:t>Ancestry Ireland Unlimited Company</w:t>
      </w:r>
      <w:r w:rsidR="00CD1D60">
        <w:rPr>
          <w:sz w:val="16"/>
          <w:szCs w:val="16"/>
        </w:rPr>
        <w:t xml:space="preserve">, 2002-2024 </w:t>
      </w:r>
      <w:hyperlink r:id="rId26" w:history="1">
        <w:r w:rsidR="00CD1D60" w:rsidRPr="00171C1B">
          <w:rPr>
            <w:rStyle w:val="Hyperlink"/>
            <w:sz w:val="16"/>
            <w:szCs w:val="16"/>
          </w:rPr>
          <w:t>https://www.ancestry.co.uk/</w:t>
        </w:r>
      </w:hyperlink>
      <w:r w:rsidR="00CD1D60">
        <w:rPr>
          <w:sz w:val="18"/>
          <w:szCs w:val="18"/>
        </w:rPr>
        <w:t xml:space="preserve"> </w:t>
      </w:r>
      <w:r w:rsidR="00CD1D60" w:rsidRPr="00171C1B">
        <w:rPr>
          <w:sz w:val="16"/>
          <w:szCs w:val="16"/>
        </w:rPr>
        <w:t>[last accessed 12 January 2024</w:t>
      </w:r>
      <w:r w:rsidR="00CD1D60">
        <w:rPr>
          <w:sz w:val="16"/>
          <w:szCs w:val="16"/>
        </w:rPr>
        <w:t>].</w:t>
      </w:r>
    </w:p>
  </w:footnote>
  <w:footnote w:id="315">
    <w:p w14:paraId="4CD4D931" w14:textId="7B779697" w:rsidR="00C35294" w:rsidRDefault="00C35294">
      <w:pPr>
        <w:pStyle w:val="FootnoteText"/>
      </w:pPr>
      <w:r>
        <w:rPr>
          <w:rStyle w:val="FootnoteReference"/>
        </w:rPr>
        <w:footnoteRef/>
      </w:r>
      <w:r>
        <w:t xml:space="preserve"> </w:t>
      </w:r>
      <w:r w:rsidR="00CD1D60" w:rsidRPr="00363C93">
        <w:rPr>
          <w:sz w:val="16"/>
          <w:szCs w:val="16"/>
        </w:rPr>
        <w:t>Ancestry Ireland Unlimited Company</w:t>
      </w:r>
      <w:r w:rsidR="00CD1D60">
        <w:rPr>
          <w:sz w:val="16"/>
          <w:szCs w:val="16"/>
        </w:rPr>
        <w:t>,</w:t>
      </w:r>
      <w:r w:rsidR="00CD1D60" w:rsidRPr="00363C93">
        <w:rPr>
          <w:sz w:val="16"/>
          <w:szCs w:val="16"/>
        </w:rPr>
        <w:t xml:space="preserve"> </w:t>
      </w:r>
      <w:r w:rsidR="00CD1D60" w:rsidRPr="00363C93">
        <w:rPr>
          <w:i/>
          <w:iCs/>
          <w:sz w:val="16"/>
          <w:szCs w:val="16"/>
        </w:rPr>
        <w:t>Non-Conformist Register for Unitarian Chapel, Mosley Street/Upper Brook Street</w:t>
      </w:r>
      <w:r w:rsidR="00CD1D60">
        <w:rPr>
          <w:sz w:val="16"/>
          <w:szCs w:val="16"/>
        </w:rPr>
        <w:t>,</w:t>
      </w:r>
      <w:r w:rsidR="00CD1D60" w:rsidRPr="00363C93">
        <w:t xml:space="preserve"> </w:t>
      </w:r>
      <w:r w:rsidR="00CD1D60" w:rsidRPr="00363C93">
        <w:rPr>
          <w:sz w:val="16"/>
          <w:szCs w:val="16"/>
        </w:rPr>
        <w:t>Ancestry Ireland Unlimited Company</w:t>
      </w:r>
      <w:r w:rsidR="00CD1D60">
        <w:rPr>
          <w:sz w:val="16"/>
          <w:szCs w:val="16"/>
        </w:rPr>
        <w:t xml:space="preserve">, 2002-2024 </w:t>
      </w:r>
      <w:hyperlink r:id="rId27" w:history="1">
        <w:r w:rsidR="00CD1D60" w:rsidRPr="00171C1B">
          <w:rPr>
            <w:rStyle w:val="Hyperlink"/>
            <w:sz w:val="16"/>
            <w:szCs w:val="16"/>
          </w:rPr>
          <w:t>https://www.ancestry.co.uk/</w:t>
        </w:r>
      </w:hyperlink>
      <w:r w:rsidR="00CD1D60">
        <w:rPr>
          <w:sz w:val="18"/>
          <w:szCs w:val="18"/>
        </w:rPr>
        <w:t xml:space="preserve"> </w:t>
      </w:r>
      <w:r w:rsidR="00CD1D60" w:rsidRPr="00171C1B">
        <w:rPr>
          <w:sz w:val="16"/>
          <w:szCs w:val="16"/>
        </w:rPr>
        <w:t>[last accessed 12 January 2024</w:t>
      </w:r>
      <w:r w:rsidR="00CD1D60">
        <w:rPr>
          <w:sz w:val="16"/>
          <w:szCs w:val="16"/>
        </w:rPr>
        <w:t>].</w:t>
      </w:r>
    </w:p>
  </w:footnote>
  <w:footnote w:id="316">
    <w:p w14:paraId="6C72F7EF" w14:textId="5131B849" w:rsidR="00C35294" w:rsidRDefault="00C35294">
      <w:pPr>
        <w:pStyle w:val="FootnoteText"/>
      </w:pPr>
      <w:r>
        <w:rPr>
          <w:rStyle w:val="FootnoteReference"/>
        </w:rPr>
        <w:footnoteRef/>
      </w:r>
      <w:r>
        <w:t xml:space="preserve"> </w:t>
      </w:r>
      <w:r w:rsidR="00CD1D60" w:rsidRPr="00363C93">
        <w:rPr>
          <w:sz w:val="16"/>
          <w:szCs w:val="16"/>
        </w:rPr>
        <w:t>Ancestry Ireland Unlimited Company</w:t>
      </w:r>
      <w:r w:rsidR="00CD1D60">
        <w:rPr>
          <w:sz w:val="16"/>
          <w:szCs w:val="16"/>
        </w:rPr>
        <w:t>,</w:t>
      </w:r>
      <w:r w:rsidR="00CD1D60" w:rsidRPr="00363C93">
        <w:rPr>
          <w:sz w:val="16"/>
          <w:szCs w:val="16"/>
        </w:rPr>
        <w:t xml:space="preserve"> </w:t>
      </w:r>
      <w:r w:rsidR="00CD1D60" w:rsidRPr="00363C93">
        <w:rPr>
          <w:i/>
          <w:iCs/>
          <w:sz w:val="16"/>
          <w:szCs w:val="16"/>
        </w:rPr>
        <w:t>Non-Conformist Register for Unitarian Chapel, Mosley Street/Upper Brook Street</w:t>
      </w:r>
      <w:r w:rsidR="00CD1D60">
        <w:rPr>
          <w:sz w:val="16"/>
          <w:szCs w:val="16"/>
        </w:rPr>
        <w:t>,</w:t>
      </w:r>
      <w:r w:rsidR="00CD1D60" w:rsidRPr="00363C93">
        <w:t xml:space="preserve"> </w:t>
      </w:r>
      <w:r w:rsidR="00CD1D60" w:rsidRPr="00363C93">
        <w:rPr>
          <w:sz w:val="16"/>
          <w:szCs w:val="16"/>
        </w:rPr>
        <w:t>Ancestry Ireland Unlimited Company</w:t>
      </w:r>
      <w:r w:rsidR="00CD1D60">
        <w:rPr>
          <w:sz w:val="16"/>
          <w:szCs w:val="16"/>
        </w:rPr>
        <w:t xml:space="preserve">, 2002-2024 </w:t>
      </w:r>
      <w:hyperlink r:id="rId28" w:history="1">
        <w:r w:rsidR="00CD1D60" w:rsidRPr="00171C1B">
          <w:rPr>
            <w:rStyle w:val="Hyperlink"/>
            <w:sz w:val="16"/>
            <w:szCs w:val="16"/>
          </w:rPr>
          <w:t>https://www.ancestry.co.uk/</w:t>
        </w:r>
      </w:hyperlink>
      <w:r w:rsidR="00CD1D60">
        <w:rPr>
          <w:sz w:val="18"/>
          <w:szCs w:val="18"/>
        </w:rPr>
        <w:t xml:space="preserve"> </w:t>
      </w:r>
      <w:r w:rsidR="00CD1D60" w:rsidRPr="00171C1B">
        <w:rPr>
          <w:sz w:val="16"/>
          <w:szCs w:val="16"/>
        </w:rPr>
        <w:t>[last accessed 12 January 2024</w:t>
      </w:r>
      <w:r w:rsidR="00CD1D60">
        <w:rPr>
          <w:sz w:val="16"/>
          <w:szCs w:val="16"/>
        </w:rPr>
        <w:t>].</w:t>
      </w:r>
    </w:p>
  </w:footnote>
  <w:footnote w:id="317">
    <w:p w14:paraId="52AE0CF8" w14:textId="59B5D1EE"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w:t>
      </w:r>
      <w:bookmarkStart w:id="104" w:name="_Hlk156584485"/>
      <w:r w:rsidRPr="00171C1B">
        <w:rPr>
          <w:sz w:val="16"/>
          <w:szCs w:val="16"/>
        </w:rPr>
        <w:t xml:space="preserve">Avner Greif, ‘Reputation and Coalitions in Medieval Trade: The Evidence on the </w:t>
      </w:r>
      <w:r w:rsidRPr="00171C1B">
        <w:rPr>
          <w:sz w:val="16"/>
          <w:szCs w:val="16"/>
        </w:rPr>
        <w:t xml:space="preserve">Maghribi Traders,’ </w:t>
      </w:r>
      <w:r w:rsidRPr="00171C1B">
        <w:rPr>
          <w:i/>
          <w:iCs/>
          <w:sz w:val="16"/>
          <w:szCs w:val="16"/>
        </w:rPr>
        <w:t xml:space="preserve">Journal </w:t>
      </w:r>
      <w:r w:rsidR="00A07651" w:rsidRPr="00171C1B">
        <w:rPr>
          <w:i/>
          <w:iCs/>
          <w:sz w:val="16"/>
          <w:szCs w:val="16"/>
        </w:rPr>
        <w:t>of Economic</w:t>
      </w:r>
      <w:r w:rsidRPr="00171C1B">
        <w:rPr>
          <w:i/>
          <w:iCs/>
          <w:sz w:val="16"/>
          <w:szCs w:val="16"/>
        </w:rPr>
        <w:t xml:space="preserve"> History,</w:t>
      </w:r>
      <w:r w:rsidRPr="00171C1B">
        <w:rPr>
          <w:sz w:val="16"/>
          <w:szCs w:val="16"/>
        </w:rPr>
        <w:t xml:space="preserve"> 49:4 (1989), </w:t>
      </w:r>
      <w:bookmarkEnd w:id="104"/>
      <w:r w:rsidRPr="00171C1B">
        <w:rPr>
          <w:sz w:val="16"/>
          <w:szCs w:val="16"/>
        </w:rPr>
        <w:t>pp.</w:t>
      </w:r>
      <w:r w:rsidR="00171C1B">
        <w:rPr>
          <w:sz w:val="16"/>
          <w:szCs w:val="16"/>
        </w:rPr>
        <w:t xml:space="preserve"> 857-882 (p.</w:t>
      </w:r>
      <w:r w:rsidRPr="00171C1B">
        <w:rPr>
          <w:sz w:val="16"/>
          <w:szCs w:val="16"/>
        </w:rPr>
        <w:t>868</w:t>
      </w:r>
      <w:r w:rsidR="00171C1B">
        <w:rPr>
          <w:sz w:val="16"/>
          <w:szCs w:val="16"/>
        </w:rPr>
        <w:t>)</w:t>
      </w:r>
      <w:r w:rsidRPr="00171C1B">
        <w:rPr>
          <w:sz w:val="16"/>
          <w:szCs w:val="16"/>
        </w:rPr>
        <w:t>.</w:t>
      </w:r>
    </w:p>
  </w:footnote>
  <w:footnote w:id="318">
    <w:p w14:paraId="7A347702" w14:textId="432EF079" w:rsidR="005A05DF" w:rsidRPr="00363C93" w:rsidRDefault="005A05DF" w:rsidP="005A05DF">
      <w:pPr>
        <w:pStyle w:val="FootnoteText"/>
        <w:rPr>
          <w:sz w:val="16"/>
          <w:szCs w:val="16"/>
        </w:rPr>
      </w:pPr>
      <w:r w:rsidRPr="00363C93">
        <w:rPr>
          <w:rStyle w:val="FootnoteReference"/>
          <w:sz w:val="16"/>
          <w:szCs w:val="16"/>
        </w:rPr>
        <w:footnoteRef/>
      </w:r>
      <w:r w:rsidR="00B9691C">
        <w:rPr>
          <w:sz w:val="16"/>
          <w:szCs w:val="16"/>
        </w:rPr>
        <w:t xml:space="preserve"> </w:t>
      </w:r>
      <w:r w:rsidR="00363C93" w:rsidRPr="00363C93">
        <w:rPr>
          <w:sz w:val="16"/>
          <w:szCs w:val="16"/>
        </w:rPr>
        <w:t xml:space="preserve">Ancestry Ireland Unlimited Company, </w:t>
      </w:r>
      <w:r w:rsidRPr="00363C93">
        <w:rPr>
          <w:i/>
          <w:iCs/>
          <w:sz w:val="16"/>
          <w:szCs w:val="16"/>
        </w:rPr>
        <w:t>England &amp; Wales Marriages, 1538-1988 - 28 Jun 1744, Mayfield, Staffordshire, England</w:t>
      </w:r>
      <w:r w:rsidR="00363C93" w:rsidRPr="00363C93">
        <w:rPr>
          <w:sz w:val="16"/>
          <w:szCs w:val="16"/>
        </w:rPr>
        <w:t>, Ancestry Ireland Unlimited Company, 2002-2024</w:t>
      </w:r>
      <w:r w:rsidR="00897C33" w:rsidRPr="00363C93">
        <w:rPr>
          <w:sz w:val="16"/>
          <w:szCs w:val="16"/>
        </w:rPr>
        <w:t xml:space="preserve"> </w:t>
      </w:r>
      <w:hyperlink r:id="rId29" w:history="1">
        <w:r w:rsidR="00363C93" w:rsidRPr="00363C93">
          <w:rPr>
            <w:rStyle w:val="Hyperlink"/>
            <w:sz w:val="16"/>
            <w:szCs w:val="16"/>
          </w:rPr>
          <w:t>https://www.ancestry.co.uk/</w:t>
        </w:r>
      </w:hyperlink>
      <w:r w:rsidR="00363C93" w:rsidRPr="00363C93">
        <w:rPr>
          <w:sz w:val="16"/>
          <w:szCs w:val="16"/>
        </w:rPr>
        <w:t xml:space="preserve"> </w:t>
      </w:r>
      <w:r w:rsidR="00897C33" w:rsidRPr="00363C93">
        <w:rPr>
          <w:sz w:val="16"/>
          <w:szCs w:val="16"/>
        </w:rPr>
        <w:t>[last accessed 12 January 2024]</w:t>
      </w:r>
      <w:r w:rsidR="00363C93" w:rsidRPr="00363C93">
        <w:rPr>
          <w:sz w:val="16"/>
          <w:szCs w:val="16"/>
        </w:rPr>
        <w:t>.</w:t>
      </w:r>
      <w:r w:rsidR="00897C33" w:rsidRPr="00363C93">
        <w:rPr>
          <w:sz w:val="16"/>
          <w:szCs w:val="16"/>
        </w:rPr>
        <w:t xml:space="preserve">  </w:t>
      </w:r>
    </w:p>
  </w:footnote>
  <w:footnote w:id="319">
    <w:p w14:paraId="49C67DAA" w14:textId="2F36D8DC"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w:t>
      </w:r>
      <w:r w:rsidR="00363C93" w:rsidRPr="00363C93">
        <w:rPr>
          <w:sz w:val="16"/>
          <w:szCs w:val="16"/>
        </w:rPr>
        <w:t>Ancestry Ireland Unlimited Company</w:t>
      </w:r>
      <w:r w:rsidR="00363C93">
        <w:rPr>
          <w:sz w:val="16"/>
          <w:szCs w:val="16"/>
        </w:rPr>
        <w:t>,</w:t>
      </w:r>
      <w:r w:rsidR="00363C93" w:rsidRPr="00363C93">
        <w:rPr>
          <w:sz w:val="16"/>
          <w:szCs w:val="16"/>
        </w:rPr>
        <w:t xml:space="preserve"> </w:t>
      </w:r>
      <w:r w:rsidRPr="00363C93">
        <w:rPr>
          <w:i/>
          <w:iCs/>
          <w:sz w:val="16"/>
          <w:szCs w:val="16"/>
        </w:rPr>
        <w:t>Cambridge University Alumni, 1261-1900</w:t>
      </w:r>
      <w:r w:rsidRPr="00171C1B">
        <w:rPr>
          <w:sz w:val="16"/>
          <w:szCs w:val="16"/>
        </w:rPr>
        <w:t xml:space="preserve"> </w:t>
      </w:r>
      <w:r w:rsidR="00171C1B" w:rsidRPr="00171C1B">
        <w:rPr>
          <w:sz w:val="16"/>
          <w:szCs w:val="16"/>
        </w:rPr>
        <w:t xml:space="preserve">and </w:t>
      </w:r>
      <w:r w:rsidRPr="00171C1B">
        <w:rPr>
          <w:sz w:val="16"/>
          <w:szCs w:val="16"/>
        </w:rPr>
        <w:t>Anthony and Hannah’s sons John and Thomas Carr entered St. John’s College in 1763 and 1769, respectively</w:t>
      </w:r>
      <w:r w:rsidR="00363C93">
        <w:rPr>
          <w:sz w:val="16"/>
          <w:szCs w:val="16"/>
        </w:rPr>
        <w:t>,</w:t>
      </w:r>
      <w:r w:rsidR="00363C93" w:rsidRPr="00363C93">
        <w:t xml:space="preserve"> </w:t>
      </w:r>
      <w:r w:rsidR="00363C93" w:rsidRPr="00363C93">
        <w:rPr>
          <w:sz w:val="16"/>
          <w:szCs w:val="16"/>
        </w:rPr>
        <w:t>Ancestry Ireland Unlimited Company</w:t>
      </w:r>
      <w:r w:rsidR="00363C93">
        <w:rPr>
          <w:sz w:val="16"/>
          <w:szCs w:val="16"/>
        </w:rPr>
        <w:t xml:space="preserve">, 2002-2024 </w:t>
      </w:r>
      <w:hyperlink r:id="rId30" w:history="1">
        <w:r w:rsidR="00363C93" w:rsidRPr="00C47018">
          <w:rPr>
            <w:rStyle w:val="Hyperlink"/>
            <w:sz w:val="16"/>
            <w:szCs w:val="16"/>
          </w:rPr>
          <w:t>https://www.ancestry.co.uk/</w:t>
        </w:r>
      </w:hyperlink>
      <w:r w:rsidR="00363C93">
        <w:rPr>
          <w:sz w:val="16"/>
          <w:szCs w:val="16"/>
        </w:rPr>
        <w:t xml:space="preserve"> </w:t>
      </w:r>
      <w:r w:rsidR="00171C1B" w:rsidRPr="00171C1B">
        <w:rPr>
          <w:sz w:val="16"/>
          <w:szCs w:val="16"/>
        </w:rPr>
        <w:t xml:space="preserve"> [last accessed 12 January 2024]</w:t>
      </w:r>
      <w:r w:rsidR="00171C1B">
        <w:rPr>
          <w:sz w:val="16"/>
          <w:szCs w:val="16"/>
        </w:rPr>
        <w:t>.</w:t>
      </w:r>
      <w:r w:rsidR="00171C1B" w:rsidRPr="00171C1B">
        <w:rPr>
          <w:sz w:val="16"/>
          <w:szCs w:val="16"/>
        </w:rPr>
        <w:t xml:space="preserve">  </w:t>
      </w:r>
    </w:p>
  </w:footnote>
  <w:footnote w:id="320">
    <w:p w14:paraId="5ECFB900" w14:textId="37D6ED3A"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w:t>
      </w:r>
      <w:r w:rsidR="00171C1B" w:rsidRPr="00171C1B">
        <w:rPr>
          <w:sz w:val="16"/>
          <w:szCs w:val="16"/>
        </w:rPr>
        <w:t xml:space="preserve">The Hathi Trust </w:t>
      </w:r>
      <w:r w:rsidR="00363C93">
        <w:rPr>
          <w:sz w:val="16"/>
          <w:szCs w:val="16"/>
        </w:rPr>
        <w:t>O</w:t>
      </w:r>
      <w:r w:rsidR="00171C1B" w:rsidRPr="00171C1B">
        <w:rPr>
          <w:sz w:val="16"/>
          <w:szCs w:val="16"/>
        </w:rPr>
        <w:t>nline</w:t>
      </w:r>
      <w:r w:rsidR="00363C93">
        <w:rPr>
          <w:sz w:val="16"/>
          <w:szCs w:val="16"/>
        </w:rPr>
        <w:t>,</w:t>
      </w:r>
      <w:r w:rsidR="00171C1B" w:rsidRPr="00171C1B">
        <w:rPr>
          <w:sz w:val="16"/>
          <w:szCs w:val="16"/>
        </w:rPr>
        <w:t xml:space="preserve"> </w:t>
      </w:r>
      <w:r w:rsidR="00171C1B" w:rsidRPr="00363C93">
        <w:rPr>
          <w:i/>
          <w:iCs/>
          <w:sz w:val="16"/>
          <w:szCs w:val="16"/>
        </w:rPr>
        <w:t>Parliamentary Debates – Hansard 1813 s1 v5 c1147 delivered by the University of Illinois and Indiana University</w:t>
      </w:r>
      <w:r w:rsidR="00363C93">
        <w:rPr>
          <w:i/>
          <w:iCs/>
          <w:sz w:val="16"/>
          <w:szCs w:val="16"/>
        </w:rPr>
        <w:t>,</w:t>
      </w:r>
      <w:r w:rsidR="00363C93" w:rsidRPr="00363C93">
        <w:t xml:space="preserve"> </w:t>
      </w:r>
      <w:r w:rsidR="00363C93" w:rsidRPr="00363C93">
        <w:rPr>
          <w:sz w:val="16"/>
          <w:szCs w:val="16"/>
        </w:rPr>
        <w:t>The Hathi Trust Online</w:t>
      </w:r>
      <w:r w:rsidR="00363C93">
        <w:rPr>
          <w:sz w:val="16"/>
          <w:szCs w:val="16"/>
        </w:rPr>
        <w:t>,</w:t>
      </w:r>
      <w:r w:rsidR="00363C93">
        <w:rPr>
          <w:i/>
          <w:iCs/>
          <w:sz w:val="16"/>
          <w:szCs w:val="16"/>
        </w:rPr>
        <w:t xml:space="preserve"> [n.d.] </w:t>
      </w:r>
      <w:r w:rsidR="00171C1B" w:rsidRPr="00171C1B">
        <w:rPr>
          <w:sz w:val="16"/>
          <w:szCs w:val="16"/>
        </w:rPr>
        <w:t xml:space="preserve"> &lt;</w:t>
      </w:r>
      <w:hyperlink r:id="rId31" w:history="1">
        <w:r w:rsidR="00171C1B" w:rsidRPr="00171C1B">
          <w:rPr>
            <w:rStyle w:val="Hyperlink"/>
            <w:sz w:val="16"/>
            <w:szCs w:val="16"/>
          </w:rPr>
          <w:t>https://babel.hathitrust.org/cgi/pt?id=uc1.%24b333360&amp;view=1up&amp;seq=583</w:t>
        </w:r>
      </w:hyperlink>
      <w:r w:rsidR="00171C1B" w:rsidRPr="00171C1B">
        <w:rPr>
          <w:rStyle w:val="Hyperlink"/>
          <w:sz w:val="16"/>
          <w:szCs w:val="16"/>
        </w:rPr>
        <w:t xml:space="preserve">&gt; </w:t>
      </w:r>
      <w:r w:rsidR="00171C1B" w:rsidRPr="00171C1B">
        <w:rPr>
          <w:rStyle w:val="Hyperlink"/>
          <w:color w:val="auto"/>
          <w:sz w:val="16"/>
          <w:szCs w:val="16"/>
          <w:u w:val="none"/>
        </w:rPr>
        <w:t>[last accessed 12 January 2024]</w:t>
      </w:r>
      <w:r w:rsidR="00171C1B">
        <w:rPr>
          <w:rStyle w:val="Hyperlink"/>
          <w:color w:val="auto"/>
          <w:sz w:val="16"/>
          <w:szCs w:val="16"/>
          <w:u w:val="none"/>
        </w:rPr>
        <w:t>.</w:t>
      </w:r>
      <w:r w:rsidR="00171C1B" w:rsidRPr="00171C1B">
        <w:rPr>
          <w:rStyle w:val="Hyperlink"/>
          <w:color w:val="auto"/>
          <w:sz w:val="16"/>
          <w:szCs w:val="16"/>
          <w:u w:val="none"/>
        </w:rPr>
        <w:t xml:space="preserve"> </w:t>
      </w:r>
      <w:r w:rsidRPr="00171C1B">
        <w:rPr>
          <w:sz w:val="16"/>
          <w:szCs w:val="16"/>
        </w:rPr>
        <w:t xml:space="preserve"> </w:t>
      </w:r>
    </w:p>
  </w:footnote>
  <w:footnote w:id="321">
    <w:p w14:paraId="61F91176" w14:textId="2668A929" w:rsidR="005A05DF" w:rsidRPr="00530264" w:rsidRDefault="005A05DF" w:rsidP="005A05DF">
      <w:pPr>
        <w:pStyle w:val="FootnoteText"/>
        <w:rPr>
          <w:sz w:val="18"/>
          <w:szCs w:val="18"/>
        </w:rPr>
      </w:pPr>
      <w:r w:rsidRPr="00171C1B">
        <w:rPr>
          <w:rStyle w:val="FootnoteReference"/>
          <w:sz w:val="16"/>
          <w:szCs w:val="16"/>
        </w:rPr>
        <w:footnoteRef/>
      </w:r>
      <w:r w:rsidRPr="00171C1B">
        <w:rPr>
          <w:sz w:val="16"/>
          <w:szCs w:val="16"/>
        </w:rPr>
        <w:t xml:space="preserve"> </w:t>
      </w:r>
      <w:r w:rsidR="00171C1B" w:rsidRPr="00171C1B">
        <w:rPr>
          <w:sz w:val="16"/>
          <w:szCs w:val="16"/>
        </w:rPr>
        <w:t>National Archives, © Crown</w:t>
      </w:r>
      <w:r w:rsidR="00363C93">
        <w:rPr>
          <w:sz w:val="16"/>
          <w:szCs w:val="16"/>
        </w:rPr>
        <w:t xml:space="preserve">, </w:t>
      </w:r>
      <w:r w:rsidR="00363C93" w:rsidRPr="00363C93">
        <w:rPr>
          <w:i/>
          <w:iCs/>
          <w:sz w:val="16"/>
          <w:szCs w:val="16"/>
        </w:rPr>
        <w:t>Universities Tests Act 1871</w:t>
      </w:r>
      <w:r w:rsidR="00363C93">
        <w:rPr>
          <w:sz w:val="16"/>
          <w:szCs w:val="16"/>
        </w:rPr>
        <w:t xml:space="preserve">, </w:t>
      </w:r>
      <w:r w:rsidR="00363C93" w:rsidRPr="00171C1B">
        <w:rPr>
          <w:sz w:val="16"/>
          <w:szCs w:val="16"/>
        </w:rPr>
        <w:t>National</w:t>
      </w:r>
      <w:r w:rsidR="00363C93" w:rsidRPr="00363C93">
        <w:rPr>
          <w:sz w:val="16"/>
          <w:szCs w:val="16"/>
        </w:rPr>
        <w:t xml:space="preserve"> Archives</w:t>
      </w:r>
      <w:r w:rsidR="00363C93">
        <w:rPr>
          <w:sz w:val="16"/>
          <w:szCs w:val="16"/>
        </w:rPr>
        <w:t>, [n.d.]</w:t>
      </w:r>
      <w:r w:rsidR="00363C93" w:rsidRPr="00363C93">
        <w:rPr>
          <w:sz w:val="16"/>
          <w:szCs w:val="16"/>
        </w:rPr>
        <w:t xml:space="preserve"> </w:t>
      </w:r>
      <w:r w:rsidR="00171C1B" w:rsidRPr="00171C1B">
        <w:rPr>
          <w:sz w:val="16"/>
          <w:szCs w:val="16"/>
        </w:rPr>
        <w:t>&lt;</w:t>
      </w:r>
      <w:hyperlink r:id="rId32" w:history="1">
        <w:r w:rsidRPr="00171C1B">
          <w:rPr>
            <w:rStyle w:val="Hyperlink"/>
            <w:sz w:val="16"/>
            <w:szCs w:val="16"/>
          </w:rPr>
          <w:t>Universities Tests Act 1871 (legislation.gov.uk)</w:t>
        </w:r>
      </w:hyperlink>
      <w:r w:rsidR="00171C1B" w:rsidRPr="00171C1B">
        <w:rPr>
          <w:rStyle w:val="Hyperlink"/>
          <w:sz w:val="16"/>
          <w:szCs w:val="16"/>
        </w:rPr>
        <w:t>&gt;</w:t>
      </w:r>
      <w:r w:rsidRPr="00171C1B">
        <w:rPr>
          <w:sz w:val="16"/>
          <w:szCs w:val="16"/>
        </w:rPr>
        <w:t xml:space="preserve"> </w:t>
      </w:r>
      <w:r w:rsidR="00171C1B" w:rsidRPr="00171C1B">
        <w:rPr>
          <w:sz w:val="16"/>
          <w:szCs w:val="16"/>
        </w:rPr>
        <w:t>[last accessed 12 January 2024]</w:t>
      </w:r>
      <w:r w:rsidR="00171C1B">
        <w:rPr>
          <w:sz w:val="18"/>
          <w:szCs w:val="18"/>
        </w:rPr>
        <w:t xml:space="preserve"> .</w:t>
      </w:r>
      <w:r w:rsidRPr="00530264">
        <w:rPr>
          <w:sz w:val="18"/>
          <w:szCs w:val="18"/>
        </w:rPr>
        <w:t xml:space="preserve"> </w:t>
      </w:r>
    </w:p>
  </w:footnote>
  <w:footnote w:id="322">
    <w:p w14:paraId="2B1FBB41" w14:textId="21180961"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James B. Sauer, ‘Christian </w:t>
      </w:r>
      <w:r w:rsidR="00171C1B" w:rsidRPr="00171C1B">
        <w:rPr>
          <w:sz w:val="16"/>
          <w:szCs w:val="16"/>
        </w:rPr>
        <w:t>F</w:t>
      </w:r>
      <w:r w:rsidRPr="00171C1B">
        <w:rPr>
          <w:sz w:val="16"/>
          <w:szCs w:val="16"/>
        </w:rPr>
        <w:t xml:space="preserve">aith, </w:t>
      </w:r>
      <w:r w:rsidR="00171C1B" w:rsidRPr="00171C1B">
        <w:rPr>
          <w:sz w:val="16"/>
          <w:szCs w:val="16"/>
        </w:rPr>
        <w:t>E</w:t>
      </w:r>
      <w:r w:rsidRPr="00171C1B">
        <w:rPr>
          <w:sz w:val="16"/>
          <w:szCs w:val="16"/>
        </w:rPr>
        <w:t xml:space="preserve">conomy, and </w:t>
      </w:r>
      <w:r w:rsidR="00171C1B" w:rsidRPr="00171C1B">
        <w:rPr>
          <w:sz w:val="16"/>
          <w:szCs w:val="16"/>
        </w:rPr>
        <w:t>E</w:t>
      </w:r>
      <w:r w:rsidRPr="00171C1B">
        <w:rPr>
          <w:sz w:val="16"/>
          <w:szCs w:val="16"/>
        </w:rPr>
        <w:t>conomics</w:t>
      </w:r>
      <w:r w:rsidR="00171C1B" w:rsidRPr="00171C1B">
        <w:rPr>
          <w:sz w:val="16"/>
          <w:szCs w:val="16"/>
        </w:rPr>
        <w:t>:</w:t>
      </w:r>
      <w:r w:rsidRPr="00171C1B">
        <w:rPr>
          <w:sz w:val="16"/>
          <w:szCs w:val="16"/>
        </w:rPr>
        <w:t xml:space="preserve"> </w:t>
      </w:r>
      <w:r w:rsidR="00171C1B" w:rsidRPr="00171C1B">
        <w:rPr>
          <w:sz w:val="16"/>
          <w:szCs w:val="16"/>
        </w:rPr>
        <w:t>W</w:t>
      </w:r>
      <w:r w:rsidRPr="00171C1B">
        <w:rPr>
          <w:sz w:val="16"/>
          <w:szCs w:val="16"/>
        </w:rPr>
        <w:t xml:space="preserve">hat do Christian </w:t>
      </w:r>
      <w:r w:rsidR="00171C1B" w:rsidRPr="00171C1B">
        <w:rPr>
          <w:sz w:val="16"/>
          <w:szCs w:val="16"/>
        </w:rPr>
        <w:t>E</w:t>
      </w:r>
      <w:r w:rsidRPr="00171C1B">
        <w:rPr>
          <w:sz w:val="16"/>
          <w:szCs w:val="16"/>
        </w:rPr>
        <w:t xml:space="preserve">thics </w:t>
      </w:r>
      <w:r w:rsidR="00171C1B" w:rsidRPr="00171C1B">
        <w:rPr>
          <w:sz w:val="16"/>
          <w:szCs w:val="16"/>
        </w:rPr>
        <w:t>C</w:t>
      </w:r>
      <w:r w:rsidRPr="00171C1B">
        <w:rPr>
          <w:sz w:val="16"/>
          <w:szCs w:val="16"/>
        </w:rPr>
        <w:t xml:space="preserve">ontribute to </w:t>
      </w:r>
      <w:r w:rsidR="00171C1B" w:rsidRPr="00171C1B">
        <w:rPr>
          <w:sz w:val="16"/>
          <w:szCs w:val="16"/>
        </w:rPr>
        <w:t>U</w:t>
      </w:r>
      <w:r w:rsidRPr="00171C1B">
        <w:rPr>
          <w:sz w:val="16"/>
          <w:szCs w:val="16"/>
        </w:rPr>
        <w:t xml:space="preserve">nderstanding </w:t>
      </w:r>
      <w:r w:rsidR="00171C1B" w:rsidRPr="00171C1B">
        <w:rPr>
          <w:sz w:val="16"/>
          <w:szCs w:val="16"/>
        </w:rPr>
        <w:t>E</w:t>
      </w:r>
      <w:r w:rsidRPr="00171C1B">
        <w:rPr>
          <w:sz w:val="16"/>
          <w:szCs w:val="16"/>
        </w:rPr>
        <w:t xml:space="preserve">conomies?’ </w:t>
      </w:r>
      <w:r w:rsidRPr="00171C1B">
        <w:rPr>
          <w:i/>
          <w:iCs/>
          <w:sz w:val="16"/>
          <w:szCs w:val="16"/>
        </w:rPr>
        <w:t>Faith &amp; Economics</w:t>
      </w:r>
      <w:r w:rsidRPr="00171C1B">
        <w:rPr>
          <w:sz w:val="16"/>
          <w:szCs w:val="16"/>
        </w:rPr>
        <w:t>, Vol.42 (2003), pp. 17–25</w:t>
      </w:r>
      <w:r w:rsidR="00097AC7" w:rsidRPr="00171C1B">
        <w:rPr>
          <w:sz w:val="16"/>
          <w:szCs w:val="16"/>
        </w:rPr>
        <w:t>.</w:t>
      </w:r>
    </w:p>
  </w:footnote>
  <w:footnote w:id="323">
    <w:p w14:paraId="7B5F68DA" w14:textId="328E0868" w:rsidR="005A05DF" w:rsidRPr="00171C1B" w:rsidRDefault="005A05DF" w:rsidP="005A05DF">
      <w:pPr>
        <w:pStyle w:val="FootnoteText"/>
        <w:rPr>
          <w:sz w:val="16"/>
          <w:szCs w:val="16"/>
        </w:rPr>
      </w:pPr>
      <w:r w:rsidRPr="00171C1B">
        <w:rPr>
          <w:rStyle w:val="FootnoteReference"/>
          <w:sz w:val="16"/>
          <w:szCs w:val="16"/>
        </w:rPr>
        <w:footnoteRef/>
      </w:r>
      <w:r w:rsidRPr="00171C1B">
        <w:rPr>
          <w:sz w:val="16"/>
          <w:szCs w:val="16"/>
        </w:rPr>
        <w:t xml:space="preserve"> Bernard Lonergan, </w:t>
      </w:r>
      <w:r w:rsidRPr="00171C1B">
        <w:rPr>
          <w:i/>
          <w:iCs/>
          <w:sz w:val="16"/>
          <w:szCs w:val="16"/>
        </w:rPr>
        <w:t>A Third Collection</w:t>
      </w:r>
      <w:r w:rsidRPr="00171C1B">
        <w:rPr>
          <w:sz w:val="16"/>
          <w:szCs w:val="16"/>
        </w:rPr>
        <w:t>. (</w:t>
      </w:r>
      <w:r w:rsidR="00171C1B">
        <w:rPr>
          <w:sz w:val="16"/>
          <w:szCs w:val="16"/>
        </w:rPr>
        <w:t>e</w:t>
      </w:r>
      <w:r w:rsidRPr="00171C1B">
        <w:rPr>
          <w:sz w:val="16"/>
          <w:szCs w:val="16"/>
        </w:rPr>
        <w:t>d) Frederick Crowe (New York: Paulist Press, 1985), p. 10.</w:t>
      </w:r>
    </w:p>
  </w:footnote>
  <w:footnote w:id="324">
    <w:p w14:paraId="164674E6" w14:textId="0E9DB7FC" w:rsidR="005A05DF" w:rsidRPr="006F5098"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Davidoff and Hall, </w:t>
      </w:r>
      <w:r w:rsidRPr="006F5098">
        <w:rPr>
          <w:i/>
          <w:iCs/>
          <w:sz w:val="16"/>
          <w:szCs w:val="16"/>
        </w:rPr>
        <w:t>Family Fortunes</w:t>
      </w:r>
      <w:r w:rsidRPr="006F5098">
        <w:rPr>
          <w:sz w:val="16"/>
          <w:szCs w:val="16"/>
        </w:rPr>
        <w:t>, p.81</w:t>
      </w:r>
      <w:r w:rsidR="00BA46EF" w:rsidRPr="006F5098">
        <w:rPr>
          <w:sz w:val="16"/>
          <w:szCs w:val="16"/>
        </w:rPr>
        <w:t>.</w:t>
      </w:r>
      <w:r w:rsidRPr="006F5098">
        <w:rPr>
          <w:sz w:val="16"/>
          <w:szCs w:val="16"/>
        </w:rPr>
        <w:t xml:space="preserve"> </w:t>
      </w:r>
    </w:p>
  </w:footnote>
  <w:footnote w:id="325">
    <w:p w14:paraId="27FF5F37" w14:textId="08FF4BD0" w:rsidR="005A05DF" w:rsidRPr="006F5098" w:rsidRDefault="005A05DF" w:rsidP="00397DCD">
      <w:pPr>
        <w:pStyle w:val="FootnoteText"/>
        <w:rPr>
          <w:sz w:val="16"/>
          <w:szCs w:val="16"/>
        </w:rPr>
      </w:pPr>
      <w:r w:rsidRPr="006F5098">
        <w:rPr>
          <w:rStyle w:val="FootnoteReference"/>
          <w:sz w:val="16"/>
          <w:szCs w:val="16"/>
        </w:rPr>
        <w:footnoteRef/>
      </w:r>
      <w:r w:rsidRPr="006F5098">
        <w:rPr>
          <w:sz w:val="16"/>
          <w:szCs w:val="16"/>
        </w:rPr>
        <w:t xml:space="preserve"> </w:t>
      </w:r>
      <w:r w:rsidR="00B9691C" w:rsidRPr="00B9691C">
        <w:rPr>
          <w:sz w:val="16"/>
          <w:szCs w:val="16"/>
        </w:rPr>
        <w:t>Ancestry Ireland Unlimited Company</w:t>
      </w:r>
      <w:r w:rsidR="00B9691C">
        <w:rPr>
          <w:sz w:val="16"/>
          <w:szCs w:val="16"/>
        </w:rPr>
        <w:t>,</w:t>
      </w:r>
      <w:r w:rsidR="00B9691C" w:rsidRPr="00B9691C">
        <w:rPr>
          <w:sz w:val="16"/>
          <w:szCs w:val="16"/>
        </w:rPr>
        <w:t xml:space="preserve"> </w:t>
      </w:r>
      <w:r w:rsidR="00561A72" w:rsidRPr="00B9691C">
        <w:rPr>
          <w:i/>
          <w:iCs/>
          <w:sz w:val="16"/>
          <w:szCs w:val="16"/>
        </w:rPr>
        <w:t xml:space="preserve">Marriage alliance of William Evans and Mary Gisborne, </w:t>
      </w:r>
      <w:r w:rsidR="00CD3359" w:rsidRPr="00B9691C">
        <w:rPr>
          <w:i/>
          <w:iCs/>
          <w:sz w:val="16"/>
          <w:szCs w:val="16"/>
        </w:rPr>
        <w:t>31 Jul 1820, St. P</w:t>
      </w:r>
      <w:r w:rsidR="00B9691C" w:rsidRPr="00B9691C">
        <w:rPr>
          <w:i/>
          <w:iCs/>
          <w:sz w:val="16"/>
          <w:szCs w:val="16"/>
        </w:rPr>
        <w:t>e</w:t>
      </w:r>
      <w:r w:rsidR="00CD3359" w:rsidRPr="00B9691C">
        <w:rPr>
          <w:i/>
          <w:iCs/>
          <w:sz w:val="16"/>
          <w:szCs w:val="16"/>
        </w:rPr>
        <w:t xml:space="preserve">ter, Kent, </w:t>
      </w:r>
      <w:r w:rsidR="006373FF" w:rsidRPr="00B9691C">
        <w:rPr>
          <w:i/>
          <w:iCs/>
          <w:sz w:val="16"/>
          <w:szCs w:val="16"/>
        </w:rPr>
        <w:t>England, Select Marriages, 1538–1973</w:t>
      </w:r>
      <w:r w:rsidR="00397DCD" w:rsidRPr="00B9691C">
        <w:rPr>
          <w:i/>
          <w:iCs/>
          <w:sz w:val="16"/>
          <w:szCs w:val="16"/>
        </w:rPr>
        <w:t xml:space="preserve"> - FHL Film Number: 1836278</w:t>
      </w:r>
      <w:r w:rsidR="00561A72" w:rsidRPr="00B9691C">
        <w:rPr>
          <w:i/>
          <w:iCs/>
          <w:sz w:val="16"/>
          <w:szCs w:val="16"/>
        </w:rPr>
        <w:t>/</w:t>
      </w:r>
      <w:r w:rsidR="00397DCD" w:rsidRPr="00B9691C">
        <w:rPr>
          <w:i/>
          <w:iCs/>
          <w:sz w:val="16"/>
          <w:szCs w:val="16"/>
        </w:rPr>
        <w:t>Reference ID</w:t>
      </w:r>
      <w:r w:rsidR="00561A72" w:rsidRPr="00B9691C">
        <w:rPr>
          <w:i/>
          <w:iCs/>
          <w:sz w:val="16"/>
          <w:szCs w:val="16"/>
        </w:rPr>
        <w:t xml:space="preserve">: </w:t>
      </w:r>
      <w:r w:rsidR="00397DCD" w:rsidRPr="00B9691C">
        <w:rPr>
          <w:i/>
          <w:iCs/>
          <w:sz w:val="16"/>
          <w:szCs w:val="16"/>
        </w:rPr>
        <w:t>#110 p</w:t>
      </w:r>
      <w:r w:rsidR="00561A72" w:rsidRPr="00B9691C">
        <w:rPr>
          <w:i/>
          <w:iCs/>
          <w:sz w:val="16"/>
          <w:szCs w:val="16"/>
        </w:rPr>
        <w:t>.</w:t>
      </w:r>
      <w:r w:rsidR="00397DCD" w:rsidRPr="00B9691C">
        <w:rPr>
          <w:i/>
          <w:iCs/>
          <w:sz w:val="16"/>
          <w:szCs w:val="16"/>
        </w:rPr>
        <w:t xml:space="preserve"> 37</w:t>
      </w:r>
      <w:r w:rsidR="00B9691C">
        <w:rPr>
          <w:i/>
          <w:iCs/>
          <w:sz w:val="16"/>
          <w:szCs w:val="16"/>
        </w:rPr>
        <w:t>,</w:t>
      </w:r>
      <w:r w:rsidR="00B9691C" w:rsidRPr="00B9691C">
        <w:t xml:space="preserve"> </w:t>
      </w:r>
      <w:r w:rsidR="00B9691C" w:rsidRPr="00B9691C">
        <w:rPr>
          <w:sz w:val="16"/>
          <w:szCs w:val="16"/>
        </w:rPr>
        <w:t>Ancestry Ireland Unlimited Company</w:t>
      </w:r>
      <w:r w:rsidR="00B9691C">
        <w:rPr>
          <w:sz w:val="16"/>
          <w:szCs w:val="16"/>
        </w:rPr>
        <w:t xml:space="preserve">, 2002-2024 </w:t>
      </w:r>
      <w:hyperlink r:id="rId33" w:history="1">
        <w:r w:rsidR="00B9691C" w:rsidRPr="00C47018">
          <w:rPr>
            <w:rStyle w:val="Hyperlink"/>
            <w:sz w:val="16"/>
            <w:szCs w:val="16"/>
          </w:rPr>
          <w:t>https://www.ancestry.co.uk/</w:t>
        </w:r>
      </w:hyperlink>
      <w:r w:rsidR="00AA45DC" w:rsidRPr="006F5098">
        <w:rPr>
          <w:sz w:val="16"/>
          <w:szCs w:val="16"/>
        </w:rPr>
        <w:t xml:space="preserve"> </w:t>
      </w:r>
      <w:r w:rsidR="00171C1B" w:rsidRPr="006F5098">
        <w:rPr>
          <w:sz w:val="16"/>
          <w:szCs w:val="16"/>
        </w:rPr>
        <w:t xml:space="preserve">[last accessed 12 January 2024] </w:t>
      </w:r>
      <w:r w:rsidR="00AA45DC" w:rsidRPr="006F5098">
        <w:rPr>
          <w:sz w:val="16"/>
          <w:szCs w:val="16"/>
        </w:rPr>
        <w:t xml:space="preserve">and </w:t>
      </w:r>
      <w:bookmarkStart w:id="106" w:name="_Hlk156663669"/>
      <w:r w:rsidR="009D6C6B" w:rsidRPr="006F5098">
        <w:rPr>
          <w:sz w:val="16"/>
          <w:szCs w:val="16"/>
        </w:rPr>
        <w:t>History of Parliament Online</w:t>
      </w:r>
      <w:bookmarkEnd w:id="106"/>
      <w:r w:rsidR="00B9691C">
        <w:rPr>
          <w:sz w:val="16"/>
          <w:szCs w:val="16"/>
        </w:rPr>
        <w:t xml:space="preserve">, </w:t>
      </w:r>
      <w:r w:rsidR="00B9691C" w:rsidRPr="00B9691C">
        <w:rPr>
          <w:i/>
          <w:iCs/>
          <w:sz w:val="16"/>
          <w:szCs w:val="16"/>
        </w:rPr>
        <w:t>William Evans MP 1788-1856</w:t>
      </w:r>
      <w:r w:rsidR="00B9691C">
        <w:rPr>
          <w:sz w:val="16"/>
          <w:szCs w:val="16"/>
        </w:rPr>
        <w:t>,</w:t>
      </w:r>
      <w:r w:rsidR="00B9691C" w:rsidRPr="00B9691C">
        <w:t xml:space="preserve"> </w:t>
      </w:r>
      <w:r w:rsidR="00B9691C" w:rsidRPr="00B9691C">
        <w:rPr>
          <w:sz w:val="16"/>
          <w:szCs w:val="16"/>
        </w:rPr>
        <w:t>History of Parliament Online</w:t>
      </w:r>
      <w:r w:rsidR="00B9691C">
        <w:rPr>
          <w:sz w:val="16"/>
          <w:szCs w:val="16"/>
        </w:rPr>
        <w:t>, [n.d.]</w:t>
      </w:r>
      <w:r w:rsidR="009D6C6B" w:rsidRPr="006F5098">
        <w:rPr>
          <w:sz w:val="16"/>
          <w:szCs w:val="16"/>
        </w:rPr>
        <w:t xml:space="preserve"> </w:t>
      </w:r>
      <w:r w:rsidR="00171C1B" w:rsidRPr="006F5098">
        <w:rPr>
          <w:sz w:val="16"/>
          <w:szCs w:val="16"/>
        </w:rPr>
        <w:t>&lt;</w:t>
      </w:r>
      <w:hyperlink r:id="rId34" w:history="1">
        <w:r w:rsidR="00171C1B" w:rsidRPr="006F5098">
          <w:rPr>
            <w:rStyle w:val="Hyperlink"/>
            <w:sz w:val="16"/>
            <w:szCs w:val="16"/>
          </w:rPr>
          <w:t>https://www.historyofparliamentonline.org/volume/1820-1832/member/evans-william-1788-1856</w:t>
        </w:r>
      </w:hyperlink>
      <w:r w:rsidR="00171C1B" w:rsidRPr="006F5098">
        <w:rPr>
          <w:rStyle w:val="Hyperlink"/>
          <w:sz w:val="16"/>
          <w:szCs w:val="16"/>
        </w:rPr>
        <w:t>&gt;</w:t>
      </w:r>
      <w:r w:rsidR="00AA45DC" w:rsidRPr="006F5098">
        <w:rPr>
          <w:sz w:val="16"/>
          <w:szCs w:val="16"/>
        </w:rPr>
        <w:t xml:space="preserve"> </w:t>
      </w:r>
      <w:r w:rsidR="00171C1B" w:rsidRPr="006F5098">
        <w:rPr>
          <w:sz w:val="16"/>
          <w:szCs w:val="16"/>
        </w:rPr>
        <w:t xml:space="preserve">[last accessed 12 January 2024]. </w:t>
      </w:r>
    </w:p>
  </w:footnote>
  <w:footnote w:id="326">
    <w:p w14:paraId="0AF49BA6" w14:textId="36C9CD52" w:rsidR="005A05DF" w:rsidRPr="006F5098"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Davidoff and Hall</w:t>
      </w:r>
      <w:r w:rsidR="00AA49B0" w:rsidRPr="006F5098">
        <w:rPr>
          <w:sz w:val="16"/>
          <w:szCs w:val="16"/>
        </w:rPr>
        <w:t xml:space="preserve">, </w:t>
      </w:r>
      <w:r w:rsidR="00AA49B0" w:rsidRPr="006F5098">
        <w:rPr>
          <w:i/>
          <w:iCs/>
          <w:sz w:val="16"/>
          <w:szCs w:val="16"/>
        </w:rPr>
        <w:t>Family Fortunes</w:t>
      </w:r>
      <w:r w:rsidR="00AA49B0" w:rsidRPr="006F5098">
        <w:rPr>
          <w:sz w:val="16"/>
          <w:szCs w:val="16"/>
        </w:rPr>
        <w:t>, p</w:t>
      </w:r>
      <w:r w:rsidR="00171C1B" w:rsidRPr="006F5098">
        <w:rPr>
          <w:sz w:val="16"/>
          <w:szCs w:val="16"/>
        </w:rPr>
        <w:t>p</w:t>
      </w:r>
      <w:r w:rsidR="00AA49B0" w:rsidRPr="006F5098">
        <w:rPr>
          <w:sz w:val="16"/>
          <w:szCs w:val="16"/>
        </w:rPr>
        <w:t xml:space="preserve">. </w:t>
      </w:r>
      <w:r w:rsidR="00437196" w:rsidRPr="006F5098">
        <w:rPr>
          <w:sz w:val="16"/>
          <w:szCs w:val="16"/>
        </w:rPr>
        <w:t xml:space="preserve">242-244. </w:t>
      </w:r>
    </w:p>
  </w:footnote>
  <w:footnote w:id="327">
    <w:p w14:paraId="6503DA89" w14:textId="35765845" w:rsidR="005A05DF" w:rsidRPr="00171C1B"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w:t>
      </w:r>
      <w:r w:rsidR="001B2EBA" w:rsidRPr="006F5098">
        <w:rPr>
          <w:sz w:val="16"/>
          <w:szCs w:val="16"/>
        </w:rPr>
        <w:t xml:space="preserve">Fitton and Wadsworth, </w:t>
      </w:r>
      <w:r w:rsidR="001B2EBA" w:rsidRPr="00F475FB">
        <w:rPr>
          <w:i/>
          <w:iCs/>
          <w:sz w:val="16"/>
          <w:szCs w:val="16"/>
        </w:rPr>
        <w:t xml:space="preserve">The </w:t>
      </w:r>
      <w:r w:rsidR="001B2EBA" w:rsidRPr="00F475FB">
        <w:rPr>
          <w:i/>
          <w:iCs/>
          <w:sz w:val="16"/>
          <w:szCs w:val="16"/>
        </w:rPr>
        <w:t>Strutts and the Arkwrights</w:t>
      </w:r>
      <w:r w:rsidR="001B2EBA" w:rsidRPr="006F5098">
        <w:rPr>
          <w:sz w:val="16"/>
          <w:szCs w:val="16"/>
        </w:rPr>
        <w:t>, p</w:t>
      </w:r>
      <w:r w:rsidR="00171C1B" w:rsidRPr="006F5098">
        <w:rPr>
          <w:sz w:val="16"/>
          <w:szCs w:val="16"/>
        </w:rPr>
        <w:t>p</w:t>
      </w:r>
      <w:r w:rsidR="001B2EBA" w:rsidRPr="006F5098">
        <w:rPr>
          <w:sz w:val="16"/>
          <w:szCs w:val="16"/>
        </w:rPr>
        <w:t xml:space="preserve">. </w:t>
      </w:r>
      <w:r w:rsidR="00437196" w:rsidRPr="006F5098">
        <w:rPr>
          <w:sz w:val="16"/>
          <w:szCs w:val="16"/>
        </w:rPr>
        <w:t>211-213.</w:t>
      </w:r>
      <w:r w:rsidR="00437196" w:rsidRPr="00171C1B">
        <w:rPr>
          <w:sz w:val="16"/>
          <w:szCs w:val="16"/>
        </w:rPr>
        <w:t xml:space="preserve"> </w:t>
      </w:r>
    </w:p>
  </w:footnote>
  <w:footnote w:id="328">
    <w:p w14:paraId="6529CBB7" w14:textId="20489986" w:rsidR="00CD1D60" w:rsidRDefault="00CD1D60" w:rsidP="00CD1D60">
      <w:pPr>
        <w:pStyle w:val="FootnoteText"/>
      </w:pPr>
      <w:r w:rsidRPr="00CD1D60">
        <w:rPr>
          <w:rStyle w:val="FootnoteReference"/>
          <w:sz w:val="16"/>
          <w:szCs w:val="16"/>
        </w:rPr>
        <w:footnoteRef/>
      </w:r>
      <w:r w:rsidRPr="00CD1D60">
        <w:rPr>
          <w:sz w:val="16"/>
          <w:szCs w:val="16"/>
        </w:rPr>
        <w:t>William</w:t>
      </w:r>
      <w:r w:rsidRPr="006F5098">
        <w:rPr>
          <w:sz w:val="16"/>
          <w:szCs w:val="16"/>
        </w:rPr>
        <w:t xml:space="preserve"> Godwin, </w:t>
      </w:r>
      <w:r w:rsidRPr="006F5098">
        <w:rPr>
          <w:i/>
          <w:iCs/>
          <w:sz w:val="16"/>
          <w:szCs w:val="16"/>
        </w:rPr>
        <w:t>An Enquiry Concerning Political Justice</w:t>
      </w:r>
      <w:r w:rsidRPr="006F5098">
        <w:rPr>
          <w:sz w:val="16"/>
          <w:szCs w:val="16"/>
        </w:rPr>
        <w:t xml:space="preserve"> (Oxford World Classics: Oxford University Press, 2013), pp. 1-473.</w:t>
      </w:r>
    </w:p>
  </w:footnote>
  <w:footnote w:id="329">
    <w:p w14:paraId="3E944A27" w14:textId="02CA003E" w:rsidR="00305099" w:rsidRPr="006F5098" w:rsidRDefault="00305099">
      <w:pPr>
        <w:pStyle w:val="FootnoteText"/>
        <w:rPr>
          <w:sz w:val="16"/>
          <w:szCs w:val="16"/>
        </w:rPr>
      </w:pPr>
      <w:r w:rsidRPr="006F5098">
        <w:rPr>
          <w:rStyle w:val="FootnoteReference"/>
          <w:sz w:val="16"/>
          <w:szCs w:val="16"/>
        </w:rPr>
        <w:footnoteRef/>
      </w:r>
      <w:r w:rsidR="00BB61C2" w:rsidRPr="006F5098">
        <w:rPr>
          <w:sz w:val="16"/>
          <w:szCs w:val="16"/>
        </w:rPr>
        <w:t xml:space="preserve"> Mark Philp</w:t>
      </w:r>
      <w:r w:rsidR="00FD3BDD" w:rsidRPr="006F5098">
        <w:rPr>
          <w:sz w:val="16"/>
          <w:szCs w:val="16"/>
        </w:rPr>
        <w:t xml:space="preserve">, ‘Introduction’ in </w:t>
      </w:r>
      <w:bookmarkStart w:id="109" w:name="_Hlk156584929"/>
      <w:r w:rsidR="00FD3BDD" w:rsidRPr="006F5098">
        <w:rPr>
          <w:sz w:val="16"/>
          <w:szCs w:val="16"/>
        </w:rPr>
        <w:t xml:space="preserve">William Godwin, </w:t>
      </w:r>
      <w:r w:rsidR="00FD3BDD" w:rsidRPr="006F5098">
        <w:rPr>
          <w:i/>
          <w:iCs/>
          <w:sz w:val="16"/>
          <w:szCs w:val="16"/>
        </w:rPr>
        <w:t>An Enquiry Concerning Political Justice</w:t>
      </w:r>
      <w:r w:rsidR="0001698C" w:rsidRPr="006F5098">
        <w:rPr>
          <w:sz w:val="16"/>
          <w:szCs w:val="16"/>
        </w:rPr>
        <w:t xml:space="preserve"> (Oxford World Classics: Oxford University Press, 2013)</w:t>
      </w:r>
      <w:bookmarkEnd w:id="109"/>
      <w:r w:rsidR="005A4085" w:rsidRPr="006F5098">
        <w:rPr>
          <w:sz w:val="16"/>
          <w:szCs w:val="16"/>
        </w:rPr>
        <w:t>, pp. IX-X.</w:t>
      </w:r>
      <w:r w:rsidR="0001698C" w:rsidRPr="006F5098">
        <w:rPr>
          <w:sz w:val="16"/>
          <w:szCs w:val="16"/>
        </w:rPr>
        <w:t xml:space="preserve"> </w:t>
      </w:r>
    </w:p>
  </w:footnote>
  <w:footnote w:id="330">
    <w:p w14:paraId="34F29ABD" w14:textId="585E320F" w:rsidR="00FC56B4" w:rsidRPr="006F5098" w:rsidRDefault="00FC56B4">
      <w:pPr>
        <w:pStyle w:val="FootnoteText"/>
        <w:rPr>
          <w:sz w:val="16"/>
          <w:szCs w:val="16"/>
        </w:rPr>
      </w:pPr>
      <w:r w:rsidRPr="006F5098">
        <w:rPr>
          <w:rStyle w:val="FootnoteReference"/>
          <w:sz w:val="16"/>
          <w:szCs w:val="16"/>
        </w:rPr>
        <w:footnoteRef/>
      </w:r>
      <w:r w:rsidRPr="006F5098">
        <w:rPr>
          <w:sz w:val="16"/>
          <w:szCs w:val="16"/>
        </w:rPr>
        <w:t xml:space="preserve"> </w:t>
      </w:r>
      <w:r w:rsidR="006F5098" w:rsidRPr="006F5098">
        <w:rPr>
          <w:sz w:val="16"/>
          <w:szCs w:val="16"/>
        </w:rPr>
        <w:t xml:space="preserve">Godwin, </w:t>
      </w:r>
      <w:r w:rsidR="006F5098" w:rsidRPr="006F5098">
        <w:rPr>
          <w:i/>
          <w:iCs/>
          <w:sz w:val="16"/>
          <w:szCs w:val="16"/>
        </w:rPr>
        <w:t>An Enquiry Concerning Political Justice</w:t>
      </w:r>
      <w:r w:rsidR="006F5098" w:rsidRPr="006F5098">
        <w:rPr>
          <w:sz w:val="16"/>
          <w:szCs w:val="16"/>
        </w:rPr>
        <w:t xml:space="preserve"> (Oxford, 2013)</w:t>
      </w:r>
      <w:r w:rsidR="00CD1D60">
        <w:rPr>
          <w:sz w:val="16"/>
          <w:szCs w:val="16"/>
        </w:rPr>
        <w:t>.</w:t>
      </w:r>
      <w:r w:rsidR="001F777C" w:rsidRPr="006F5098">
        <w:rPr>
          <w:sz w:val="16"/>
          <w:szCs w:val="16"/>
        </w:rPr>
        <w:t xml:space="preserve"> </w:t>
      </w:r>
    </w:p>
  </w:footnote>
  <w:footnote w:id="331">
    <w:p w14:paraId="5FE3B28D" w14:textId="7602FE06" w:rsidR="005A05DF" w:rsidRPr="006F5098"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w:t>
      </w:r>
      <w:r w:rsidR="006F5098" w:rsidRPr="006F5098">
        <w:rPr>
          <w:sz w:val="16"/>
          <w:szCs w:val="16"/>
        </w:rPr>
        <w:t xml:space="preserve">Don </w:t>
      </w:r>
      <w:r w:rsidR="00E14D05" w:rsidRPr="006F5098">
        <w:rPr>
          <w:sz w:val="16"/>
          <w:szCs w:val="16"/>
        </w:rPr>
        <w:t xml:space="preserve">Peters, </w:t>
      </w:r>
      <w:r w:rsidR="006F5098" w:rsidRPr="006F5098">
        <w:rPr>
          <w:i/>
          <w:iCs/>
          <w:sz w:val="16"/>
          <w:szCs w:val="16"/>
        </w:rPr>
        <w:t>Darley Abbey from Monastery to Industrial Community</w:t>
      </w:r>
      <w:r w:rsidR="006F5098" w:rsidRPr="006F5098">
        <w:rPr>
          <w:sz w:val="16"/>
          <w:szCs w:val="16"/>
        </w:rPr>
        <w:t xml:space="preserve"> (Hartington: Moorland Publishing Company, 1974), p. 37.</w:t>
      </w:r>
    </w:p>
  </w:footnote>
  <w:footnote w:id="332">
    <w:p w14:paraId="3D45C3EF" w14:textId="7AAF6D0C" w:rsidR="005A05DF" w:rsidRPr="006F5098"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Paul Elliott, </w:t>
      </w:r>
      <w:r w:rsidRPr="006F5098">
        <w:rPr>
          <w:i/>
          <w:iCs/>
          <w:sz w:val="16"/>
          <w:szCs w:val="16"/>
        </w:rPr>
        <w:t>The Derby Philosophers: Urban Scientific Culture and Society in Provincial England, c. 1750-1850</w:t>
      </w:r>
      <w:r w:rsidRPr="006F5098">
        <w:rPr>
          <w:sz w:val="16"/>
          <w:szCs w:val="16"/>
        </w:rPr>
        <w:t>, Ph.D. Thesis, submitted for degree of Doctor of Philosophy at the University of Leicester, 19</w:t>
      </w:r>
      <w:r w:rsidRPr="006F5098">
        <w:rPr>
          <w:sz w:val="16"/>
          <w:szCs w:val="16"/>
          <w:vertAlign w:val="superscript"/>
        </w:rPr>
        <w:t>th</w:t>
      </w:r>
      <w:r w:rsidRPr="006F5098">
        <w:rPr>
          <w:sz w:val="16"/>
          <w:szCs w:val="16"/>
        </w:rPr>
        <w:t xml:space="preserve"> June 2000, p. 48</w:t>
      </w:r>
      <w:r w:rsidR="006F5098" w:rsidRPr="006F5098">
        <w:rPr>
          <w:sz w:val="16"/>
          <w:szCs w:val="16"/>
        </w:rPr>
        <w:t>.</w:t>
      </w:r>
      <w:r w:rsidRPr="006F5098">
        <w:rPr>
          <w:sz w:val="16"/>
          <w:szCs w:val="16"/>
        </w:rPr>
        <w:t xml:space="preserve"> </w:t>
      </w:r>
    </w:p>
  </w:footnote>
  <w:footnote w:id="333">
    <w:p w14:paraId="387A7334" w14:textId="0B65C319" w:rsidR="005A05DF" w:rsidRPr="006F5098" w:rsidRDefault="005A05DF" w:rsidP="005A05DF">
      <w:pPr>
        <w:pStyle w:val="FootnoteText"/>
        <w:rPr>
          <w:sz w:val="16"/>
          <w:szCs w:val="16"/>
        </w:rPr>
      </w:pPr>
      <w:r w:rsidRPr="006F5098">
        <w:rPr>
          <w:rStyle w:val="FootnoteReference"/>
          <w:sz w:val="16"/>
          <w:szCs w:val="16"/>
        </w:rPr>
        <w:footnoteRef/>
      </w:r>
      <w:r w:rsidRPr="006F5098">
        <w:rPr>
          <w:sz w:val="16"/>
          <w:szCs w:val="16"/>
        </w:rPr>
        <w:t xml:space="preserve"> </w:t>
      </w:r>
      <w:r w:rsidR="006F5098" w:rsidRPr="006F5098">
        <w:rPr>
          <w:sz w:val="16"/>
          <w:szCs w:val="16"/>
        </w:rPr>
        <w:t xml:space="preserve">Elliott, </w:t>
      </w:r>
      <w:r w:rsidR="006F5098" w:rsidRPr="00F475FB">
        <w:rPr>
          <w:i/>
          <w:iCs/>
          <w:sz w:val="16"/>
          <w:szCs w:val="16"/>
        </w:rPr>
        <w:t>The Derby Philosophers</w:t>
      </w:r>
      <w:r w:rsidR="006F5098" w:rsidRPr="006F5098">
        <w:rPr>
          <w:sz w:val="16"/>
          <w:szCs w:val="16"/>
        </w:rPr>
        <w:t>, p</w:t>
      </w:r>
      <w:r w:rsidRPr="006F5098">
        <w:rPr>
          <w:sz w:val="16"/>
          <w:szCs w:val="16"/>
        </w:rPr>
        <w:t xml:space="preserve">p. 47-50. </w:t>
      </w:r>
      <w:r w:rsidR="006F5098" w:rsidRPr="006F5098">
        <w:rPr>
          <w:sz w:val="16"/>
          <w:szCs w:val="16"/>
        </w:rPr>
        <w:t xml:space="preserve">[PhD thesis] </w:t>
      </w:r>
    </w:p>
  </w:footnote>
  <w:footnote w:id="334">
    <w:p w14:paraId="4CA26164" w14:textId="49775EAE" w:rsidR="005A05DF" w:rsidRPr="006F5098" w:rsidRDefault="005A05DF" w:rsidP="006F5098">
      <w:pPr>
        <w:pStyle w:val="FootnoteText"/>
        <w:rPr>
          <w:sz w:val="16"/>
          <w:szCs w:val="16"/>
        </w:rPr>
      </w:pPr>
      <w:r w:rsidRPr="006F5098">
        <w:rPr>
          <w:rStyle w:val="FootnoteReference"/>
          <w:sz w:val="16"/>
          <w:szCs w:val="16"/>
        </w:rPr>
        <w:footnoteRef/>
      </w:r>
      <w:r w:rsidRPr="006F5098">
        <w:rPr>
          <w:sz w:val="16"/>
          <w:szCs w:val="16"/>
        </w:rPr>
        <w:t xml:space="preserve"> </w:t>
      </w:r>
      <w:r w:rsidR="006F5098" w:rsidRPr="006F5098">
        <w:rPr>
          <w:sz w:val="16"/>
          <w:szCs w:val="16"/>
        </w:rPr>
        <w:t xml:space="preserve">University of Manchester, </w:t>
      </w:r>
      <w:r w:rsidR="006F5098" w:rsidRPr="00B9691C">
        <w:rPr>
          <w:i/>
          <w:iCs/>
          <w:sz w:val="16"/>
          <w:szCs w:val="16"/>
        </w:rPr>
        <w:t>John Rylands Research Institute and Library</w:t>
      </w:r>
      <w:r w:rsidR="006F5098" w:rsidRPr="006F5098">
        <w:rPr>
          <w:sz w:val="16"/>
          <w:szCs w:val="16"/>
        </w:rPr>
        <w:t xml:space="preserve">, 2020-2024 </w:t>
      </w:r>
      <w:hyperlink r:id="rId35" w:history="1">
        <w:r w:rsidR="006F5098" w:rsidRPr="006F5098">
          <w:rPr>
            <w:rStyle w:val="Hyperlink"/>
            <w:sz w:val="16"/>
            <w:szCs w:val="16"/>
          </w:rPr>
          <w:t>https://www.library.manchester.ac.uk/rylands/</w:t>
        </w:r>
      </w:hyperlink>
      <w:r w:rsidR="006F5098" w:rsidRPr="006F5098">
        <w:rPr>
          <w:sz w:val="16"/>
          <w:szCs w:val="16"/>
        </w:rPr>
        <w:t xml:space="preserve"> [last accessed 12 January 2024]</w:t>
      </w:r>
      <w:r w:rsidR="006F5098">
        <w:rPr>
          <w:sz w:val="16"/>
          <w:szCs w:val="16"/>
        </w:rPr>
        <w:t xml:space="preserve"> and </w:t>
      </w:r>
      <w:r w:rsidR="006F5098" w:rsidRPr="006F5098">
        <w:rPr>
          <w:sz w:val="16"/>
          <w:szCs w:val="16"/>
        </w:rPr>
        <w:t xml:space="preserve">Jisc Archives Hub, </w:t>
      </w:r>
      <w:r w:rsidR="006F5098" w:rsidRPr="00B9691C">
        <w:rPr>
          <w:i/>
          <w:iCs/>
          <w:sz w:val="16"/>
          <w:szCs w:val="16"/>
        </w:rPr>
        <w:t>Papers of McConnel &amp; Kennedy and McConnel &amp; Co</w:t>
      </w:r>
      <w:r w:rsidR="006F5098" w:rsidRPr="006F5098">
        <w:rPr>
          <w:sz w:val="16"/>
          <w:szCs w:val="16"/>
        </w:rPr>
        <w:t xml:space="preserve">., </w:t>
      </w:r>
      <w:r w:rsidR="00B9691C" w:rsidRPr="00B9691C">
        <w:rPr>
          <w:sz w:val="16"/>
          <w:szCs w:val="16"/>
        </w:rPr>
        <w:t>Jisc Archives Hub</w:t>
      </w:r>
      <w:r w:rsidR="00B9691C">
        <w:rPr>
          <w:sz w:val="16"/>
          <w:szCs w:val="16"/>
        </w:rPr>
        <w:t>,</w:t>
      </w:r>
      <w:r w:rsidR="00B9691C" w:rsidRPr="00B9691C">
        <w:rPr>
          <w:sz w:val="16"/>
          <w:szCs w:val="16"/>
        </w:rPr>
        <w:t xml:space="preserve"> </w:t>
      </w:r>
      <w:r w:rsidR="006F5098" w:rsidRPr="006F5098">
        <w:rPr>
          <w:sz w:val="16"/>
          <w:szCs w:val="16"/>
        </w:rPr>
        <w:t xml:space="preserve">2020 </w:t>
      </w:r>
      <w:hyperlink r:id="rId36" w:history="1">
        <w:r w:rsidR="006F5098" w:rsidRPr="00753941">
          <w:rPr>
            <w:rStyle w:val="Hyperlink"/>
            <w:sz w:val="16"/>
            <w:szCs w:val="16"/>
          </w:rPr>
          <w:t>https://www.archiveshub.jisc.ac.uk/data/gb133-mck</w:t>
        </w:r>
      </w:hyperlink>
      <w:r w:rsidR="006F5098" w:rsidRPr="006F5098">
        <w:rPr>
          <w:sz w:val="16"/>
          <w:szCs w:val="16"/>
        </w:rPr>
        <w:t xml:space="preserve"> [last accessed 12 January 2024]</w:t>
      </w:r>
      <w:r w:rsidR="00B9691C">
        <w:rPr>
          <w:sz w:val="16"/>
          <w:szCs w:val="16"/>
        </w:rPr>
        <w:t>.</w:t>
      </w:r>
      <w:r w:rsidR="006F5098" w:rsidRPr="006F5098">
        <w:rPr>
          <w:sz w:val="16"/>
          <w:szCs w:val="16"/>
        </w:rPr>
        <w:t xml:space="preserve">   </w:t>
      </w:r>
    </w:p>
  </w:footnote>
  <w:footnote w:id="335">
    <w:p w14:paraId="096AB51F" w14:textId="56FC3020" w:rsidR="00D633FF" w:rsidRPr="006F5098" w:rsidRDefault="00D633FF">
      <w:pPr>
        <w:pStyle w:val="FootnoteText"/>
        <w:rPr>
          <w:color w:val="FF0000"/>
          <w:sz w:val="16"/>
          <w:szCs w:val="16"/>
        </w:rPr>
      </w:pPr>
      <w:r w:rsidRPr="006F5098">
        <w:rPr>
          <w:rStyle w:val="FootnoteReference"/>
          <w:sz w:val="16"/>
          <w:szCs w:val="16"/>
        </w:rPr>
        <w:footnoteRef/>
      </w:r>
      <w:r w:rsidRPr="006F5098">
        <w:rPr>
          <w:sz w:val="16"/>
          <w:szCs w:val="16"/>
        </w:rPr>
        <w:t xml:space="preserve"> </w:t>
      </w:r>
      <w:r w:rsidR="006F5098" w:rsidRPr="006F5098">
        <w:rPr>
          <w:sz w:val="16"/>
          <w:szCs w:val="16"/>
        </w:rPr>
        <w:t xml:space="preserve">Paul Elliott, </w:t>
      </w:r>
      <w:r w:rsidR="006F5098" w:rsidRPr="006F5098">
        <w:rPr>
          <w:i/>
          <w:iCs/>
          <w:sz w:val="16"/>
          <w:szCs w:val="16"/>
        </w:rPr>
        <w:t>The Derby Philosophers: Science and Culture in British Urban Society, 1700-1850</w:t>
      </w:r>
      <w:r w:rsidR="006F5098" w:rsidRPr="006F5098">
        <w:rPr>
          <w:sz w:val="16"/>
          <w:szCs w:val="16"/>
        </w:rPr>
        <w:t xml:space="preserve"> (Manchester: Manchester University Press, 2009) and Paul Elliott, </w:t>
      </w:r>
      <w:r w:rsidR="006F5098" w:rsidRPr="006F5098">
        <w:rPr>
          <w:i/>
          <w:iCs/>
          <w:sz w:val="16"/>
          <w:szCs w:val="16"/>
        </w:rPr>
        <w:t>The Derby Philosophers: Urban Scientific Culture and Society in Provincial England, c. 1750-1850</w:t>
      </w:r>
      <w:r w:rsidR="006F5098" w:rsidRPr="006F5098">
        <w:rPr>
          <w:sz w:val="16"/>
          <w:szCs w:val="16"/>
        </w:rPr>
        <w:t>, Ph.D. Thesis</w:t>
      </w:r>
      <w:r w:rsidR="006F5098">
        <w:rPr>
          <w:sz w:val="16"/>
          <w:szCs w:val="16"/>
        </w:rPr>
        <w:t xml:space="preserve">. </w:t>
      </w:r>
    </w:p>
  </w:footnote>
  <w:footnote w:id="336">
    <w:p w14:paraId="2520148F" w14:textId="6384FEC0" w:rsidR="00C36E3F" w:rsidRPr="006F5098" w:rsidRDefault="00C36E3F">
      <w:pPr>
        <w:pStyle w:val="FootnoteText"/>
        <w:rPr>
          <w:sz w:val="16"/>
          <w:szCs w:val="16"/>
        </w:rPr>
      </w:pPr>
      <w:r w:rsidRPr="006F5098">
        <w:rPr>
          <w:rStyle w:val="FootnoteReference"/>
          <w:sz w:val="16"/>
          <w:szCs w:val="16"/>
        </w:rPr>
        <w:footnoteRef/>
      </w:r>
      <w:r w:rsidRPr="006F5098">
        <w:rPr>
          <w:sz w:val="16"/>
          <w:szCs w:val="16"/>
        </w:rPr>
        <w:t xml:space="preserve"> John </w:t>
      </w:r>
      <w:r w:rsidRPr="006F5098">
        <w:rPr>
          <w:sz w:val="16"/>
          <w:szCs w:val="16"/>
        </w:rPr>
        <w:t xml:space="preserve">Smail, </w:t>
      </w:r>
      <w:r w:rsidRPr="006F5098">
        <w:rPr>
          <w:i/>
          <w:iCs/>
          <w:sz w:val="16"/>
          <w:szCs w:val="16"/>
        </w:rPr>
        <w:t>The Origins of the Middle-class Culture: Halifax, Yorkshire, 1660-1780</w:t>
      </w:r>
      <w:r w:rsidRPr="006F5098">
        <w:rPr>
          <w:sz w:val="16"/>
          <w:szCs w:val="16"/>
        </w:rPr>
        <w:t xml:space="preserve">, (London: Cornell University Press, 1994), pp. 122-123. </w:t>
      </w:r>
    </w:p>
  </w:footnote>
  <w:footnote w:id="337">
    <w:p w14:paraId="173CB561" w14:textId="736D3F86" w:rsidR="009A0F10" w:rsidRPr="006F5098" w:rsidRDefault="009A0F10">
      <w:pPr>
        <w:pStyle w:val="FootnoteText"/>
        <w:rPr>
          <w:sz w:val="16"/>
          <w:szCs w:val="16"/>
        </w:rPr>
      </w:pPr>
      <w:r w:rsidRPr="006F5098">
        <w:rPr>
          <w:rStyle w:val="FootnoteReference"/>
          <w:sz w:val="16"/>
          <w:szCs w:val="16"/>
        </w:rPr>
        <w:footnoteRef/>
      </w:r>
      <w:r w:rsidR="006F5098" w:rsidRPr="006F5098">
        <w:rPr>
          <w:sz w:val="16"/>
          <w:szCs w:val="16"/>
        </w:rPr>
        <w:t xml:space="preserve">Paul Elliott, </w:t>
      </w:r>
      <w:r w:rsidR="006F5098" w:rsidRPr="006F5098">
        <w:rPr>
          <w:i/>
          <w:iCs/>
          <w:sz w:val="16"/>
          <w:szCs w:val="16"/>
        </w:rPr>
        <w:t>The Derby Philosophers: Urban Scientific Culture and Society in Provincial England, c. 1750-1850</w:t>
      </w:r>
      <w:r w:rsidR="006F5098" w:rsidRPr="006F5098">
        <w:rPr>
          <w:sz w:val="16"/>
          <w:szCs w:val="16"/>
        </w:rPr>
        <w:t>, Ph.D. Thesis, p.</w:t>
      </w:r>
      <w:r w:rsidRPr="006F5098">
        <w:rPr>
          <w:sz w:val="16"/>
          <w:szCs w:val="16"/>
        </w:rPr>
        <w:t xml:space="preserve"> 232. </w:t>
      </w:r>
    </w:p>
  </w:footnote>
  <w:footnote w:id="338">
    <w:p w14:paraId="21097E2D" w14:textId="40AB050D" w:rsidR="009A0F10" w:rsidRPr="006F5098" w:rsidRDefault="009A0F10">
      <w:pPr>
        <w:pStyle w:val="FootnoteText"/>
        <w:rPr>
          <w:sz w:val="16"/>
          <w:szCs w:val="16"/>
        </w:rPr>
      </w:pPr>
      <w:r w:rsidRPr="009A0F10">
        <w:rPr>
          <w:rStyle w:val="FootnoteReference"/>
          <w:sz w:val="18"/>
          <w:szCs w:val="18"/>
        </w:rPr>
        <w:footnoteRef/>
      </w:r>
      <w:r w:rsidRPr="009A0F10">
        <w:rPr>
          <w:sz w:val="18"/>
          <w:szCs w:val="18"/>
        </w:rPr>
        <w:t xml:space="preserve"> </w:t>
      </w:r>
      <w:r w:rsidRPr="006F5098">
        <w:rPr>
          <w:sz w:val="16"/>
          <w:szCs w:val="16"/>
        </w:rPr>
        <w:t xml:space="preserve">Desmond King-Hele, </w:t>
      </w:r>
      <w:r w:rsidRPr="006F5098">
        <w:rPr>
          <w:i/>
          <w:iCs/>
          <w:sz w:val="16"/>
          <w:szCs w:val="16"/>
        </w:rPr>
        <w:t>The Collected Letters of Erasmus Darwin</w:t>
      </w:r>
      <w:r w:rsidRPr="006F5098">
        <w:rPr>
          <w:sz w:val="16"/>
          <w:szCs w:val="16"/>
        </w:rPr>
        <w:t xml:space="preserve"> (Cambridge: Cambridge University Press, 2007), pp. 462-463. </w:t>
      </w:r>
    </w:p>
  </w:footnote>
  <w:footnote w:id="339">
    <w:p w14:paraId="2D37BCA6" w14:textId="23A050E0" w:rsidR="00A00971" w:rsidRDefault="00A00971" w:rsidP="00897C33">
      <w:pPr>
        <w:pStyle w:val="FootnoteText"/>
      </w:pPr>
      <w:r w:rsidRPr="00897C33">
        <w:rPr>
          <w:rStyle w:val="FootnoteReference"/>
          <w:sz w:val="16"/>
          <w:szCs w:val="16"/>
        </w:rPr>
        <w:footnoteRef/>
      </w:r>
      <w:r w:rsidR="00897C33" w:rsidRPr="00897C33">
        <w:rPr>
          <w:sz w:val="16"/>
          <w:szCs w:val="16"/>
        </w:rPr>
        <w:t xml:space="preserve">Alistair Livingston, ‘The </w:t>
      </w:r>
      <w:r w:rsidR="00897C33" w:rsidRPr="00897C33">
        <w:rPr>
          <w:sz w:val="16"/>
          <w:szCs w:val="16"/>
        </w:rPr>
        <w:t xml:space="preserve">Glenkens, Cattle, Cotton and Capitalism,’ </w:t>
      </w:r>
      <w:r w:rsidR="00897C33" w:rsidRPr="00897C33">
        <w:rPr>
          <w:i/>
          <w:iCs/>
          <w:sz w:val="16"/>
          <w:szCs w:val="16"/>
        </w:rPr>
        <w:t>Transactions of Dumfriesshire and Galloway Natural History and Antiquarian Society</w:t>
      </w:r>
      <w:r w:rsidR="00897C33" w:rsidRPr="00897C33">
        <w:rPr>
          <w:sz w:val="16"/>
          <w:szCs w:val="16"/>
        </w:rPr>
        <w:t>, Third Series, vol. 90 (2016), pp. 67-78 (p.67).</w:t>
      </w:r>
      <w:r w:rsidR="00897C33" w:rsidRPr="00897C33">
        <w:t xml:space="preserve">  </w:t>
      </w:r>
    </w:p>
  </w:footnote>
  <w:footnote w:id="340">
    <w:p w14:paraId="15929574" w14:textId="77777777" w:rsidR="00700C8C" w:rsidRPr="00897C33" w:rsidRDefault="00700C8C" w:rsidP="00700C8C">
      <w:pPr>
        <w:pStyle w:val="FootnoteText"/>
        <w:rPr>
          <w:sz w:val="16"/>
          <w:szCs w:val="16"/>
        </w:rPr>
      </w:pPr>
      <w:r w:rsidRPr="00897C33">
        <w:rPr>
          <w:rStyle w:val="FootnoteReference"/>
          <w:sz w:val="16"/>
          <w:szCs w:val="16"/>
        </w:rPr>
        <w:footnoteRef/>
      </w:r>
      <w:r w:rsidRPr="00897C33">
        <w:rPr>
          <w:sz w:val="16"/>
          <w:szCs w:val="16"/>
        </w:rPr>
        <w:t xml:space="preserve"> V. M. </w:t>
      </w:r>
      <w:r w:rsidRPr="00897C33">
        <w:rPr>
          <w:sz w:val="16"/>
          <w:szCs w:val="16"/>
        </w:rPr>
        <w:t xml:space="preserve">Leveaux, </w:t>
      </w:r>
      <w:r w:rsidRPr="00897C33">
        <w:rPr>
          <w:i/>
          <w:iCs/>
          <w:sz w:val="16"/>
          <w:szCs w:val="16"/>
        </w:rPr>
        <w:t>The History of the Derbyshire General Infirmary – 1810-1894</w:t>
      </w:r>
      <w:r w:rsidRPr="00897C33">
        <w:rPr>
          <w:sz w:val="16"/>
          <w:szCs w:val="16"/>
        </w:rPr>
        <w:t xml:space="preserve"> (Cromford: Scarthin Books, 1999), p.575.  </w:t>
      </w:r>
    </w:p>
  </w:footnote>
  <w:footnote w:id="341">
    <w:p w14:paraId="47A69321" w14:textId="1C630140" w:rsidR="00893286" w:rsidRPr="00614A6D" w:rsidRDefault="00893286" w:rsidP="00614A6D">
      <w:pPr>
        <w:pStyle w:val="FootnoteText"/>
        <w:rPr>
          <w:sz w:val="16"/>
          <w:szCs w:val="16"/>
          <w:lang w:val="en-US"/>
        </w:rPr>
      </w:pPr>
      <w:r w:rsidRPr="00614A6D">
        <w:rPr>
          <w:rStyle w:val="FootnoteReference"/>
          <w:sz w:val="16"/>
          <w:szCs w:val="16"/>
        </w:rPr>
        <w:footnoteRef/>
      </w:r>
      <w:r w:rsidRPr="00614A6D">
        <w:rPr>
          <w:sz w:val="16"/>
          <w:szCs w:val="16"/>
        </w:rPr>
        <w:t xml:space="preserve"> </w:t>
      </w:r>
      <w:r w:rsidR="00614A6D" w:rsidRPr="00614A6D">
        <w:rPr>
          <w:sz w:val="16"/>
          <w:szCs w:val="16"/>
        </w:rPr>
        <w:t xml:space="preserve">King-Hele, </w:t>
      </w:r>
      <w:r w:rsidR="00614A6D" w:rsidRPr="00614A6D">
        <w:rPr>
          <w:i/>
          <w:iCs/>
          <w:sz w:val="16"/>
          <w:szCs w:val="16"/>
        </w:rPr>
        <w:t>The Collected Letters of Erasmus Darwin</w:t>
      </w:r>
      <w:r w:rsidR="00614A6D" w:rsidRPr="00614A6D">
        <w:rPr>
          <w:sz w:val="16"/>
          <w:szCs w:val="16"/>
        </w:rPr>
        <w:t xml:space="preserve">, p. 121. </w:t>
      </w:r>
    </w:p>
  </w:footnote>
  <w:footnote w:id="342">
    <w:p w14:paraId="4563942D" w14:textId="48B3C186" w:rsidR="00893286" w:rsidRPr="00893286" w:rsidRDefault="00893286" w:rsidP="00893286">
      <w:pPr>
        <w:pStyle w:val="FootnoteText"/>
        <w:rPr>
          <w:sz w:val="16"/>
          <w:szCs w:val="16"/>
          <w:lang w:val="en-US"/>
        </w:rPr>
      </w:pPr>
      <w:r w:rsidRPr="00893286">
        <w:rPr>
          <w:rStyle w:val="FootnoteReference"/>
          <w:sz w:val="16"/>
          <w:szCs w:val="16"/>
        </w:rPr>
        <w:footnoteRef/>
      </w:r>
      <w:r w:rsidRPr="00893286">
        <w:rPr>
          <w:sz w:val="16"/>
          <w:szCs w:val="16"/>
        </w:rPr>
        <w:t xml:space="preserve"> Fitton and Wadsworth, </w:t>
      </w:r>
      <w:r w:rsidRPr="00893286">
        <w:rPr>
          <w:i/>
          <w:iCs/>
          <w:sz w:val="16"/>
          <w:szCs w:val="16"/>
        </w:rPr>
        <w:t xml:space="preserve">The </w:t>
      </w:r>
      <w:r w:rsidRPr="00893286">
        <w:rPr>
          <w:i/>
          <w:iCs/>
          <w:sz w:val="16"/>
          <w:szCs w:val="16"/>
        </w:rPr>
        <w:t>Strutts and the Arkwrights</w:t>
      </w:r>
      <w:r w:rsidRPr="00893286">
        <w:rPr>
          <w:sz w:val="16"/>
          <w:szCs w:val="16"/>
        </w:rPr>
        <w:t xml:space="preserve">, 1758-1830, 36. </w:t>
      </w:r>
    </w:p>
  </w:footnote>
  <w:footnote w:id="343">
    <w:p w14:paraId="1462CD3C" w14:textId="048A5C6A" w:rsidR="00893286" w:rsidRPr="00893286" w:rsidRDefault="00893286">
      <w:pPr>
        <w:pStyle w:val="FootnoteText"/>
        <w:rPr>
          <w:sz w:val="16"/>
          <w:szCs w:val="16"/>
          <w:lang w:val="en-US"/>
        </w:rPr>
      </w:pPr>
      <w:r w:rsidRPr="00893286">
        <w:rPr>
          <w:rStyle w:val="FootnoteReference"/>
          <w:sz w:val="16"/>
          <w:szCs w:val="16"/>
        </w:rPr>
        <w:footnoteRef/>
      </w:r>
      <w:r w:rsidRPr="00893286">
        <w:rPr>
          <w:sz w:val="16"/>
          <w:szCs w:val="16"/>
        </w:rPr>
        <w:t xml:space="preserve"> Elliott, </w:t>
      </w:r>
      <w:r w:rsidRPr="00893286">
        <w:rPr>
          <w:i/>
          <w:iCs/>
          <w:sz w:val="16"/>
          <w:szCs w:val="16"/>
        </w:rPr>
        <w:t>The Derby Philosophers</w:t>
      </w:r>
      <w:r w:rsidRPr="00893286">
        <w:rPr>
          <w:sz w:val="16"/>
          <w:szCs w:val="16"/>
        </w:rPr>
        <w:t xml:space="preserve">, p. 89. </w:t>
      </w:r>
    </w:p>
  </w:footnote>
  <w:footnote w:id="344">
    <w:p w14:paraId="48D56ED7" w14:textId="37CD0E3D" w:rsidR="00893286" w:rsidRPr="00893286" w:rsidRDefault="00893286">
      <w:pPr>
        <w:pStyle w:val="FootnoteText"/>
        <w:rPr>
          <w:lang w:val="en-US"/>
        </w:rPr>
      </w:pPr>
      <w:r w:rsidRPr="00893286">
        <w:rPr>
          <w:rStyle w:val="FootnoteReference"/>
          <w:sz w:val="16"/>
          <w:szCs w:val="16"/>
        </w:rPr>
        <w:footnoteRef/>
      </w:r>
      <w:r w:rsidRPr="00893286">
        <w:rPr>
          <w:sz w:val="16"/>
          <w:szCs w:val="16"/>
        </w:rPr>
        <w:t xml:space="preserve"> Ibid, p. 89.</w:t>
      </w:r>
      <w:r>
        <w:t xml:space="preserve"> </w:t>
      </w:r>
    </w:p>
  </w:footnote>
  <w:footnote w:id="345">
    <w:p w14:paraId="19C27C38" w14:textId="11C99F74" w:rsidR="00893286" w:rsidRPr="00893286" w:rsidRDefault="00893286">
      <w:pPr>
        <w:pStyle w:val="FootnoteText"/>
        <w:rPr>
          <w:sz w:val="16"/>
          <w:szCs w:val="16"/>
          <w:lang w:val="en-US"/>
        </w:rPr>
      </w:pPr>
      <w:r w:rsidRPr="00893286">
        <w:rPr>
          <w:rStyle w:val="FootnoteReference"/>
          <w:sz w:val="16"/>
          <w:szCs w:val="16"/>
        </w:rPr>
        <w:footnoteRef/>
      </w:r>
      <w:r w:rsidRPr="00893286">
        <w:rPr>
          <w:sz w:val="16"/>
          <w:szCs w:val="16"/>
        </w:rPr>
        <w:t xml:space="preserve"> Paul Elliott, </w:t>
      </w:r>
      <w:r w:rsidRPr="00893286">
        <w:rPr>
          <w:i/>
          <w:iCs/>
          <w:sz w:val="16"/>
          <w:szCs w:val="16"/>
        </w:rPr>
        <w:t>The Derby Philosophers</w:t>
      </w:r>
      <w:r w:rsidRPr="00893286">
        <w:rPr>
          <w:sz w:val="16"/>
          <w:szCs w:val="16"/>
        </w:rPr>
        <w:t>, PhD Thesis, p. 231.</w:t>
      </w:r>
    </w:p>
  </w:footnote>
  <w:footnote w:id="346">
    <w:p w14:paraId="68853B72" w14:textId="1C38158E" w:rsidR="00FE4A09" w:rsidRPr="00C538E2" w:rsidRDefault="00FE4A09">
      <w:pPr>
        <w:pStyle w:val="FootnoteText"/>
        <w:rPr>
          <w:sz w:val="16"/>
          <w:szCs w:val="16"/>
        </w:rPr>
      </w:pPr>
      <w:r w:rsidRPr="00C538E2">
        <w:rPr>
          <w:rStyle w:val="FootnoteReference"/>
          <w:sz w:val="16"/>
          <w:szCs w:val="16"/>
        </w:rPr>
        <w:footnoteRef/>
      </w:r>
      <w:r w:rsidRPr="00C538E2">
        <w:rPr>
          <w:sz w:val="16"/>
          <w:szCs w:val="16"/>
        </w:rPr>
        <w:t xml:space="preserve"> Fitton and Wadsworth, </w:t>
      </w:r>
      <w:r w:rsidR="001E51DD" w:rsidRPr="00C538E2">
        <w:rPr>
          <w:i/>
          <w:iCs/>
          <w:sz w:val="16"/>
          <w:szCs w:val="16"/>
        </w:rPr>
        <w:t xml:space="preserve">The </w:t>
      </w:r>
      <w:r w:rsidR="001E51DD" w:rsidRPr="00C538E2">
        <w:rPr>
          <w:i/>
          <w:iCs/>
          <w:sz w:val="16"/>
          <w:szCs w:val="16"/>
        </w:rPr>
        <w:t>Strutts and the Arkwrights</w:t>
      </w:r>
      <w:r w:rsidR="001E51DD" w:rsidRPr="00C538E2">
        <w:rPr>
          <w:sz w:val="16"/>
          <w:szCs w:val="16"/>
        </w:rPr>
        <w:t xml:space="preserve">, p. 24. </w:t>
      </w:r>
    </w:p>
  </w:footnote>
  <w:footnote w:id="347">
    <w:p w14:paraId="00741CCA" w14:textId="4D886983" w:rsidR="005A05DF" w:rsidRPr="00C538E2" w:rsidRDefault="005A05DF" w:rsidP="005A05DF">
      <w:pPr>
        <w:pStyle w:val="FootnoteText"/>
        <w:rPr>
          <w:sz w:val="16"/>
          <w:szCs w:val="16"/>
        </w:rPr>
      </w:pPr>
      <w:r w:rsidRPr="00C538E2">
        <w:rPr>
          <w:rStyle w:val="FootnoteReference"/>
          <w:sz w:val="16"/>
          <w:szCs w:val="16"/>
        </w:rPr>
        <w:footnoteRef/>
      </w:r>
      <w:r w:rsidRPr="00C538E2">
        <w:rPr>
          <w:sz w:val="16"/>
          <w:szCs w:val="16"/>
        </w:rPr>
        <w:t xml:space="preserve"> </w:t>
      </w:r>
      <w:r w:rsidR="009C4424" w:rsidRPr="00C538E2">
        <w:rPr>
          <w:sz w:val="16"/>
          <w:szCs w:val="16"/>
        </w:rPr>
        <w:t xml:space="preserve">Paul </w:t>
      </w:r>
      <w:r w:rsidRPr="00C538E2">
        <w:rPr>
          <w:sz w:val="16"/>
          <w:szCs w:val="16"/>
        </w:rPr>
        <w:t>Elliott</w:t>
      </w:r>
      <w:r w:rsidR="009C4424" w:rsidRPr="00C538E2">
        <w:rPr>
          <w:sz w:val="16"/>
          <w:szCs w:val="16"/>
        </w:rPr>
        <w:t xml:space="preserve">, </w:t>
      </w:r>
      <w:r w:rsidR="00A5054E" w:rsidRPr="00C538E2">
        <w:rPr>
          <w:i/>
          <w:iCs/>
          <w:sz w:val="16"/>
          <w:szCs w:val="16"/>
        </w:rPr>
        <w:t>The Derby Philosophers</w:t>
      </w:r>
      <w:r w:rsidR="00C538E2" w:rsidRPr="00C538E2">
        <w:rPr>
          <w:i/>
          <w:iCs/>
          <w:sz w:val="16"/>
          <w:szCs w:val="16"/>
        </w:rPr>
        <w:t>,</w:t>
      </w:r>
      <w:r w:rsidRPr="00C538E2">
        <w:rPr>
          <w:sz w:val="16"/>
          <w:szCs w:val="16"/>
        </w:rPr>
        <w:t xml:space="preserve"> P</w:t>
      </w:r>
      <w:r w:rsidR="002A4023" w:rsidRPr="00C538E2">
        <w:rPr>
          <w:sz w:val="16"/>
          <w:szCs w:val="16"/>
        </w:rPr>
        <w:t>h</w:t>
      </w:r>
      <w:r w:rsidRPr="00C538E2">
        <w:rPr>
          <w:sz w:val="16"/>
          <w:szCs w:val="16"/>
        </w:rPr>
        <w:t xml:space="preserve">D </w:t>
      </w:r>
      <w:r w:rsidR="002A4023" w:rsidRPr="00C538E2">
        <w:rPr>
          <w:sz w:val="16"/>
          <w:szCs w:val="16"/>
        </w:rPr>
        <w:t xml:space="preserve">Thesis, </w:t>
      </w:r>
      <w:r w:rsidRPr="00C538E2">
        <w:rPr>
          <w:sz w:val="16"/>
          <w:szCs w:val="16"/>
        </w:rPr>
        <w:t>p. 231</w:t>
      </w:r>
      <w:r w:rsidR="00596D07" w:rsidRPr="00C538E2">
        <w:rPr>
          <w:sz w:val="16"/>
          <w:szCs w:val="16"/>
        </w:rPr>
        <w:t xml:space="preserve">. </w:t>
      </w:r>
    </w:p>
  </w:footnote>
  <w:footnote w:id="348">
    <w:p w14:paraId="081CD091" w14:textId="649465E2" w:rsidR="00F1091C" w:rsidRPr="00C95BCF" w:rsidRDefault="00F1091C">
      <w:pPr>
        <w:pStyle w:val="FootnoteText"/>
        <w:rPr>
          <w:sz w:val="16"/>
          <w:szCs w:val="16"/>
        </w:rPr>
      </w:pPr>
      <w:r w:rsidRPr="00C538E2">
        <w:rPr>
          <w:rStyle w:val="FootnoteReference"/>
          <w:sz w:val="16"/>
          <w:szCs w:val="16"/>
        </w:rPr>
        <w:footnoteRef/>
      </w:r>
      <w:r w:rsidRPr="00C538E2">
        <w:rPr>
          <w:sz w:val="16"/>
          <w:szCs w:val="16"/>
        </w:rPr>
        <w:t xml:space="preserve"> </w:t>
      </w:r>
      <w:r w:rsidR="00F734DC" w:rsidRPr="00C538E2">
        <w:rPr>
          <w:sz w:val="16"/>
          <w:szCs w:val="16"/>
        </w:rPr>
        <w:t xml:space="preserve">John Harrison’s </w:t>
      </w:r>
      <w:r w:rsidR="00D94C80" w:rsidRPr="00C538E2">
        <w:rPr>
          <w:sz w:val="16"/>
          <w:szCs w:val="16"/>
        </w:rPr>
        <w:t>H</w:t>
      </w:r>
      <w:r w:rsidR="00F734DC" w:rsidRPr="00C538E2">
        <w:rPr>
          <w:sz w:val="16"/>
          <w:szCs w:val="16"/>
        </w:rPr>
        <w:t xml:space="preserve">ouse – Littleover Grange is still the site of the current meeting place for Derby’s Freemasonry members today. </w:t>
      </w:r>
      <w:r w:rsidR="00596D07" w:rsidRPr="00C538E2">
        <w:rPr>
          <w:sz w:val="16"/>
          <w:szCs w:val="16"/>
        </w:rPr>
        <w:t>Maxwell Craven</w:t>
      </w:r>
      <w:r w:rsidR="00B92A6F" w:rsidRPr="00C538E2">
        <w:rPr>
          <w:sz w:val="16"/>
          <w:szCs w:val="16"/>
        </w:rPr>
        <w:t>, ‘Littleover Grange, Derbyshire</w:t>
      </w:r>
      <w:r w:rsidR="002401E7" w:rsidRPr="00C538E2">
        <w:rPr>
          <w:sz w:val="16"/>
          <w:szCs w:val="16"/>
        </w:rPr>
        <w:t xml:space="preserve">,’ </w:t>
      </w:r>
      <w:r w:rsidR="002401E7" w:rsidRPr="00C538E2">
        <w:rPr>
          <w:i/>
          <w:iCs/>
          <w:sz w:val="16"/>
          <w:szCs w:val="16"/>
        </w:rPr>
        <w:t>The Georgian Group Journal</w:t>
      </w:r>
      <w:r w:rsidR="002401E7" w:rsidRPr="00C538E2">
        <w:rPr>
          <w:sz w:val="16"/>
          <w:szCs w:val="16"/>
        </w:rPr>
        <w:t xml:space="preserve">, Vol. </w:t>
      </w:r>
      <w:r w:rsidR="002401E7" w:rsidRPr="00C95BCF">
        <w:rPr>
          <w:sz w:val="16"/>
          <w:szCs w:val="16"/>
        </w:rPr>
        <w:t>XV</w:t>
      </w:r>
      <w:r w:rsidR="00C538E2" w:rsidRPr="00C95BCF">
        <w:rPr>
          <w:sz w:val="16"/>
          <w:szCs w:val="16"/>
        </w:rPr>
        <w:t xml:space="preserve"> (</w:t>
      </w:r>
      <w:r w:rsidR="002401E7" w:rsidRPr="00C95BCF">
        <w:rPr>
          <w:sz w:val="16"/>
          <w:szCs w:val="16"/>
        </w:rPr>
        <w:t>2006</w:t>
      </w:r>
      <w:r w:rsidR="00C538E2" w:rsidRPr="00C95BCF">
        <w:rPr>
          <w:sz w:val="16"/>
          <w:szCs w:val="16"/>
        </w:rPr>
        <w:t>)</w:t>
      </w:r>
      <w:r w:rsidR="002401E7" w:rsidRPr="00C95BCF">
        <w:rPr>
          <w:sz w:val="16"/>
          <w:szCs w:val="16"/>
        </w:rPr>
        <w:t xml:space="preserve">, pp. 215-228. </w:t>
      </w:r>
      <w:r w:rsidR="00596D07" w:rsidRPr="00C95BCF">
        <w:rPr>
          <w:sz w:val="16"/>
          <w:szCs w:val="16"/>
        </w:rPr>
        <w:t xml:space="preserve"> </w:t>
      </w:r>
    </w:p>
  </w:footnote>
  <w:footnote w:id="349">
    <w:p w14:paraId="01813246" w14:textId="0F6609A4" w:rsidR="005A05DF" w:rsidRPr="009C5321" w:rsidRDefault="005A05DF" w:rsidP="005A05DF">
      <w:pPr>
        <w:pStyle w:val="FootnoteText"/>
        <w:rPr>
          <w:sz w:val="16"/>
          <w:szCs w:val="16"/>
        </w:rPr>
      </w:pPr>
      <w:r w:rsidRPr="00C538E2">
        <w:rPr>
          <w:rStyle w:val="FootnoteReference"/>
          <w:sz w:val="16"/>
          <w:szCs w:val="16"/>
        </w:rPr>
        <w:footnoteRef/>
      </w:r>
      <w:r w:rsidRPr="009C5321">
        <w:rPr>
          <w:sz w:val="16"/>
          <w:szCs w:val="16"/>
        </w:rPr>
        <w:t xml:space="preserve"> UK Parliament</w:t>
      </w:r>
      <w:r w:rsidR="00C538E2" w:rsidRPr="009C5321">
        <w:rPr>
          <w:sz w:val="16"/>
          <w:szCs w:val="16"/>
        </w:rPr>
        <w:t xml:space="preserve">, </w:t>
      </w:r>
      <w:r w:rsidR="00C538E2" w:rsidRPr="009C5321">
        <w:rPr>
          <w:i/>
          <w:iCs/>
          <w:sz w:val="16"/>
          <w:szCs w:val="16"/>
        </w:rPr>
        <w:t>Petition from the inhabitants of Manchester in support of the Foreign Slave Trade Abolition Bill</w:t>
      </w:r>
      <w:r w:rsidR="00C538E2" w:rsidRPr="009C5321">
        <w:rPr>
          <w:sz w:val="16"/>
          <w:szCs w:val="16"/>
        </w:rPr>
        <w:t>, UK Parliament, 2024</w:t>
      </w:r>
      <w:r w:rsidRPr="009C5321">
        <w:rPr>
          <w:sz w:val="16"/>
          <w:szCs w:val="16"/>
        </w:rPr>
        <w:t xml:space="preserve"> </w:t>
      </w:r>
      <w:r w:rsidR="00C538E2" w:rsidRPr="009C5321">
        <w:rPr>
          <w:sz w:val="16"/>
          <w:szCs w:val="16"/>
        </w:rPr>
        <w:t>&lt;</w:t>
      </w:r>
      <w:hyperlink r:id="rId37" w:history="1">
        <w:r w:rsidR="00C538E2" w:rsidRPr="009C5321">
          <w:rPr>
            <w:rStyle w:val="Hyperlink"/>
            <w:sz w:val="16"/>
            <w:szCs w:val="16"/>
          </w:rPr>
          <w:t>https://www.parliament.uk/about/living-heritage/transformingsociety/tradeindustry/slavetrade/from-the-parliamentary-collections/the-british-slave-trade/petition-in-support-of-the-foreign-slave-trade-abolition-bill-page/</w:t>
        </w:r>
      </w:hyperlink>
      <w:r w:rsidR="00C538E2" w:rsidRPr="009C5321">
        <w:rPr>
          <w:rStyle w:val="Hyperlink"/>
          <w:sz w:val="16"/>
          <w:szCs w:val="16"/>
        </w:rPr>
        <w:t xml:space="preserve">&gt; </w:t>
      </w:r>
      <w:r w:rsidR="00C538E2" w:rsidRPr="009C5321">
        <w:rPr>
          <w:rStyle w:val="Hyperlink"/>
          <w:color w:val="auto"/>
          <w:sz w:val="16"/>
          <w:szCs w:val="16"/>
          <w:u w:val="none"/>
        </w:rPr>
        <w:t>[accessed 12 January 2024].</w:t>
      </w:r>
      <w:r w:rsidRPr="009C5321">
        <w:rPr>
          <w:sz w:val="16"/>
          <w:szCs w:val="16"/>
        </w:rPr>
        <w:t xml:space="preserve"> </w:t>
      </w:r>
    </w:p>
  </w:footnote>
  <w:footnote w:id="350">
    <w:p w14:paraId="54726672" w14:textId="332C667D" w:rsidR="005A05DF" w:rsidRPr="009C5321" w:rsidRDefault="005A05DF" w:rsidP="005A05DF">
      <w:pPr>
        <w:pStyle w:val="FootnoteText"/>
        <w:rPr>
          <w:sz w:val="16"/>
          <w:szCs w:val="16"/>
        </w:rPr>
      </w:pPr>
      <w:r w:rsidRPr="00ED5D37">
        <w:rPr>
          <w:rStyle w:val="FootnoteReference"/>
          <w:sz w:val="16"/>
          <w:szCs w:val="16"/>
        </w:rPr>
        <w:footnoteRef/>
      </w:r>
      <w:r w:rsidR="00C538E2" w:rsidRPr="009C5321">
        <w:rPr>
          <w:sz w:val="16"/>
          <w:szCs w:val="16"/>
        </w:rPr>
        <w:t xml:space="preserve"> UK Parliament,</w:t>
      </w:r>
      <w:r w:rsidR="00C538E2" w:rsidRPr="00ED5D37">
        <w:rPr>
          <w:sz w:val="16"/>
          <w:szCs w:val="16"/>
        </w:rPr>
        <w:t xml:space="preserve"> </w:t>
      </w:r>
      <w:r w:rsidR="00C538E2" w:rsidRPr="009C5321">
        <w:rPr>
          <w:i/>
          <w:iCs/>
          <w:sz w:val="16"/>
          <w:szCs w:val="16"/>
        </w:rPr>
        <w:t>Petition from Manufacturers and Merchants of Manchester against the Foreign Slave Trade Abolition Bill</w:t>
      </w:r>
      <w:r w:rsidR="00C538E2" w:rsidRPr="009C5321">
        <w:rPr>
          <w:sz w:val="16"/>
          <w:szCs w:val="16"/>
        </w:rPr>
        <w:t xml:space="preserve">, UK Parliament, 2024 </w:t>
      </w:r>
      <w:r w:rsidRPr="009C5321">
        <w:rPr>
          <w:sz w:val="16"/>
          <w:szCs w:val="16"/>
        </w:rPr>
        <w:t xml:space="preserve"> </w:t>
      </w:r>
      <w:r w:rsidR="00C538E2" w:rsidRPr="009C5321">
        <w:rPr>
          <w:sz w:val="16"/>
          <w:szCs w:val="16"/>
        </w:rPr>
        <w:t>&lt;</w:t>
      </w:r>
      <w:hyperlink r:id="rId38" w:history="1">
        <w:r w:rsidR="00C538E2" w:rsidRPr="009C5321">
          <w:rPr>
            <w:rStyle w:val="Hyperlink"/>
            <w:sz w:val="16"/>
            <w:szCs w:val="16"/>
          </w:rPr>
          <w:t>https://www.parliament.uk/about/living-heritage/transformingsociety/tradeindustry/slavetrade/from-the-parliamentary-collections/the-british-slave-trade/petition-against-the-foreign-slave-trade-abolition-bill-page-1/</w:t>
        </w:r>
      </w:hyperlink>
      <w:r w:rsidR="00C538E2" w:rsidRPr="009C5321">
        <w:rPr>
          <w:rStyle w:val="Hyperlink"/>
          <w:sz w:val="16"/>
          <w:szCs w:val="16"/>
        </w:rPr>
        <w:t xml:space="preserve">&gt; </w:t>
      </w:r>
      <w:r w:rsidR="00C538E2" w:rsidRPr="009C5321">
        <w:rPr>
          <w:rStyle w:val="Hyperlink"/>
          <w:color w:val="auto"/>
          <w:sz w:val="16"/>
          <w:szCs w:val="16"/>
          <w:u w:val="none"/>
        </w:rPr>
        <w:t>[accessed 12 January</w:t>
      </w:r>
      <w:r w:rsidR="00ED5D37" w:rsidRPr="009C5321">
        <w:rPr>
          <w:rStyle w:val="Hyperlink"/>
          <w:color w:val="auto"/>
          <w:sz w:val="16"/>
          <w:szCs w:val="16"/>
          <w:u w:val="none"/>
        </w:rPr>
        <w:t xml:space="preserve"> 2024]. </w:t>
      </w:r>
      <w:r w:rsidRPr="009C5321">
        <w:rPr>
          <w:sz w:val="16"/>
          <w:szCs w:val="16"/>
        </w:rPr>
        <w:t xml:space="preserve"> </w:t>
      </w:r>
    </w:p>
  </w:footnote>
  <w:footnote w:id="351">
    <w:p w14:paraId="43D0FF89" w14:textId="6D186873" w:rsidR="005A05DF" w:rsidRPr="009C5321" w:rsidRDefault="005A05DF" w:rsidP="00ED5D37">
      <w:pPr>
        <w:pStyle w:val="FootnoteText"/>
      </w:pPr>
      <w:r w:rsidRPr="00ED5D37">
        <w:rPr>
          <w:rStyle w:val="FootnoteReference"/>
          <w:sz w:val="16"/>
          <w:szCs w:val="16"/>
        </w:rPr>
        <w:footnoteRef/>
      </w:r>
      <w:r w:rsidR="00ED5D37" w:rsidRPr="009C5321">
        <w:rPr>
          <w:sz w:val="16"/>
          <w:szCs w:val="16"/>
        </w:rPr>
        <w:t xml:space="preserve"> UK Parliament,</w:t>
      </w:r>
      <w:r w:rsidR="00ED5D37" w:rsidRPr="00ED5D37">
        <w:rPr>
          <w:sz w:val="16"/>
          <w:szCs w:val="16"/>
        </w:rPr>
        <w:t xml:space="preserve"> </w:t>
      </w:r>
      <w:r w:rsidR="00ED5D37" w:rsidRPr="009C5321">
        <w:rPr>
          <w:i/>
          <w:iCs/>
          <w:sz w:val="16"/>
          <w:szCs w:val="16"/>
        </w:rPr>
        <w:t>Petition from the inhabitants of Manchester in support of the Foreign Slave Trade Abolition Bill</w:t>
      </w:r>
      <w:r w:rsidR="00ED5D37" w:rsidRPr="009C5321">
        <w:rPr>
          <w:sz w:val="16"/>
          <w:szCs w:val="16"/>
        </w:rPr>
        <w:t>, UK Parliament, 2024 &lt;</w:t>
      </w:r>
      <w:hyperlink r:id="rId39" w:history="1">
        <w:r w:rsidR="00ED5D37" w:rsidRPr="009C5321">
          <w:rPr>
            <w:rStyle w:val="Hyperlink"/>
            <w:sz w:val="16"/>
            <w:szCs w:val="16"/>
          </w:rPr>
          <w:t>https://www.parliament.uk/about/living-heritage/transformingsociety/tradeindustry/slavetrade/from-the-parliamentary-collections/the-british-slave-trade/petition-in-support-of-the-foreign-slave-trade-abolition-bill-page/</w:t>
        </w:r>
      </w:hyperlink>
      <w:r w:rsidR="00ED5D37" w:rsidRPr="009C5321">
        <w:rPr>
          <w:sz w:val="16"/>
          <w:szCs w:val="16"/>
        </w:rPr>
        <w:t>&gt;</w:t>
      </w:r>
      <w:r w:rsidR="00ED5D37" w:rsidRPr="009C5321">
        <w:rPr>
          <w:rStyle w:val="Hyperlink"/>
          <w:color w:val="auto"/>
          <w:sz w:val="16"/>
          <w:szCs w:val="16"/>
          <w:u w:val="none"/>
        </w:rPr>
        <w:t xml:space="preserve"> [accessed 12 January 2024].</w:t>
      </w:r>
      <w:r w:rsidR="00ED5D37" w:rsidRPr="009C5321">
        <w:rPr>
          <w:rStyle w:val="Hyperlink"/>
          <w:color w:val="auto"/>
          <w:u w:val="none"/>
        </w:rPr>
        <w:t xml:space="preserve"> </w:t>
      </w:r>
      <w:r w:rsidRPr="009C5321">
        <w:t xml:space="preserve"> </w:t>
      </w:r>
    </w:p>
  </w:footnote>
  <w:footnote w:id="352">
    <w:p w14:paraId="549FF0D1" w14:textId="238036F5" w:rsidR="0040086B" w:rsidRPr="00ED5D37" w:rsidRDefault="0040086B">
      <w:pPr>
        <w:pStyle w:val="FootnoteText"/>
        <w:rPr>
          <w:color w:val="FF0000"/>
          <w:sz w:val="16"/>
          <w:szCs w:val="16"/>
        </w:rPr>
      </w:pPr>
      <w:r w:rsidRPr="00ED5D37">
        <w:rPr>
          <w:rStyle w:val="FootnoteReference"/>
          <w:sz w:val="16"/>
          <w:szCs w:val="16"/>
        </w:rPr>
        <w:footnoteRef/>
      </w:r>
      <w:r w:rsidRPr="00ED5D37">
        <w:rPr>
          <w:sz w:val="16"/>
          <w:szCs w:val="16"/>
        </w:rPr>
        <w:t xml:space="preserve"> </w:t>
      </w:r>
      <w:r w:rsidR="00DB4091" w:rsidRPr="00ED5D37">
        <w:rPr>
          <w:sz w:val="16"/>
          <w:szCs w:val="16"/>
        </w:rPr>
        <w:t xml:space="preserve">Mark Casson, ‘Cultural determinants of economic performance,’ </w:t>
      </w:r>
      <w:r w:rsidR="00DB4091" w:rsidRPr="00ED5D37">
        <w:rPr>
          <w:i/>
          <w:iCs/>
          <w:sz w:val="16"/>
          <w:szCs w:val="16"/>
        </w:rPr>
        <w:t>Journal of Comparative Economics,</w:t>
      </w:r>
      <w:r w:rsidR="00DB4091" w:rsidRPr="00ED5D37">
        <w:rPr>
          <w:sz w:val="16"/>
          <w:szCs w:val="16"/>
        </w:rPr>
        <w:t xml:space="preserve"> 17:2 (1993), pp. 418-442.</w:t>
      </w:r>
    </w:p>
  </w:footnote>
  <w:footnote w:id="353">
    <w:p w14:paraId="22C77F89" w14:textId="452E489E" w:rsidR="0040086B" w:rsidRPr="00ED5D37" w:rsidRDefault="0040086B" w:rsidP="00F2053C">
      <w:pPr>
        <w:pStyle w:val="FootnoteText"/>
        <w:tabs>
          <w:tab w:val="left" w:pos="3122"/>
        </w:tabs>
        <w:rPr>
          <w:sz w:val="16"/>
          <w:szCs w:val="16"/>
        </w:rPr>
      </w:pPr>
      <w:r w:rsidRPr="00ED5D37">
        <w:rPr>
          <w:rStyle w:val="FootnoteReference"/>
          <w:sz w:val="16"/>
          <w:szCs w:val="16"/>
        </w:rPr>
        <w:footnoteRef/>
      </w:r>
      <w:r w:rsidRPr="00ED5D37">
        <w:rPr>
          <w:sz w:val="16"/>
          <w:szCs w:val="16"/>
        </w:rPr>
        <w:t xml:space="preserve"> </w:t>
      </w:r>
      <w:r w:rsidR="00D1179B" w:rsidRPr="00ED5D37">
        <w:rPr>
          <w:sz w:val="16"/>
          <w:szCs w:val="16"/>
        </w:rPr>
        <w:t>Andrew Popp</w:t>
      </w:r>
      <w:r w:rsidR="00ED5D37" w:rsidRPr="00ED5D37">
        <w:rPr>
          <w:sz w:val="16"/>
          <w:szCs w:val="16"/>
        </w:rPr>
        <w:t>,</w:t>
      </w:r>
      <w:r w:rsidR="00D1179B" w:rsidRPr="00ED5D37">
        <w:rPr>
          <w:sz w:val="16"/>
          <w:szCs w:val="16"/>
        </w:rPr>
        <w:t xml:space="preserve"> </w:t>
      </w:r>
      <w:r w:rsidR="00ED5D37" w:rsidRPr="00ED5D37">
        <w:rPr>
          <w:sz w:val="16"/>
          <w:szCs w:val="16"/>
        </w:rPr>
        <w:t>‘</w:t>
      </w:r>
      <w:r w:rsidR="00D1179B" w:rsidRPr="00ED5D37">
        <w:rPr>
          <w:sz w:val="16"/>
          <w:szCs w:val="16"/>
        </w:rPr>
        <w:t xml:space="preserve">Trust in an </w:t>
      </w:r>
      <w:r w:rsidR="00ED5D37" w:rsidRPr="00ED5D37">
        <w:rPr>
          <w:sz w:val="16"/>
          <w:szCs w:val="16"/>
        </w:rPr>
        <w:t>I</w:t>
      </w:r>
      <w:r w:rsidR="00D1179B" w:rsidRPr="00ED5D37">
        <w:rPr>
          <w:sz w:val="16"/>
          <w:szCs w:val="16"/>
        </w:rPr>
        <w:t xml:space="preserve">ndustrial </w:t>
      </w:r>
      <w:r w:rsidR="00ED5D37" w:rsidRPr="00ED5D37">
        <w:rPr>
          <w:sz w:val="16"/>
          <w:szCs w:val="16"/>
        </w:rPr>
        <w:t>D</w:t>
      </w:r>
      <w:r w:rsidR="00D1179B" w:rsidRPr="00ED5D37">
        <w:rPr>
          <w:sz w:val="16"/>
          <w:szCs w:val="16"/>
        </w:rPr>
        <w:t xml:space="preserve">istrict: </w:t>
      </w:r>
      <w:r w:rsidR="00562549" w:rsidRPr="00ED5D37">
        <w:rPr>
          <w:sz w:val="16"/>
          <w:szCs w:val="16"/>
        </w:rPr>
        <w:t>The</w:t>
      </w:r>
      <w:r w:rsidR="00D1179B" w:rsidRPr="00ED5D37">
        <w:rPr>
          <w:sz w:val="16"/>
          <w:szCs w:val="16"/>
        </w:rPr>
        <w:t xml:space="preserve"> Potteries, c. 1850-1900</w:t>
      </w:r>
      <w:r w:rsidR="00ED5D37" w:rsidRPr="00ED5D37">
        <w:rPr>
          <w:sz w:val="16"/>
          <w:szCs w:val="16"/>
        </w:rPr>
        <w:t>’</w:t>
      </w:r>
      <w:r w:rsidR="00D1179B" w:rsidRPr="00ED5D37">
        <w:rPr>
          <w:sz w:val="16"/>
          <w:szCs w:val="16"/>
        </w:rPr>
        <w:t xml:space="preserve">, in </w:t>
      </w:r>
      <w:r w:rsidR="00D1179B" w:rsidRPr="00ED5D37">
        <w:rPr>
          <w:i/>
          <w:iCs/>
          <w:sz w:val="16"/>
          <w:szCs w:val="16"/>
        </w:rPr>
        <w:t>Management and Industry</w:t>
      </w:r>
      <w:r w:rsidR="00ED5D37" w:rsidRPr="00ED5D37">
        <w:rPr>
          <w:sz w:val="16"/>
          <w:szCs w:val="16"/>
        </w:rPr>
        <w:t xml:space="preserve"> </w:t>
      </w:r>
      <w:r w:rsidR="00D1179B" w:rsidRPr="00ED5D37">
        <w:rPr>
          <w:sz w:val="16"/>
          <w:szCs w:val="16"/>
        </w:rPr>
        <w:t>ed</w:t>
      </w:r>
      <w:r w:rsidR="00ED5D37" w:rsidRPr="00ED5D37">
        <w:rPr>
          <w:sz w:val="16"/>
          <w:szCs w:val="16"/>
        </w:rPr>
        <w:t>. by</w:t>
      </w:r>
      <w:r w:rsidR="00D1179B" w:rsidRPr="00ED5D37">
        <w:rPr>
          <w:sz w:val="16"/>
          <w:szCs w:val="16"/>
        </w:rPr>
        <w:t xml:space="preserve"> John F. Wilson, Nicholas D. Wong, and Steven Toms (London: Routledge, 2020), pp. 111-144.</w:t>
      </w:r>
      <w:r w:rsidR="00F2053C" w:rsidRPr="00ED5D37">
        <w:rPr>
          <w:sz w:val="16"/>
          <w:szCs w:val="16"/>
        </w:rPr>
        <w:tab/>
      </w:r>
    </w:p>
  </w:footnote>
  <w:footnote w:id="354">
    <w:p w14:paraId="503649F2" w14:textId="36ABEDE6" w:rsidR="008401A7" w:rsidRPr="00ED5D37" w:rsidRDefault="008401A7">
      <w:pPr>
        <w:pStyle w:val="FootnoteText"/>
        <w:rPr>
          <w:sz w:val="16"/>
          <w:szCs w:val="16"/>
        </w:rPr>
      </w:pPr>
      <w:r w:rsidRPr="00ED5D37">
        <w:rPr>
          <w:rStyle w:val="FootnoteReference"/>
          <w:sz w:val="16"/>
          <w:szCs w:val="16"/>
        </w:rPr>
        <w:footnoteRef/>
      </w:r>
      <w:r w:rsidRPr="00ED5D37">
        <w:rPr>
          <w:sz w:val="16"/>
          <w:szCs w:val="16"/>
        </w:rPr>
        <w:t xml:space="preserve"> </w:t>
      </w:r>
      <w:r w:rsidR="00974B82" w:rsidRPr="00ED5D37">
        <w:rPr>
          <w:sz w:val="16"/>
          <w:szCs w:val="16"/>
        </w:rPr>
        <w:t xml:space="preserve">Pat Hudson, </w:t>
      </w:r>
      <w:r w:rsidR="00ED5D37" w:rsidRPr="00ED5D37">
        <w:rPr>
          <w:i/>
          <w:iCs/>
          <w:sz w:val="16"/>
          <w:szCs w:val="16"/>
        </w:rPr>
        <w:t>The Industrial Revolution</w:t>
      </w:r>
      <w:r w:rsidR="00ED5D37" w:rsidRPr="00ED5D37">
        <w:rPr>
          <w:sz w:val="16"/>
          <w:szCs w:val="16"/>
        </w:rPr>
        <w:t xml:space="preserve"> (London and New York: Routledge, 1992), p. 36.  </w:t>
      </w:r>
    </w:p>
  </w:footnote>
  <w:footnote w:id="355">
    <w:p w14:paraId="3246F1C0" w14:textId="30D3BC62" w:rsidR="002042B8" w:rsidRPr="00247D22" w:rsidRDefault="002042B8">
      <w:pPr>
        <w:pStyle w:val="FootnoteText"/>
        <w:rPr>
          <w:sz w:val="16"/>
          <w:szCs w:val="16"/>
        </w:rPr>
      </w:pPr>
      <w:r w:rsidRPr="00247D22">
        <w:rPr>
          <w:rStyle w:val="FootnoteReference"/>
          <w:sz w:val="16"/>
          <w:szCs w:val="16"/>
        </w:rPr>
        <w:footnoteRef/>
      </w:r>
      <w:r w:rsidRPr="00247D22">
        <w:rPr>
          <w:sz w:val="16"/>
          <w:szCs w:val="16"/>
        </w:rPr>
        <w:t xml:space="preserve"> John Collyer, </w:t>
      </w:r>
      <w:r w:rsidRPr="00247D22">
        <w:rPr>
          <w:i/>
          <w:iCs/>
          <w:sz w:val="16"/>
          <w:szCs w:val="16"/>
        </w:rPr>
        <w:t>A Practical Treatise on the Law of Partnership</w:t>
      </w:r>
      <w:r w:rsidRPr="00247D22">
        <w:rPr>
          <w:sz w:val="16"/>
          <w:szCs w:val="16"/>
        </w:rPr>
        <w:t>, Book I (Springfield: G &amp; C. Merriam, 1839), pp 4-42.</w:t>
      </w:r>
    </w:p>
  </w:footnote>
  <w:footnote w:id="356">
    <w:p w14:paraId="5A2516CE" w14:textId="1A3412FD" w:rsidR="005A05DF" w:rsidRPr="00247D22" w:rsidRDefault="005A05DF" w:rsidP="005A05DF">
      <w:pPr>
        <w:pStyle w:val="FootnoteText"/>
        <w:rPr>
          <w:sz w:val="16"/>
          <w:szCs w:val="16"/>
        </w:rPr>
      </w:pPr>
      <w:r w:rsidRPr="00247D22">
        <w:rPr>
          <w:rStyle w:val="FootnoteReference"/>
          <w:sz w:val="16"/>
          <w:szCs w:val="16"/>
        </w:rPr>
        <w:footnoteRef/>
      </w:r>
      <w:r w:rsidRPr="00247D22">
        <w:rPr>
          <w:sz w:val="16"/>
          <w:szCs w:val="16"/>
        </w:rPr>
        <w:t xml:space="preserve"> </w:t>
      </w:r>
      <w:r w:rsidR="002042B8" w:rsidRPr="00247D22">
        <w:rPr>
          <w:sz w:val="16"/>
          <w:szCs w:val="16"/>
        </w:rPr>
        <w:t xml:space="preserve">Collyer, </w:t>
      </w:r>
      <w:r w:rsidR="002042B8" w:rsidRPr="00247D22">
        <w:rPr>
          <w:i/>
          <w:iCs/>
          <w:sz w:val="16"/>
          <w:szCs w:val="16"/>
        </w:rPr>
        <w:t>A Practical Treatise on the Law of Partnership, Book I</w:t>
      </w:r>
      <w:r w:rsidR="002042B8" w:rsidRPr="00247D22">
        <w:rPr>
          <w:sz w:val="16"/>
          <w:szCs w:val="16"/>
        </w:rPr>
        <w:t>, pp 4-42.</w:t>
      </w:r>
    </w:p>
  </w:footnote>
  <w:footnote w:id="357">
    <w:p w14:paraId="5BE8C98E" w14:textId="55D44CB9" w:rsidR="005A05DF" w:rsidRDefault="005A05DF" w:rsidP="005A05DF">
      <w:pPr>
        <w:pStyle w:val="FootnoteText"/>
      </w:pPr>
      <w:r w:rsidRPr="00247D22">
        <w:rPr>
          <w:rStyle w:val="FootnoteReference"/>
          <w:sz w:val="16"/>
          <w:szCs w:val="16"/>
        </w:rPr>
        <w:footnoteRef/>
      </w:r>
      <w:r w:rsidRPr="00247D22">
        <w:rPr>
          <w:sz w:val="16"/>
          <w:szCs w:val="16"/>
        </w:rPr>
        <w:t xml:space="preserve"> </w:t>
      </w:r>
      <w:r w:rsidR="006951FC" w:rsidRPr="00247D22">
        <w:rPr>
          <w:sz w:val="16"/>
          <w:szCs w:val="16"/>
        </w:rPr>
        <w:t>J</w:t>
      </w:r>
      <w:r w:rsidR="00ED5D37" w:rsidRPr="00247D22">
        <w:rPr>
          <w:sz w:val="16"/>
          <w:szCs w:val="16"/>
        </w:rPr>
        <w:t>ohn</w:t>
      </w:r>
      <w:r w:rsidR="006951FC" w:rsidRPr="00247D22">
        <w:rPr>
          <w:sz w:val="16"/>
          <w:szCs w:val="16"/>
        </w:rPr>
        <w:t xml:space="preserve"> Collyer, </w:t>
      </w:r>
      <w:r w:rsidR="006951FC" w:rsidRPr="00247D22">
        <w:rPr>
          <w:i/>
          <w:iCs/>
          <w:sz w:val="16"/>
          <w:szCs w:val="16"/>
        </w:rPr>
        <w:t>A Practical Treatise on the Law of Partnership</w:t>
      </w:r>
      <w:r w:rsidR="006951FC" w:rsidRPr="00247D22">
        <w:rPr>
          <w:sz w:val="16"/>
          <w:szCs w:val="16"/>
        </w:rPr>
        <w:t>, Book III</w:t>
      </w:r>
      <w:r w:rsidR="00ED5D37" w:rsidRPr="00247D22">
        <w:rPr>
          <w:sz w:val="16"/>
          <w:szCs w:val="16"/>
        </w:rPr>
        <w:t xml:space="preserve"> (Springfield: G &amp; C. Merriam, 1839),</w:t>
      </w:r>
      <w:r w:rsidR="00503D3A" w:rsidRPr="00247D22">
        <w:rPr>
          <w:sz w:val="16"/>
          <w:szCs w:val="16"/>
        </w:rPr>
        <w:t xml:space="preserve"> pp. 215-220. </w:t>
      </w:r>
      <w:r w:rsidRPr="00247D22">
        <w:rPr>
          <w:sz w:val="16"/>
          <w:szCs w:val="16"/>
        </w:rPr>
        <w:t xml:space="preserve"> </w:t>
      </w:r>
    </w:p>
  </w:footnote>
  <w:footnote w:id="358">
    <w:p w14:paraId="0C893BEF" w14:textId="4C9027ED" w:rsidR="005A05DF" w:rsidRPr="00F66DAC" w:rsidRDefault="005A05DF" w:rsidP="005A05DF">
      <w:pPr>
        <w:pStyle w:val="FootnoteText"/>
        <w:rPr>
          <w:sz w:val="16"/>
          <w:szCs w:val="16"/>
        </w:rPr>
      </w:pPr>
      <w:r w:rsidRPr="00F66DAC">
        <w:rPr>
          <w:rStyle w:val="FootnoteReference"/>
          <w:sz w:val="16"/>
          <w:szCs w:val="16"/>
        </w:rPr>
        <w:footnoteRef/>
      </w:r>
      <w:r w:rsidRPr="00F66DAC">
        <w:rPr>
          <w:sz w:val="16"/>
          <w:szCs w:val="16"/>
        </w:rPr>
        <w:t xml:space="preserve"> </w:t>
      </w:r>
      <w:r w:rsidR="00330FB6" w:rsidRPr="00F66DAC">
        <w:rPr>
          <w:sz w:val="16"/>
          <w:szCs w:val="16"/>
        </w:rPr>
        <w:t xml:space="preserve">Margaret Dawes, and Nesta Selwyn, </w:t>
      </w:r>
      <w:r w:rsidR="00330FB6" w:rsidRPr="00F66DAC">
        <w:rPr>
          <w:i/>
          <w:iCs/>
          <w:sz w:val="16"/>
          <w:szCs w:val="16"/>
        </w:rPr>
        <w:t>Women who made Money: Women Partners in British Private Banks, 1752-1906</w:t>
      </w:r>
      <w:r w:rsidR="00330FB6" w:rsidRPr="00F66DAC">
        <w:rPr>
          <w:sz w:val="16"/>
          <w:szCs w:val="16"/>
        </w:rPr>
        <w:t xml:space="preserve"> (United States: Trafford Publishing, 2010), pp. 29-32.</w:t>
      </w:r>
    </w:p>
  </w:footnote>
  <w:footnote w:id="359">
    <w:p w14:paraId="07CCF028" w14:textId="42C59E17" w:rsidR="005A05DF" w:rsidRPr="00F66DAC" w:rsidRDefault="005A05DF" w:rsidP="005A05DF">
      <w:pPr>
        <w:pStyle w:val="FootnoteText"/>
        <w:rPr>
          <w:sz w:val="16"/>
          <w:szCs w:val="16"/>
        </w:rPr>
      </w:pPr>
      <w:r w:rsidRPr="00F66DAC">
        <w:rPr>
          <w:rStyle w:val="FootnoteReference"/>
          <w:sz w:val="16"/>
          <w:szCs w:val="16"/>
        </w:rPr>
        <w:footnoteRef/>
      </w:r>
      <w:r w:rsidRPr="00F66DAC">
        <w:rPr>
          <w:sz w:val="16"/>
          <w:szCs w:val="16"/>
        </w:rPr>
        <w:t xml:space="preserve"> </w:t>
      </w:r>
      <w:r w:rsidR="00385957" w:rsidRPr="00F66DAC">
        <w:rPr>
          <w:sz w:val="16"/>
          <w:szCs w:val="16"/>
        </w:rPr>
        <w:t>DLSL, BS677 EVA, DL119</w:t>
      </w:r>
      <w:r w:rsidR="00D84059" w:rsidRPr="00F66DAC">
        <w:rPr>
          <w:sz w:val="16"/>
          <w:szCs w:val="16"/>
        </w:rPr>
        <w:t xml:space="preserve">, LB </w:t>
      </w:r>
      <w:r w:rsidRPr="00F66DAC">
        <w:rPr>
          <w:sz w:val="16"/>
          <w:szCs w:val="16"/>
        </w:rPr>
        <w:t xml:space="preserve">R3 </w:t>
      </w:r>
      <w:r w:rsidR="00F475FB">
        <w:rPr>
          <w:sz w:val="16"/>
          <w:szCs w:val="16"/>
        </w:rPr>
        <w:t xml:space="preserve">[List of Business Partners for Walter Evans &amp; Co. of Darley Abbey]. </w:t>
      </w:r>
    </w:p>
  </w:footnote>
  <w:footnote w:id="360">
    <w:p w14:paraId="7614E34D" w14:textId="77333E00" w:rsidR="002042B8" w:rsidRPr="00F66DAC" w:rsidRDefault="002042B8">
      <w:pPr>
        <w:pStyle w:val="FootnoteText"/>
        <w:rPr>
          <w:sz w:val="16"/>
          <w:szCs w:val="16"/>
        </w:rPr>
      </w:pPr>
      <w:r w:rsidRPr="00F66DAC">
        <w:rPr>
          <w:rStyle w:val="FootnoteReference"/>
          <w:sz w:val="16"/>
          <w:szCs w:val="16"/>
        </w:rPr>
        <w:footnoteRef/>
      </w:r>
      <w:r w:rsidRPr="00F66DAC">
        <w:rPr>
          <w:sz w:val="16"/>
          <w:szCs w:val="16"/>
        </w:rPr>
        <w:t xml:space="preserve"> </w:t>
      </w:r>
      <w:bookmarkStart w:id="118" w:name="_Hlk170469620"/>
      <w:r w:rsidRPr="00F66DAC">
        <w:rPr>
          <w:sz w:val="16"/>
          <w:szCs w:val="16"/>
        </w:rPr>
        <w:t xml:space="preserve">Clive H. Lee, </w:t>
      </w:r>
      <w:r w:rsidRPr="00B9691C">
        <w:rPr>
          <w:i/>
          <w:iCs/>
          <w:sz w:val="16"/>
          <w:szCs w:val="16"/>
        </w:rPr>
        <w:t>A Cotton Enterprise 1795-1840</w:t>
      </w:r>
      <w:bookmarkEnd w:id="118"/>
      <w:r w:rsidRPr="00B9691C">
        <w:rPr>
          <w:i/>
          <w:iCs/>
          <w:sz w:val="16"/>
          <w:szCs w:val="16"/>
        </w:rPr>
        <w:t xml:space="preserve">: </w:t>
      </w:r>
      <w:r w:rsidRPr="00B9691C">
        <w:rPr>
          <w:i/>
          <w:iCs/>
          <w:sz w:val="16"/>
          <w:szCs w:val="16"/>
        </w:rPr>
        <w:t>M’Connel and Kennedy Fine Cotton Spinners</w:t>
      </w:r>
      <w:r w:rsidRPr="00F66DAC">
        <w:rPr>
          <w:sz w:val="16"/>
          <w:szCs w:val="16"/>
        </w:rPr>
        <w:t xml:space="preserve"> (Manchester: Manchester University Press, 1972), pp.11-14.</w:t>
      </w:r>
    </w:p>
  </w:footnote>
  <w:footnote w:id="361">
    <w:p w14:paraId="5C25E813" w14:textId="7B807FB2" w:rsidR="005A05DF" w:rsidRPr="00F66DAC" w:rsidRDefault="005A05DF" w:rsidP="005A05DF">
      <w:pPr>
        <w:pStyle w:val="FootnoteText"/>
        <w:rPr>
          <w:sz w:val="16"/>
          <w:szCs w:val="16"/>
        </w:rPr>
      </w:pPr>
      <w:r w:rsidRPr="00F66DAC">
        <w:rPr>
          <w:rStyle w:val="FootnoteReference"/>
          <w:sz w:val="16"/>
          <w:szCs w:val="16"/>
        </w:rPr>
        <w:footnoteRef/>
      </w:r>
      <w:r w:rsidRPr="00F66DAC">
        <w:rPr>
          <w:sz w:val="16"/>
          <w:szCs w:val="16"/>
        </w:rPr>
        <w:t xml:space="preserve"> </w:t>
      </w:r>
      <w:r w:rsidR="00ED5D37" w:rsidRPr="00F66DAC">
        <w:rPr>
          <w:sz w:val="16"/>
          <w:szCs w:val="16"/>
        </w:rPr>
        <w:t xml:space="preserve">Lee, </w:t>
      </w:r>
      <w:r w:rsidR="00ED5D37" w:rsidRPr="00F66DAC">
        <w:rPr>
          <w:i/>
          <w:iCs/>
          <w:sz w:val="16"/>
          <w:szCs w:val="16"/>
        </w:rPr>
        <w:t>A Cotton Enterprise</w:t>
      </w:r>
      <w:r w:rsidR="00ED5D37" w:rsidRPr="00F66DAC">
        <w:rPr>
          <w:sz w:val="16"/>
          <w:szCs w:val="16"/>
        </w:rPr>
        <w:t>, p.11.</w:t>
      </w:r>
    </w:p>
  </w:footnote>
  <w:footnote w:id="362">
    <w:p w14:paraId="085F86C8" w14:textId="556C5057" w:rsidR="002042B8" w:rsidRPr="00F66DAC" w:rsidRDefault="002042B8">
      <w:pPr>
        <w:pStyle w:val="FootnoteText"/>
        <w:rPr>
          <w:sz w:val="16"/>
          <w:szCs w:val="16"/>
        </w:rPr>
      </w:pPr>
      <w:r w:rsidRPr="00F66DAC">
        <w:rPr>
          <w:rStyle w:val="FootnoteReference"/>
          <w:sz w:val="16"/>
          <w:szCs w:val="16"/>
        </w:rPr>
        <w:footnoteRef/>
      </w:r>
      <w:r w:rsidRPr="00F66DAC">
        <w:rPr>
          <w:sz w:val="16"/>
          <w:szCs w:val="16"/>
        </w:rPr>
        <w:t xml:space="preserve"> </w:t>
      </w:r>
      <w:r w:rsidR="00F66DAC" w:rsidRPr="00F66DAC">
        <w:rPr>
          <w:sz w:val="16"/>
          <w:szCs w:val="16"/>
        </w:rPr>
        <w:t xml:space="preserve">JRL, GB 133 MCK1/2 [Legal Records] </w:t>
      </w:r>
    </w:p>
  </w:footnote>
  <w:footnote w:id="363">
    <w:p w14:paraId="29707BDC" w14:textId="77291EE7" w:rsidR="00F66DAC" w:rsidRDefault="00F66DAC">
      <w:pPr>
        <w:pStyle w:val="FootnoteText"/>
      </w:pPr>
      <w:r w:rsidRPr="00F66DAC">
        <w:rPr>
          <w:rStyle w:val="FootnoteReference"/>
          <w:sz w:val="16"/>
          <w:szCs w:val="16"/>
        </w:rPr>
        <w:footnoteRef/>
      </w:r>
      <w:r w:rsidRPr="00F66DAC">
        <w:rPr>
          <w:sz w:val="16"/>
          <w:szCs w:val="16"/>
        </w:rPr>
        <w:t xml:space="preserve"> Lee, </w:t>
      </w:r>
      <w:r w:rsidRPr="00F66DAC">
        <w:rPr>
          <w:i/>
          <w:iCs/>
          <w:sz w:val="16"/>
          <w:szCs w:val="16"/>
        </w:rPr>
        <w:t>A Cotton Enterprise</w:t>
      </w:r>
      <w:r w:rsidRPr="00F66DAC">
        <w:rPr>
          <w:sz w:val="16"/>
          <w:szCs w:val="16"/>
        </w:rPr>
        <w:t>, p.41.</w:t>
      </w:r>
    </w:p>
  </w:footnote>
  <w:footnote w:id="364">
    <w:p w14:paraId="59DA9BAB" w14:textId="6FC9C118" w:rsidR="00F66DAC" w:rsidRPr="00F66DAC" w:rsidRDefault="00F66DAC">
      <w:pPr>
        <w:pStyle w:val="FootnoteText"/>
        <w:rPr>
          <w:sz w:val="16"/>
          <w:szCs w:val="16"/>
        </w:rPr>
      </w:pPr>
      <w:r w:rsidRPr="00F66DAC">
        <w:rPr>
          <w:rStyle w:val="FootnoteReference"/>
          <w:sz w:val="16"/>
          <w:szCs w:val="16"/>
        </w:rPr>
        <w:footnoteRef/>
      </w:r>
      <w:r w:rsidRPr="00F66DAC">
        <w:rPr>
          <w:sz w:val="16"/>
          <w:szCs w:val="16"/>
        </w:rPr>
        <w:t xml:space="preserve"> Katrina </w:t>
      </w:r>
      <w:r w:rsidRPr="00F66DAC">
        <w:rPr>
          <w:sz w:val="16"/>
          <w:szCs w:val="16"/>
        </w:rPr>
        <w:t xml:space="preserve">Honeyman, </w:t>
      </w:r>
      <w:r w:rsidRPr="00B9691C">
        <w:rPr>
          <w:i/>
          <w:iCs/>
          <w:sz w:val="16"/>
          <w:szCs w:val="16"/>
        </w:rPr>
        <w:t>Origins of Enterprise: Business leadership in the Industrial Revolution</w:t>
      </w:r>
      <w:r w:rsidRPr="00F66DAC">
        <w:rPr>
          <w:sz w:val="16"/>
          <w:szCs w:val="16"/>
        </w:rPr>
        <w:t xml:space="preserve"> (Manchester: Manchester University Press, 1983), pp. 56-58.   </w:t>
      </w:r>
    </w:p>
  </w:footnote>
  <w:footnote w:id="365">
    <w:p w14:paraId="2201942E" w14:textId="2FB09752" w:rsidR="00627A9B" w:rsidRPr="00FE604A" w:rsidRDefault="00627A9B" w:rsidP="00FE604A">
      <w:pPr>
        <w:pStyle w:val="FootnoteText"/>
        <w:rPr>
          <w:sz w:val="16"/>
          <w:szCs w:val="16"/>
        </w:rPr>
      </w:pPr>
      <w:r w:rsidRPr="00FE604A">
        <w:rPr>
          <w:rStyle w:val="FootnoteReference"/>
          <w:sz w:val="16"/>
          <w:szCs w:val="16"/>
        </w:rPr>
        <w:footnoteRef/>
      </w:r>
      <w:r w:rsidRPr="00FE604A">
        <w:rPr>
          <w:sz w:val="16"/>
          <w:szCs w:val="16"/>
        </w:rPr>
        <w:t xml:space="preserve"> </w:t>
      </w:r>
      <w:r w:rsidR="00FE604A" w:rsidRPr="00FE604A">
        <w:rPr>
          <w:sz w:val="16"/>
          <w:szCs w:val="16"/>
        </w:rPr>
        <w:t>C</w:t>
      </w:r>
      <w:r w:rsidR="00FE604A">
        <w:rPr>
          <w:sz w:val="16"/>
          <w:szCs w:val="16"/>
        </w:rPr>
        <w:t>.</w:t>
      </w:r>
      <w:r w:rsidR="00FE604A" w:rsidRPr="00FE604A">
        <w:rPr>
          <w:sz w:val="16"/>
          <w:szCs w:val="16"/>
        </w:rPr>
        <w:t xml:space="preserve"> H. Lee, </w:t>
      </w:r>
      <w:r w:rsidR="00FE604A" w:rsidRPr="00FE604A">
        <w:rPr>
          <w:i/>
          <w:iCs/>
          <w:sz w:val="16"/>
          <w:szCs w:val="16"/>
        </w:rPr>
        <w:t>A Cotton Enterprise 1795-1840</w:t>
      </w:r>
      <w:r w:rsidR="00FE604A" w:rsidRPr="00FE604A">
        <w:rPr>
          <w:sz w:val="16"/>
          <w:szCs w:val="16"/>
        </w:rPr>
        <w:t xml:space="preserve">, p. </w:t>
      </w:r>
      <w:r w:rsidR="00FE604A">
        <w:rPr>
          <w:sz w:val="16"/>
          <w:szCs w:val="16"/>
        </w:rPr>
        <w:t>1</w:t>
      </w:r>
      <w:r w:rsidR="00FE604A" w:rsidRPr="00FE604A">
        <w:rPr>
          <w:sz w:val="16"/>
          <w:szCs w:val="16"/>
        </w:rPr>
        <w:t xml:space="preserve">4. </w:t>
      </w:r>
    </w:p>
  </w:footnote>
  <w:footnote w:id="366">
    <w:p w14:paraId="4C132A99" w14:textId="4BA6D606" w:rsidR="00B9542C" w:rsidRPr="00247D22" w:rsidRDefault="00B9542C">
      <w:pPr>
        <w:pStyle w:val="FootnoteText"/>
        <w:rPr>
          <w:sz w:val="16"/>
          <w:szCs w:val="16"/>
        </w:rPr>
      </w:pPr>
      <w:r w:rsidRPr="00247D22">
        <w:rPr>
          <w:rStyle w:val="FootnoteReference"/>
          <w:sz w:val="16"/>
          <w:szCs w:val="16"/>
        </w:rPr>
        <w:footnoteRef/>
      </w:r>
      <w:r w:rsidRPr="00247D22">
        <w:rPr>
          <w:sz w:val="16"/>
          <w:szCs w:val="16"/>
        </w:rPr>
        <w:t xml:space="preserve"> </w:t>
      </w:r>
      <w:r w:rsidR="002F2D2B" w:rsidRPr="00247D22">
        <w:rPr>
          <w:sz w:val="16"/>
          <w:szCs w:val="16"/>
        </w:rPr>
        <w:t>Stafanos</w:t>
      </w:r>
      <w:r w:rsidR="00297ACE" w:rsidRPr="00247D22">
        <w:rPr>
          <w:sz w:val="16"/>
          <w:szCs w:val="16"/>
        </w:rPr>
        <w:t xml:space="preserve"> Mouzas, </w:t>
      </w:r>
      <w:r w:rsidR="00CC1823" w:rsidRPr="00247D22">
        <w:rPr>
          <w:sz w:val="16"/>
          <w:szCs w:val="16"/>
        </w:rPr>
        <w:t xml:space="preserve">Stephan </w:t>
      </w:r>
      <w:r w:rsidR="00297ACE" w:rsidRPr="00247D22">
        <w:rPr>
          <w:sz w:val="16"/>
          <w:szCs w:val="16"/>
        </w:rPr>
        <w:t xml:space="preserve">Henneberg, and </w:t>
      </w:r>
      <w:r w:rsidR="00CC1823" w:rsidRPr="00247D22">
        <w:rPr>
          <w:sz w:val="16"/>
          <w:szCs w:val="16"/>
        </w:rPr>
        <w:t xml:space="preserve">Peter </w:t>
      </w:r>
      <w:r w:rsidR="00297ACE" w:rsidRPr="00247D22">
        <w:rPr>
          <w:sz w:val="16"/>
          <w:szCs w:val="16"/>
        </w:rPr>
        <w:t xml:space="preserve">Naudé, ‘Trust and Reliance in Business Relationships,’ </w:t>
      </w:r>
      <w:r w:rsidR="00297ACE" w:rsidRPr="00247D22">
        <w:rPr>
          <w:i/>
          <w:iCs/>
          <w:sz w:val="16"/>
          <w:szCs w:val="16"/>
        </w:rPr>
        <w:t>European Journal of Marketing</w:t>
      </w:r>
      <w:r w:rsidR="00297ACE" w:rsidRPr="00247D22">
        <w:rPr>
          <w:sz w:val="16"/>
          <w:szCs w:val="16"/>
        </w:rPr>
        <w:t>, 41:9/10 (2007), pp. 1016-1032.</w:t>
      </w:r>
    </w:p>
  </w:footnote>
  <w:footnote w:id="367">
    <w:p w14:paraId="27FC389B" w14:textId="13740D16" w:rsidR="002F2D2B" w:rsidRPr="00247D22" w:rsidRDefault="002F2D2B">
      <w:pPr>
        <w:pStyle w:val="FootnoteText"/>
        <w:rPr>
          <w:sz w:val="16"/>
          <w:szCs w:val="16"/>
        </w:rPr>
      </w:pPr>
      <w:r w:rsidRPr="00247D22">
        <w:rPr>
          <w:rStyle w:val="FootnoteReference"/>
          <w:sz w:val="16"/>
          <w:szCs w:val="16"/>
        </w:rPr>
        <w:footnoteRef/>
      </w:r>
      <w:r w:rsidRPr="00247D22">
        <w:rPr>
          <w:sz w:val="16"/>
          <w:szCs w:val="16"/>
        </w:rPr>
        <w:t xml:space="preserve"> </w:t>
      </w:r>
      <w:r w:rsidR="001E235F" w:rsidRPr="00247D22">
        <w:rPr>
          <w:sz w:val="16"/>
          <w:szCs w:val="16"/>
        </w:rPr>
        <w:t xml:space="preserve">JRL, GB 133 </w:t>
      </w:r>
      <w:r w:rsidRPr="00247D22">
        <w:rPr>
          <w:sz w:val="16"/>
          <w:szCs w:val="16"/>
        </w:rPr>
        <w:t>MCK</w:t>
      </w:r>
      <w:r w:rsidR="008E404A">
        <w:rPr>
          <w:sz w:val="16"/>
          <w:szCs w:val="16"/>
        </w:rPr>
        <w:t>/</w:t>
      </w:r>
      <w:r w:rsidR="00F630BF" w:rsidRPr="00247D22">
        <w:rPr>
          <w:sz w:val="16"/>
          <w:szCs w:val="16"/>
        </w:rPr>
        <w:t>2/1/8</w:t>
      </w:r>
      <w:r w:rsidRPr="00247D22">
        <w:rPr>
          <w:sz w:val="16"/>
          <w:szCs w:val="16"/>
        </w:rPr>
        <w:t xml:space="preserve"> </w:t>
      </w:r>
    </w:p>
  </w:footnote>
  <w:footnote w:id="368">
    <w:p w14:paraId="2D992041" w14:textId="77777777" w:rsidR="00F66DAC" w:rsidRPr="00247D22" w:rsidRDefault="00F66DAC" w:rsidP="00F66DAC">
      <w:pPr>
        <w:pStyle w:val="FootnoteText"/>
        <w:rPr>
          <w:sz w:val="16"/>
          <w:szCs w:val="16"/>
        </w:rPr>
      </w:pPr>
      <w:r w:rsidRPr="00247D22">
        <w:rPr>
          <w:rStyle w:val="FootnoteReference"/>
          <w:sz w:val="16"/>
          <w:szCs w:val="16"/>
        </w:rPr>
        <w:footnoteRef/>
      </w:r>
      <w:r w:rsidRPr="00247D22">
        <w:rPr>
          <w:sz w:val="16"/>
          <w:szCs w:val="16"/>
        </w:rPr>
        <w:t xml:space="preserve"> </w:t>
      </w:r>
      <w:r w:rsidRPr="00247D22">
        <w:rPr>
          <w:sz w:val="16"/>
          <w:szCs w:val="16"/>
        </w:rPr>
        <w:t xml:space="preserve">Sheryllynne Haggerty, </w:t>
      </w:r>
      <w:r w:rsidRPr="00247D22">
        <w:rPr>
          <w:i/>
          <w:iCs/>
          <w:sz w:val="16"/>
          <w:szCs w:val="16"/>
        </w:rPr>
        <w:t xml:space="preserve">Merely for </w:t>
      </w:r>
      <w:r w:rsidRPr="00247D22">
        <w:rPr>
          <w:i/>
          <w:iCs/>
          <w:sz w:val="16"/>
          <w:szCs w:val="16"/>
        </w:rPr>
        <w:t>Money?: Business Culture in the British Atlantic, 1750-1815</w:t>
      </w:r>
      <w:r w:rsidRPr="00247D22">
        <w:rPr>
          <w:sz w:val="16"/>
          <w:szCs w:val="16"/>
        </w:rPr>
        <w:t xml:space="preserve"> (Liverpool: Liverpool University Press, 2012), pp. 66-96.  </w:t>
      </w:r>
    </w:p>
  </w:footnote>
  <w:footnote w:id="369">
    <w:p w14:paraId="666D1258" w14:textId="7B03FFAD" w:rsidR="00F66DAC" w:rsidRPr="00247D22" w:rsidRDefault="00F66DAC">
      <w:pPr>
        <w:pStyle w:val="FootnoteText"/>
        <w:rPr>
          <w:sz w:val="16"/>
          <w:szCs w:val="16"/>
        </w:rPr>
      </w:pPr>
      <w:r w:rsidRPr="00247D22">
        <w:rPr>
          <w:rStyle w:val="FootnoteReference"/>
          <w:sz w:val="16"/>
          <w:szCs w:val="16"/>
        </w:rPr>
        <w:footnoteRef/>
      </w:r>
      <w:r w:rsidRPr="00247D22">
        <w:rPr>
          <w:sz w:val="16"/>
          <w:szCs w:val="16"/>
        </w:rPr>
        <w:t xml:space="preserve"> DLSL, BS</w:t>
      </w:r>
      <w:r w:rsidR="000155B2">
        <w:rPr>
          <w:sz w:val="16"/>
          <w:szCs w:val="16"/>
        </w:rPr>
        <w:t xml:space="preserve"> </w:t>
      </w:r>
      <w:r w:rsidRPr="00247D22">
        <w:rPr>
          <w:sz w:val="16"/>
          <w:szCs w:val="16"/>
        </w:rPr>
        <w:t xml:space="preserve">677 EVA, DL119 LB R2 [Ledger </w:t>
      </w:r>
      <w:r w:rsidR="00820A36">
        <w:rPr>
          <w:sz w:val="16"/>
          <w:szCs w:val="16"/>
        </w:rPr>
        <w:t>E</w:t>
      </w:r>
      <w:r w:rsidRPr="00247D22">
        <w:rPr>
          <w:sz w:val="16"/>
          <w:szCs w:val="16"/>
        </w:rPr>
        <w:t xml:space="preserve">ntry for </w:t>
      </w:r>
      <w:r w:rsidR="00247D22" w:rsidRPr="00247D22">
        <w:rPr>
          <w:sz w:val="16"/>
          <w:szCs w:val="16"/>
        </w:rPr>
        <w:t>Mr</w:t>
      </w:r>
      <w:r w:rsidRPr="00247D22">
        <w:rPr>
          <w:sz w:val="16"/>
          <w:szCs w:val="16"/>
        </w:rPr>
        <w:t xml:space="preserve"> Radford] </w:t>
      </w:r>
    </w:p>
  </w:footnote>
  <w:footnote w:id="370">
    <w:p w14:paraId="435E8CCD" w14:textId="63747B98" w:rsidR="00F66DAC" w:rsidRPr="00247D22" w:rsidRDefault="00F66DAC">
      <w:pPr>
        <w:pStyle w:val="FootnoteText"/>
        <w:rPr>
          <w:sz w:val="16"/>
          <w:szCs w:val="16"/>
        </w:rPr>
      </w:pPr>
      <w:r w:rsidRPr="00247D22">
        <w:rPr>
          <w:rStyle w:val="FootnoteReference"/>
          <w:sz w:val="16"/>
          <w:szCs w:val="16"/>
        </w:rPr>
        <w:footnoteRef/>
      </w:r>
      <w:r w:rsidRPr="00247D22">
        <w:rPr>
          <w:sz w:val="16"/>
          <w:szCs w:val="16"/>
        </w:rPr>
        <w:t xml:space="preserve"> DLSL, BS</w:t>
      </w:r>
      <w:r w:rsidR="000155B2">
        <w:rPr>
          <w:sz w:val="16"/>
          <w:szCs w:val="16"/>
        </w:rPr>
        <w:t xml:space="preserve"> </w:t>
      </w:r>
      <w:r w:rsidRPr="00247D22">
        <w:rPr>
          <w:sz w:val="16"/>
          <w:szCs w:val="16"/>
        </w:rPr>
        <w:t xml:space="preserve">677 EVA, DL119 LB R2 [Ledger </w:t>
      </w:r>
      <w:r w:rsidR="00820A36">
        <w:rPr>
          <w:sz w:val="16"/>
          <w:szCs w:val="16"/>
        </w:rPr>
        <w:t>E</w:t>
      </w:r>
      <w:r w:rsidRPr="00247D22">
        <w:rPr>
          <w:sz w:val="16"/>
          <w:szCs w:val="16"/>
        </w:rPr>
        <w:t xml:space="preserve">ntry for John Spencer] </w:t>
      </w:r>
    </w:p>
  </w:footnote>
  <w:footnote w:id="371">
    <w:p w14:paraId="7D3A2DF8" w14:textId="06B657DB" w:rsidR="00247D22" w:rsidRDefault="00247D22">
      <w:pPr>
        <w:pStyle w:val="FootnoteText"/>
      </w:pPr>
      <w:r w:rsidRPr="00247D22">
        <w:rPr>
          <w:rStyle w:val="FootnoteReference"/>
          <w:sz w:val="16"/>
          <w:szCs w:val="16"/>
        </w:rPr>
        <w:footnoteRef/>
      </w:r>
      <w:r w:rsidRPr="00247D22">
        <w:rPr>
          <w:sz w:val="16"/>
          <w:szCs w:val="16"/>
        </w:rPr>
        <w:t xml:space="preserve"> DLSL, BS</w:t>
      </w:r>
      <w:r w:rsidR="000155B2">
        <w:rPr>
          <w:sz w:val="16"/>
          <w:szCs w:val="16"/>
        </w:rPr>
        <w:t xml:space="preserve"> </w:t>
      </w:r>
      <w:r w:rsidRPr="00247D22">
        <w:rPr>
          <w:sz w:val="16"/>
          <w:szCs w:val="16"/>
        </w:rPr>
        <w:t xml:space="preserve">677 EVA, DL119 CB R1 [Letter </w:t>
      </w:r>
      <w:r w:rsidR="00820A36">
        <w:rPr>
          <w:sz w:val="16"/>
          <w:szCs w:val="16"/>
        </w:rPr>
        <w:t>S</w:t>
      </w:r>
      <w:r w:rsidRPr="00247D22">
        <w:rPr>
          <w:sz w:val="16"/>
          <w:szCs w:val="16"/>
        </w:rPr>
        <w:t>ent to Jedediah Strutt]</w:t>
      </w:r>
      <w:r>
        <w:t xml:space="preserve"> </w:t>
      </w:r>
    </w:p>
  </w:footnote>
  <w:footnote w:id="372">
    <w:p w14:paraId="4B1AD6FE" w14:textId="2233F6D7" w:rsidR="000A0307" w:rsidRPr="002042B8" w:rsidRDefault="000A0307">
      <w:pPr>
        <w:pStyle w:val="FootnoteText"/>
        <w:rPr>
          <w:sz w:val="16"/>
          <w:szCs w:val="16"/>
        </w:rPr>
      </w:pPr>
      <w:r w:rsidRPr="002042B8">
        <w:rPr>
          <w:rStyle w:val="FootnoteReference"/>
          <w:sz w:val="16"/>
          <w:szCs w:val="16"/>
        </w:rPr>
        <w:footnoteRef/>
      </w:r>
      <w:r w:rsidRPr="002042B8">
        <w:rPr>
          <w:sz w:val="16"/>
          <w:szCs w:val="16"/>
        </w:rPr>
        <w:t xml:space="preserve"> JRL</w:t>
      </w:r>
      <w:r w:rsidR="002042B8" w:rsidRPr="002042B8">
        <w:rPr>
          <w:sz w:val="16"/>
          <w:szCs w:val="16"/>
        </w:rPr>
        <w:t>,</w:t>
      </w:r>
      <w:r w:rsidRPr="002042B8">
        <w:rPr>
          <w:sz w:val="16"/>
          <w:szCs w:val="16"/>
        </w:rPr>
        <w:t xml:space="preserve"> GB 133 MCK/2/2/1</w:t>
      </w:r>
      <w:r w:rsidR="00820A36">
        <w:rPr>
          <w:sz w:val="16"/>
          <w:szCs w:val="16"/>
        </w:rPr>
        <w:t xml:space="preserve"> </w:t>
      </w:r>
      <w:r w:rsidR="00247D22">
        <w:rPr>
          <w:sz w:val="16"/>
          <w:szCs w:val="16"/>
        </w:rPr>
        <w:t xml:space="preserve">[Letters Sent </w:t>
      </w:r>
      <w:bookmarkStart w:id="121" w:name="_Hlk156643145"/>
      <w:r w:rsidR="00247D22">
        <w:rPr>
          <w:sz w:val="16"/>
          <w:szCs w:val="16"/>
        </w:rPr>
        <w:t xml:space="preserve">to </w:t>
      </w:r>
      <w:r w:rsidR="00247D22">
        <w:rPr>
          <w:sz w:val="16"/>
          <w:szCs w:val="16"/>
        </w:rPr>
        <w:t>Brundred &amp; Berrisford of Winkhill, Staffordshire</w:t>
      </w:r>
      <w:bookmarkEnd w:id="121"/>
      <w:r w:rsidR="00820A36">
        <w:rPr>
          <w:sz w:val="16"/>
          <w:szCs w:val="16"/>
        </w:rPr>
        <w:t>, 10 April 1795</w:t>
      </w:r>
      <w:r w:rsidR="00247D22">
        <w:rPr>
          <w:sz w:val="16"/>
          <w:szCs w:val="16"/>
        </w:rPr>
        <w:t xml:space="preserve">]. </w:t>
      </w:r>
    </w:p>
  </w:footnote>
  <w:footnote w:id="373">
    <w:p w14:paraId="35450DED" w14:textId="2A0016A4" w:rsidR="005A05DF" w:rsidRPr="002042B8" w:rsidRDefault="005A05DF" w:rsidP="005A05DF">
      <w:pPr>
        <w:pStyle w:val="FootnoteText"/>
        <w:rPr>
          <w:sz w:val="16"/>
          <w:szCs w:val="16"/>
        </w:rPr>
      </w:pPr>
      <w:r w:rsidRPr="002042B8">
        <w:rPr>
          <w:rStyle w:val="FootnoteReference"/>
          <w:sz w:val="16"/>
          <w:szCs w:val="16"/>
        </w:rPr>
        <w:footnoteRef/>
      </w:r>
      <w:r w:rsidRPr="002042B8">
        <w:rPr>
          <w:sz w:val="16"/>
          <w:szCs w:val="16"/>
        </w:rPr>
        <w:t xml:space="preserve"> </w:t>
      </w:r>
      <w:bookmarkStart w:id="122" w:name="_Hlk149999805"/>
      <w:r w:rsidR="00E23BE1" w:rsidRPr="002042B8">
        <w:rPr>
          <w:sz w:val="16"/>
          <w:szCs w:val="16"/>
        </w:rPr>
        <w:t>JRL</w:t>
      </w:r>
      <w:r w:rsidR="002042B8" w:rsidRPr="002042B8">
        <w:rPr>
          <w:sz w:val="16"/>
          <w:szCs w:val="16"/>
        </w:rPr>
        <w:t>,</w:t>
      </w:r>
      <w:r w:rsidR="00E23BE1" w:rsidRPr="002042B8">
        <w:rPr>
          <w:sz w:val="16"/>
          <w:szCs w:val="16"/>
        </w:rPr>
        <w:t xml:space="preserve"> GB 133 MCK/2/</w:t>
      </w:r>
      <w:r w:rsidR="000A0307" w:rsidRPr="002042B8">
        <w:rPr>
          <w:sz w:val="16"/>
          <w:szCs w:val="16"/>
        </w:rPr>
        <w:t>2/1</w:t>
      </w:r>
      <w:bookmarkEnd w:id="122"/>
      <w:r w:rsidR="00820A36">
        <w:rPr>
          <w:sz w:val="16"/>
          <w:szCs w:val="16"/>
        </w:rPr>
        <w:t xml:space="preserve"> </w:t>
      </w:r>
      <w:r w:rsidR="00247D22" w:rsidRPr="00247D22">
        <w:rPr>
          <w:sz w:val="16"/>
          <w:szCs w:val="16"/>
        </w:rPr>
        <w:t xml:space="preserve">[Letters Sent to </w:t>
      </w:r>
      <w:r w:rsidR="00247D22" w:rsidRPr="00247D22">
        <w:rPr>
          <w:sz w:val="16"/>
          <w:szCs w:val="16"/>
        </w:rPr>
        <w:t>Brundred &amp; Berrisford of Winkhill, Staffordshire</w:t>
      </w:r>
      <w:r w:rsidR="00820A36">
        <w:rPr>
          <w:sz w:val="16"/>
          <w:szCs w:val="16"/>
        </w:rPr>
        <w:t xml:space="preserve">, </w:t>
      </w:r>
      <w:r w:rsidR="00820A36" w:rsidRPr="00247D22">
        <w:rPr>
          <w:sz w:val="16"/>
          <w:szCs w:val="16"/>
        </w:rPr>
        <w:t>10 April 1795</w:t>
      </w:r>
      <w:r w:rsidR="00247D22">
        <w:rPr>
          <w:sz w:val="16"/>
          <w:szCs w:val="16"/>
        </w:rPr>
        <w:t>].</w:t>
      </w:r>
    </w:p>
  </w:footnote>
  <w:footnote w:id="374">
    <w:p w14:paraId="75C2BEC3" w14:textId="26735EE0" w:rsidR="000A0307" w:rsidRPr="002042B8" w:rsidRDefault="000A0307">
      <w:pPr>
        <w:pStyle w:val="FootnoteText"/>
        <w:rPr>
          <w:sz w:val="16"/>
          <w:szCs w:val="16"/>
        </w:rPr>
      </w:pPr>
      <w:r w:rsidRPr="002042B8">
        <w:rPr>
          <w:rStyle w:val="FootnoteReference"/>
          <w:sz w:val="16"/>
          <w:szCs w:val="16"/>
        </w:rPr>
        <w:footnoteRef/>
      </w:r>
      <w:r w:rsidRPr="002042B8">
        <w:rPr>
          <w:sz w:val="16"/>
          <w:szCs w:val="16"/>
        </w:rPr>
        <w:t xml:space="preserve"> JRL</w:t>
      </w:r>
      <w:r w:rsidR="002042B8" w:rsidRPr="002042B8">
        <w:rPr>
          <w:sz w:val="16"/>
          <w:szCs w:val="16"/>
        </w:rPr>
        <w:t>,</w:t>
      </w:r>
      <w:r w:rsidRPr="002042B8">
        <w:rPr>
          <w:sz w:val="16"/>
          <w:szCs w:val="16"/>
        </w:rPr>
        <w:t xml:space="preserve"> GB 133 MCK/2/2/1</w:t>
      </w:r>
      <w:r w:rsidR="00247D22">
        <w:rPr>
          <w:sz w:val="16"/>
          <w:szCs w:val="16"/>
        </w:rPr>
        <w:t xml:space="preserve"> [Letters Sent to Taylor &amp; Haywood of Duffield, Derbyshire</w:t>
      </w:r>
      <w:r w:rsidR="00820A36">
        <w:rPr>
          <w:sz w:val="16"/>
          <w:szCs w:val="16"/>
        </w:rPr>
        <w:t>,</w:t>
      </w:r>
      <w:r w:rsidR="00820A36" w:rsidRPr="00820A36">
        <w:rPr>
          <w:sz w:val="16"/>
          <w:szCs w:val="16"/>
        </w:rPr>
        <w:t xml:space="preserve"> </w:t>
      </w:r>
      <w:r w:rsidR="00820A36">
        <w:rPr>
          <w:sz w:val="16"/>
          <w:szCs w:val="16"/>
        </w:rPr>
        <w:t>April 1795</w:t>
      </w:r>
      <w:r w:rsidR="00247D22">
        <w:rPr>
          <w:sz w:val="16"/>
          <w:szCs w:val="16"/>
        </w:rPr>
        <w:t xml:space="preserve">]. </w:t>
      </w:r>
    </w:p>
  </w:footnote>
  <w:footnote w:id="375">
    <w:p w14:paraId="7D92922B" w14:textId="5C9E1D25" w:rsidR="00247D22" w:rsidRPr="00247D22" w:rsidRDefault="00247D22">
      <w:pPr>
        <w:pStyle w:val="FootnoteText"/>
        <w:rPr>
          <w:sz w:val="16"/>
          <w:szCs w:val="16"/>
        </w:rPr>
      </w:pPr>
      <w:r w:rsidRPr="00247D22">
        <w:rPr>
          <w:rStyle w:val="FootnoteReference"/>
          <w:sz w:val="16"/>
          <w:szCs w:val="16"/>
        </w:rPr>
        <w:footnoteRef/>
      </w:r>
      <w:r w:rsidRPr="00247D22">
        <w:rPr>
          <w:sz w:val="16"/>
          <w:szCs w:val="16"/>
        </w:rPr>
        <w:t xml:space="preserve"> David Sunderland, </w:t>
      </w:r>
      <w:r w:rsidRPr="00247D22">
        <w:rPr>
          <w:i/>
          <w:iCs/>
          <w:sz w:val="16"/>
          <w:szCs w:val="16"/>
        </w:rPr>
        <w:t>Social Capital, Trust and the Industrial Revolution, 1780-1880</w:t>
      </w:r>
      <w:r w:rsidRPr="00247D22">
        <w:rPr>
          <w:sz w:val="16"/>
          <w:szCs w:val="16"/>
        </w:rPr>
        <w:t xml:space="preserve"> (London: Routledge, 2007), pp. 1-14. </w:t>
      </w:r>
    </w:p>
  </w:footnote>
  <w:footnote w:id="376">
    <w:p w14:paraId="47D01353" w14:textId="280C456F" w:rsidR="00326D82" w:rsidRDefault="00326D82">
      <w:pPr>
        <w:pStyle w:val="FootnoteText"/>
      </w:pPr>
      <w:r w:rsidRPr="002042B8">
        <w:rPr>
          <w:rStyle w:val="FootnoteReference"/>
          <w:sz w:val="16"/>
          <w:szCs w:val="16"/>
        </w:rPr>
        <w:footnoteRef/>
      </w:r>
      <w:r w:rsidRPr="002042B8">
        <w:rPr>
          <w:sz w:val="16"/>
          <w:szCs w:val="16"/>
        </w:rPr>
        <w:t xml:space="preserve"> JRL</w:t>
      </w:r>
      <w:r w:rsidR="002042B8" w:rsidRPr="002042B8">
        <w:rPr>
          <w:sz w:val="16"/>
          <w:szCs w:val="16"/>
        </w:rPr>
        <w:t>,</w:t>
      </w:r>
      <w:r w:rsidRPr="002042B8">
        <w:rPr>
          <w:sz w:val="16"/>
          <w:szCs w:val="16"/>
        </w:rPr>
        <w:t xml:space="preserve"> GB 133 MCK/2/2/1</w:t>
      </w:r>
      <w:r w:rsidR="00247D22">
        <w:rPr>
          <w:sz w:val="16"/>
          <w:szCs w:val="16"/>
        </w:rPr>
        <w:t xml:space="preserve"> </w:t>
      </w:r>
      <w:r w:rsidR="00247D22" w:rsidRPr="00247D22">
        <w:rPr>
          <w:sz w:val="16"/>
          <w:szCs w:val="16"/>
        </w:rPr>
        <w:t>[Letters Sent to Taylor &amp; Haywood of Duffield, Derbyshire</w:t>
      </w:r>
      <w:r w:rsidR="00820A36">
        <w:rPr>
          <w:sz w:val="16"/>
          <w:szCs w:val="16"/>
        </w:rPr>
        <w:t>,</w:t>
      </w:r>
      <w:r w:rsidR="00820A36" w:rsidRPr="00820A36">
        <w:rPr>
          <w:sz w:val="16"/>
          <w:szCs w:val="16"/>
        </w:rPr>
        <w:t xml:space="preserve"> </w:t>
      </w:r>
      <w:r w:rsidR="00820A36" w:rsidRPr="00247D22">
        <w:rPr>
          <w:sz w:val="16"/>
          <w:szCs w:val="16"/>
        </w:rPr>
        <w:t>April 1795</w:t>
      </w:r>
      <w:r w:rsidR="00247D22" w:rsidRPr="00247D22">
        <w:rPr>
          <w:sz w:val="16"/>
          <w:szCs w:val="16"/>
        </w:rPr>
        <w:t>].</w:t>
      </w:r>
    </w:p>
  </w:footnote>
  <w:footnote w:id="377">
    <w:p w14:paraId="7BA7813A" w14:textId="4E13479B" w:rsidR="003C1458" w:rsidRPr="003C1458" w:rsidRDefault="003C1458">
      <w:pPr>
        <w:pStyle w:val="FootnoteText"/>
        <w:rPr>
          <w:sz w:val="16"/>
          <w:szCs w:val="16"/>
        </w:rPr>
      </w:pPr>
      <w:r w:rsidRPr="003C1458">
        <w:rPr>
          <w:rStyle w:val="FootnoteReference"/>
          <w:sz w:val="16"/>
          <w:szCs w:val="16"/>
        </w:rPr>
        <w:footnoteRef/>
      </w:r>
      <w:r w:rsidRPr="003C1458">
        <w:rPr>
          <w:sz w:val="16"/>
          <w:szCs w:val="16"/>
        </w:rPr>
        <w:t xml:space="preserve"> Lucy Newton, ‘Trust and Virtue in English Banking: The Assessment of Borrowers by Bank Managements at the Turn of the Nineteenth Century,’ </w:t>
      </w:r>
      <w:r w:rsidRPr="003C1458">
        <w:rPr>
          <w:i/>
          <w:iCs/>
          <w:sz w:val="16"/>
          <w:szCs w:val="16"/>
        </w:rPr>
        <w:t>Financial History Review</w:t>
      </w:r>
      <w:r w:rsidRPr="003C1458">
        <w:rPr>
          <w:sz w:val="16"/>
          <w:szCs w:val="16"/>
        </w:rPr>
        <w:t>, 7 (2000), pp. 177-199.</w:t>
      </w:r>
    </w:p>
  </w:footnote>
  <w:footnote w:id="378">
    <w:p w14:paraId="5C295E33" w14:textId="7450C47B" w:rsidR="000C79A7" w:rsidRPr="003C1458" w:rsidRDefault="000C79A7">
      <w:pPr>
        <w:pStyle w:val="FootnoteText"/>
        <w:rPr>
          <w:sz w:val="16"/>
          <w:szCs w:val="16"/>
        </w:rPr>
      </w:pPr>
      <w:r w:rsidRPr="003C1458">
        <w:rPr>
          <w:rStyle w:val="FootnoteReference"/>
          <w:sz w:val="16"/>
          <w:szCs w:val="16"/>
        </w:rPr>
        <w:footnoteRef/>
      </w:r>
      <w:r w:rsidRPr="003C1458">
        <w:rPr>
          <w:sz w:val="16"/>
          <w:szCs w:val="16"/>
        </w:rPr>
        <w:t xml:space="preserve"> </w:t>
      </w:r>
      <w:bookmarkStart w:id="123" w:name="_Hlk150154051"/>
      <w:r w:rsidRPr="003C1458">
        <w:rPr>
          <w:sz w:val="16"/>
          <w:szCs w:val="16"/>
        </w:rPr>
        <w:t>W</w:t>
      </w:r>
      <w:r w:rsidR="002042B8" w:rsidRPr="003C1458">
        <w:rPr>
          <w:sz w:val="16"/>
          <w:szCs w:val="16"/>
        </w:rPr>
        <w:t>illiam</w:t>
      </w:r>
      <w:r w:rsidRPr="003C1458">
        <w:rPr>
          <w:sz w:val="16"/>
          <w:szCs w:val="16"/>
        </w:rPr>
        <w:t xml:space="preserve"> O </w:t>
      </w:r>
      <w:r w:rsidR="00DE5EC0" w:rsidRPr="003C1458">
        <w:rPr>
          <w:sz w:val="16"/>
          <w:szCs w:val="16"/>
        </w:rPr>
        <w:t>Henderson</w:t>
      </w:r>
      <w:r w:rsidRPr="003C1458">
        <w:rPr>
          <w:sz w:val="16"/>
          <w:szCs w:val="16"/>
        </w:rPr>
        <w:t xml:space="preserve">, </w:t>
      </w:r>
      <w:r w:rsidRPr="003C1458">
        <w:rPr>
          <w:i/>
          <w:iCs/>
          <w:sz w:val="16"/>
          <w:szCs w:val="16"/>
        </w:rPr>
        <w:t>Industrial Britain under the Regency 1814-1818</w:t>
      </w:r>
      <w:bookmarkEnd w:id="123"/>
      <w:r w:rsidRPr="003C1458">
        <w:rPr>
          <w:sz w:val="16"/>
          <w:szCs w:val="16"/>
        </w:rPr>
        <w:t xml:space="preserve"> (London: Frank Cass &amp; Co., Ltd., 1968), p</w:t>
      </w:r>
      <w:r w:rsidR="003C1458" w:rsidRPr="003C1458">
        <w:rPr>
          <w:sz w:val="16"/>
          <w:szCs w:val="16"/>
        </w:rPr>
        <w:t>p</w:t>
      </w:r>
      <w:r w:rsidRPr="003C1458">
        <w:rPr>
          <w:sz w:val="16"/>
          <w:szCs w:val="16"/>
        </w:rPr>
        <w:t>.</w:t>
      </w:r>
      <w:r w:rsidR="00DA0E5F" w:rsidRPr="003C1458">
        <w:rPr>
          <w:sz w:val="16"/>
          <w:szCs w:val="16"/>
        </w:rPr>
        <w:t xml:space="preserve"> 2-7</w:t>
      </w:r>
      <w:r w:rsidR="002042B8" w:rsidRPr="003C1458">
        <w:rPr>
          <w:sz w:val="16"/>
          <w:szCs w:val="16"/>
        </w:rPr>
        <w:t>.</w:t>
      </w:r>
    </w:p>
  </w:footnote>
  <w:footnote w:id="379">
    <w:p w14:paraId="48C3A0B4" w14:textId="722AF047" w:rsidR="003C1458" w:rsidRPr="003C1458" w:rsidRDefault="003C1458">
      <w:pPr>
        <w:pStyle w:val="FootnoteText"/>
        <w:rPr>
          <w:sz w:val="16"/>
          <w:szCs w:val="16"/>
        </w:rPr>
      </w:pPr>
      <w:r w:rsidRPr="003C1458">
        <w:rPr>
          <w:rStyle w:val="FootnoteReference"/>
          <w:sz w:val="16"/>
          <w:szCs w:val="16"/>
        </w:rPr>
        <w:footnoteRef/>
      </w:r>
      <w:r w:rsidRPr="003C1458">
        <w:rPr>
          <w:sz w:val="16"/>
          <w:szCs w:val="16"/>
        </w:rPr>
        <w:t xml:space="preserve"> Henderson, </w:t>
      </w:r>
      <w:r w:rsidRPr="003C1458">
        <w:rPr>
          <w:i/>
          <w:iCs/>
          <w:sz w:val="16"/>
          <w:szCs w:val="16"/>
        </w:rPr>
        <w:t>Industrial Britain under the Regency</w:t>
      </w:r>
      <w:r w:rsidRPr="003C1458">
        <w:rPr>
          <w:sz w:val="16"/>
          <w:szCs w:val="16"/>
        </w:rPr>
        <w:t xml:space="preserve">, pp. 2-7 and pp.27-63.  </w:t>
      </w:r>
    </w:p>
  </w:footnote>
  <w:footnote w:id="380">
    <w:p w14:paraId="3533FB97" w14:textId="3F6DCBA9" w:rsidR="005A05DF" w:rsidRPr="009C5321" w:rsidRDefault="005A05DF" w:rsidP="005A05DF">
      <w:pPr>
        <w:pStyle w:val="FootnoteText"/>
        <w:rPr>
          <w:sz w:val="16"/>
          <w:szCs w:val="16"/>
        </w:rPr>
      </w:pPr>
      <w:r w:rsidRPr="003C1458">
        <w:rPr>
          <w:rStyle w:val="FootnoteReference"/>
          <w:sz w:val="16"/>
          <w:szCs w:val="16"/>
        </w:rPr>
        <w:footnoteRef/>
      </w:r>
      <w:r w:rsidR="003C1458" w:rsidRPr="009C5321">
        <w:rPr>
          <w:sz w:val="16"/>
          <w:szCs w:val="16"/>
        </w:rPr>
        <w:t xml:space="preserve"> </w:t>
      </w:r>
      <w:r w:rsidR="003C1458" w:rsidRPr="009C5321">
        <w:rPr>
          <w:i/>
          <w:iCs/>
          <w:sz w:val="16"/>
          <w:szCs w:val="16"/>
        </w:rPr>
        <w:t>Ibid</w:t>
      </w:r>
      <w:r w:rsidR="002042B8" w:rsidRPr="009C5321">
        <w:rPr>
          <w:sz w:val="16"/>
          <w:szCs w:val="16"/>
        </w:rPr>
        <w:t>,</w:t>
      </w:r>
      <w:r w:rsidR="000C79A7" w:rsidRPr="009C5321">
        <w:rPr>
          <w:sz w:val="16"/>
          <w:szCs w:val="16"/>
        </w:rPr>
        <w:t xml:space="preserve"> p</w:t>
      </w:r>
      <w:r w:rsidR="003C1458" w:rsidRPr="009C5321">
        <w:rPr>
          <w:sz w:val="16"/>
          <w:szCs w:val="16"/>
        </w:rPr>
        <w:t>p</w:t>
      </w:r>
      <w:r w:rsidR="000C79A7" w:rsidRPr="009C5321">
        <w:rPr>
          <w:sz w:val="16"/>
          <w:szCs w:val="16"/>
        </w:rPr>
        <w:t>.</w:t>
      </w:r>
      <w:r w:rsidR="00DA0E5F" w:rsidRPr="009C5321">
        <w:rPr>
          <w:sz w:val="16"/>
          <w:szCs w:val="16"/>
        </w:rPr>
        <w:t xml:space="preserve"> 2-7 and pp.</w:t>
      </w:r>
      <w:r w:rsidR="003C1458" w:rsidRPr="009C5321">
        <w:rPr>
          <w:sz w:val="16"/>
          <w:szCs w:val="16"/>
        </w:rPr>
        <w:t xml:space="preserve"> </w:t>
      </w:r>
      <w:r w:rsidR="00AC2A0E" w:rsidRPr="009C5321">
        <w:rPr>
          <w:sz w:val="16"/>
          <w:szCs w:val="16"/>
        </w:rPr>
        <w:t xml:space="preserve">27-63. </w:t>
      </w:r>
      <w:r w:rsidR="000C79A7" w:rsidRPr="009C5321">
        <w:rPr>
          <w:sz w:val="16"/>
          <w:szCs w:val="16"/>
        </w:rPr>
        <w:t xml:space="preserve"> </w:t>
      </w:r>
    </w:p>
  </w:footnote>
  <w:footnote w:id="381">
    <w:p w14:paraId="449E172B" w14:textId="3BB8F82A" w:rsidR="00E86EE2" w:rsidRPr="009C5321" w:rsidRDefault="00E86EE2">
      <w:pPr>
        <w:pStyle w:val="FootnoteText"/>
        <w:rPr>
          <w:sz w:val="18"/>
          <w:szCs w:val="18"/>
        </w:rPr>
      </w:pPr>
      <w:r w:rsidRPr="002042B8">
        <w:rPr>
          <w:rStyle w:val="FootnoteReference"/>
          <w:sz w:val="16"/>
          <w:szCs w:val="16"/>
        </w:rPr>
        <w:footnoteRef/>
      </w:r>
      <w:r w:rsidRPr="009C5321">
        <w:rPr>
          <w:sz w:val="16"/>
          <w:szCs w:val="16"/>
        </w:rPr>
        <w:t xml:space="preserve"> </w:t>
      </w:r>
      <w:bookmarkStart w:id="125" w:name="_Hlk150154004"/>
      <w:r w:rsidR="00FD0B4D" w:rsidRPr="009C5321">
        <w:rPr>
          <w:sz w:val="16"/>
          <w:szCs w:val="16"/>
        </w:rPr>
        <w:t xml:space="preserve">Barbara </w:t>
      </w:r>
      <w:r w:rsidR="00FD0B4D" w:rsidRPr="009C5321">
        <w:rPr>
          <w:sz w:val="16"/>
          <w:szCs w:val="16"/>
        </w:rPr>
        <w:t>Motter, ‘Industrieschaupl</w:t>
      </w:r>
      <w:r w:rsidR="00FD0B4D" w:rsidRPr="009C5321">
        <w:rPr>
          <w:rFonts w:cstheme="minorHAnsi"/>
          <w:sz w:val="16"/>
          <w:szCs w:val="16"/>
        </w:rPr>
        <w:t>ä</w:t>
      </w:r>
      <w:r w:rsidR="00480869" w:rsidRPr="009C5321">
        <w:rPr>
          <w:sz w:val="16"/>
          <w:szCs w:val="16"/>
        </w:rPr>
        <w:t xml:space="preserve">tze im Walgau,’ </w:t>
      </w:r>
      <w:r w:rsidR="00480869" w:rsidRPr="009C5321">
        <w:rPr>
          <w:i/>
          <w:iCs/>
          <w:sz w:val="16"/>
          <w:szCs w:val="16"/>
        </w:rPr>
        <w:t>Kulturgut Walgau</w:t>
      </w:r>
      <w:r w:rsidR="00480869" w:rsidRPr="009C5321">
        <w:rPr>
          <w:sz w:val="16"/>
          <w:szCs w:val="16"/>
        </w:rPr>
        <w:t>, Edition 1</w:t>
      </w:r>
      <w:r w:rsidR="00FA447E" w:rsidRPr="009C5321">
        <w:rPr>
          <w:sz w:val="16"/>
          <w:szCs w:val="16"/>
        </w:rPr>
        <w:t xml:space="preserve"> (2021), pp. 5-</w:t>
      </w:r>
      <w:r w:rsidR="001F60D9" w:rsidRPr="009C5321">
        <w:rPr>
          <w:sz w:val="16"/>
          <w:szCs w:val="16"/>
        </w:rPr>
        <w:t>20.</w:t>
      </w:r>
      <w:r w:rsidR="001F60D9" w:rsidRPr="009C5321">
        <w:rPr>
          <w:sz w:val="18"/>
          <w:szCs w:val="18"/>
        </w:rPr>
        <w:t xml:space="preserve"> </w:t>
      </w:r>
      <w:bookmarkEnd w:id="125"/>
    </w:p>
  </w:footnote>
  <w:footnote w:id="382">
    <w:p w14:paraId="58113BA6" w14:textId="71EF7119" w:rsidR="000263BC" w:rsidRPr="002042B8" w:rsidRDefault="000263BC">
      <w:pPr>
        <w:pStyle w:val="FootnoteText"/>
        <w:rPr>
          <w:sz w:val="16"/>
          <w:szCs w:val="16"/>
        </w:rPr>
      </w:pPr>
      <w:r w:rsidRPr="002042B8">
        <w:rPr>
          <w:rStyle w:val="FootnoteReference"/>
          <w:sz w:val="16"/>
          <w:szCs w:val="16"/>
        </w:rPr>
        <w:footnoteRef/>
      </w:r>
      <w:r w:rsidRPr="002042B8">
        <w:rPr>
          <w:sz w:val="16"/>
          <w:szCs w:val="16"/>
        </w:rPr>
        <w:t xml:space="preserve"> </w:t>
      </w:r>
      <w:r w:rsidR="000155B2" w:rsidRPr="000155B2">
        <w:rPr>
          <w:sz w:val="16"/>
          <w:szCs w:val="16"/>
        </w:rPr>
        <w:t>Ancestry Ireland Unlimited Company</w:t>
      </w:r>
      <w:r w:rsidR="000155B2">
        <w:rPr>
          <w:sz w:val="16"/>
          <w:szCs w:val="16"/>
        </w:rPr>
        <w:t>,</w:t>
      </w:r>
      <w:r w:rsidR="000155B2" w:rsidRPr="000155B2">
        <w:rPr>
          <w:sz w:val="16"/>
          <w:szCs w:val="16"/>
        </w:rPr>
        <w:t xml:space="preserve"> </w:t>
      </w:r>
      <w:r w:rsidR="000155B2" w:rsidRPr="000155B2">
        <w:rPr>
          <w:i/>
          <w:iCs/>
          <w:sz w:val="16"/>
          <w:szCs w:val="16"/>
        </w:rPr>
        <w:t>Margaret Kennedy the daughter of Robert Kennedy and Robina Henderson (and niece of John Kennedy) married Sir Peter Kennedy the brother of Sir William Fairbairn of Fairbairn &amp; Lillie of Manchester. Scotland, Select Marriages, 1561-1910 – 31 March 1827, Gorbals, Lanarkshire, Scotland – Margaret Kennedy and Peter Fairbairn</w:t>
      </w:r>
      <w:r w:rsidR="000155B2">
        <w:rPr>
          <w:i/>
          <w:iCs/>
          <w:sz w:val="16"/>
          <w:szCs w:val="16"/>
        </w:rPr>
        <w:t xml:space="preserve">, </w:t>
      </w:r>
      <w:r w:rsidR="000155B2" w:rsidRPr="000155B2">
        <w:rPr>
          <w:sz w:val="16"/>
          <w:szCs w:val="16"/>
        </w:rPr>
        <w:t>Ancestry Ireland Unlimited Company</w:t>
      </w:r>
      <w:r w:rsidR="000155B2">
        <w:rPr>
          <w:sz w:val="16"/>
          <w:szCs w:val="16"/>
        </w:rPr>
        <w:t xml:space="preserve">, 2002-2024 </w:t>
      </w:r>
      <w:hyperlink r:id="rId40" w:history="1">
        <w:r w:rsidR="000155B2" w:rsidRPr="00660097">
          <w:rPr>
            <w:rStyle w:val="Hyperlink"/>
            <w:sz w:val="16"/>
            <w:szCs w:val="16"/>
          </w:rPr>
          <w:t>https://www.ancestry.co.uk/</w:t>
        </w:r>
      </w:hyperlink>
      <w:r w:rsidR="000155B2" w:rsidRPr="000155B2">
        <w:rPr>
          <w:sz w:val="16"/>
          <w:szCs w:val="16"/>
        </w:rPr>
        <w:t xml:space="preserve"> </w:t>
      </w:r>
      <w:r w:rsidR="000155B2" w:rsidRPr="002042B8">
        <w:rPr>
          <w:sz w:val="16"/>
          <w:szCs w:val="16"/>
        </w:rPr>
        <w:t>[last accessed 12 January 2024]</w:t>
      </w:r>
      <w:r w:rsidR="000155B2">
        <w:rPr>
          <w:sz w:val="16"/>
          <w:szCs w:val="16"/>
        </w:rPr>
        <w:t>.</w:t>
      </w:r>
    </w:p>
  </w:footnote>
  <w:footnote w:id="383">
    <w:p w14:paraId="7F64C786" w14:textId="003DB180" w:rsidR="00FC7796" w:rsidRPr="002042B8" w:rsidRDefault="00FC7796">
      <w:pPr>
        <w:pStyle w:val="FootnoteText"/>
        <w:rPr>
          <w:sz w:val="16"/>
          <w:szCs w:val="16"/>
        </w:rPr>
      </w:pPr>
      <w:r w:rsidRPr="002042B8">
        <w:rPr>
          <w:rStyle w:val="FootnoteReference"/>
          <w:sz w:val="16"/>
          <w:szCs w:val="16"/>
        </w:rPr>
        <w:footnoteRef/>
      </w:r>
      <w:r w:rsidRPr="002042B8">
        <w:rPr>
          <w:sz w:val="16"/>
          <w:szCs w:val="16"/>
        </w:rPr>
        <w:t xml:space="preserve"> </w:t>
      </w:r>
      <w:r w:rsidR="001F60D9" w:rsidRPr="002042B8">
        <w:rPr>
          <w:sz w:val="16"/>
          <w:szCs w:val="16"/>
        </w:rPr>
        <w:t xml:space="preserve">Barbara </w:t>
      </w:r>
      <w:r w:rsidR="001F60D9" w:rsidRPr="002042B8">
        <w:rPr>
          <w:sz w:val="16"/>
          <w:szCs w:val="16"/>
        </w:rPr>
        <w:t>Motter, ‘Industrieschauplätze im Walgau</w:t>
      </w:r>
      <w:r w:rsidR="001F7912" w:rsidRPr="002042B8">
        <w:rPr>
          <w:sz w:val="16"/>
          <w:szCs w:val="16"/>
        </w:rPr>
        <w:t>,</w:t>
      </w:r>
      <w:r w:rsidR="001F60D9" w:rsidRPr="002042B8">
        <w:rPr>
          <w:sz w:val="16"/>
          <w:szCs w:val="16"/>
        </w:rPr>
        <w:t>’ pp. 5-20.</w:t>
      </w:r>
      <w:r w:rsidR="001F7912" w:rsidRPr="002042B8">
        <w:rPr>
          <w:sz w:val="16"/>
          <w:szCs w:val="16"/>
        </w:rPr>
        <w:t xml:space="preserve"> and W. O Henderson, Industrial Britain under the Regency, </w:t>
      </w:r>
      <w:r w:rsidR="002042B8" w:rsidRPr="002042B8">
        <w:rPr>
          <w:sz w:val="16"/>
          <w:szCs w:val="16"/>
        </w:rPr>
        <w:t>p</w:t>
      </w:r>
      <w:r w:rsidR="001F7912" w:rsidRPr="002042B8">
        <w:rPr>
          <w:sz w:val="16"/>
          <w:szCs w:val="16"/>
        </w:rPr>
        <w:t>p.</w:t>
      </w:r>
      <w:r w:rsidR="00AC2A0E" w:rsidRPr="002042B8">
        <w:rPr>
          <w:sz w:val="16"/>
          <w:szCs w:val="16"/>
        </w:rPr>
        <w:t xml:space="preserve"> 2-7. </w:t>
      </w:r>
      <w:r w:rsidR="001F7912" w:rsidRPr="002042B8">
        <w:rPr>
          <w:sz w:val="16"/>
          <w:szCs w:val="16"/>
        </w:rPr>
        <w:t xml:space="preserve"> </w:t>
      </w:r>
    </w:p>
  </w:footnote>
  <w:footnote w:id="384">
    <w:p w14:paraId="4E690A5F" w14:textId="6E68B027" w:rsidR="00E101D5" w:rsidRPr="002042B8" w:rsidRDefault="00E101D5">
      <w:pPr>
        <w:pStyle w:val="FootnoteText"/>
        <w:rPr>
          <w:sz w:val="16"/>
          <w:szCs w:val="16"/>
        </w:rPr>
      </w:pPr>
      <w:r w:rsidRPr="002042B8">
        <w:rPr>
          <w:rStyle w:val="FootnoteReference"/>
          <w:sz w:val="16"/>
          <w:szCs w:val="16"/>
        </w:rPr>
        <w:footnoteRef/>
      </w:r>
      <w:r w:rsidRPr="002042B8">
        <w:rPr>
          <w:sz w:val="16"/>
          <w:szCs w:val="16"/>
        </w:rPr>
        <w:t xml:space="preserve"> </w:t>
      </w:r>
      <w:r w:rsidR="00042C9A" w:rsidRPr="002042B8">
        <w:rPr>
          <w:sz w:val="16"/>
          <w:szCs w:val="16"/>
        </w:rPr>
        <w:t xml:space="preserve">Barbara </w:t>
      </w:r>
      <w:r w:rsidR="00042C9A" w:rsidRPr="002042B8">
        <w:rPr>
          <w:sz w:val="16"/>
          <w:szCs w:val="16"/>
        </w:rPr>
        <w:t>Motter, ‘Industrieschauplätze im Walgau,’ pp. 5-20.</w:t>
      </w:r>
    </w:p>
  </w:footnote>
  <w:footnote w:id="385">
    <w:p w14:paraId="10585C25" w14:textId="544F13D3" w:rsidR="000E020D" w:rsidRPr="002042B8" w:rsidRDefault="000E020D">
      <w:pPr>
        <w:pStyle w:val="FootnoteText"/>
        <w:rPr>
          <w:sz w:val="16"/>
          <w:szCs w:val="16"/>
        </w:rPr>
      </w:pPr>
      <w:r w:rsidRPr="002042B8">
        <w:rPr>
          <w:rStyle w:val="FootnoteReference"/>
          <w:sz w:val="16"/>
          <w:szCs w:val="16"/>
        </w:rPr>
        <w:footnoteRef/>
      </w:r>
      <w:r w:rsidRPr="002042B8">
        <w:rPr>
          <w:sz w:val="16"/>
          <w:szCs w:val="16"/>
        </w:rPr>
        <w:t xml:space="preserve"> JRL, GB 133 MCK </w:t>
      </w:r>
      <w:r w:rsidR="00D2785D" w:rsidRPr="002042B8">
        <w:rPr>
          <w:sz w:val="16"/>
          <w:szCs w:val="16"/>
        </w:rPr>
        <w:t>3/5/2</w:t>
      </w:r>
      <w:r w:rsidR="00095DE1">
        <w:rPr>
          <w:sz w:val="16"/>
          <w:szCs w:val="16"/>
        </w:rPr>
        <w:t xml:space="preserve">. </w:t>
      </w:r>
    </w:p>
  </w:footnote>
  <w:footnote w:id="386">
    <w:p w14:paraId="18304AC0" w14:textId="14DC6843" w:rsidR="00FD02FB" w:rsidRPr="002042B8" w:rsidRDefault="00FD02FB" w:rsidP="00FD02FB">
      <w:pPr>
        <w:pStyle w:val="FootnoteText"/>
        <w:rPr>
          <w:sz w:val="16"/>
          <w:szCs w:val="16"/>
        </w:rPr>
      </w:pPr>
      <w:r w:rsidRPr="002042B8">
        <w:rPr>
          <w:rStyle w:val="FootnoteReference"/>
          <w:sz w:val="16"/>
          <w:szCs w:val="16"/>
        </w:rPr>
        <w:footnoteRef/>
      </w:r>
      <w:r w:rsidRPr="002042B8">
        <w:rPr>
          <w:sz w:val="16"/>
          <w:szCs w:val="16"/>
        </w:rPr>
        <w:t xml:space="preserve"> JRL, GB 133 MCK 3/5/2</w:t>
      </w:r>
      <w:r w:rsidR="000E7247">
        <w:rPr>
          <w:sz w:val="16"/>
          <w:szCs w:val="16"/>
        </w:rPr>
        <w:t>.</w:t>
      </w:r>
      <w:r w:rsidRPr="002042B8">
        <w:rPr>
          <w:sz w:val="16"/>
          <w:szCs w:val="16"/>
        </w:rPr>
        <w:t xml:space="preserve"> </w:t>
      </w:r>
    </w:p>
  </w:footnote>
  <w:footnote w:id="387">
    <w:p w14:paraId="55004D43" w14:textId="71E4212C" w:rsidR="00095DE1" w:rsidRPr="000E7247" w:rsidRDefault="00095DE1">
      <w:pPr>
        <w:pStyle w:val="FootnoteText"/>
        <w:rPr>
          <w:sz w:val="16"/>
          <w:szCs w:val="16"/>
        </w:rPr>
      </w:pPr>
      <w:r w:rsidRPr="000E7247">
        <w:rPr>
          <w:rStyle w:val="FootnoteReference"/>
          <w:sz w:val="16"/>
          <w:szCs w:val="16"/>
        </w:rPr>
        <w:footnoteRef/>
      </w:r>
      <w:r w:rsidRPr="000E7247">
        <w:rPr>
          <w:sz w:val="16"/>
          <w:szCs w:val="16"/>
        </w:rPr>
        <w:t xml:space="preserve"> </w:t>
      </w:r>
      <w:r w:rsidR="000E7247" w:rsidRPr="000E7247">
        <w:rPr>
          <w:sz w:val="16"/>
          <w:szCs w:val="16"/>
        </w:rPr>
        <w:t>DLSL, BS 677 EVA, DL119 CB R1</w:t>
      </w:r>
      <w:r w:rsidR="000E7247">
        <w:rPr>
          <w:sz w:val="16"/>
          <w:szCs w:val="16"/>
        </w:rPr>
        <w:t>.</w:t>
      </w:r>
    </w:p>
  </w:footnote>
  <w:footnote w:id="388">
    <w:p w14:paraId="57E5CFD8" w14:textId="3E73F0A3" w:rsidR="004C2271" w:rsidRPr="00F66DAC" w:rsidRDefault="004C2271">
      <w:pPr>
        <w:pStyle w:val="FootnoteText"/>
        <w:rPr>
          <w:sz w:val="16"/>
          <w:szCs w:val="16"/>
        </w:rPr>
      </w:pPr>
      <w:r w:rsidRPr="00F66DAC">
        <w:rPr>
          <w:rStyle w:val="FootnoteReference"/>
          <w:sz w:val="16"/>
          <w:szCs w:val="16"/>
        </w:rPr>
        <w:footnoteRef/>
      </w:r>
      <w:r w:rsidRPr="00F66DAC">
        <w:rPr>
          <w:sz w:val="16"/>
          <w:szCs w:val="16"/>
        </w:rPr>
        <w:t xml:space="preserve"> DLSL</w:t>
      </w:r>
      <w:r w:rsidR="000E7247">
        <w:rPr>
          <w:sz w:val="16"/>
          <w:szCs w:val="16"/>
        </w:rPr>
        <w:t>,</w:t>
      </w:r>
      <w:r w:rsidR="002169BC" w:rsidRPr="00F66DAC">
        <w:rPr>
          <w:sz w:val="16"/>
          <w:szCs w:val="16"/>
        </w:rPr>
        <w:t xml:space="preserve"> BS</w:t>
      </w:r>
      <w:r w:rsidR="000155B2">
        <w:rPr>
          <w:sz w:val="16"/>
          <w:szCs w:val="16"/>
        </w:rPr>
        <w:t xml:space="preserve"> </w:t>
      </w:r>
      <w:r w:rsidR="002169BC" w:rsidRPr="00F66DAC">
        <w:rPr>
          <w:sz w:val="16"/>
          <w:szCs w:val="16"/>
        </w:rPr>
        <w:t>677 EVA, DL119 CB R1</w:t>
      </w:r>
      <w:r w:rsidR="000E7247">
        <w:rPr>
          <w:sz w:val="16"/>
          <w:szCs w:val="16"/>
        </w:rPr>
        <w:t>.</w:t>
      </w:r>
    </w:p>
  </w:footnote>
  <w:footnote w:id="389">
    <w:p w14:paraId="21979823" w14:textId="5B329466" w:rsidR="000E7247" w:rsidRPr="000E7247" w:rsidRDefault="000E7247">
      <w:pPr>
        <w:pStyle w:val="FootnoteText"/>
        <w:rPr>
          <w:sz w:val="16"/>
          <w:szCs w:val="16"/>
        </w:rPr>
      </w:pPr>
      <w:r w:rsidRPr="000E7247">
        <w:rPr>
          <w:rStyle w:val="FootnoteReference"/>
          <w:sz w:val="16"/>
          <w:szCs w:val="16"/>
        </w:rPr>
        <w:footnoteRef/>
      </w:r>
      <w:r w:rsidRPr="000E7247">
        <w:rPr>
          <w:sz w:val="16"/>
          <w:szCs w:val="16"/>
        </w:rPr>
        <w:t xml:space="preserve"> DLSL, BS 677 EVA, DL119 CB R1. </w:t>
      </w:r>
    </w:p>
  </w:footnote>
  <w:footnote w:id="390">
    <w:p w14:paraId="6355EAEE" w14:textId="4CA29935" w:rsidR="008A478B" w:rsidRPr="00F66DAC" w:rsidRDefault="008A478B">
      <w:pPr>
        <w:pStyle w:val="FootnoteText"/>
        <w:rPr>
          <w:sz w:val="16"/>
          <w:szCs w:val="16"/>
        </w:rPr>
      </w:pPr>
      <w:r w:rsidRPr="00F66DAC">
        <w:rPr>
          <w:rStyle w:val="FootnoteReference"/>
          <w:sz w:val="16"/>
          <w:szCs w:val="16"/>
        </w:rPr>
        <w:footnoteRef/>
      </w:r>
      <w:r w:rsidRPr="00F66DAC">
        <w:rPr>
          <w:sz w:val="16"/>
          <w:szCs w:val="16"/>
        </w:rPr>
        <w:t xml:space="preserve"> DLSL, BS</w:t>
      </w:r>
      <w:r w:rsidR="000155B2">
        <w:rPr>
          <w:sz w:val="16"/>
          <w:szCs w:val="16"/>
        </w:rPr>
        <w:t xml:space="preserve"> </w:t>
      </w:r>
      <w:r w:rsidRPr="00F66DAC">
        <w:rPr>
          <w:sz w:val="16"/>
          <w:szCs w:val="16"/>
        </w:rPr>
        <w:t>677 EVA</w:t>
      </w:r>
      <w:r w:rsidR="00F66DAC">
        <w:rPr>
          <w:sz w:val="16"/>
          <w:szCs w:val="16"/>
        </w:rPr>
        <w:t>,</w:t>
      </w:r>
      <w:r w:rsidRPr="00F66DAC">
        <w:rPr>
          <w:sz w:val="16"/>
          <w:szCs w:val="16"/>
        </w:rPr>
        <w:t xml:space="preserve"> DL119 CB R1</w:t>
      </w:r>
      <w:r w:rsidR="000E7247">
        <w:rPr>
          <w:sz w:val="16"/>
          <w:szCs w:val="16"/>
        </w:rPr>
        <w:t xml:space="preserve">. </w:t>
      </w:r>
    </w:p>
  </w:footnote>
  <w:footnote w:id="391">
    <w:p w14:paraId="355B73F1" w14:textId="79572061" w:rsidR="000E7247" w:rsidRPr="000E7247" w:rsidRDefault="000E7247">
      <w:pPr>
        <w:pStyle w:val="FootnoteText"/>
        <w:rPr>
          <w:sz w:val="16"/>
          <w:szCs w:val="16"/>
        </w:rPr>
      </w:pPr>
      <w:r w:rsidRPr="000E7247">
        <w:rPr>
          <w:rStyle w:val="FootnoteReference"/>
          <w:sz w:val="16"/>
          <w:szCs w:val="16"/>
        </w:rPr>
        <w:footnoteRef/>
      </w:r>
      <w:r w:rsidRPr="000E7247">
        <w:rPr>
          <w:sz w:val="16"/>
          <w:szCs w:val="16"/>
        </w:rPr>
        <w:t xml:space="preserve"> JRL, GB 133 MCK/2/2/4</w:t>
      </w:r>
      <w:r>
        <w:rPr>
          <w:sz w:val="16"/>
          <w:szCs w:val="16"/>
        </w:rPr>
        <w:t xml:space="preserve"> </w:t>
      </w:r>
      <w:bookmarkStart w:id="129" w:name="_Hlk156665412"/>
      <w:r>
        <w:rPr>
          <w:sz w:val="16"/>
          <w:szCs w:val="16"/>
        </w:rPr>
        <w:t xml:space="preserve">[Letter </w:t>
      </w:r>
      <w:r w:rsidR="003D0617">
        <w:rPr>
          <w:sz w:val="16"/>
          <w:szCs w:val="16"/>
        </w:rPr>
        <w:t>Sent</w:t>
      </w:r>
      <w:r>
        <w:rPr>
          <w:sz w:val="16"/>
          <w:szCs w:val="16"/>
        </w:rPr>
        <w:t xml:space="preserve"> by McConnel &amp; Kennedy </w:t>
      </w:r>
      <w:r w:rsidR="003D0617">
        <w:rPr>
          <w:sz w:val="16"/>
          <w:szCs w:val="16"/>
        </w:rPr>
        <w:t>to</w:t>
      </w:r>
      <w:r>
        <w:rPr>
          <w:sz w:val="16"/>
          <w:szCs w:val="16"/>
        </w:rPr>
        <w:t xml:space="preserve"> Hill Hamilton of Belfast, 10 October 1812]. </w:t>
      </w:r>
      <w:bookmarkEnd w:id="129"/>
    </w:p>
  </w:footnote>
  <w:footnote w:id="392">
    <w:p w14:paraId="4CB9B02A" w14:textId="5EBC1338" w:rsidR="00BB1267" w:rsidRPr="005456ED" w:rsidRDefault="00BB1267">
      <w:pPr>
        <w:pStyle w:val="FootnoteText"/>
        <w:rPr>
          <w:sz w:val="18"/>
          <w:szCs w:val="18"/>
        </w:rPr>
      </w:pPr>
      <w:r w:rsidRPr="00F66DAC">
        <w:rPr>
          <w:rStyle w:val="FootnoteReference"/>
          <w:sz w:val="16"/>
          <w:szCs w:val="16"/>
        </w:rPr>
        <w:footnoteRef/>
      </w:r>
      <w:r w:rsidRPr="00F66DAC">
        <w:rPr>
          <w:sz w:val="16"/>
          <w:szCs w:val="16"/>
        </w:rPr>
        <w:t xml:space="preserve"> </w:t>
      </w:r>
      <w:r w:rsidR="00983ACE" w:rsidRPr="00F66DAC">
        <w:rPr>
          <w:sz w:val="16"/>
          <w:szCs w:val="16"/>
        </w:rPr>
        <w:t>JRL, GB 133 MCK</w:t>
      </w:r>
      <w:r w:rsidR="009D01C8" w:rsidRPr="00F66DAC">
        <w:rPr>
          <w:sz w:val="16"/>
          <w:szCs w:val="16"/>
        </w:rPr>
        <w:t>/2/2/4</w:t>
      </w:r>
      <w:r w:rsidR="000E7247">
        <w:rPr>
          <w:sz w:val="16"/>
          <w:szCs w:val="16"/>
        </w:rPr>
        <w:t xml:space="preserve"> </w:t>
      </w:r>
      <w:r w:rsidR="000E7247" w:rsidRPr="000E7247">
        <w:rPr>
          <w:sz w:val="16"/>
          <w:szCs w:val="16"/>
        </w:rPr>
        <w:t xml:space="preserve">[Letter </w:t>
      </w:r>
      <w:r w:rsidR="003D0617">
        <w:rPr>
          <w:sz w:val="16"/>
          <w:szCs w:val="16"/>
        </w:rPr>
        <w:t>Sent</w:t>
      </w:r>
      <w:r w:rsidR="000E7247" w:rsidRPr="000E7247">
        <w:rPr>
          <w:sz w:val="16"/>
          <w:szCs w:val="16"/>
        </w:rPr>
        <w:t xml:space="preserve"> by McConnel &amp; Kennedy </w:t>
      </w:r>
      <w:r w:rsidR="003D0617">
        <w:rPr>
          <w:sz w:val="16"/>
          <w:szCs w:val="16"/>
        </w:rPr>
        <w:t>to</w:t>
      </w:r>
      <w:r w:rsidR="000E7247" w:rsidRPr="000E7247">
        <w:rPr>
          <w:sz w:val="16"/>
          <w:szCs w:val="16"/>
        </w:rPr>
        <w:t xml:space="preserve"> Hill Hamilton of Belfast, 10 October 1812].</w:t>
      </w:r>
    </w:p>
  </w:footnote>
  <w:footnote w:id="393">
    <w:p w14:paraId="26479611" w14:textId="06704E2D" w:rsidR="005A05DF" w:rsidRPr="00095DE1" w:rsidRDefault="005A05DF" w:rsidP="005A05DF">
      <w:pPr>
        <w:pStyle w:val="FootnoteText"/>
        <w:rPr>
          <w:sz w:val="16"/>
          <w:szCs w:val="16"/>
        </w:rPr>
      </w:pPr>
      <w:r w:rsidRPr="00095DE1">
        <w:rPr>
          <w:rStyle w:val="FootnoteReference"/>
          <w:sz w:val="16"/>
          <w:szCs w:val="16"/>
        </w:rPr>
        <w:footnoteRef/>
      </w:r>
      <w:r w:rsidRPr="00095DE1">
        <w:rPr>
          <w:sz w:val="16"/>
          <w:szCs w:val="16"/>
        </w:rPr>
        <w:t xml:space="preserve"> Peter Smith Ring, ‘Fragile and Resilient Trust and their Roles in Economic Exchange,’ </w:t>
      </w:r>
      <w:r w:rsidRPr="00095DE1">
        <w:rPr>
          <w:i/>
          <w:iCs/>
          <w:sz w:val="16"/>
          <w:szCs w:val="16"/>
        </w:rPr>
        <w:t>Business &amp; Society</w:t>
      </w:r>
      <w:r w:rsidRPr="00095DE1">
        <w:rPr>
          <w:sz w:val="16"/>
          <w:szCs w:val="16"/>
        </w:rPr>
        <w:t>, 35:2 (1996), p</w:t>
      </w:r>
      <w:r w:rsidR="00095DE1" w:rsidRPr="00095DE1">
        <w:rPr>
          <w:sz w:val="16"/>
          <w:szCs w:val="16"/>
        </w:rPr>
        <w:t>p. 148-175 (p.</w:t>
      </w:r>
      <w:r w:rsidRPr="00095DE1">
        <w:rPr>
          <w:sz w:val="16"/>
          <w:szCs w:val="16"/>
        </w:rPr>
        <w:t xml:space="preserve"> 150</w:t>
      </w:r>
      <w:r w:rsidR="00095DE1" w:rsidRPr="00095DE1">
        <w:rPr>
          <w:sz w:val="16"/>
          <w:szCs w:val="16"/>
        </w:rPr>
        <w:t>)</w:t>
      </w:r>
      <w:r w:rsidR="005456ED" w:rsidRPr="00095DE1">
        <w:rPr>
          <w:sz w:val="16"/>
          <w:szCs w:val="16"/>
        </w:rPr>
        <w:t>.</w:t>
      </w:r>
    </w:p>
  </w:footnote>
  <w:footnote w:id="394">
    <w:p w14:paraId="23F080E0" w14:textId="086793BC" w:rsidR="000E7247" w:rsidRPr="000E7247" w:rsidRDefault="000E7247">
      <w:pPr>
        <w:pStyle w:val="FootnoteText"/>
        <w:rPr>
          <w:sz w:val="16"/>
          <w:szCs w:val="16"/>
        </w:rPr>
      </w:pPr>
      <w:r w:rsidRPr="000E7247">
        <w:rPr>
          <w:rStyle w:val="FootnoteReference"/>
          <w:sz w:val="16"/>
          <w:szCs w:val="16"/>
        </w:rPr>
        <w:footnoteRef/>
      </w:r>
      <w:r w:rsidRPr="000E7247">
        <w:rPr>
          <w:sz w:val="16"/>
          <w:szCs w:val="16"/>
        </w:rPr>
        <w:t xml:space="preserve"> Mark S. </w:t>
      </w:r>
      <w:r w:rsidRPr="000E7247">
        <w:rPr>
          <w:sz w:val="16"/>
          <w:szCs w:val="16"/>
        </w:rPr>
        <w:t xml:space="preserve">Granovetter, ‘The Strength of Weak Ties,’ </w:t>
      </w:r>
      <w:r w:rsidRPr="000E7247">
        <w:rPr>
          <w:i/>
          <w:iCs/>
          <w:sz w:val="16"/>
          <w:szCs w:val="16"/>
        </w:rPr>
        <w:t>American Journal of Sociology</w:t>
      </w:r>
      <w:r w:rsidRPr="000E7247">
        <w:rPr>
          <w:sz w:val="16"/>
          <w:szCs w:val="16"/>
        </w:rPr>
        <w:t>, 78:6 (1973), pp. 1360-1380.</w:t>
      </w:r>
    </w:p>
  </w:footnote>
  <w:footnote w:id="395">
    <w:p w14:paraId="4ECCF94B" w14:textId="2BE91D81" w:rsidR="009D01C8" w:rsidRDefault="009D01C8">
      <w:pPr>
        <w:pStyle w:val="FootnoteText"/>
      </w:pPr>
      <w:r w:rsidRPr="00095DE1">
        <w:rPr>
          <w:rStyle w:val="FootnoteReference"/>
          <w:sz w:val="16"/>
          <w:szCs w:val="16"/>
        </w:rPr>
        <w:footnoteRef/>
      </w:r>
      <w:r w:rsidRPr="00095DE1">
        <w:rPr>
          <w:sz w:val="16"/>
          <w:szCs w:val="16"/>
        </w:rPr>
        <w:t xml:space="preserve"> </w:t>
      </w:r>
      <w:r w:rsidR="00E40DAC" w:rsidRPr="00095DE1">
        <w:rPr>
          <w:sz w:val="16"/>
          <w:szCs w:val="16"/>
        </w:rPr>
        <w:t xml:space="preserve">Lee, </w:t>
      </w:r>
      <w:r w:rsidR="00E40DAC" w:rsidRPr="00095DE1">
        <w:rPr>
          <w:i/>
          <w:iCs/>
          <w:sz w:val="16"/>
          <w:szCs w:val="16"/>
        </w:rPr>
        <w:t>A Cotton Enterprise</w:t>
      </w:r>
      <w:r w:rsidR="00E40DAC" w:rsidRPr="00095DE1">
        <w:rPr>
          <w:sz w:val="16"/>
          <w:szCs w:val="16"/>
        </w:rPr>
        <w:t>, pp. 50-51.</w:t>
      </w:r>
      <w:r w:rsidR="00E40DAC">
        <w:t xml:space="preserve"> </w:t>
      </w:r>
    </w:p>
  </w:footnote>
  <w:footnote w:id="396">
    <w:p w14:paraId="6C741BE5" w14:textId="4798521D" w:rsidR="00EC4160" w:rsidRPr="000E7247" w:rsidRDefault="00EC4160">
      <w:pPr>
        <w:pStyle w:val="FootnoteText"/>
        <w:rPr>
          <w:sz w:val="16"/>
          <w:szCs w:val="16"/>
        </w:rPr>
      </w:pPr>
      <w:r w:rsidRPr="000E7247">
        <w:rPr>
          <w:rStyle w:val="FootnoteReference"/>
          <w:sz w:val="16"/>
          <w:szCs w:val="16"/>
        </w:rPr>
        <w:footnoteRef/>
      </w:r>
      <w:r w:rsidRPr="000E7247">
        <w:rPr>
          <w:sz w:val="16"/>
          <w:szCs w:val="16"/>
        </w:rPr>
        <w:t xml:space="preserve"> JRL, GB 133 MCK/</w:t>
      </w:r>
      <w:r w:rsidR="00AA486D" w:rsidRPr="000E7247">
        <w:rPr>
          <w:sz w:val="16"/>
          <w:szCs w:val="16"/>
        </w:rPr>
        <w:t>2/1/8</w:t>
      </w:r>
      <w:r w:rsidR="00095DE1" w:rsidRPr="000E7247">
        <w:rPr>
          <w:sz w:val="16"/>
          <w:szCs w:val="16"/>
        </w:rPr>
        <w:t xml:space="preserve"> [Letters Received by McConnel &amp; Kennedy from John Thornton of Vienna, 21 March, 1802]. </w:t>
      </w:r>
    </w:p>
  </w:footnote>
  <w:footnote w:id="397">
    <w:p w14:paraId="50C2E609" w14:textId="5BBC812D" w:rsidR="009114BB" w:rsidRPr="00510048" w:rsidRDefault="009114BB">
      <w:pPr>
        <w:pStyle w:val="FootnoteText"/>
        <w:rPr>
          <w:sz w:val="16"/>
          <w:szCs w:val="16"/>
        </w:rPr>
      </w:pPr>
      <w:r w:rsidRPr="00510048">
        <w:rPr>
          <w:rStyle w:val="FootnoteReference"/>
          <w:sz w:val="16"/>
          <w:szCs w:val="16"/>
        </w:rPr>
        <w:footnoteRef/>
      </w:r>
      <w:r w:rsidRPr="00510048">
        <w:rPr>
          <w:sz w:val="16"/>
          <w:szCs w:val="16"/>
        </w:rPr>
        <w:t xml:space="preserve"> </w:t>
      </w:r>
      <w:r w:rsidR="00512688" w:rsidRPr="00510048">
        <w:rPr>
          <w:sz w:val="16"/>
          <w:szCs w:val="16"/>
        </w:rPr>
        <w:t>DLSL, BS</w:t>
      </w:r>
      <w:r w:rsidR="00095DE1" w:rsidRPr="00510048">
        <w:rPr>
          <w:sz w:val="16"/>
          <w:szCs w:val="16"/>
        </w:rPr>
        <w:t xml:space="preserve"> </w:t>
      </w:r>
      <w:r w:rsidR="00512688" w:rsidRPr="00510048">
        <w:rPr>
          <w:sz w:val="16"/>
          <w:szCs w:val="16"/>
        </w:rPr>
        <w:t>677 EVA, DL119 CB R1</w:t>
      </w:r>
      <w:r w:rsidR="00095DE1" w:rsidRPr="00510048">
        <w:rPr>
          <w:sz w:val="16"/>
          <w:szCs w:val="16"/>
        </w:rPr>
        <w:t xml:space="preserve"> [Letter Sent from W. Evans &amp; Co. to Messrs. Brownfield &amp; Roe of Norwich, </w:t>
      </w:r>
      <w:r w:rsidR="000E7247" w:rsidRPr="00510048">
        <w:rPr>
          <w:sz w:val="16"/>
          <w:szCs w:val="16"/>
        </w:rPr>
        <w:t xml:space="preserve">5 March, 1808]. </w:t>
      </w:r>
    </w:p>
  </w:footnote>
  <w:footnote w:id="398">
    <w:p w14:paraId="0E9ACF34" w14:textId="51E95D20" w:rsidR="00510048" w:rsidRDefault="00510048">
      <w:pPr>
        <w:pStyle w:val="FootnoteText"/>
      </w:pPr>
      <w:r w:rsidRPr="00510048">
        <w:rPr>
          <w:rStyle w:val="FootnoteReference"/>
          <w:sz w:val="16"/>
          <w:szCs w:val="16"/>
        </w:rPr>
        <w:footnoteRef/>
      </w:r>
      <w:r w:rsidRPr="00510048">
        <w:rPr>
          <w:sz w:val="16"/>
          <w:szCs w:val="16"/>
        </w:rPr>
        <w:t xml:space="preserve"> JRL, GB 133 MCK/2/1 and MCK/2/2.</w:t>
      </w:r>
      <w:r>
        <w:t xml:space="preserve"> </w:t>
      </w:r>
    </w:p>
  </w:footnote>
  <w:footnote w:id="399">
    <w:p w14:paraId="4691B0E3" w14:textId="7537421E" w:rsidR="00510048" w:rsidRPr="00510048" w:rsidRDefault="00510048">
      <w:pPr>
        <w:pStyle w:val="FootnoteText"/>
        <w:rPr>
          <w:sz w:val="16"/>
          <w:szCs w:val="16"/>
        </w:rPr>
      </w:pPr>
      <w:r w:rsidRPr="00510048">
        <w:rPr>
          <w:rStyle w:val="FootnoteReference"/>
          <w:sz w:val="16"/>
          <w:szCs w:val="16"/>
        </w:rPr>
        <w:footnoteRef/>
      </w:r>
      <w:r w:rsidRPr="00510048">
        <w:rPr>
          <w:sz w:val="16"/>
          <w:szCs w:val="16"/>
        </w:rPr>
        <w:t xml:space="preserve"> JRL, GB 133 MCK/2/2/1 [Letter Sent by McConnel &amp; Kennedy to Nelson &amp; Handler of Paisley, Mary 1795]. </w:t>
      </w:r>
    </w:p>
  </w:footnote>
  <w:footnote w:id="400">
    <w:p w14:paraId="2354C539" w14:textId="2A93D997" w:rsidR="005A05DF" w:rsidRPr="00510048" w:rsidRDefault="005A05DF" w:rsidP="00510048">
      <w:pPr>
        <w:pStyle w:val="FootnoteText"/>
        <w:rPr>
          <w:sz w:val="16"/>
          <w:szCs w:val="16"/>
        </w:rPr>
      </w:pPr>
      <w:r w:rsidRPr="00510048">
        <w:rPr>
          <w:rStyle w:val="FootnoteReference"/>
          <w:sz w:val="16"/>
          <w:szCs w:val="16"/>
        </w:rPr>
        <w:footnoteRef/>
      </w:r>
      <w:r w:rsidRPr="00510048">
        <w:rPr>
          <w:sz w:val="16"/>
          <w:szCs w:val="16"/>
        </w:rPr>
        <w:t xml:space="preserve"> </w:t>
      </w:r>
      <w:r w:rsidR="00510048" w:rsidRPr="00510048">
        <w:rPr>
          <w:sz w:val="16"/>
          <w:szCs w:val="16"/>
        </w:rPr>
        <w:t>JRL, GB 133 MCK/2/2/1 [Letter Sent by McConnel &amp; Kennedy to Nelson &amp; Handler of Paisley, Mary 1795].</w:t>
      </w:r>
    </w:p>
  </w:footnote>
  <w:footnote w:id="401">
    <w:p w14:paraId="3F8E2E2B" w14:textId="26BFBD74" w:rsidR="00510048" w:rsidRPr="00510048" w:rsidRDefault="00510048">
      <w:pPr>
        <w:pStyle w:val="FootnoteText"/>
        <w:rPr>
          <w:sz w:val="16"/>
          <w:szCs w:val="16"/>
        </w:rPr>
      </w:pPr>
      <w:r w:rsidRPr="00510048">
        <w:rPr>
          <w:rStyle w:val="FootnoteReference"/>
          <w:sz w:val="16"/>
          <w:szCs w:val="16"/>
        </w:rPr>
        <w:footnoteRef/>
      </w:r>
      <w:r w:rsidRPr="00510048">
        <w:rPr>
          <w:sz w:val="16"/>
          <w:szCs w:val="16"/>
        </w:rPr>
        <w:t xml:space="preserve"> </w:t>
      </w:r>
      <w:bookmarkStart w:id="130" w:name="_Hlk156666241"/>
      <w:r w:rsidRPr="00510048">
        <w:rPr>
          <w:sz w:val="16"/>
          <w:szCs w:val="16"/>
        </w:rPr>
        <w:t>JRL,</w:t>
      </w:r>
      <w:r>
        <w:rPr>
          <w:sz w:val="16"/>
          <w:szCs w:val="16"/>
        </w:rPr>
        <w:t xml:space="preserve"> </w:t>
      </w:r>
      <w:r w:rsidRPr="00510048">
        <w:rPr>
          <w:sz w:val="16"/>
          <w:szCs w:val="16"/>
        </w:rPr>
        <w:t xml:space="preserve">GB 133 MCK/2/2/1 [Letter Sent by McConnel &amp; Kennedy to John Sinclair of Glasgow, 1 August 1795]. </w:t>
      </w:r>
    </w:p>
    <w:bookmarkEnd w:id="130"/>
  </w:footnote>
  <w:footnote w:id="402">
    <w:p w14:paraId="62EA72CB" w14:textId="10EF1CD1" w:rsidR="00912CC7" w:rsidRPr="00510048" w:rsidRDefault="00912CC7" w:rsidP="00510048">
      <w:pPr>
        <w:pStyle w:val="FootnoteText"/>
        <w:rPr>
          <w:sz w:val="16"/>
          <w:szCs w:val="16"/>
        </w:rPr>
      </w:pPr>
      <w:r w:rsidRPr="00510048">
        <w:rPr>
          <w:rStyle w:val="FootnoteReference"/>
          <w:sz w:val="16"/>
          <w:szCs w:val="16"/>
        </w:rPr>
        <w:footnoteRef/>
      </w:r>
      <w:r w:rsidRPr="00510048">
        <w:rPr>
          <w:sz w:val="16"/>
          <w:szCs w:val="16"/>
        </w:rPr>
        <w:t xml:space="preserve"> </w:t>
      </w:r>
      <w:r w:rsidR="00510048" w:rsidRPr="00510048">
        <w:rPr>
          <w:sz w:val="16"/>
          <w:szCs w:val="16"/>
        </w:rPr>
        <w:t>JRL, GB 133 MCK/2/2/1 [Letter Sent by McConnel &amp; Kennedy to John Sinclair of Glasgow, 1 August 1795].</w:t>
      </w:r>
    </w:p>
  </w:footnote>
  <w:footnote w:id="403">
    <w:p w14:paraId="108CFFD8" w14:textId="2D81FE44" w:rsidR="00A931BF" w:rsidRPr="00510048" w:rsidRDefault="00A931BF">
      <w:pPr>
        <w:pStyle w:val="FootnoteText"/>
        <w:rPr>
          <w:sz w:val="16"/>
          <w:szCs w:val="16"/>
        </w:rPr>
      </w:pPr>
      <w:r w:rsidRPr="00510048">
        <w:rPr>
          <w:rStyle w:val="FootnoteReference"/>
          <w:sz w:val="16"/>
          <w:szCs w:val="16"/>
        </w:rPr>
        <w:footnoteRef/>
      </w:r>
      <w:r w:rsidRPr="00510048">
        <w:rPr>
          <w:sz w:val="16"/>
          <w:szCs w:val="16"/>
        </w:rPr>
        <w:t xml:space="preserve"> </w:t>
      </w:r>
      <w:bookmarkStart w:id="131" w:name="_Hlk156666502"/>
      <w:r w:rsidR="00510048">
        <w:rPr>
          <w:sz w:val="16"/>
          <w:szCs w:val="16"/>
        </w:rPr>
        <w:t xml:space="preserve">JRL, GB 133 MCK/2/2/4 [Letter Sent by McConnel &amp; Kennedy to John Fisher &amp; Co. of Hamburg, June 1814]. </w:t>
      </w:r>
    </w:p>
    <w:bookmarkEnd w:id="131"/>
  </w:footnote>
  <w:footnote w:id="404">
    <w:p w14:paraId="04A510C2" w14:textId="4547428E" w:rsidR="00510048" w:rsidRPr="00510048" w:rsidRDefault="00510048">
      <w:pPr>
        <w:pStyle w:val="FootnoteText"/>
        <w:rPr>
          <w:sz w:val="16"/>
          <w:szCs w:val="16"/>
        </w:rPr>
      </w:pPr>
      <w:r w:rsidRPr="00510048">
        <w:rPr>
          <w:rStyle w:val="FootnoteReference"/>
          <w:sz w:val="16"/>
          <w:szCs w:val="16"/>
        </w:rPr>
        <w:footnoteRef/>
      </w:r>
      <w:r w:rsidRPr="00510048">
        <w:rPr>
          <w:sz w:val="16"/>
          <w:szCs w:val="16"/>
        </w:rPr>
        <w:t xml:space="preserve"> JRL, GB 133 MCK/2/2/5 [Letters Sent by McConnel &amp; Kennedy to </w:t>
      </w:r>
      <w:r w:rsidRPr="00510048">
        <w:rPr>
          <w:sz w:val="16"/>
          <w:szCs w:val="16"/>
        </w:rPr>
        <w:t>Blaydes, Loft, Gee &amp; Co. of Hull].</w:t>
      </w:r>
    </w:p>
  </w:footnote>
  <w:footnote w:id="405">
    <w:p w14:paraId="0E83561C" w14:textId="6B5A0E82" w:rsidR="00EA1BD5" w:rsidRPr="00510048" w:rsidRDefault="00EA1BD5">
      <w:pPr>
        <w:pStyle w:val="FootnoteText"/>
        <w:rPr>
          <w:sz w:val="16"/>
          <w:szCs w:val="16"/>
        </w:rPr>
      </w:pPr>
      <w:r w:rsidRPr="00510048">
        <w:rPr>
          <w:rStyle w:val="FootnoteReference"/>
          <w:sz w:val="16"/>
          <w:szCs w:val="16"/>
        </w:rPr>
        <w:footnoteRef/>
      </w:r>
      <w:r w:rsidRPr="00510048">
        <w:rPr>
          <w:sz w:val="16"/>
          <w:szCs w:val="16"/>
        </w:rPr>
        <w:t xml:space="preserve"> JRL, GB 133 MCK/2/2/5</w:t>
      </w:r>
      <w:r w:rsidR="00510048" w:rsidRPr="00510048">
        <w:rPr>
          <w:sz w:val="16"/>
          <w:szCs w:val="16"/>
        </w:rPr>
        <w:t xml:space="preserve"> [Letter Sent by McConnel &amp; Kennedy to John Fisher &amp; Co. of Hamburg, July 1814].</w:t>
      </w:r>
    </w:p>
  </w:footnote>
  <w:footnote w:id="406">
    <w:p w14:paraId="7D14FEB6" w14:textId="63007CE0" w:rsidR="00510048" w:rsidRPr="00976655" w:rsidRDefault="00510048">
      <w:pPr>
        <w:pStyle w:val="FootnoteText"/>
        <w:rPr>
          <w:sz w:val="16"/>
          <w:szCs w:val="16"/>
        </w:rPr>
      </w:pPr>
      <w:r w:rsidRPr="00976655">
        <w:rPr>
          <w:rStyle w:val="FootnoteReference"/>
          <w:sz w:val="16"/>
          <w:szCs w:val="16"/>
        </w:rPr>
        <w:footnoteRef/>
      </w:r>
      <w:r w:rsidRPr="00976655">
        <w:rPr>
          <w:sz w:val="16"/>
          <w:szCs w:val="16"/>
        </w:rPr>
        <w:t xml:space="preserve"> JRL, GB 133 MCK/2/2/</w:t>
      </w:r>
      <w:r w:rsidR="00976655" w:rsidRPr="00976655">
        <w:rPr>
          <w:sz w:val="16"/>
          <w:szCs w:val="16"/>
        </w:rPr>
        <w:t>3-MCK2/2/5</w:t>
      </w:r>
      <w:r w:rsidRPr="00976655">
        <w:rPr>
          <w:sz w:val="16"/>
          <w:szCs w:val="16"/>
        </w:rPr>
        <w:t xml:space="preserve"> [Letter</w:t>
      </w:r>
      <w:r w:rsidR="00976655" w:rsidRPr="00976655">
        <w:rPr>
          <w:sz w:val="16"/>
          <w:szCs w:val="16"/>
        </w:rPr>
        <w:t>s</w:t>
      </w:r>
      <w:r w:rsidRPr="00976655">
        <w:rPr>
          <w:sz w:val="16"/>
          <w:szCs w:val="16"/>
        </w:rPr>
        <w:t xml:space="preserve"> Sent by McConnel &amp; Kennedy to </w:t>
      </w:r>
      <w:r w:rsidR="00976655" w:rsidRPr="00976655">
        <w:rPr>
          <w:sz w:val="16"/>
          <w:szCs w:val="16"/>
        </w:rPr>
        <w:t>Blaydes, Loft, Gee &amp; Co. of Hull</w:t>
      </w:r>
      <w:r w:rsidRPr="00976655">
        <w:rPr>
          <w:sz w:val="16"/>
          <w:szCs w:val="16"/>
        </w:rPr>
        <w:t>].</w:t>
      </w:r>
    </w:p>
  </w:footnote>
  <w:footnote w:id="407">
    <w:p w14:paraId="337824E6" w14:textId="6E8AB0AE" w:rsidR="00DE4721" w:rsidRPr="00976655" w:rsidRDefault="00DE4721">
      <w:pPr>
        <w:pStyle w:val="FootnoteText"/>
        <w:rPr>
          <w:sz w:val="16"/>
          <w:szCs w:val="16"/>
        </w:rPr>
      </w:pPr>
      <w:r w:rsidRPr="00976655">
        <w:rPr>
          <w:rStyle w:val="FootnoteReference"/>
          <w:sz w:val="16"/>
          <w:szCs w:val="16"/>
        </w:rPr>
        <w:footnoteRef/>
      </w:r>
      <w:r w:rsidRPr="00976655">
        <w:rPr>
          <w:sz w:val="16"/>
          <w:szCs w:val="16"/>
        </w:rPr>
        <w:t xml:space="preserve"> </w:t>
      </w:r>
      <w:bookmarkStart w:id="132" w:name="_Hlk156666698"/>
      <w:r w:rsidR="0022161C" w:rsidRPr="00976655">
        <w:rPr>
          <w:sz w:val="16"/>
          <w:szCs w:val="16"/>
        </w:rPr>
        <w:t>JRL, GB 133 MCK/2/2/3</w:t>
      </w:r>
      <w:r w:rsidR="00976655" w:rsidRPr="00976655">
        <w:rPr>
          <w:sz w:val="16"/>
          <w:szCs w:val="16"/>
        </w:rPr>
        <w:t xml:space="preserve"> [Two Letters Sent from McConnel &amp; Kennedy to John Fisher and Richard McNab, May 1809]. </w:t>
      </w:r>
    </w:p>
    <w:bookmarkEnd w:id="132"/>
  </w:footnote>
  <w:footnote w:id="408">
    <w:p w14:paraId="614CED1C" w14:textId="50633104" w:rsidR="00976655" w:rsidRPr="00976655" w:rsidRDefault="00976655">
      <w:pPr>
        <w:pStyle w:val="FootnoteText"/>
        <w:rPr>
          <w:sz w:val="16"/>
          <w:szCs w:val="16"/>
        </w:rPr>
      </w:pPr>
      <w:r w:rsidRPr="00976655">
        <w:rPr>
          <w:rStyle w:val="FootnoteReference"/>
          <w:sz w:val="16"/>
          <w:szCs w:val="16"/>
        </w:rPr>
        <w:footnoteRef/>
      </w:r>
      <w:r w:rsidRPr="00976655">
        <w:rPr>
          <w:sz w:val="16"/>
          <w:szCs w:val="16"/>
        </w:rPr>
        <w:t xml:space="preserve"> JRL, GB 133 MCK/2/2/3 [Two Letters Sent from McConnel &amp; Kennedy to John Fisher and Richard McNab, May 1809].</w:t>
      </w:r>
    </w:p>
  </w:footnote>
  <w:footnote w:id="409">
    <w:p w14:paraId="20879475" w14:textId="5C74C725" w:rsidR="0044212F" w:rsidRPr="00976655" w:rsidRDefault="0044212F">
      <w:pPr>
        <w:pStyle w:val="FootnoteText"/>
        <w:rPr>
          <w:sz w:val="16"/>
          <w:szCs w:val="16"/>
        </w:rPr>
      </w:pPr>
      <w:r w:rsidRPr="00976655">
        <w:rPr>
          <w:rStyle w:val="FootnoteReference"/>
          <w:sz w:val="16"/>
          <w:szCs w:val="16"/>
        </w:rPr>
        <w:footnoteRef/>
      </w:r>
      <w:r w:rsidRPr="00976655">
        <w:rPr>
          <w:sz w:val="16"/>
          <w:szCs w:val="16"/>
        </w:rPr>
        <w:t xml:space="preserve"> </w:t>
      </w:r>
      <w:r w:rsidR="002867D8" w:rsidRPr="00976655">
        <w:rPr>
          <w:sz w:val="16"/>
          <w:szCs w:val="16"/>
        </w:rPr>
        <w:t xml:space="preserve">Mark </w:t>
      </w:r>
      <w:r w:rsidR="00F4768A" w:rsidRPr="00976655">
        <w:rPr>
          <w:sz w:val="16"/>
          <w:szCs w:val="16"/>
        </w:rPr>
        <w:t>Casson</w:t>
      </w:r>
      <w:r w:rsidR="002867D8" w:rsidRPr="00976655">
        <w:rPr>
          <w:sz w:val="16"/>
          <w:szCs w:val="16"/>
        </w:rPr>
        <w:t>, ‘Cultural Determinants of Economic Performance</w:t>
      </w:r>
      <w:r w:rsidR="009613C0" w:rsidRPr="00976655">
        <w:rPr>
          <w:sz w:val="16"/>
          <w:szCs w:val="16"/>
        </w:rPr>
        <w:t xml:space="preserve">,’ </w:t>
      </w:r>
      <w:r w:rsidR="009613C0" w:rsidRPr="00976655">
        <w:rPr>
          <w:i/>
          <w:iCs/>
          <w:sz w:val="16"/>
          <w:szCs w:val="16"/>
        </w:rPr>
        <w:t>Journal of Comparative Economics</w:t>
      </w:r>
      <w:r w:rsidR="009613C0" w:rsidRPr="00976655">
        <w:rPr>
          <w:sz w:val="16"/>
          <w:szCs w:val="16"/>
        </w:rPr>
        <w:t xml:space="preserve">, 17:2 (1993), pp. 418-442. </w:t>
      </w:r>
      <w:r w:rsidR="00F4768A" w:rsidRPr="00976655">
        <w:rPr>
          <w:sz w:val="16"/>
          <w:szCs w:val="16"/>
        </w:rPr>
        <w:t xml:space="preserve"> </w:t>
      </w:r>
    </w:p>
  </w:footnote>
  <w:footnote w:id="410">
    <w:p w14:paraId="76E62337" w14:textId="08EDADB5" w:rsidR="00976655" w:rsidRPr="00976655" w:rsidRDefault="00976655">
      <w:pPr>
        <w:pStyle w:val="FootnoteText"/>
        <w:rPr>
          <w:sz w:val="16"/>
          <w:szCs w:val="16"/>
        </w:rPr>
      </w:pPr>
      <w:r w:rsidRPr="00976655">
        <w:rPr>
          <w:rStyle w:val="FootnoteReference"/>
          <w:sz w:val="16"/>
          <w:szCs w:val="16"/>
        </w:rPr>
        <w:footnoteRef/>
      </w:r>
      <w:r w:rsidRPr="00976655">
        <w:rPr>
          <w:sz w:val="16"/>
          <w:szCs w:val="16"/>
        </w:rPr>
        <w:t xml:space="preserve"> JRL, GB 133 MCK/2/2/4 [Letter Sent from McConnel &amp; Kennedy to Col. Ward, of Bangor, Ireland, 1810]. </w:t>
      </w:r>
    </w:p>
  </w:footnote>
  <w:footnote w:id="411">
    <w:p w14:paraId="5DD01E47" w14:textId="7AA5AC07" w:rsidR="00A21470" w:rsidRPr="00C06E74" w:rsidRDefault="00A21470" w:rsidP="00976655">
      <w:pPr>
        <w:pStyle w:val="FootnoteText"/>
        <w:rPr>
          <w:sz w:val="18"/>
          <w:szCs w:val="18"/>
        </w:rPr>
      </w:pPr>
      <w:r w:rsidRPr="00C06E74">
        <w:rPr>
          <w:rStyle w:val="FootnoteReference"/>
          <w:sz w:val="18"/>
          <w:szCs w:val="18"/>
        </w:rPr>
        <w:footnoteRef/>
      </w:r>
      <w:r w:rsidR="00976655">
        <w:rPr>
          <w:sz w:val="18"/>
          <w:szCs w:val="18"/>
        </w:rPr>
        <w:t xml:space="preserve"> </w:t>
      </w:r>
      <w:r w:rsidR="00976655" w:rsidRPr="00976655">
        <w:rPr>
          <w:sz w:val="16"/>
          <w:szCs w:val="16"/>
        </w:rPr>
        <w:t>JRL, GB 133 MCK/2/2/4 [Letter Sent from McConnel &amp; Kennedy to Col. Ward, of Bangor, Ireland, 1810].</w:t>
      </w:r>
    </w:p>
  </w:footnote>
  <w:footnote w:id="412">
    <w:p w14:paraId="668CAB78" w14:textId="35773617" w:rsidR="00976655" w:rsidRPr="00976655" w:rsidRDefault="00976655">
      <w:pPr>
        <w:pStyle w:val="FootnoteText"/>
        <w:rPr>
          <w:sz w:val="16"/>
          <w:szCs w:val="16"/>
        </w:rPr>
      </w:pPr>
      <w:r w:rsidRPr="00976655">
        <w:rPr>
          <w:rStyle w:val="FootnoteReference"/>
          <w:sz w:val="16"/>
          <w:szCs w:val="16"/>
        </w:rPr>
        <w:footnoteRef/>
      </w:r>
      <w:r w:rsidRPr="00976655">
        <w:rPr>
          <w:sz w:val="16"/>
          <w:szCs w:val="16"/>
        </w:rPr>
        <w:t xml:space="preserve"> JRL, GB 133 MCK/2/2/2 [Letter Sent from McConnel &amp; Kennedy to Henry Jones, Mold, Flintshire, 12 January 1803].  </w:t>
      </w:r>
    </w:p>
  </w:footnote>
  <w:footnote w:id="413">
    <w:p w14:paraId="0B4B2ABC" w14:textId="4D19DEA1" w:rsidR="007D5939" w:rsidRPr="00976655" w:rsidRDefault="007D5939" w:rsidP="007D5939">
      <w:pPr>
        <w:pStyle w:val="FootnoteText"/>
        <w:rPr>
          <w:sz w:val="16"/>
          <w:szCs w:val="16"/>
        </w:rPr>
      </w:pPr>
      <w:r w:rsidRPr="00976655">
        <w:rPr>
          <w:rStyle w:val="FootnoteReference"/>
          <w:sz w:val="16"/>
          <w:szCs w:val="16"/>
        </w:rPr>
        <w:footnoteRef/>
      </w:r>
      <w:r w:rsidRPr="00976655">
        <w:rPr>
          <w:sz w:val="16"/>
          <w:szCs w:val="16"/>
        </w:rPr>
        <w:t xml:space="preserve"> </w:t>
      </w:r>
      <w:bookmarkStart w:id="133" w:name="_Hlk156667222"/>
      <w:r w:rsidR="00976655" w:rsidRPr="00976655">
        <w:rPr>
          <w:sz w:val="16"/>
          <w:szCs w:val="16"/>
        </w:rPr>
        <w:t xml:space="preserve">JRL, GB 133 MCK/2/2/2 </w:t>
      </w:r>
      <w:bookmarkEnd w:id="133"/>
      <w:r w:rsidR="00976655" w:rsidRPr="00976655">
        <w:rPr>
          <w:sz w:val="16"/>
          <w:szCs w:val="16"/>
        </w:rPr>
        <w:t>[Letter Sent from McConnel &amp; Kennedy to Henry Jones, Mold, Flintshire, 12 January 1803</w:t>
      </w:r>
      <w:r w:rsidR="00976655">
        <w:rPr>
          <w:sz w:val="16"/>
          <w:szCs w:val="16"/>
        </w:rPr>
        <w:t>].</w:t>
      </w:r>
    </w:p>
  </w:footnote>
  <w:footnote w:id="414">
    <w:p w14:paraId="336ADF78" w14:textId="2F93DE2C" w:rsidR="001643E7" w:rsidRPr="001643E7" w:rsidRDefault="001643E7">
      <w:pPr>
        <w:pStyle w:val="FootnoteText"/>
        <w:rPr>
          <w:sz w:val="16"/>
          <w:szCs w:val="16"/>
        </w:rPr>
      </w:pPr>
      <w:r w:rsidRPr="001643E7">
        <w:rPr>
          <w:rStyle w:val="FootnoteReference"/>
          <w:sz w:val="16"/>
          <w:szCs w:val="16"/>
        </w:rPr>
        <w:footnoteRef/>
      </w:r>
      <w:r w:rsidRPr="001643E7">
        <w:rPr>
          <w:sz w:val="16"/>
          <w:szCs w:val="16"/>
        </w:rPr>
        <w:t xml:space="preserve"> JRL, GB 133 MCK/2/2/2.</w:t>
      </w:r>
    </w:p>
  </w:footnote>
  <w:footnote w:id="415">
    <w:p w14:paraId="21ACD846" w14:textId="48CAE068" w:rsidR="001643E7" w:rsidRPr="001643E7" w:rsidRDefault="001643E7">
      <w:pPr>
        <w:pStyle w:val="FootnoteText"/>
        <w:rPr>
          <w:sz w:val="16"/>
          <w:szCs w:val="16"/>
        </w:rPr>
      </w:pPr>
      <w:r w:rsidRPr="001643E7">
        <w:rPr>
          <w:rStyle w:val="FootnoteReference"/>
          <w:sz w:val="16"/>
          <w:szCs w:val="16"/>
        </w:rPr>
        <w:footnoteRef/>
      </w:r>
      <w:r w:rsidRPr="001643E7">
        <w:rPr>
          <w:sz w:val="16"/>
          <w:szCs w:val="16"/>
        </w:rPr>
        <w:t xml:space="preserve"> JRL, GB 133 MCK/2/2/1 [Letter Sent from McConnel &amp; Kennedy to Taylor &amp; Haywood of Duffield, 18 April 1795]. </w:t>
      </w:r>
    </w:p>
  </w:footnote>
  <w:footnote w:id="416">
    <w:p w14:paraId="061ED448" w14:textId="16F3A38C" w:rsidR="005A05DF" w:rsidRPr="001643E7" w:rsidRDefault="005A05DF" w:rsidP="005A05DF">
      <w:pPr>
        <w:pStyle w:val="FootnoteText"/>
        <w:rPr>
          <w:sz w:val="16"/>
          <w:szCs w:val="16"/>
        </w:rPr>
      </w:pPr>
      <w:r w:rsidRPr="001643E7">
        <w:rPr>
          <w:rStyle w:val="FootnoteReference"/>
          <w:sz w:val="16"/>
          <w:szCs w:val="16"/>
        </w:rPr>
        <w:footnoteRef/>
      </w:r>
      <w:r w:rsidRPr="001643E7">
        <w:rPr>
          <w:sz w:val="16"/>
          <w:szCs w:val="16"/>
        </w:rPr>
        <w:t xml:space="preserve"> </w:t>
      </w:r>
      <w:r w:rsidR="001643E7" w:rsidRPr="001643E7">
        <w:rPr>
          <w:sz w:val="16"/>
          <w:szCs w:val="16"/>
        </w:rPr>
        <w:t>JRL, GB 133 MCK/2/2/1 [Letter Sent from McConnel &amp; Kennedy to Taylor &amp; Haywood of Duffield, 18 April 1795].</w:t>
      </w:r>
    </w:p>
  </w:footnote>
  <w:footnote w:id="417">
    <w:p w14:paraId="3C048CF5" w14:textId="062C5C49" w:rsidR="002E127A" w:rsidRPr="001643E7" w:rsidRDefault="002E127A" w:rsidP="00905B18">
      <w:pPr>
        <w:pStyle w:val="FootnoteText"/>
        <w:rPr>
          <w:sz w:val="16"/>
          <w:szCs w:val="16"/>
        </w:rPr>
      </w:pPr>
      <w:r w:rsidRPr="001643E7">
        <w:rPr>
          <w:rStyle w:val="FootnoteReference"/>
          <w:sz w:val="16"/>
          <w:szCs w:val="16"/>
        </w:rPr>
        <w:footnoteRef/>
      </w:r>
      <w:r w:rsidRPr="001643E7">
        <w:rPr>
          <w:sz w:val="16"/>
          <w:szCs w:val="16"/>
        </w:rPr>
        <w:t xml:space="preserve"> </w:t>
      </w:r>
      <w:r w:rsidR="00977BE0" w:rsidRPr="001643E7">
        <w:rPr>
          <w:sz w:val="16"/>
          <w:szCs w:val="16"/>
        </w:rPr>
        <w:t>J</w:t>
      </w:r>
      <w:r w:rsidR="001643E7" w:rsidRPr="001643E7">
        <w:rPr>
          <w:sz w:val="16"/>
          <w:szCs w:val="16"/>
        </w:rPr>
        <w:t>anine</w:t>
      </w:r>
      <w:r w:rsidR="00977BE0" w:rsidRPr="001643E7">
        <w:rPr>
          <w:sz w:val="16"/>
          <w:szCs w:val="16"/>
        </w:rPr>
        <w:t xml:space="preserve"> </w:t>
      </w:r>
      <w:r w:rsidR="00905B18" w:rsidRPr="001643E7">
        <w:rPr>
          <w:sz w:val="16"/>
          <w:szCs w:val="16"/>
        </w:rPr>
        <w:t xml:space="preserve">Nahapiet, </w:t>
      </w:r>
      <w:r w:rsidR="00977BE0" w:rsidRPr="001643E7">
        <w:rPr>
          <w:sz w:val="16"/>
          <w:szCs w:val="16"/>
        </w:rPr>
        <w:t>and</w:t>
      </w:r>
      <w:r w:rsidR="00905B18" w:rsidRPr="001643E7">
        <w:rPr>
          <w:sz w:val="16"/>
          <w:szCs w:val="16"/>
        </w:rPr>
        <w:t xml:space="preserve"> </w:t>
      </w:r>
      <w:r w:rsidR="00977BE0" w:rsidRPr="001643E7">
        <w:rPr>
          <w:sz w:val="16"/>
          <w:szCs w:val="16"/>
        </w:rPr>
        <w:t>S</w:t>
      </w:r>
      <w:r w:rsidR="001643E7" w:rsidRPr="001643E7">
        <w:rPr>
          <w:sz w:val="16"/>
          <w:szCs w:val="16"/>
        </w:rPr>
        <w:t>umantra</w:t>
      </w:r>
      <w:r w:rsidR="00977BE0" w:rsidRPr="001643E7">
        <w:rPr>
          <w:sz w:val="16"/>
          <w:szCs w:val="16"/>
        </w:rPr>
        <w:t xml:space="preserve"> </w:t>
      </w:r>
      <w:r w:rsidR="00905B18" w:rsidRPr="001643E7">
        <w:rPr>
          <w:sz w:val="16"/>
          <w:szCs w:val="16"/>
        </w:rPr>
        <w:t xml:space="preserve">Ghoshal, </w:t>
      </w:r>
      <w:r w:rsidR="00977BE0" w:rsidRPr="001643E7">
        <w:rPr>
          <w:sz w:val="16"/>
          <w:szCs w:val="16"/>
        </w:rPr>
        <w:t>‘</w:t>
      </w:r>
      <w:r w:rsidR="00905B18" w:rsidRPr="001643E7">
        <w:rPr>
          <w:sz w:val="16"/>
          <w:szCs w:val="16"/>
        </w:rPr>
        <w:t xml:space="preserve">Social </w:t>
      </w:r>
      <w:r w:rsidR="001643E7" w:rsidRPr="001643E7">
        <w:rPr>
          <w:sz w:val="16"/>
          <w:szCs w:val="16"/>
        </w:rPr>
        <w:t>C</w:t>
      </w:r>
      <w:r w:rsidR="00905B18" w:rsidRPr="001643E7">
        <w:rPr>
          <w:sz w:val="16"/>
          <w:szCs w:val="16"/>
        </w:rPr>
        <w:t xml:space="preserve">apital, </w:t>
      </w:r>
      <w:r w:rsidR="001643E7" w:rsidRPr="001643E7">
        <w:rPr>
          <w:sz w:val="16"/>
          <w:szCs w:val="16"/>
        </w:rPr>
        <w:t>I</w:t>
      </w:r>
      <w:r w:rsidR="00905B18" w:rsidRPr="001643E7">
        <w:rPr>
          <w:sz w:val="16"/>
          <w:szCs w:val="16"/>
        </w:rPr>
        <w:t xml:space="preserve">ntellectual </w:t>
      </w:r>
      <w:r w:rsidR="001643E7" w:rsidRPr="001643E7">
        <w:rPr>
          <w:sz w:val="16"/>
          <w:szCs w:val="16"/>
        </w:rPr>
        <w:t>Ca</w:t>
      </w:r>
      <w:r w:rsidR="00905B18" w:rsidRPr="001643E7">
        <w:rPr>
          <w:sz w:val="16"/>
          <w:szCs w:val="16"/>
        </w:rPr>
        <w:t xml:space="preserve">pital, and the </w:t>
      </w:r>
      <w:r w:rsidR="001643E7" w:rsidRPr="001643E7">
        <w:rPr>
          <w:sz w:val="16"/>
          <w:szCs w:val="16"/>
        </w:rPr>
        <w:t>O</w:t>
      </w:r>
      <w:r w:rsidR="00905B18" w:rsidRPr="001643E7">
        <w:rPr>
          <w:sz w:val="16"/>
          <w:szCs w:val="16"/>
        </w:rPr>
        <w:t xml:space="preserve">rganizational </w:t>
      </w:r>
      <w:r w:rsidR="001643E7" w:rsidRPr="001643E7">
        <w:rPr>
          <w:sz w:val="16"/>
          <w:szCs w:val="16"/>
        </w:rPr>
        <w:t>A</w:t>
      </w:r>
      <w:r w:rsidR="00905B18" w:rsidRPr="001643E7">
        <w:rPr>
          <w:sz w:val="16"/>
          <w:szCs w:val="16"/>
        </w:rPr>
        <w:t>dvantage</w:t>
      </w:r>
      <w:r w:rsidR="00977BE0" w:rsidRPr="001643E7">
        <w:rPr>
          <w:sz w:val="16"/>
          <w:szCs w:val="16"/>
        </w:rPr>
        <w:t>,’</w:t>
      </w:r>
      <w:r w:rsidR="00905B18" w:rsidRPr="001643E7">
        <w:rPr>
          <w:sz w:val="16"/>
          <w:szCs w:val="16"/>
        </w:rPr>
        <w:t xml:space="preserve"> </w:t>
      </w:r>
      <w:r w:rsidR="00905B18" w:rsidRPr="001643E7">
        <w:rPr>
          <w:i/>
          <w:iCs/>
          <w:sz w:val="16"/>
          <w:szCs w:val="16"/>
        </w:rPr>
        <w:t>Academy of Management Review</w:t>
      </w:r>
      <w:r w:rsidR="00905B18" w:rsidRPr="001643E7">
        <w:rPr>
          <w:sz w:val="16"/>
          <w:szCs w:val="16"/>
        </w:rPr>
        <w:t xml:space="preserve">, 23 </w:t>
      </w:r>
      <w:r w:rsidR="008F3C58" w:rsidRPr="001643E7">
        <w:rPr>
          <w:sz w:val="16"/>
          <w:szCs w:val="16"/>
        </w:rPr>
        <w:t>(1998)</w:t>
      </w:r>
      <w:r w:rsidR="001643E7" w:rsidRPr="001643E7">
        <w:rPr>
          <w:sz w:val="16"/>
          <w:szCs w:val="16"/>
        </w:rPr>
        <w:t>,</w:t>
      </w:r>
      <w:r w:rsidR="008F3C58" w:rsidRPr="001643E7">
        <w:rPr>
          <w:sz w:val="16"/>
          <w:szCs w:val="16"/>
        </w:rPr>
        <w:t xml:space="preserve"> </w:t>
      </w:r>
      <w:r w:rsidR="00977BE0" w:rsidRPr="001643E7">
        <w:rPr>
          <w:sz w:val="16"/>
          <w:szCs w:val="16"/>
        </w:rPr>
        <w:t xml:space="preserve">pp. </w:t>
      </w:r>
      <w:r w:rsidR="00905B18" w:rsidRPr="001643E7">
        <w:rPr>
          <w:sz w:val="16"/>
          <w:szCs w:val="16"/>
        </w:rPr>
        <w:t>242–266.</w:t>
      </w:r>
    </w:p>
  </w:footnote>
  <w:footnote w:id="418">
    <w:p w14:paraId="7F5430DC" w14:textId="4A14358C" w:rsidR="000D65E4" w:rsidRPr="001643E7" w:rsidRDefault="000D65E4">
      <w:pPr>
        <w:pStyle w:val="FootnoteText"/>
        <w:rPr>
          <w:sz w:val="16"/>
          <w:szCs w:val="16"/>
        </w:rPr>
      </w:pPr>
      <w:r w:rsidRPr="001643E7">
        <w:rPr>
          <w:rStyle w:val="FootnoteReference"/>
          <w:sz w:val="16"/>
          <w:szCs w:val="16"/>
        </w:rPr>
        <w:footnoteRef/>
      </w:r>
      <w:r w:rsidRPr="001643E7">
        <w:rPr>
          <w:sz w:val="16"/>
          <w:szCs w:val="16"/>
        </w:rPr>
        <w:t xml:space="preserve"> Andrew C. </w:t>
      </w:r>
      <w:r w:rsidRPr="001643E7">
        <w:rPr>
          <w:sz w:val="16"/>
          <w:szCs w:val="16"/>
        </w:rPr>
        <w:t xml:space="preserve">Inkpen and Eric W. K. Tsang, ‘Social Capital, Network and Knowledge Transfer,’ </w:t>
      </w:r>
      <w:r w:rsidRPr="001643E7">
        <w:rPr>
          <w:i/>
          <w:iCs/>
          <w:sz w:val="16"/>
          <w:szCs w:val="16"/>
        </w:rPr>
        <w:t>Academy of Management Review,</w:t>
      </w:r>
      <w:r w:rsidRPr="001643E7">
        <w:rPr>
          <w:sz w:val="16"/>
          <w:szCs w:val="16"/>
        </w:rPr>
        <w:t xml:space="preserve"> 30:1 (2005), pp. 146-165</w:t>
      </w:r>
      <w:r w:rsidR="00C06E74" w:rsidRPr="001643E7">
        <w:rPr>
          <w:sz w:val="16"/>
          <w:szCs w:val="16"/>
        </w:rPr>
        <w:t xml:space="preserve">. </w:t>
      </w:r>
    </w:p>
  </w:footnote>
  <w:footnote w:id="419">
    <w:p w14:paraId="4D35642A" w14:textId="6A0E402A" w:rsidR="000D65E4" w:rsidRPr="00C06E74" w:rsidRDefault="000D65E4" w:rsidP="000D65E4">
      <w:pPr>
        <w:pStyle w:val="FootnoteText"/>
        <w:rPr>
          <w:sz w:val="18"/>
          <w:szCs w:val="18"/>
        </w:rPr>
      </w:pPr>
      <w:r w:rsidRPr="001643E7">
        <w:rPr>
          <w:rStyle w:val="FootnoteReference"/>
          <w:sz w:val="16"/>
          <w:szCs w:val="16"/>
        </w:rPr>
        <w:footnoteRef/>
      </w:r>
      <w:r w:rsidRPr="001643E7">
        <w:rPr>
          <w:sz w:val="16"/>
          <w:szCs w:val="16"/>
        </w:rPr>
        <w:t xml:space="preserve"> </w:t>
      </w:r>
      <w:r w:rsidR="001643E7" w:rsidRPr="001643E7">
        <w:rPr>
          <w:sz w:val="16"/>
          <w:szCs w:val="16"/>
        </w:rPr>
        <w:t xml:space="preserve">Inkpen and Tsang, ‘Social Capital, Network and Knowledge Transfer,’ </w:t>
      </w:r>
      <w:r w:rsidR="001643E7" w:rsidRPr="001643E7">
        <w:rPr>
          <w:i/>
          <w:iCs/>
          <w:sz w:val="16"/>
          <w:szCs w:val="16"/>
        </w:rPr>
        <w:t>Academy of Management Review,</w:t>
      </w:r>
      <w:r w:rsidRPr="001643E7">
        <w:rPr>
          <w:sz w:val="16"/>
          <w:szCs w:val="16"/>
        </w:rPr>
        <w:t xml:space="preserve"> p. </w:t>
      </w:r>
      <w:r w:rsidR="004A3EBE" w:rsidRPr="001643E7">
        <w:rPr>
          <w:sz w:val="16"/>
          <w:szCs w:val="16"/>
        </w:rPr>
        <w:t>155</w:t>
      </w:r>
      <w:r w:rsidR="00C06E74" w:rsidRPr="001643E7">
        <w:rPr>
          <w:sz w:val="16"/>
          <w:szCs w:val="16"/>
        </w:rPr>
        <w:t>.</w:t>
      </w:r>
    </w:p>
  </w:footnote>
  <w:footnote w:id="420">
    <w:p w14:paraId="6111E32C" w14:textId="536E49D1" w:rsidR="002B4E7B" w:rsidRPr="001643E7" w:rsidRDefault="002B4E7B" w:rsidP="002B4E7B">
      <w:pPr>
        <w:pStyle w:val="FootnoteText"/>
        <w:rPr>
          <w:sz w:val="16"/>
          <w:szCs w:val="16"/>
        </w:rPr>
      </w:pPr>
      <w:r w:rsidRPr="001643E7">
        <w:rPr>
          <w:rStyle w:val="FootnoteReference"/>
          <w:sz w:val="16"/>
          <w:szCs w:val="16"/>
        </w:rPr>
        <w:footnoteRef/>
      </w:r>
      <w:r w:rsidRPr="001643E7">
        <w:rPr>
          <w:sz w:val="16"/>
          <w:szCs w:val="16"/>
        </w:rPr>
        <w:t xml:space="preserve"> H. </w:t>
      </w:r>
      <w:r w:rsidRPr="001643E7">
        <w:rPr>
          <w:sz w:val="16"/>
          <w:szCs w:val="16"/>
        </w:rPr>
        <w:t xml:space="preserve">Yli-Renko, E. Autio, and H. J. Sapienza, ‘Social </w:t>
      </w:r>
      <w:r w:rsidR="001643E7" w:rsidRPr="001643E7">
        <w:rPr>
          <w:sz w:val="16"/>
          <w:szCs w:val="16"/>
        </w:rPr>
        <w:t>C</w:t>
      </w:r>
      <w:r w:rsidRPr="001643E7">
        <w:rPr>
          <w:sz w:val="16"/>
          <w:szCs w:val="16"/>
        </w:rPr>
        <w:t xml:space="preserve">apital, </w:t>
      </w:r>
      <w:r w:rsidR="001643E7" w:rsidRPr="001643E7">
        <w:rPr>
          <w:sz w:val="16"/>
          <w:szCs w:val="16"/>
        </w:rPr>
        <w:t>K</w:t>
      </w:r>
      <w:r w:rsidRPr="001643E7">
        <w:rPr>
          <w:sz w:val="16"/>
          <w:szCs w:val="16"/>
        </w:rPr>
        <w:t xml:space="preserve">nowledge </w:t>
      </w:r>
      <w:r w:rsidR="001643E7" w:rsidRPr="001643E7">
        <w:rPr>
          <w:sz w:val="16"/>
          <w:szCs w:val="16"/>
        </w:rPr>
        <w:t>A</w:t>
      </w:r>
      <w:r w:rsidRPr="001643E7">
        <w:rPr>
          <w:sz w:val="16"/>
          <w:szCs w:val="16"/>
        </w:rPr>
        <w:t xml:space="preserve">cquisition, and </w:t>
      </w:r>
      <w:r w:rsidR="001643E7" w:rsidRPr="001643E7">
        <w:rPr>
          <w:sz w:val="16"/>
          <w:szCs w:val="16"/>
        </w:rPr>
        <w:t>K</w:t>
      </w:r>
      <w:r w:rsidRPr="001643E7">
        <w:rPr>
          <w:sz w:val="16"/>
          <w:szCs w:val="16"/>
        </w:rPr>
        <w:t xml:space="preserve">nowledge </w:t>
      </w:r>
      <w:r w:rsidR="001643E7" w:rsidRPr="001643E7">
        <w:rPr>
          <w:sz w:val="16"/>
          <w:szCs w:val="16"/>
        </w:rPr>
        <w:t>E</w:t>
      </w:r>
      <w:r w:rsidRPr="001643E7">
        <w:rPr>
          <w:sz w:val="16"/>
          <w:szCs w:val="16"/>
        </w:rPr>
        <w:t xml:space="preserve">xploitation in </w:t>
      </w:r>
      <w:r w:rsidR="001643E7" w:rsidRPr="001643E7">
        <w:rPr>
          <w:sz w:val="16"/>
          <w:szCs w:val="16"/>
        </w:rPr>
        <w:t>Y</w:t>
      </w:r>
      <w:r w:rsidRPr="001643E7">
        <w:rPr>
          <w:sz w:val="16"/>
          <w:szCs w:val="16"/>
        </w:rPr>
        <w:t xml:space="preserve">oung </w:t>
      </w:r>
      <w:r w:rsidR="001643E7" w:rsidRPr="001643E7">
        <w:rPr>
          <w:sz w:val="16"/>
          <w:szCs w:val="16"/>
        </w:rPr>
        <w:t>T</w:t>
      </w:r>
      <w:r w:rsidRPr="001643E7">
        <w:rPr>
          <w:sz w:val="16"/>
          <w:szCs w:val="16"/>
        </w:rPr>
        <w:t xml:space="preserve">echnology-based </w:t>
      </w:r>
      <w:r w:rsidR="001643E7" w:rsidRPr="001643E7">
        <w:rPr>
          <w:sz w:val="16"/>
          <w:szCs w:val="16"/>
        </w:rPr>
        <w:t>F</w:t>
      </w:r>
      <w:r w:rsidRPr="001643E7">
        <w:rPr>
          <w:sz w:val="16"/>
          <w:szCs w:val="16"/>
        </w:rPr>
        <w:t xml:space="preserve">irms,’ </w:t>
      </w:r>
      <w:r w:rsidRPr="001643E7">
        <w:rPr>
          <w:i/>
          <w:iCs/>
          <w:sz w:val="16"/>
          <w:szCs w:val="16"/>
        </w:rPr>
        <w:t>Strategic Management Journal</w:t>
      </w:r>
      <w:r w:rsidRPr="001643E7">
        <w:rPr>
          <w:sz w:val="16"/>
          <w:szCs w:val="16"/>
        </w:rPr>
        <w:t xml:space="preserve">, 22 </w:t>
      </w:r>
      <w:r w:rsidR="00503F4A" w:rsidRPr="001643E7">
        <w:rPr>
          <w:sz w:val="16"/>
          <w:szCs w:val="16"/>
        </w:rPr>
        <w:t>(</w:t>
      </w:r>
      <w:r w:rsidRPr="001643E7">
        <w:rPr>
          <w:sz w:val="16"/>
          <w:szCs w:val="16"/>
        </w:rPr>
        <w:t>2001</w:t>
      </w:r>
      <w:r w:rsidR="00503F4A" w:rsidRPr="001643E7">
        <w:rPr>
          <w:sz w:val="16"/>
          <w:szCs w:val="16"/>
        </w:rPr>
        <w:t xml:space="preserve">), pp. </w:t>
      </w:r>
      <w:r w:rsidRPr="001643E7">
        <w:rPr>
          <w:sz w:val="16"/>
          <w:szCs w:val="16"/>
        </w:rPr>
        <w:t>587– 613</w:t>
      </w:r>
      <w:r w:rsidR="001643E7" w:rsidRPr="001643E7">
        <w:rPr>
          <w:sz w:val="16"/>
          <w:szCs w:val="16"/>
        </w:rPr>
        <w:t>.</w:t>
      </w:r>
    </w:p>
  </w:footnote>
  <w:footnote w:id="421">
    <w:p w14:paraId="50238739" w14:textId="2B3C1D7B" w:rsidR="00D15EA7" w:rsidRPr="004A222C" w:rsidRDefault="00D15EA7">
      <w:pPr>
        <w:pStyle w:val="FootnoteText"/>
        <w:rPr>
          <w:sz w:val="16"/>
          <w:szCs w:val="16"/>
        </w:rPr>
      </w:pPr>
      <w:r w:rsidRPr="004A222C">
        <w:rPr>
          <w:rStyle w:val="FootnoteReference"/>
          <w:sz w:val="16"/>
          <w:szCs w:val="16"/>
        </w:rPr>
        <w:footnoteRef/>
      </w:r>
      <w:r w:rsidRPr="004A222C">
        <w:rPr>
          <w:sz w:val="16"/>
          <w:szCs w:val="16"/>
        </w:rPr>
        <w:t xml:space="preserve"> </w:t>
      </w:r>
      <w:r w:rsidR="0084396A" w:rsidRPr="004A222C">
        <w:rPr>
          <w:sz w:val="16"/>
          <w:szCs w:val="16"/>
        </w:rPr>
        <w:t>JRL, GB 133 MCK2/2/1</w:t>
      </w:r>
      <w:r w:rsidR="004A222C" w:rsidRPr="004A222C">
        <w:rPr>
          <w:sz w:val="16"/>
          <w:szCs w:val="16"/>
        </w:rPr>
        <w:t xml:space="preserve"> [Letter Sent from McConnel &amp; Kennedy to Mr. Stuart, April 1795]. </w:t>
      </w:r>
    </w:p>
  </w:footnote>
  <w:footnote w:id="422">
    <w:p w14:paraId="1B951339" w14:textId="52360B93" w:rsidR="00860279" w:rsidRPr="004A222C" w:rsidRDefault="00860279">
      <w:pPr>
        <w:pStyle w:val="FootnoteText"/>
        <w:rPr>
          <w:sz w:val="16"/>
          <w:szCs w:val="16"/>
        </w:rPr>
      </w:pPr>
      <w:r w:rsidRPr="004A222C">
        <w:rPr>
          <w:rStyle w:val="FootnoteReference"/>
          <w:sz w:val="16"/>
          <w:szCs w:val="16"/>
        </w:rPr>
        <w:footnoteRef/>
      </w:r>
      <w:r w:rsidRPr="004A222C">
        <w:rPr>
          <w:sz w:val="16"/>
          <w:szCs w:val="16"/>
        </w:rPr>
        <w:t xml:space="preserve"> </w:t>
      </w:r>
      <w:r w:rsidR="004A222C" w:rsidRPr="004A222C">
        <w:rPr>
          <w:sz w:val="16"/>
          <w:szCs w:val="16"/>
        </w:rPr>
        <w:t>JRL, GB 133 MCK2/2/1 [Letter Sent from McConnel &amp; Kennedy to Mr. Stuart, April 1795].</w:t>
      </w:r>
    </w:p>
  </w:footnote>
  <w:footnote w:id="423">
    <w:p w14:paraId="41F76919" w14:textId="3D323455" w:rsidR="00512103" w:rsidRPr="004A222C" w:rsidRDefault="00512103">
      <w:pPr>
        <w:pStyle w:val="FootnoteText"/>
        <w:rPr>
          <w:sz w:val="16"/>
          <w:szCs w:val="16"/>
        </w:rPr>
      </w:pPr>
      <w:r w:rsidRPr="004A222C">
        <w:rPr>
          <w:rStyle w:val="FootnoteReference"/>
          <w:sz w:val="16"/>
          <w:szCs w:val="16"/>
        </w:rPr>
        <w:footnoteRef/>
      </w:r>
      <w:r w:rsidRPr="004A222C">
        <w:rPr>
          <w:sz w:val="16"/>
          <w:szCs w:val="16"/>
        </w:rPr>
        <w:t xml:space="preserve"> </w:t>
      </w:r>
      <w:r w:rsidR="00DB3D76" w:rsidRPr="004A222C">
        <w:rPr>
          <w:sz w:val="16"/>
          <w:szCs w:val="16"/>
        </w:rPr>
        <w:t xml:space="preserve">JRL, GB 133 MCK/2/1/2 </w:t>
      </w:r>
      <w:r w:rsidR="004A222C" w:rsidRPr="004A222C">
        <w:rPr>
          <w:sz w:val="16"/>
          <w:szCs w:val="16"/>
        </w:rPr>
        <w:t xml:space="preserve">[Letter Received by McConnel &amp; Kennedy from Joseph Sykes, 1796]. </w:t>
      </w:r>
    </w:p>
  </w:footnote>
  <w:footnote w:id="424">
    <w:p w14:paraId="2CF19340" w14:textId="25A6F13F" w:rsidR="00DE2357" w:rsidRPr="004A222C" w:rsidRDefault="00DE2357">
      <w:pPr>
        <w:pStyle w:val="FootnoteText"/>
        <w:rPr>
          <w:sz w:val="16"/>
          <w:szCs w:val="16"/>
        </w:rPr>
      </w:pPr>
      <w:r w:rsidRPr="004A222C">
        <w:rPr>
          <w:rStyle w:val="FootnoteReference"/>
          <w:sz w:val="16"/>
          <w:szCs w:val="16"/>
        </w:rPr>
        <w:footnoteRef/>
      </w:r>
      <w:r w:rsidRPr="004A222C">
        <w:rPr>
          <w:sz w:val="16"/>
          <w:szCs w:val="16"/>
        </w:rPr>
        <w:t xml:space="preserve"> </w:t>
      </w:r>
      <w:r w:rsidR="001311B9" w:rsidRPr="004A222C">
        <w:rPr>
          <w:sz w:val="16"/>
          <w:szCs w:val="16"/>
        </w:rPr>
        <w:t>JRL, GB 133 MCK/2/2/2</w:t>
      </w:r>
      <w:r w:rsidR="004A222C" w:rsidRPr="004A222C">
        <w:rPr>
          <w:sz w:val="16"/>
          <w:szCs w:val="16"/>
        </w:rPr>
        <w:t xml:space="preserve"> [Letter Sent from McConnel &amp; Kennedy to John Know &amp; Sons of Glasgow, August 1801]. </w:t>
      </w:r>
    </w:p>
  </w:footnote>
  <w:footnote w:id="425">
    <w:p w14:paraId="6049B1C7" w14:textId="6BD21F05" w:rsidR="00920420" w:rsidRPr="004A222C" w:rsidRDefault="00920420">
      <w:pPr>
        <w:pStyle w:val="FootnoteText"/>
        <w:rPr>
          <w:sz w:val="16"/>
          <w:szCs w:val="16"/>
        </w:rPr>
      </w:pPr>
      <w:r w:rsidRPr="004A222C">
        <w:rPr>
          <w:rStyle w:val="FootnoteReference"/>
          <w:sz w:val="16"/>
          <w:szCs w:val="16"/>
        </w:rPr>
        <w:footnoteRef/>
      </w:r>
      <w:r w:rsidRPr="004A222C">
        <w:rPr>
          <w:sz w:val="16"/>
          <w:szCs w:val="16"/>
        </w:rPr>
        <w:t xml:space="preserve"> </w:t>
      </w:r>
      <w:r w:rsidR="00A638B9" w:rsidRPr="004A222C">
        <w:rPr>
          <w:sz w:val="16"/>
          <w:szCs w:val="16"/>
        </w:rPr>
        <w:t>JRL, GB 133 MCK/2/2/3</w:t>
      </w:r>
      <w:r w:rsidR="004A222C" w:rsidRPr="004A222C">
        <w:rPr>
          <w:sz w:val="16"/>
          <w:szCs w:val="16"/>
        </w:rPr>
        <w:t xml:space="preserve"> [Letter Sent from McConnel &amp; Kennedy to William &amp; John Orr of Paisley, November 1812]. </w:t>
      </w:r>
    </w:p>
  </w:footnote>
  <w:footnote w:id="426">
    <w:p w14:paraId="30975F0E" w14:textId="6273AB98" w:rsidR="004A222C" w:rsidRPr="004A222C" w:rsidRDefault="004A222C">
      <w:pPr>
        <w:pStyle w:val="FootnoteText"/>
        <w:rPr>
          <w:sz w:val="16"/>
          <w:szCs w:val="16"/>
        </w:rPr>
      </w:pPr>
      <w:r w:rsidRPr="004A222C">
        <w:rPr>
          <w:rStyle w:val="FootnoteReference"/>
          <w:sz w:val="16"/>
          <w:szCs w:val="16"/>
        </w:rPr>
        <w:footnoteRef/>
      </w:r>
      <w:r w:rsidRPr="004A222C">
        <w:rPr>
          <w:sz w:val="16"/>
          <w:szCs w:val="16"/>
        </w:rPr>
        <w:t xml:space="preserve"> JRL, GB 133 MCK/2/1/10 – MCK/2/1/20 [Letters Received by McConnel &amp; Kennedy from George Marsden of Liverpool, 1804-1814] and JRL, GB 133 MCK/2/2/3 – MCK/2/2/4 [Letters Sent by McConnel &amp; Kennedy to George Marsden of Liverpool].</w:t>
      </w:r>
    </w:p>
  </w:footnote>
  <w:footnote w:id="427">
    <w:p w14:paraId="253D73D1" w14:textId="47BBD3B8" w:rsidR="00F45634" w:rsidRPr="004A222C" w:rsidRDefault="00F45634">
      <w:pPr>
        <w:pStyle w:val="FootnoteText"/>
        <w:rPr>
          <w:sz w:val="16"/>
          <w:szCs w:val="16"/>
        </w:rPr>
      </w:pPr>
      <w:r w:rsidRPr="004A222C">
        <w:rPr>
          <w:rStyle w:val="FootnoteReference"/>
          <w:sz w:val="16"/>
          <w:szCs w:val="16"/>
        </w:rPr>
        <w:footnoteRef/>
      </w:r>
      <w:r w:rsidRPr="004A222C">
        <w:rPr>
          <w:sz w:val="16"/>
          <w:szCs w:val="16"/>
        </w:rPr>
        <w:t xml:space="preserve"> DLSL, BS377 EVA, DL119 </w:t>
      </w:r>
      <w:r w:rsidR="00127DFE" w:rsidRPr="004A222C">
        <w:rPr>
          <w:sz w:val="16"/>
          <w:szCs w:val="16"/>
        </w:rPr>
        <w:t xml:space="preserve">- </w:t>
      </w:r>
      <w:r w:rsidRPr="004A222C">
        <w:rPr>
          <w:sz w:val="16"/>
          <w:szCs w:val="16"/>
        </w:rPr>
        <w:t>CB R1, LB</w:t>
      </w:r>
      <w:r w:rsidR="00127DFE" w:rsidRPr="004A222C">
        <w:rPr>
          <w:sz w:val="16"/>
          <w:szCs w:val="16"/>
        </w:rPr>
        <w:t xml:space="preserve"> R2 and LB R3 </w:t>
      </w:r>
      <w:r w:rsidR="004A222C" w:rsidRPr="004A222C">
        <w:rPr>
          <w:sz w:val="16"/>
          <w:szCs w:val="16"/>
        </w:rPr>
        <w:t>and JRL, GB 133 MCK/2/1/10 – MCK/2/1/20 [Letters Received by McConnel &amp; Kennedy from George Marsden of Liverpool, 1804-1814] and JRL, GB 133 MCK/2/2/3 – MCK/2/2/4 [Letters Sent by McConnel &amp; Kennedy to George Marsden of Liverpool].</w:t>
      </w:r>
    </w:p>
  </w:footnote>
  <w:footnote w:id="428">
    <w:p w14:paraId="36186C3C" w14:textId="5794938F" w:rsidR="006F3A62" w:rsidRPr="004A222C" w:rsidRDefault="006F3A62">
      <w:pPr>
        <w:pStyle w:val="FootnoteText"/>
        <w:rPr>
          <w:sz w:val="16"/>
          <w:szCs w:val="16"/>
        </w:rPr>
      </w:pPr>
      <w:r w:rsidRPr="004A222C">
        <w:rPr>
          <w:rStyle w:val="FootnoteReference"/>
          <w:sz w:val="16"/>
          <w:szCs w:val="16"/>
        </w:rPr>
        <w:footnoteRef/>
      </w:r>
      <w:r w:rsidRPr="004A222C">
        <w:rPr>
          <w:sz w:val="16"/>
          <w:szCs w:val="16"/>
        </w:rPr>
        <w:t xml:space="preserve"> </w:t>
      </w:r>
      <w:r w:rsidR="00FD7D00" w:rsidRPr="004A222C">
        <w:rPr>
          <w:sz w:val="16"/>
          <w:szCs w:val="16"/>
        </w:rPr>
        <w:t xml:space="preserve">JRL, GB 133 MCK/2/2/4 </w:t>
      </w:r>
      <w:r w:rsidR="004A222C" w:rsidRPr="004A222C">
        <w:rPr>
          <w:sz w:val="16"/>
          <w:szCs w:val="16"/>
        </w:rPr>
        <w:t xml:space="preserve">[Letter Sent from McConnel &amp; Kennedy to Walter Evans &amp; Co. Darley Abbey, May 1812]. </w:t>
      </w:r>
    </w:p>
  </w:footnote>
  <w:footnote w:id="429">
    <w:p w14:paraId="67C286F3" w14:textId="3FCE073E" w:rsidR="005A05DF" w:rsidRPr="00084435" w:rsidRDefault="005A05DF" w:rsidP="00047AB8">
      <w:pPr>
        <w:pStyle w:val="FootnoteText"/>
        <w:rPr>
          <w:sz w:val="16"/>
          <w:szCs w:val="16"/>
        </w:rPr>
      </w:pPr>
      <w:r w:rsidRPr="00084435">
        <w:rPr>
          <w:rStyle w:val="FootnoteReference"/>
          <w:sz w:val="16"/>
          <w:szCs w:val="16"/>
        </w:rPr>
        <w:footnoteRef/>
      </w:r>
      <w:r w:rsidRPr="00084435">
        <w:rPr>
          <w:sz w:val="16"/>
          <w:szCs w:val="16"/>
        </w:rPr>
        <w:t xml:space="preserve"> </w:t>
      </w:r>
      <w:r w:rsidR="00047AB8" w:rsidRPr="00084435">
        <w:rPr>
          <w:sz w:val="16"/>
          <w:szCs w:val="16"/>
        </w:rPr>
        <w:t xml:space="preserve">Hoppit, Julian, ‘Financial Crises in Eighteenth-Century England,’ </w:t>
      </w:r>
      <w:r w:rsidR="00047AB8" w:rsidRPr="00084435">
        <w:rPr>
          <w:i/>
          <w:iCs/>
          <w:sz w:val="16"/>
          <w:szCs w:val="16"/>
        </w:rPr>
        <w:t>Economic History Review</w:t>
      </w:r>
      <w:r w:rsidR="00047AB8" w:rsidRPr="00084435">
        <w:rPr>
          <w:sz w:val="16"/>
          <w:szCs w:val="16"/>
        </w:rPr>
        <w:t>, 39:1 (1986), pp. 39-58 (p.39).</w:t>
      </w:r>
    </w:p>
  </w:footnote>
  <w:footnote w:id="430">
    <w:p w14:paraId="4CF2A66D" w14:textId="7A181BEE" w:rsidR="00047AB8" w:rsidRPr="00084435" w:rsidRDefault="00047AB8" w:rsidP="00047AB8">
      <w:pPr>
        <w:pStyle w:val="FootnoteText"/>
        <w:rPr>
          <w:sz w:val="16"/>
          <w:szCs w:val="16"/>
        </w:rPr>
      </w:pPr>
      <w:r w:rsidRPr="00084435">
        <w:rPr>
          <w:rStyle w:val="FootnoteReference"/>
          <w:sz w:val="16"/>
          <w:szCs w:val="16"/>
        </w:rPr>
        <w:footnoteRef/>
      </w:r>
      <w:r w:rsidRPr="009C5321">
        <w:rPr>
          <w:sz w:val="16"/>
          <w:szCs w:val="16"/>
          <w:lang w:val="it-IT"/>
        </w:rPr>
        <w:t xml:space="preserve">. </w:t>
      </w:r>
      <w:r w:rsidR="00084435" w:rsidRPr="009C5321">
        <w:rPr>
          <w:sz w:val="16"/>
          <w:szCs w:val="16"/>
          <w:lang w:val="it-IT"/>
        </w:rPr>
        <w:t xml:space="preserve">Heinz D. Kurz, and Neri Salvadori, ed. </w:t>
      </w:r>
      <w:r w:rsidR="00084435" w:rsidRPr="00084435">
        <w:rPr>
          <w:sz w:val="16"/>
          <w:szCs w:val="16"/>
        </w:rPr>
        <w:t>The Elgar Companion to David Ricardo, (Cheltenham: Edward Elgar Publishing, 2015), pp. 56-65.</w:t>
      </w:r>
    </w:p>
  </w:footnote>
  <w:footnote w:id="431">
    <w:p w14:paraId="22CB3C03" w14:textId="31543C48" w:rsidR="00084435" w:rsidRPr="00084435" w:rsidRDefault="00084435">
      <w:pPr>
        <w:pStyle w:val="FootnoteText"/>
        <w:rPr>
          <w:sz w:val="16"/>
          <w:szCs w:val="16"/>
        </w:rPr>
      </w:pPr>
      <w:r w:rsidRPr="00084435">
        <w:rPr>
          <w:rStyle w:val="FootnoteReference"/>
          <w:sz w:val="16"/>
          <w:szCs w:val="16"/>
        </w:rPr>
        <w:footnoteRef/>
      </w:r>
      <w:r w:rsidRPr="00084435">
        <w:rPr>
          <w:sz w:val="16"/>
          <w:szCs w:val="16"/>
        </w:rPr>
        <w:t xml:space="preserve"> Dawes, and Selwyn, </w:t>
      </w:r>
      <w:r w:rsidRPr="00084435">
        <w:rPr>
          <w:i/>
          <w:iCs/>
          <w:sz w:val="16"/>
          <w:szCs w:val="16"/>
        </w:rPr>
        <w:t>Women who made Money</w:t>
      </w:r>
      <w:r w:rsidRPr="00084435">
        <w:rPr>
          <w:sz w:val="16"/>
          <w:szCs w:val="16"/>
        </w:rPr>
        <w:t>, pp. 29-32.</w:t>
      </w:r>
    </w:p>
  </w:footnote>
  <w:footnote w:id="432">
    <w:p w14:paraId="33DEFE21" w14:textId="77777777" w:rsidR="00A673B5" w:rsidRPr="00084435" w:rsidRDefault="00A673B5" w:rsidP="00A673B5">
      <w:pPr>
        <w:pStyle w:val="FootnoteText"/>
        <w:rPr>
          <w:sz w:val="16"/>
          <w:szCs w:val="16"/>
        </w:rPr>
      </w:pPr>
      <w:r w:rsidRPr="00084435">
        <w:rPr>
          <w:rStyle w:val="FootnoteReference"/>
          <w:sz w:val="16"/>
          <w:szCs w:val="16"/>
        </w:rPr>
        <w:footnoteRef/>
      </w:r>
      <w:r w:rsidRPr="00084435">
        <w:rPr>
          <w:sz w:val="16"/>
          <w:szCs w:val="16"/>
        </w:rPr>
        <w:t xml:space="preserve"> Maxwell Craven, </w:t>
      </w:r>
      <w:r w:rsidRPr="00084435">
        <w:rPr>
          <w:i/>
          <w:iCs/>
          <w:sz w:val="16"/>
          <w:szCs w:val="16"/>
        </w:rPr>
        <w:t>An Illustrated History of Derby</w:t>
      </w:r>
      <w:r w:rsidRPr="00084435">
        <w:rPr>
          <w:sz w:val="16"/>
          <w:szCs w:val="16"/>
        </w:rPr>
        <w:t xml:space="preserve">, (Derby: </w:t>
      </w:r>
      <w:r w:rsidRPr="00084435">
        <w:rPr>
          <w:sz w:val="16"/>
          <w:szCs w:val="16"/>
        </w:rPr>
        <w:t xml:space="preserve">Breedon Books, 2007), p. 103. </w:t>
      </w:r>
    </w:p>
  </w:footnote>
  <w:footnote w:id="433">
    <w:p w14:paraId="432F6F03" w14:textId="750BCF6A" w:rsidR="00084435" w:rsidRPr="00084435" w:rsidRDefault="00084435">
      <w:pPr>
        <w:pStyle w:val="FootnoteText"/>
        <w:rPr>
          <w:sz w:val="16"/>
          <w:szCs w:val="16"/>
        </w:rPr>
      </w:pPr>
      <w:r w:rsidRPr="00084435">
        <w:rPr>
          <w:rStyle w:val="FootnoteReference"/>
          <w:sz w:val="16"/>
          <w:szCs w:val="16"/>
        </w:rPr>
        <w:footnoteRef/>
      </w:r>
      <w:r w:rsidRPr="00084435">
        <w:rPr>
          <w:sz w:val="16"/>
          <w:szCs w:val="16"/>
        </w:rPr>
        <w:t xml:space="preserve"> </w:t>
      </w:r>
      <w:bookmarkStart w:id="137" w:name="_Hlk150153625"/>
      <w:r w:rsidRPr="00084435">
        <w:rPr>
          <w:sz w:val="16"/>
          <w:szCs w:val="16"/>
        </w:rPr>
        <w:t xml:space="preserve">Dawes, and Selwyn, </w:t>
      </w:r>
      <w:r w:rsidRPr="00084435">
        <w:rPr>
          <w:i/>
          <w:iCs/>
          <w:sz w:val="16"/>
          <w:szCs w:val="16"/>
        </w:rPr>
        <w:t>Women who made Money,</w:t>
      </w:r>
      <w:r w:rsidRPr="00084435">
        <w:rPr>
          <w:sz w:val="16"/>
          <w:szCs w:val="16"/>
        </w:rPr>
        <w:t xml:space="preserve"> pp. 29-32.</w:t>
      </w:r>
      <w:bookmarkEnd w:id="137"/>
    </w:p>
  </w:footnote>
  <w:footnote w:id="434">
    <w:p w14:paraId="72A72A46" w14:textId="4BB3D5F9" w:rsidR="00A673B5" w:rsidRPr="005E555D" w:rsidRDefault="00A673B5" w:rsidP="00A673B5">
      <w:pPr>
        <w:pStyle w:val="FootnoteText"/>
        <w:rPr>
          <w:sz w:val="18"/>
          <w:szCs w:val="18"/>
        </w:rPr>
      </w:pPr>
      <w:r w:rsidRPr="00084435">
        <w:rPr>
          <w:rStyle w:val="FootnoteReference"/>
          <w:sz w:val="16"/>
          <w:szCs w:val="16"/>
        </w:rPr>
        <w:footnoteRef/>
      </w:r>
      <w:r w:rsidRPr="00084435">
        <w:rPr>
          <w:sz w:val="16"/>
          <w:szCs w:val="16"/>
        </w:rPr>
        <w:t xml:space="preserve"> </w:t>
      </w:r>
      <w:r w:rsidR="00084435" w:rsidRPr="00084435">
        <w:rPr>
          <w:i/>
          <w:iCs/>
          <w:sz w:val="16"/>
          <w:szCs w:val="16"/>
        </w:rPr>
        <w:t>Ibid</w:t>
      </w:r>
      <w:r w:rsidR="00084435" w:rsidRPr="00084435">
        <w:rPr>
          <w:sz w:val="16"/>
          <w:szCs w:val="16"/>
        </w:rPr>
        <w:t>, pp. 29-32.</w:t>
      </w:r>
      <w:r w:rsidR="00084435">
        <w:rPr>
          <w:sz w:val="16"/>
          <w:szCs w:val="16"/>
        </w:rPr>
        <w:t xml:space="preserve"> </w:t>
      </w:r>
    </w:p>
  </w:footnote>
  <w:footnote w:id="435">
    <w:p w14:paraId="45132483" w14:textId="474D9701" w:rsidR="00084435" w:rsidRPr="00084435" w:rsidRDefault="00084435">
      <w:pPr>
        <w:pStyle w:val="FootnoteText"/>
        <w:rPr>
          <w:sz w:val="16"/>
          <w:szCs w:val="16"/>
        </w:rPr>
      </w:pPr>
      <w:r w:rsidRPr="00084435">
        <w:rPr>
          <w:rStyle w:val="FootnoteReference"/>
          <w:sz w:val="16"/>
          <w:szCs w:val="16"/>
        </w:rPr>
        <w:footnoteRef/>
      </w:r>
      <w:r w:rsidRPr="00084435">
        <w:rPr>
          <w:sz w:val="16"/>
          <w:szCs w:val="16"/>
        </w:rPr>
        <w:t xml:space="preserve"> George Unwin, </w:t>
      </w:r>
      <w:r w:rsidRPr="00084435">
        <w:rPr>
          <w:i/>
          <w:iCs/>
          <w:sz w:val="16"/>
          <w:szCs w:val="16"/>
        </w:rPr>
        <w:t xml:space="preserve">Samuel </w:t>
      </w:r>
      <w:r w:rsidRPr="00084435">
        <w:rPr>
          <w:i/>
          <w:iCs/>
          <w:sz w:val="16"/>
          <w:szCs w:val="16"/>
        </w:rPr>
        <w:t>Oldknow and the Arkwrights</w:t>
      </w:r>
      <w:r w:rsidRPr="00084435">
        <w:rPr>
          <w:sz w:val="16"/>
          <w:szCs w:val="16"/>
        </w:rPr>
        <w:t xml:space="preserve"> (Manchester, 1924), pp. 177-178.</w:t>
      </w:r>
    </w:p>
  </w:footnote>
  <w:footnote w:id="436">
    <w:p w14:paraId="452D4B9B" w14:textId="7B1748B7" w:rsidR="00A673B5" w:rsidRPr="005E555D" w:rsidRDefault="00A673B5" w:rsidP="00A673B5">
      <w:pPr>
        <w:pStyle w:val="FootnoteText"/>
        <w:rPr>
          <w:sz w:val="18"/>
          <w:szCs w:val="18"/>
        </w:rPr>
      </w:pPr>
      <w:r w:rsidRPr="00084435">
        <w:rPr>
          <w:rStyle w:val="FootnoteReference"/>
          <w:sz w:val="16"/>
          <w:szCs w:val="16"/>
        </w:rPr>
        <w:footnoteRef/>
      </w:r>
      <w:r w:rsidRPr="00084435">
        <w:rPr>
          <w:sz w:val="16"/>
          <w:szCs w:val="16"/>
        </w:rPr>
        <w:t xml:space="preserve"> </w:t>
      </w:r>
      <w:r w:rsidR="00084435" w:rsidRPr="00084435">
        <w:rPr>
          <w:sz w:val="16"/>
          <w:szCs w:val="16"/>
        </w:rPr>
        <w:t xml:space="preserve">Unwin, Samuel </w:t>
      </w:r>
      <w:r w:rsidR="00084435" w:rsidRPr="00084435">
        <w:rPr>
          <w:sz w:val="16"/>
          <w:szCs w:val="16"/>
        </w:rPr>
        <w:t>Oldknow and the Arkwrights, pp. 177-178.</w:t>
      </w:r>
      <w:r w:rsidR="00084435">
        <w:rPr>
          <w:sz w:val="18"/>
          <w:szCs w:val="18"/>
        </w:rPr>
        <w:t xml:space="preserve"> </w:t>
      </w:r>
    </w:p>
  </w:footnote>
  <w:footnote w:id="437">
    <w:p w14:paraId="7EE636CC" w14:textId="64947F03" w:rsidR="00A673B5" w:rsidRPr="00084435" w:rsidRDefault="00A673B5" w:rsidP="00A673B5">
      <w:pPr>
        <w:pStyle w:val="FootnoteText"/>
        <w:rPr>
          <w:sz w:val="16"/>
          <w:szCs w:val="16"/>
        </w:rPr>
      </w:pPr>
      <w:r w:rsidRPr="00084435">
        <w:rPr>
          <w:rStyle w:val="FootnoteReference"/>
          <w:sz w:val="16"/>
          <w:szCs w:val="16"/>
        </w:rPr>
        <w:footnoteRef/>
      </w:r>
      <w:r w:rsidR="00084435" w:rsidRPr="00084435">
        <w:rPr>
          <w:sz w:val="16"/>
          <w:szCs w:val="16"/>
        </w:rPr>
        <w:t xml:space="preserve"> Robert S. Fitton, and Alfred P. Wadsworth, </w:t>
      </w:r>
      <w:r w:rsidR="00084435" w:rsidRPr="00084435">
        <w:rPr>
          <w:i/>
          <w:iCs/>
          <w:sz w:val="16"/>
          <w:szCs w:val="16"/>
        </w:rPr>
        <w:t xml:space="preserve">The </w:t>
      </w:r>
      <w:r w:rsidR="00084435" w:rsidRPr="00084435">
        <w:rPr>
          <w:i/>
          <w:iCs/>
          <w:sz w:val="16"/>
          <w:szCs w:val="16"/>
        </w:rPr>
        <w:t>Strutts and the Arkwrights, 1758-1830</w:t>
      </w:r>
      <w:r w:rsidR="00084435" w:rsidRPr="00084435">
        <w:rPr>
          <w:sz w:val="16"/>
          <w:szCs w:val="16"/>
        </w:rPr>
        <w:t xml:space="preserve"> (Manchester: Manchester University Press, 1958), p.241.</w:t>
      </w:r>
    </w:p>
  </w:footnote>
  <w:footnote w:id="438">
    <w:p w14:paraId="173273F7" w14:textId="07845F3A" w:rsidR="003A06BF" w:rsidRPr="00084435" w:rsidRDefault="003A06BF" w:rsidP="003A06BF">
      <w:pPr>
        <w:pStyle w:val="FootnoteText"/>
        <w:rPr>
          <w:sz w:val="16"/>
          <w:szCs w:val="16"/>
        </w:rPr>
      </w:pPr>
      <w:r w:rsidRPr="00084435">
        <w:rPr>
          <w:rStyle w:val="FootnoteReference"/>
          <w:sz w:val="16"/>
          <w:szCs w:val="16"/>
        </w:rPr>
        <w:footnoteRef/>
      </w:r>
      <w:r w:rsidRPr="00084435">
        <w:rPr>
          <w:sz w:val="16"/>
          <w:szCs w:val="16"/>
        </w:rPr>
        <w:t xml:space="preserve"> </w:t>
      </w:r>
      <w:r w:rsidR="00F434A4" w:rsidRPr="00084435">
        <w:rPr>
          <w:sz w:val="16"/>
          <w:szCs w:val="16"/>
        </w:rPr>
        <w:t xml:space="preserve">Geoffrey M. Hodgson, ‘Financial Institutions and the British Industrial Revolution: Did Financial Underdevelopment Hold Back </w:t>
      </w:r>
      <w:r w:rsidR="00F434A4" w:rsidRPr="00084435">
        <w:rPr>
          <w:sz w:val="16"/>
          <w:szCs w:val="16"/>
        </w:rPr>
        <w:t>Growth?,’ </w:t>
      </w:r>
      <w:r w:rsidR="00F434A4" w:rsidRPr="00084435">
        <w:rPr>
          <w:i/>
          <w:iCs/>
          <w:sz w:val="16"/>
          <w:szCs w:val="16"/>
        </w:rPr>
        <w:t>Journal of Institutional Economics</w:t>
      </w:r>
      <w:r w:rsidR="00F434A4" w:rsidRPr="00084435">
        <w:rPr>
          <w:sz w:val="16"/>
          <w:szCs w:val="16"/>
        </w:rPr>
        <w:t>, 17:3 (2021), pp. 429–</w:t>
      </w:r>
      <w:r w:rsidR="00084435" w:rsidRPr="00084435">
        <w:rPr>
          <w:sz w:val="16"/>
          <w:szCs w:val="16"/>
        </w:rPr>
        <w:t>4</w:t>
      </w:r>
      <w:r w:rsidR="00F434A4" w:rsidRPr="00084435">
        <w:rPr>
          <w:sz w:val="16"/>
          <w:szCs w:val="16"/>
        </w:rPr>
        <w:t>48</w:t>
      </w:r>
      <w:r w:rsidR="00084435" w:rsidRPr="00084435">
        <w:rPr>
          <w:sz w:val="16"/>
          <w:szCs w:val="16"/>
        </w:rPr>
        <w:t xml:space="preserve">. </w:t>
      </w:r>
    </w:p>
  </w:footnote>
  <w:footnote w:id="439">
    <w:p w14:paraId="30D90984" w14:textId="6C3130F2" w:rsidR="0028180F" w:rsidRPr="0028180F" w:rsidRDefault="0028180F">
      <w:pPr>
        <w:pStyle w:val="FootnoteText"/>
        <w:rPr>
          <w:sz w:val="16"/>
          <w:szCs w:val="16"/>
        </w:rPr>
      </w:pPr>
      <w:r w:rsidRPr="0028180F">
        <w:rPr>
          <w:rStyle w:val="FootnoteReference"/>
          <w:sz w:val="16"/>
          <w:szCs w:val="16"/>
        </w:rPr>
        <w:footnoteRef/>
      </w:r>
      <w:r w:rsidRPr="0028180F">
        <w:rPr>
          <w:sz w:val="16"/>
          <w:szCs w:val="16"/>
        </w:rPr>
        <w:t xml:space="preserve"> Hodgson, ‘Financial Institutions and the British Industrial Revolution: Did Financial Underdevelopment Hold Back </w:t>
      </w:r>
      <w:r w:rsidRPr="0028180F">
        <w:rPr>
          <w:sz w:val="16"/>
          <w:szCs w:val="16"/>
        </w:rPr>
        <w:t xml:space="preserve">Growth?,’ </w:t>
      </w:r>
      <w:r w:rsidRPr="0028180F">
        <w:rPr>
          <w:i/>
          <w:iCs/>
          <w:sz w:val="16"/>
          <w:szCs w:val="16"/>
        </w:rPr>
        <w:t>Journal of Institutional Economics</w:t>
      </w:r>
      <w:r w:rsidRPr="0028180F">
        <w:rPr>
          <w:sz w:val="16"/>
          <w:szCs w:val="16"/>
        </w:rPr>
        <w:t xml:space="preserve">, p. 431. </w:t>
      </w:r>
    </w:p>
  </w:footnote>
  <w:footnote w:id="440">
    <w:p w14:paraId="74D9CB80" w14:textId="263F2F5D" w:rsidR="0028180F" w:rsidRPr="0028180F" w:rsidRDefault="0028180F">
      <w:pPr>
        <w:pStyle w:val="FootnoteText"/>
        <w:rPr>
          <w:sz w:val="16"/>
          <w:szCs w:val="16"/>
        </w:rPr>
      </w:pPr>
      <w:r w:rsidRPr="0028180F">
        <w:rPr>
          <w:rStyle w:val="FootnoteReference"/>
          <w:sz w:val="16"/>
          <w:szCs w:val="16"/>
        </w:rPr>
        <w:footnoteRef/>
      </w:r>
      <w:r w:rsidRPr="0028180F">
        <w:rPr>
          <w:sz w:val="16"/>
          <w:szCs w:val="16"/>
        </w:rPr>
        <w:t xml:space="preserve"> Lee, </w:t>
      </w:r>
      <w:r w:rsidRPr="0028180F">
        <w:rPr>
          <w:i/>
          <w:iCs/>
          <w:sz w:val="16"/>
          <w:szCs w:val="16"/>
        </w:rPr>
        <w:t>A Cotton Enterprise</w:t>
      </w:r>
      <w:r>
        <w:rPr>
          <w:i/>
          <w:iCs/>
          <w:sz w:val="16"/>
          <w:szCs w:val="16"/>
        </w:rPr>
        <w:t xml:space="preserve">, </w:t>
      </w:r>
      <w:r>
        <w:rPr>
          <w:sz w:val="16"/>
          <w:szCs w:val="16"/>
        </w:rPr>
        <w:t xml:space="preserve">p. 11-14. </w:t>
      </w:r>
    </w:p>
  </w:footnote>
  <w:footnote w:id="441">
    <w:p w14:paraId="25A9CD14" w14:textId="7867C428" w:rsidR="0028180F" w:rsidRDefault="0028180F">
      <w:pPr>
        <w:pStyle w:val="FootnoteText"/>
      </w:pPr>
      <w:r w:rsidRPr="0028180F">
        <w:rPr>
          <w:rStyle w:val="FootnoteReference"/>
          <w:sz w:val="16"/>
          <w:szCs w:val="16"/>
        </w:rPr>
        <w:footnoteRef/>
      </w:r>
      <w:r w:rsidRPr="0028180F">
        <w:rPr>
          <w:sz w:val="16"/>
          <w:szCs w:val="16"/>
        </w:rPr>
        <w:t xml:space="preserve"> JRL, GB 133 MCK/1/2 [Legal Records: Partnership agreement between Benjamin Sandford, William Sandford, John Kennedy and James McConnel, 1791].  </w:t>
      </w:r>
    </w:p>
  </w:footnote>
  <w:footnote w:id="442">
    <w:p w14:paraId="78B9DDE8" w14:textId="495769E4" w:rsidR="00AA2A48" w:rsidRPr="00AA2A48" w:rsidRDefault="00AA2A48">
      <w:pPr>
        <w:pStyle w:val="FootnoteText"/>
        <w:rPr>
          <w:sz w:val="16"/>
          <w:szCs w:val="16"/>
        </w:rPr>
      </w:pPr>
      <w:r w:rsidRPr="00AA2A48">
        <w:rPr>
          <w:rStyle w:val="FootnoteReference"/>
          <w:sz w:val="16"/>
          <w:szCs w:val="16"/>
        </w:rPr>
        <w:footnoteRef/>
      </w:r>
      <w:r w:rsidRPr="00AA2A48">
        <w:rPr>
          <w:sz w:val="16"/>
          <w:szCs w:val="16"/>
        </w:rPr>
        <w:t xml:space="preserve"> Lee, </w:t>
      </w:r>
      <w:r w:rsidRPr="00AA2A48">
        <w:rPr>
          <w:i/>
          <w:iCs/>
          <w:sz w:val="16"/>
          <w:szCs w:val="16"/>
        </w:rPr>
        <w:t>A Cotton Enterprise</w:t>
      </w:r>
      <w:r w:rsidRPr="00AA2A48">
        <w:rPr>
          <w:sz w:val="16"/>
          <w:szCs w:val="16"/>
        </w:rPr>
        <w:t>, p. 11-14.</w:t>
      </w:r>
    </w:p>
  </w:footnote>
  <w:footnote w:id="443">
    <w:p w14:paraId="45F33472" w14:textId="3F8AF182" w:rsidR="00AA2A48" w:rsidRPr="00AA2A48" w:rsidRDefault="00AA2A48">
      <w:pPr>
        <w:pStyle w:val="FootnoteText"/>
        <w:rPr>
          <w:sz w:val="16"/>
          <w:szCs w:val="16"/>
        </w:rPr>
      </w:pPr>
      <w:r w:rsidRPr="00AA2A48">
        <w:rPr>
          <w:rStyle w:val="FootnoteReference"/>
          <w:sz w:val="16"/>
          <w:szCs w:val="16"/>
        </w:rPr>
        <w:footnoteRef/>
      </w:r>
      <w:r w:rsidRPr="00AA2A48">
        <w:rPr>
          <w:sz w:val="16"/>
          <w:szCs w:val="16"/>
        </w:rPr>
        <w:t xml:space="preserve"> JRL, GB 133 MCK/3/4/1/1 – MCK3/4/1/6 [Financial Records].</w:t>
      </w:r>
    </w:p>
  </w:footnote>
  <w:footnote w:id="444">
    <w:p w14:paraId="2F0F804B" w14:textId="3CFF2464" w:rsidR="00377DC9" w:rsidRPr="0028180F" w:rsidRDefault="00377DC9">
      <w:pPr>
        <w:pStyle w:val="FootnoteText"/>
        <w:rPr>
          <w:sz w:val="16"/>
          <w:szCs w:val="16"/>
        </w:rPr>
      </w:pPr>
      <w:r w:rsidRPr="0028180F">
        <w:rPr>
          <w:rStyle w:val="FootnoteReference"/>
          <w:sz w:val="16"/>
          <w:szCs w:val="16"/>
        </w:rPr>
        <w:footnoteRef/>
      </w:r>
      <w:r w:rsidRPr="0028180F">
        <w:rPr>
          <w:sz w:val="16"/>
          <w:szCs w:val="16"/>
        </w:rPr>
        <w:t xml:space="preserve"> </w:t>
      </w:r>
      <w:r w:rsidR="003808B2" w:rsidRPr="0028180F">
        <w:rPr>
          <w:sz w:val="16"/>
          <w:szCs w:val="16"/>
        </w:rPr>
        <w:t xml:space="preserve">JRL, GB 133 </w:t>
      </w:r>
      <w:r w:rsidR="009B3E44" w:rsidRPr="0028180F">
        <w:rPr>
          <w:sz w:val="16"/>
          <w:szCs w:val="16"/>
        </w:rPr>
        <w:t>MCK</w:t>
      </w:r>
      <w:r w:rsidR="00A1728C" w:rsidRPr="0028180F">
        <w:rPr>
          <w:sz w:val="16"/>
          <w:szCs w:val="16"/>
        </w:rPr>
        <w:t>/3</w:t>
      </w:r>
      <w:r w:rsidR="008533CE" w:rsidRPr="0028180F">
        <w:rPr>
          <w:sz w:val="16"/>
          <w:szCs w:val="16"/>
        </w:rPr>
        <w:t>/4/1/1</w:t>
      </w:r>
      <w:r w:rsidR="0028790A" w:rsidRPr="0028180F">
        <w:rPr>
          <w:sz w:val="16"/>
          <w:szCs w:val="16"/>
        </w:rPr>
        <w:t xml:space="preserve"> – MCK3/4/1/6</w:t>
      </w:r>
      <w:r w:rsidR="00A26BD3" w:rsidRPr="0028180F">
        <w:rPr>
          <w:sz w:val="16"/>
          <w:szCs w:val="16"/>
        </w:rPr>
        <w:t xml:space="preserve"> </w:t>
      </w:r>
      <w:r w:rsidR="00084435" w:rsidRPr="0028180F">
        <w:rPr>
          <w:sz w:val="16"/>
          <w:szCs w:val="16"/>
        </w:rPr>
        <w:t>[</w:t>
      </w:r>
      <w:r w:rsidR="00A26BD3" w:rsidRPr="0028180F">
        <w:rPr>
          <w:sz w:val="16"/>
          <w:szCs w:val="16"/>
        </w:rPr>
        <w:t>Financial Records</w:t>
      </w:r>
      <w:r w:rsidR="00084435" w:rsidRPr="0028180F">
        <w:rPr>
          <w:sz w:val="16"/>
          <w:szCs w:val="16"/>
        </w:rPr>
        <w:t>].</w:t>
      </w:r>
      <w:r w:rsidR="00A26BD3" w:rsidRPr="0028180F">
        <w:rPr>
          <w:sz w:val="16"/>
          <w:szCs w:val="16"/>
        </w:rPr>
        <w:t xml:space="preserve"> </w:t>
      </w:r>
    </w:p>
  </w:footnote>
  <w:footnote w:id="445">
    <w:p w14:paraId="405B514C" w14:textId="07ED1789" w:rsidR="00377DC9" w:rsidRPr="0028180F" w:rsidRDefault="00377DC9">
      <w:pPr>
        <w:pStyle w:val="FootnoteText"/>
        <w:rPr>
          <w:sz w:val="16"/>
          <w:szCs w:val="16"/>
        </w:rPr>
      </w:pPr>
      <w:r w:rsidRPr="0028180F">
        <w:rPr>
          <w:rStyle w:val="FootnoteReference"/>
          <w:sz w:val="16"/>
          <w:szCs w:val="16"/>
        </w:rPr>
        <w:footnoteRef/>
      </w:r>
      <w:r w:rsidRPr="0028180F">
        <w:rPr>
          <w:sz w:val="16"/>
          <w:szCs w:val="16"/>
        </w:rPr>
        <w:t xml:space="preserve"> </w:t>
      </w:r>
      <w:r w:rsidR="00084435" w:rsidRPr="0028180F">
        <w:rPr>
          <w:sz w:val="16"/>
          <w:szCs w:val="16"/>
        </w:rPr>
        <w:t>JRL, GB 133 MCK/3/4/1/1 – MCK3/4/1/6 [Financial Records].</w:t>
      </w:r>
    </w:p>
  </w:footnote>
  <w:footnote w:id="446">
    <w:p w14:paraId="12D085C6" w14:textId="70441750" w:rsidR="006879C6" w:rsidRPr="0028180F" w:rsidRDefault="006879C6">
      <w:pPr>
        <w:pStyle w:val="FootnoteText"/>
        <w:rPr>
          <w:sz w:val="16"/>
          <w:szCs w:val="16"/>
        </w:rPr>
      </w:pPr>
      <w:r w:rsidRPr="0028180F">
        <w:rPr>
          <w:rStyle w:val="FootnoteReference"/>
          <w:sz w:val="16"/>
          <w:szCs w:val="16"/>
        </w:rPr>
        <w:footnoteRef/>
      </w:r>
      <w:r w:rsidRPr="0028180F">
        <w:rPr>
          <w:sz w:val="16"/>
          <w:szCs w:val="16"/>
        </w:rPr>
        <w:t xml:space="preserve"> </w:t>
      </w:r>
      <w:r w:rsidR="00657070" w:rsidRPr="0028180F">
        <w:rPr>
          <w:sz w:val="16"/>
          <w:szCs w:val="16"/>
        </w:rPr>
        <w:t>T. S. Ashton</w:t>
      </w:r>
      <w:r w:rsidR="008B3716" w:rsidRPr="0028180F">
        <w:rPr>
          <w:sz w:val="16"/>
          <w:szCs w:val="16"/>
        </w:rPr>
        <w:t xml:space="preserve">, ‘The Bill of Exchange and Private Banks in Lancashire, 1790-1830,’ </w:t>
      </w:r>
      <w:r w:rsidR="008B3716" w:rsidRPr="0028180F">
        <w:rPr>
          <w:i/>
          <w:iCs/>
          <w:sz w:val="16"/>
          <w:szCs w:val="16"/>
        </w:rPr>
        <w:t>The Economic History Review</w:t>
      </w:r>
      <w:r w:rsidR="00117D55" w:rsidRPr="0028180F">
        <w:rPr>
          <w:sz w:val="16"/>
          <w:szCs w:val="16"/>
        </w:rPr>
        <w:t>, 1945, 15:1/2, p</w:t>
      </w:r>
      <w:r w:rsidR="00317013" w:rsidRPr="0028180F">
        <w:rPr>
          <w:sz w:val="16"/>
          <w:szCs w:val="16"/>
        </w:rPr>
        <w:t>. 31</w:t>
      </w:r>
      <w:r w:rsidR="003808B2" w:rsidRPr="0028180F">
        <w:rPr>
          <w:sz w:val="16"/>
          <w:szCs w:val="16"/>
        </w:rPr>
        <w:t>.</w:t>
      </w:r>
    </w:p>
  </w:footnote>
  <w:footnote w:id="447">
    <w:p w14:paraId="0992F54B" w14:textId="72C70087" w:rsidR="008B56B6" w:rsidRPr="0028180F" w:rsidRDefault="008B56B6" w:rsidP="008B56B6">
      <w:pPr>
        <w:pStyle w:val="FootnoteText"/>
        <w:rPr>
          <w:sz w:val="16"/>
          <w:szCs w:val="16"/>
        </w:rPr>
      </w:pPr>
      <w:r w:rsidRPr="0028180F">
        <w:rPr>
          <w:rStyle w:val="FootnoteReference"/>
          <w:sz w:val="16"/>
          <w:szCs w:val="16"/>
        </w:rPr>
        <w:footnoteRef/>
      </w:r>
      <w:r w:rsidRPr="0028180F">
        <w:rPr>
          <w:sz w:val="16"/>
          <w:szCs w:val="16"/>
        </w:rPr>
        <w:t xml:space="preserve"> </w:t>
      </w:r>
      <w:r w:rsidR="00084435" w:rsidRPr="0028180F">
        <w:rPr>
          <w:sz w:val="16"/>
          <w:szCs w:val="16"/>
        </w:rPr>
        <w:t xml:space="preserve">Matthew Stallard, ‘Cotton Capital: How Slavery Made Manchester the World’s First Industrial City,’ </w:t>
      </w:r>
      <w:r w:rsidR="00084435" w:rsidRPr="0028180F">
        <w:rPr>
          <w:i/>
          <w:iCs/>
          <w:sz w:val="16"/>
          <w:szCs w:val="16"/>
        </w:rPr>
        <w:t>Guardian</w:t>
      </w:r>
      <w:r w:rsidR="00084435" w:rsidRPr="0028180F">
        <w:rPr>
          <w:sz w:val="16"/>
          <w:szCs w:val="16"/>
        </w:rPr>
        <w:t xml:space="preserve">, 3 April 2023 </w:t>
      </w:r>
      <w:hyperlink r:id="rId41" w:history="1">
        <w:r w:rsidR="0028180F" w:rsidRPr="0028180F">
          <w:rPr>
            <w:rStyle w:val="Hyperlink"/>
            <w:sz w:val="16"/>
            <w:szCs w:val="16"/>
          </w:rPr>
          <w:t>https://www.theguardian.com/news/ng-interactive/2023/apr/03/cotton-capital-how-slavery-made-manchester-the-worlds-first-industrial-city</w:t>
        </w:r>
      </w:hyperlink>
      <w:r w:rsidR="0028180F" w:rsidRPr="0028180F">
        <w:rPr>
          <w:sz w:val="16"/>
          <w:szCs w:val="16"/>
        </w:rPr>
        <w:t xml:space="preserve"> </w:t>
      </w:r>
      <w:r w:rsidR="00084435" w:rsidRPr="0028180F">
        <w:rPr>
          <w:sz w:val="16"/>
          <w:szCs w:val="16"/>
        </w:rPr>
        <w:t xml:space="preserve">[last accessed 12 January 2024]  </w:t>
      </w:r>
    </w:p>
  </w:footnote>
  <w:footnote w:id="448">
    <w:p w14:paraId="3A3A3CAC" w14:textId="67DB3062" w:rsidR="00B41932" w:rsidRPr="0028180F" w:rsidRDefault="00B41932" w:rsidP="00B41932">
      <w:pPr>
        <w:pStyle w:val="FootnoteText"/>
        <w:rPr>
          <w:sz w:val="16"/>
          <w:szCs w:val="16"/>
        </w:rPr>
      </w:pPr>
      <w:r w:rsidRPr="0028180F">
        <w:rPr>
          <w:rStyle w:val="FootnoteReference"/>
          <w:sz w:val="16"/>
          <w:szCs w:val="16"/>
        </w:rPr>
        <w:footnoteRef/>
      </w:r>
      <w:r w:rsidRPr="0028180F">
        <w:rPr>
          <w:sz w:val="16"/>
          <w:szCs w:val="16"/>
        </w:rPr>
        <w:t xml:space="preserve"> </w:t>
      </w:r>
      <w:r w:rsidR="00FF03BE" w:rsidRPr="0028180F">
        <w:rPr>
          <w:sz w:val="16"/>
          <w:szCs w:val="16"/>
        </w:rPr>
        <w:t xml:space="preserve">Mary B. Rose, Firms, </w:t>
      </w:r>
      <w:r w:rsidR="00FF03BE" w:rsidRPr="0028180F">
        <w:rPr>
          <w:i/>
          <w:iCs/>
          <w:sz w:val="16"/>
          <w:szCs w:val="16"/>
        </w:rPr>
        <w:t>Networks and Business Values</w:t>
      </w:r>
      <w:r w:rsidR="00FF03BE" w:rsidRPr="0028180F">
        <w:rPr>
          <w:sz w:val="16"/>
          <w:szCs w:val="16"/>
        </w:rPr>
        <w:t>, (Cambridge University Press, 2000), p. 74.</w:t>
      </w:r>
    </w:p>
  </w:footnote>
  <w:footnote w:id="449">
    <w:p w14:paraId="3F2F3983" w14:textId="77777777" w:rsidR="00AA2A48" w:rsidRPr="0028180F" w:rsidRDefault="00AA2A48" w:rsidP="00AA2A48">
      <w:pPr>
        <w:pStyle w:val="FootnoteText"/>
        <w:rPr>
          <w:sz w:val="16"/>
          <w:szCs w:val="16"/>
        </w:rPr>
      </w:pPr>
      <w:r w:rsidRPr="0028180F">
        <w:rPr>
          <w:rStyle w:val="FootnoteReference"/>
          <w:sz w:val="16"/>
          <w:szCs w:val="16"/>
        </w:rPr>
        <w:footnoteRef/>
      </w:r>
      <w:r w:rsidRPr="0028180F">
        <w:rPr>
          <w:sz w:val="16"/>
          <w:szCs w:val="16"/>
        </w:rPr>
        <w:t xml:space="preserve"> Rose, Firms, </w:t>
      </w:r>
      <w:r w:rsidRPr="0028180F">
        <w:rPr>
          <w:i/>
          <w:iCs/>
          <w:sz w:val="16"/>
          <w:szCs w:val="16"/>
        </w:rPr>
        <w:t>Networks and Business Values</w:t>
      </w:r>
      <w:r w:rsidRPr="0028180F">
        <w:rPr>
          <w:sz w:val="16"/>
          <w:szCs w:val="16"/>
        </w:rPr>
        <w:t xml:space="preserve">, p. 75. </w:t>
      </w:r>
    </w:p>
  </w:footnote>
  <w:footnote w:id="450">
    <w:p w14:paraId="6DD0D7EA" w14:textId="66DEE912" w:rsidR="00B41932" w:rsidRPr="00AA2A48" w:rsidRDefault="00B41932" w:rsidP="00B41932">
      <w:pPr>
        <w:pStyle w:val="FootnoteText"/>
        <w:rPr>
          <w:sz w:val="16"/>
          <w:szCs w:val="16"/>
        </w:rPr>
      </w:pPr>
      <w:r w:rsidRPr="00AA2A48">
        <w:rPr>
          <w:rStyle w:val="FootnoteReference"/>
          <w:sz w:val="16"/>
          <w:szCs w:val="16"/>
        </w:rPr>
        <w:footnoteRef/>
      </w:r>
      <w:r w:rsidRPr="00AA2A48">
        <w:rPr>
          <w:sz w:val="16"/>
          <w:szCs w:val="16"/>
        </w:rPr>
        <w:t xml:space="preserve"> </w:t>
      </w:r>
      <w:r w:rsidR="00FF03BE" w:rsidRPr="00AA2A48">
        <w:rPr>
          <w:sz w:val="16"/>
          <w:szCs w:val="16"/>
        </w:rPr>
        <w:t xml:space="preserve"> </w:t>
      </w:r>
      <w:r w:rsidR="00AA2A48" w:rsidRPr="00AA2A48">
        <w:rPr>
          <w:sz w:val="16"/>
          <w:szCs w:val="16"/>
        </w:rPr>
        <w:t xml:space="preserve">Rose, </w:t>
      </w:r>
      <w:r w:rsidR="00AA2A48" w:rsidRPr="00AA2A48">
        <w:rPr>
          <w:i/>
          <w:iCs/>
          <w:sz w:val="16"/>
          <w:szCs w:val="16"/>
        </w:rPr>
        <w:t>Firms, Networks and Business Values</w:t>
      </w:r>
      <w:r w:rsidR="00AA2A48" w:rsidRPr="00AA2A48">
        <w:rPr>
          <w:sz w:val="16"/>
          <w:szCs w:val="16"/>
        </w:rPr>
        <w:t xml:space="preserve">, </w:t>
      </w:r>
      <w:r w:rsidR="00FF03BE" w:rsidRPr="00AA2A48">
        <w:rPr>
          <w:sz w:val="16"/>
          <w:szCs w:val="16"/>
        </w:rPr>
        <w:t xml:space="preserve">p.60. </w:t>
      </w:r>
    </w:p>
  </w:footnote>
  <w:footnote w:id="451">
    <w:p w14:paraId="6DD5196C" w14:textId="52AD3591" w:rsidR="00AA2A48" w:rsidRPr="00AA2A48" w:rsidRDefault="00AA2A48">
      <w:pPr>
        <w:pStyle w:val="FootnoteText"/>
        <w:rPr>
          <w:sz w:val="16"/>
          <w:szCs w:val="16"/>
        </w:rPr>
      </w:pPr>
      <w:r w:rsidRPr="00AA2A48">
        <w:rPr>
          <w:rStyle w:val="FootnoteReference"/>
          <w:sz w:val="16"/>
          <w:szCs w:val="16"/>
        </w:rPr>
        <w:footnoteRef/>
      </w:r>
      <w:r w:rsidRPr="00AA2A48">
        <w:rPr>
          <w:sz w:val="16"/>
          <w:szCs w:val="16"/>
        </w:rPr>
        <w:t xml:space="preserve"> JRL, GB 133 MCK/2/2/4 [Letters Sent from McConnel &amp; Kennedy to Messrs. G &amp; J. Strutt of Derby, 1812]. </w:t>
      </w:r>
    </w:p>
  </w:footnote>
  <w:footnote w:id="452">
    <w:p w14:paraId="02C43209" w14:textId="53305E63" w:rsidR="00091B3F" w:rsidRPr="00FF03BE" w:rsidRDefault="00091B3F">
      <w:pPr>
        <w:pStyle w:val="FootnoteText"/>
        <w:rPr>
          <w:sz w:val="18"/>
          <w:szCs w:val="18"/>
        </w:rPr>
      </w:pPr>
      <w:r w:rsidRPr="00AA2A48">
        <w:rPr>
          <w:rStyle w:val="FootnoteReference"/>
          <w:sz w:val="16"/>
          <w:szCs w:val="16"/>
        </w:rPr>
        <w:footnoteRef/>
      </w:r>
      <w:r w:rsidRPr="00AA2A48">
        <w:rPr>
          <w:sz w:val="16"/>
          <w:szCs w:val="16"/>
        </w:rPr>
        <w:t xml:space="preserve"> </w:t>
      </w:r>
      <w:r w:rsidR="00A746A2" w:rsidRPr="00AA2A48">
        <w:rPr>
          <w:sz w:val="16"/>
          <w:szCs w:val="16"/>
        </w:rPr>
        <w:t>JRL, GB 133 MCK/3/5/1-2</w:t>
      </w:r>
      <w:r w:rsidR="00AA2A48" w:rsidRPr="00AA2A48">
        <w:rPr>
          <w:sz w:val="16"/>
          <w:szCs w:val="16"/>
        </w:rPr>
        <w:t xml:space="preserve"> </w:t>
      </w:r>
      <w:r w:rsidR="00AA2A48">
        <w:rPr>
          <w:sz w:val="16"/>
          <w:szCs w:val="16"/>
        </w:rPr>
        <w:t>[</w:t>
      </w:r>
      <w:r w:rsidR="00AA2A48" w:rsidRPr="00AA2A48">
        <w:rPr>
          <w:sz w:val="16"/>
          <w:szCs w:val="16"/>
        </w:rPr>
        <w:t>Receipt and Purchase Books for McConnel &amp; Kennedy</w:t>
      </w:r>
      <w:r w:rsidR="00AA2A48">
        <w:rPr>
          <w:sz w:val="16"/>
          <w:szCs w:val="16"/>
        </w:rPr>
        <w:t>]</w:t>
      </w:r>
      <w:r w:rsidR="00AA2A48">
        <w:rPr>
          <w:sz w:val="18"/>
          <w:szCs w:val="18"/>
        </w:rPr>
        <w:t xml:space="preserve">. </w:t>
      </w:r>
    </w:p>
  </w:footnote>
  <w:footnote w:id="453">
    <w:p w14:paraId="013CF17C" w14:textId="0DE9204A" w:rsidR="00091B3F" w:rsidRPr="00AA2A48" w:rsidRDefault="00091B3F">
      <w:pPr>
        <w:pStyle w:val="FootnoteText"/>
        <w:rPr>
          <w:sz w:val="16"/>
          <w:szCs w:val="16"/>
        </w:rPr>
      </w:pPr>
      <w:r w:rsidRPr="00AA2A48">
        <w:rPr>
          <w:rStyle w:val="FootnoteReference"/>
          <w:sz w:val="16"/>
          <w:szCs w:val="16"/>
        </w:rPr>
        <w:footnoteRef/>
      </w:r>
      <w:r w:rsidRPr="00AA2A48">
        <w:rPr>
          <w:sz w:val="16"/>
          <w:szCs w:val="16"/>
        </w:rPr>
        <w:t xml:space="preserve"> </w:t>
      </w:r>
      <w:r w:rsidR="00DD2272" w:rsidRPr="00AA2A48">
        <w:rPr>
          <w:sz w:val="16"/>
          <w:szCs w:val="16"/>
        </w:rPr>
        <w:t>JRL, GB 133 MCK/3/5/1-2</w:t>
      </w:r>
      <w:r w:rsidR="00AA2A48" w:rsidRPr="00AA2A48">
        <w:rPr>
          <w:sz w:val="16"/>
          <w:szCs w:val="16"/>
        </w:rPr>
        <w:t xml:space="preserve"> [Receipt and Purchase Books for McConnel &amp; Kennedy].</w:t>
      </w:r>
    </w:p>
  </w:footnote>
  <w:footnote w:id="454">
    <w:p w14:paraId="1FA2DD76" w14:textId="2163D4D8" w:rsidR="00335BB5" w:rsidRDefault="00335BB5">
      <w:pPr>
        <w:pStyle w:val="FootnoteText"/>
      </w:pPr>
      <w:r w:rsidRPr="00AA2A48">
        <w:rPr>
          <w:rStyle w:val="FootnoteReference"/>
          <w:sz w:val="16"/>
          <w:szCs w:val="16"/>
        </w:rPr>
        <w:footnoteRef/>
      </w:r>
      <w:r w:rsidRPr="00AA2A48">
        <w:rPr>
          <w:sz w:val="16"/>
          <w:szCs w:val="16"/>
        </w:rPr>
        <w:t xml:space="preserve"> </w:t>
      </w:r>
      <w:r w:rsidR="00B25BE3" w:rsidRPr="00AA2A48">
        <w:rPr>
          <w:sz w:val="16"/>
          <w:szCs w:val="16"/>
        </w:rPr>
        <w:t>JRL, GB 133 MCK/3/5/1-2</w:t>
      </w:r>
      <w:r w:rsidR="00AA2A48" w:rsidRPr="00AA2A48">
        <w:rPr>
          <w:sz w:val="16"/>
          <w:szCs w:val="16"/>
        </w:rPr>
        <w:t xml:space="preserve"> [Receipt and Purchase Books for McConnel &amp; Kennedy].</w:t>
      </w:r>
    </w:p>
  </w:footnote>
  <w:footnote w:id="455">
    <w:p w14:paraId="1DB20A4A" w14:textId="1F756DB9" w:rsidR="009F5172" w:rsidRPr="009F5172" w:rsidRDefault="009F5172">
      <w:pPr>
        <w:pStyle w:val="FootnoteText"/>
        <w:rPr>
          <w:sz w:val="16"/>
          <w:szCs w:val="16"/>
        </w:rPr>
      </w:pPr>
      <w:r w:rsidRPr="009F5172">
        <w:rPr>
          <w:rStyle w:val="FootnoteReference"/>
          <w:sz w:val="16"/>
          <w:szCs w:val="16"/>
        </w:rPr>
        <w:footnoteRef/>
      </w:r>
      <w:r w:rsidRPr="009F5172">
        <w:rPr>
          <w:sz w:val="16"/>
          <w:szCs w:val="16"/>
        </w:rPr>
        <w:t xml:space="preserve"> JRL, GB 133 MCK/3/5/1-2 [Receipt and Purchase Books for McConnel &amp; Kennedy].</w:t>
      </w:r>
    </w:p>
  </w:footnote>
  <w:footnote w:id="456">
    <w:p w14:paraId="733F0522" w14:textId="40499712" w:rsidR="005708B6" w:rsidRPr="005708B6" w:rsidRDefault="005708B6">
      <w:pPr>
        <w:pStyle w:val="FootnoteText"/>
        <w:rPr>
          <w:sz w:val="16"/>
          <w:szCs w:val="16"/>
        </w:rPr>
      </w:pPr>
      <w:r w:rsidRPr="005708B6">
        <w:rPr>
          <w:rStyle w:val="FootnoteReference"/>
          <w:sz w:val="16"/>
          <w:szCs w:val="16"/>
        </w:rPr>
        <w:footnoteRef/>
      </w:r>
      <w:r w:rsidRPr="005708B6">
        <w:rPr>
          <w:sz w:val="16"/>
          <w:szCs w:val="16"/>
        </w:rPr>
        <w:t xml:space="preserve"> Eric Kerridge, </w:t>
      </w:r>
      <w:r w:rsidRPr="005708B6">
        <w:rPr>
          <w:i/>
          <w:iCs/>
          <w:sz w:val="16"/>
          <w:szCs w:val="16"/>
        </w:rPr>
        <w:t>Trade and Banking in Early Modern England</w:t>
      </w:r>
      <w:r w:rsidRPr="005708B6">
        <w:rPr>
          <w:sz w:val="16"/>
          <w:szCs w:val="16"/>
        </w:rPr>
        <w:t xml:space="preserve"> (Manchester: Manchester University Press, 1988), pp. 1-5 and pp. 45-75.  </w:t>
      </w:r>
    </w:p>
  </w:footnote>
  <w:footnote w:id="457">
    <w:p w14:paraId="5F06D5B8" w14:textId="4D34EFF8" w:rsidR="009F5172" w:rsidRPr="009F5172" w:rsidRDefault="009F5172">
      <w:pPr>
        <w:pStyle w:val="FootnoteText"/>
        <w:rPr>
          <w:sz w:val="16"/>
          <w:szCs w:val="16"/>
        </w:rPr>
      </w:pPr>
      <w:r w:rsidRPr="009F5172">
        <w:rPr>
          <w:rStyle w:val="FootnoteReference"/>
          <w:sz w:val="16"/>
          <w:szCs w:val="16"/>
        </w:rPr>
        <w:footnoteRef/>
      </w:r>
      <w:r w:rsidRPr="009F5172">
        <w:rPr>
          <w:sz w:val="16"/>
          <w:szCs w:val="16"/>
        </w:rPr>
        <w:t xml:space="preserve"> Rose, Firms, Networks and Business Values, p.60.</w:t>
      </w:r>
    </w:p>
  </w:footnote>
  <w:footnote w:id="458">
    <w:p w14:paraId="2567C058" w14:textId="542D75D5" w:rsidR="008E5E31" w:rsidRPr="00AA2A48" w:rsidRDefault="008E5E31" w:rsidP="008E5E31">
      <w:pPr>
        <w:pStyle w:val="FootnoteText"/>
        <w:rPr>
          <w:sz w:val="16"/>
          <w:szCs w:val="16"/>
        </w:rPr>
      </w:pPr>
      <w:r w:rsidRPr="00AA2A48">
        <w:rPr>
          <w:rStyle w:val="FootnoteReference"/>
          <w:sz w:val="16"/>
          <w:szCs w:val="16"/>
        </w:rPr>
        <w:footnoteRef/>
      </w:r>
      <w:bookmarkStart w:id="142" w:name="_Hlk150146297"/>
      <w:r w:rsidR="009F5172">
        <w:rPr>
          <w:sz w:val="16"/>
          <w:szCs w:val="16"/>
        </w:rPr>
        <w:t xml:space="preserve"> </w:t>
      </w:r>
      <w:r w:rsidR="009F5172" w:rsidRPr="009F5172">
        <w:rPr>
          <w:i/>
          <w:iCs/>
          <w:sz w:val="16"/>
          <w:szCs w:val="16"/>
        </w:rPr>
        <w:t>Ibid</w:t>
      </w:r>
      <w:r w:rsidRPr="00AA2A48">
        <w:rPr>
          <w:sz w:val="16"/>
          <w:szCs w:val="16"/>
        </w:rPr>
        <w:t>, p.60</w:t>
      </w:r>
      <w:bookmarkEnd w:id="142"/>
      <w:r w:rsidRPr="00AA2A48">
        <w:rPr>
          <w:sz w:val="16"/>
          <w:szCs w:val="16"/>
        </w:rPr>
        <w:t xml:space="preserve">. </w:t>
      </w:r>
    </w:p>
  </w:footnote>
  <w:footnote w:id="459">
    <w:p w14:paraId="714DE1DA" w14:textId="36A129CC" w:rsidR="00E44575" w:rsidRPr="009F5172" w:rsidRDefault="00E44575">
      <w:pPr>
        <w:pStyle w:val="FootnoteText"/>
        <w:rPr>
          <w:sz w:val="16"/>
          <w:szCs w:val="16"/>
        </w:rPr>
      </w:pPr>
      <w:r w:rsidRPr="009F5172">
        <w:rPr>
          <w:rStyle w:val="FootnoteReference"/>
          <w:sz w:val="16"/>
          <w:szCs w:val="16"/>
        </w:rPr>
        <w:footnoteRef/>
      </w:r>
      <w:r w:rsidRPr="009F5172">
        <w:rPr>
          <w:sz w:val="16"/>
          <w:szCs w:val="16"/>
        </w:rPr>
        <w:t xml:space="preserve"> </w:t>
      </w:r>
      <w:r w:rsidR="006E2DC9" w:rsidRPr="009F5172">
        <w:rPr>
          <w:sz w:val="16"/>
          <w:szCs w:val="16"/>
        </w:rPr>
        <w:t>See</w:t>
      </w:r>
      <w:r w:rsidR="00713DCA" w:rsidRPr="009F5172">
        <w:rPr>
          <w:sz w:val="16"/>
          <w:szCs w:val="16"/>
        </w:rPr>
        <w:t xml:space="preserve"> </w:t>
      </w:r>
      <w:r w:rsidR="006E2DC9" w:rsidRPr="009F5172">
        <w:rPr>
          <w:sz w:val="16"/>
          <w:szCs w:val="16"/>
        </w:rPr>
        <w:t xml:space="preserve">Andrew Popp </w:t>
      </w:r>
      <w:r w:rsidR="009F5172" w:rsidRPr="009F5172">
        <w:rPr>
          <w:sz w:val="16"/>
          <w:szCs w:val="16"/>
        </w:rPr>
        <w:t>‘</w:t>
      </w:r>
      <w:r w:rsidR="006E2DC9" w:rsidRPr="009F5172">
        <w:rPr>
          <w:sz w:val="16"/>
          <w:szCs w:val="16"/>
        </w:rPr>
        <w:t>Trust in an industrial district: the Potteries, c. 1850-1900</w:t>
      </w:r>
      <w:r w:rsidR="009F5172" w:rsidRPr="009F5172">
        <w:rPr>
          <w:sz w:val="16"/>
          <w:szCs w:val="16"/>
        </w:rPr>
        <w:t>’</w:t>
      </w:r>
      <w:r w:rsidR="006E2DC9" w:rsidRPr="009F5172">
        <w:rPr>
          <w:sz w:val="16"/>
          <w:szCs w:val="16"/>
        </w:rPr>
        <w:t xml:space="preserve">, in </w:t>
      </w:r>
      <w:r w:rsidR="006E2DC9" w:rsidRPr="009F5172">
        <w:rPr>
          <w:i/>
          <w:iCs/>
          <w:sz w:val="16"/>
          <w:szCs w:val="16"/>
        </w:rPr>
        <w:t>Management and Industry</w:t>
      </w:r>
      <w:r w:rsidR="006E2DC9" w:rsidRPr="009F5172">
        <w:rPr>
          <w:sz w:val="16"/>
          <w:szCs w:val="16"/>
        </w:rPr>
        <w:t>, ed</w:t>
      </w:r>
      <w:r w:rsidR="009F5172" w:rsidRPr="009F5172">
        <w:rPr>
          <w:sz w:val="16"/>
          <w:szCs w:val="16"/>
        </w:rPr>
        <w:t>. by</w:t>
      </w:r>
      <w:r w:rsidR="006E2DC9" w:rsidRPr="009F5172">
        <w:rPr>
          <w:sz w:val="16"/>
          <w:szCs w:val="16"/>
        </w:rPr>
        <w:t xml:space="preserve"> John F. Wilson, Nicholas D. Wong, and Steven Toms (London: Routledge, 2020), pp. 111-144</w:t>
      </w:r>
      <w:r w:rsidR="00843E93" w:rsidRPr="009F5172">
        <w:rPr>
          <w:sz w:val="16"/>
          <w:szCs w:val="16"/>
        </w:rPr>
        <w:t xml:space="preserve"> and Sunderland, </w:t>
      </w:r>
      <w:r w:rsidR="00843E93" w:rsidRPr="009F5172">
        <w:rPr>
          <w:i/>
          <w:iCs/>
          <w:sz w:val="16"/>
          <w:szCs w:val="16"/>
        </w:rPr>
        <w:t>Social Capital, Trust and the Industrial Revolution</w:t>
      </w:r>
      <w:r w:rsidR="00843E93" w:rsidRPr="009F5172">
        <w:rPr>
          <w:sz w:val="16"/>
          <w:szCs w:val="16"/>
        </w:rPr>
        <w:t>, pp. 2-14.</w:t>
      </w:r>
    </w:p>
  </w:footnote>
  <w:footnote w:id="460">
    <w:p w14:paraId="3B8CDBE1" w14:textId="38532D8A" w:rsidR="005A05DF" w:rsidRPr="00FF0BE1" w:rsidRDefault="005A05DF" w:rsidP="005A05DF">
      <w:pPr>
        <w:pStyle w:val="FootnoteText"/>
        <w:rPr>
          <w:sz w:val="16"/>
          <w:szCs w:val="16"/>
        </w:rPr>
      </w:pPr>
      <w:r w:rsidRPr="00FF0BE1">
        <w:rPr>
          <w:rStyle w:val="FootnoteReference"/>
          <w:sz w:val="16"/>
          <w:szCs w:val="16"/>
        </w:rPr>
        <w:footnoteRef/>
      </w:r>
      <w:r w:rsidRPr="00FF0BE1">
        <w:rPr>
          <w:sz w:val="16"/>
          <w:szCs w:val="16"/>
        </w:rPr>
        <w:t xml:space="preserve"> See </w:t>
      </w:r>
      <w:r w:rsidR="00FF0BE1" w:rsidRPr="00FF0BE1">
        <w:rPr>
          <w:sz w:val="16"/>
          <w:szCs w:val="16"/>
        </w:rPr>
        <w:t xml:space="preserve">Carolyn Downs, ‘Networks, trust, and risk mitigation during the American Revolutionary War: A Case Study,’ </w:t>
      </w:r>
      <w:r w:rsidR="00FF0BE1" w:rsidRPr="00FF0BE1">
        <w:rPr>
          <w:i/>
          <w:iCs/>
          <w:sz w:val="16"/>
          <w:szCs w:val="16"/>
        </w:rPr>
        <w:t>Economic History Review</w:t>
      </w:r>
      <w:r w:rsidR="00FF0BE1" w:rsidRPr="00FF0BE1">
        <w:rPr>
          <w:sz w:val="16"/>
          <w:szCs w:val="16"/>
        </w:rPr>
        <w:t xml:space="preserve">, 70:2 (2017), pp. 509-528 (p. 511) </w:t>
      </w:r>
      <w:r w:rsidRPr="00FF0BE1">
        <w:rPr>
          <w:sz w:val="16"/>
          <w:szCs w:val="16"/>
        </w:rPr>
        <w:t xml:space="preserve">and </w:t>
      </w:r>
      <w:r w:rsidR="00FF0BE1" w:rsidRPr="00FF0BE1">
        <w:rPr>
          <w:sz w:val="16"/>
          <w:szCs w:val="16"/>
        </w:rPr>
        <w:t xml:space="preserve">Sheryllynne </w:t>
      </w:r>
      <w:r w:rsidRPr="00FF0BE1">
        <w:rPr>
          <w:sz w:val="16"/>
          <w:szCs w:val="16"/>
        </w:rPr>
        <w:t xml:space="preserve">Haggerty, </w:t>
      </w:r>
      <w:r w:rsidR="00FF0BE1" w:rsidRPr="00FF0BE1">
        <w:rPr>
          <w:i/>
          <w:iCs/>
          <w:sz w:val="16"/>
          <w:szCs w:val="16"/>
        </w:rPr>
        <w:t xml:space="preserve">Merely for </w:t>
      </w:r>
      <w:r w:rsidR="00FF0BE1" w:rsidRPr="00FF0BE1">
        <w:rPr>
          <w:i/>
          <w:iCs/>
          <w:sz w:val="16"/>
          <w:szCs w:val="16"/>
        </w:rPr>
        <w:t>Money?: Business Culture in the British Atlantic, 1750-1815</w:t>
      </w:r>
      <w:r w:rsidR="00FF0BE1" w:rsidRPr="00FF0BE1">
        <w:rPr>
          <w:sz w:val="16"/>
          <w:szCs w:val="16"/>
        </w:rPr>
        <w:t xml:space="preserve"> (Liverpool: Liverpool University Press, 2012), p.68.</w:t>
      </w:r>
    </w:p>
  </w:footnote>
  <w:footnote w:id="461">
    <w:p w14:paraId="5131DE02" w14:textId="7E457EB5" w:rsidR="00C7574B" w:rsidRPr="007D1EF8" w:rsidRDefault="00C7574B">
      <w:pPr>
        <w:pStyle w:val="FootnoteText"/>
        <w:rPr>
          <w:sz w:val="16"/>
          <w:szCs w:val="16"/>
        </w:rPr>
      </w:pPr>
      <w:r w:rsidRPr="007D1EF8">
        <w:rPr>
          <w:rStyle w:val="FootnoteReference"/>
          <w:sz w:val="16"/>
          <w:szCs w:val="16"/>
        </w:rPr>
        <w:footnoteRef/>
      </w:r>
      <w:r w:rsidRPr="007D1EF8">
        <w:rPr>
          <w:sz w:val="16"/>
          <w:szCs w:val="16"/>
        </w:rPr>
        <w:t xml:space="preserve"> DLSL, BS</w:t>
      </w:r>
      <w:r w:rsidR="003E2211">
        <w:rPr>
          <w:sz w:val="16"/>
          <w:szCs w:val="16"/>
        </w:rPr>
        <w:t xml:space="preserve"> </w:t>
      </w:r>
      <w:r w:rsidRPr="007D1EF8">
        <w:rPr>
          <w:sz w:val="16"/>
          <w:szCs w:val="16"/>
        </w:rPr>
        <w:t xml:space="preserve">677 EVA, DL119 CB R1 </w:t>
      </w:r>
      <w:r w:rsidR="00FF0BE1" w:rsidRPr="007D1EF8">
        <w:rPr>
          <w:sz w:val="16"/>
          <w:szCs w:val="16"/>
        </w:rPr>
        <w:t xml:space="preserve">[Letter Sent from Walter Evans &amp; Co. to Mr. </w:t>
      </w:r>
      <w:r w:rsidR="00FF0BE1" w:rsidRPr="007D1EF8">
        <w:rPr>
          <w:sz w:val="16"/>
          <w:szCs w:val="16"/>
        </w:rPr>
        <w:t xml:space="preserve">Skipwith, August 1808]. </w:t>
      </w:r>
    </w:p>
  </w:footnote>
  <w:footnote w:id="462">
    <w:p w14:paraId="7ACF7839" w14:textId="4B1AE9C7" w:rsidR="00A45AC4" w:rsidRDefault="00A45AC4">
      <w:pPr>
        <w:pStyle w:val="FootnoteText"/>
      </w:pPr>
      <w:r w:rsidRPr="007D1EF8">
        <w:rPr>
          <w:rStyle w:val="FootnoteReference"/>
          <w:sz w:val="16"/>
          <w:szCs w:val="16"/>
        </w:rPr>
        <w:footnoteRef/>
      </w:r>
      <w:r w:rsidRPr="007D1EF8">
        <w:rPr>
          <w:sz w:val="16"/>
          <w:szCs w:val="16"/>
        </w:rPr>
        <w:t xml:space="preserve"> </w:t>
      </w:r>
      <w:r w:rsidR="007D1EF8" w:rsidRPr="007D1EF8">
        <w:rPr>
          <w:sz w:val="16"/>
          <w:szCs w:val="16"/>
        </w:rPr>
        <w:t>DLSL, BS</w:t>
      </w:r>
      <w:r w:rsidR="003E2211">
        <w:rPr>
          <w:sz w:val="16"/>
          <w:szCs w:val="16"/>
        </w:rPr>
        <w:t xml:space="preserve"> </w:t>
      </w:r>
      <w:r w:rsidR="007D1EF8" w:rsidRPr="007D1EF8">
        <w:rPr>
          <w:sz w:val="16"/>
          <w:szCs w:val="16"/>
        </w:rPr>
        <w:t xml:space="preserve">677 EVA, DL119 CB R1 [Letter Sent from Walter Evans &amp; Co. to Mr. </w:t>
      </w:r>
      <w:r w:rsidR="007D1EF8" w:rsidRPr="007D1EF8">
        <w:rPr>
          <w:sz w:val="16"/>
          <w:szCs w:val="16"/>
        </w:rPr>
        <w:t>Skipwith, August 1808].</w:t>
      </w:r>
    </w:p>
  </w:footnote>
  <w:footnote w:id="463">
    <w:p w14:paraId="1E796086" w14:textId="27F04BF4" w:rsidR="009F31B6" w:rsidRPr="007D1EF8" w:rsidRDefault="009F31B6" w:rsidP="009F31B6">
      <w:pPr>
        <w:pStyle w:val="FootnoteText"/>
        <w:rPr>
          <w:sz w:val="16"/>
          <w:szCs w:val="16"/>
        </w:rPr>
      </w:pPr>
      <w:r w:rsidRPr="007D1EF8">
        <w:rPr>
          <w:rStyle w:val="FootnoteReference"/>
          <w:sz w:val="16"/>
          <w:szCs w:val="16"/>
        </w:rPr>
        <w:footnoteRef/>
      </w:r>
      <w:r w:rsidRPr="007D1EF8">
        <w:rPr>
          <w:sz w:val="16"/>
          <w:szCs w:val="16"/>
        </w:rPr>
        <w:t xml:space="preserve"> Peter Mathias, ‘Financing the Industrial Revolution,’ in Mathias and David, </w:t>
      </w:r>
      <w:r w:rsidRPr="007D1EF8">
        <w:rPr>
          <w:i/>
          <w:iCs/>
          <w:sz w:val="16"/>
          <w:szCs w:val="16"/>
        </w:rPr>
        <w:t>The First Industrial Revolution</w:t>
      </w:r>
      <w:r w:rsidRPr="007D1EF8">
        <w:rPr>
          <w:sz w:val="16"/>
          <w:szCs w:val="16"/>
        </w:rPr>
        <w:t xml:space="preserve"> (Oxford: Basil Blackwell, 1989), p. 62.</w:t>
      </w:r>
    </w:p>
  </w:footnote>
  <w:footnote w:id="464">
    <w:p w14:paraId="160FB873" w14:textId="5B5757D0" w:rsidR="00681866" w:rsidRPr="007D1EF8" w:rsidRDefault="00681866">
      <w:pPr>
        <w:pStyle w:val="FootnoteText"/>
        <w:rPr>
          <w:sz w:val="16"/>
          <w:szCs w:val="16"/>
        </w:rPr>
      </w:pPr>
      <w:r w:rsidRPr="007D1EF8">
        <w:rPr>
          <w:rStyle w:val="FootnoteReference"/>
          <w:sz w:val="16"/>
          <w:szCs w:val="16"/>
        </w:rPr>
        <w:footnoteRef/>
      </w:r>
      <w:r w:rsidRPr="007D1EF8">
        <w:rPr>
          <w:sz w:val="16"/>
          <w:szCs w:val="16"/>
        </w:rPr>
        <w:t xml:space="preserve"> </w:t>
      </w:r>
      <w:r w:rsidR="00C053E5" w:rsidRPr="007D1EF8">
        <w:rPr>
          <w:sz w:val="16"/>
          <w:szCs w:val="16"/>
        </w:rPr>
        <w:t xml:space="preserve">Haggerty, </w:t>
      </w:r>
      <w:r w:rsidR="00C053E5" w:rsidRPr="007D1EF8">
        <w:rPr>
          <w:i/>
          <w:iCs/>
          <w:sz w:val="16"/>
          <w:szCs w:val="16"/>
        </w:rPr>
        <w:t xml:space="preserve">Merely for </w:t>
      </w:r>
      <w:r w:rsidR="00C053E5" w:rsidRPr="007D1EF8">
        <w:rPr>
          <w:i/>
          <w:iCs/>
          <w:sz w:val="16"/>
          <w:szCs w:val="16"/>
        </w:rPr>
        <w:t>Money</w:t>
      </w:r>
      <w:r w:rsidR="00C053E5" w:rsidRPr="007D1EF8">
        <w:rPr>
          <w:sz w:val="16"/>
          <w:szCs w:val="16"/>
        </w:rPr>
        <w:t>?, p</w:t>
      </w:r>
      <w:r w:rsidR="00AC2A0E" w:rsidRPr="007D1EF8">
        <w:rPr>
          <w:sz w:val="16"/>
          <w:szCs w:val="16"/>
        </w:rPr>
        <w:t>p</w:t>
      </w:r>
      <w:r w:rsidR="00C053E5" w:rsidRPr="007D1EF8">
        <w:rPr>
          <w:sz w:val="16"/>
          <w:szCs w:val="16"/>
        </w:rPr>
        <w:t xml:space="preserve">. </w:t>
      </w:r>
      <w:r w:rsidR="00294971" w:rsidRPr="007D1EF8">
        <w:rPr>
          <w:sz w:val="16"/>
          <w:szCs w:val="16"/>
        </w:rPr>
        <w:t>64-66.</w:t>
      </w:r>
    </w:p>
  </w:footnote>
  <w:footnote w:id="465">
    <w:p w14:paraId="64ABF681" w14:textId="7D0490B0" w:rsidR="00D46041" w:rsidRPr="007D1EF8" w:rsidRDefault="00D46041">
      <w:pPr>
        <w:pStyle w:val="FootnoteText"/>
        <w:rPr>
          <w:sz w:val="16"/>
          <w:szCs w:val="16"/>
        </w:rPr>
      </w:pPr>
      <w:r w:rsidRPr="007D1EF8">
        <w:rPr>
          <w:rStyle w:val="FootnoteReference"/>
          <w:sz w:val="16"/>
          <w:szCs w:val="16"/>
        </w:rPr>
        <w:footnoteRef/>
      </w:r>
      <w:r w:rsidRPr="007D1EF8">
        <w:rPr>
          <w:sz w:val="16"/>
          <w:szCs w:val="16"/>
        </w:rPr>
        <w:t xml:space="preserve"> </w:t>
      </w:r>
      <w:bookmarkStart w:id="149" w:name="_Hlk149937276"/>
      <w:r w:rsidR="00F43410" w:rsidRPr="007D1EF8">
        <w:rPr>
          <w:sz w:val="16"/>
          <w:szCs w:val="16"/>
        </w:rPr>
        <w:t>DLSL, BS677, EVA, DL119 CB R1</w:t>
      </w:r>
      <w:r w:rsidR="007D1EF8" w:rsidRPr="007D1EF8">
        <w:rPr>
          <w:sz w:val="16"/>
          <w:szCs w:val="16"/>
        </w:rPr>
        <w:t xml:space="preserve"> [Letter Sent from W. Evans &amp; Co. to Robert Norris of Manchester, April 1788]. </w:t>
      </w:r>
    </w:p>
    <w:bookmarkEnd w:id="149"/>
  </w:footnote>
  <w:footnote w:id="466">
    <w:p w14:paraId="791D0F9A" w14:textId="32251E80" w:rsidR="00BF4FC7" w:rsidRDefault="00BF4FC7">
      <w:pPr>
        <w:pStyle w:val="FootnoteText"/>
      </w:pPr>
      <w:r w:rsidRPr="007D1EF8">
        <w:rPr>
          <w:rStyle w:val="FootnoteReference"/>
          <w:sz w:val="16"/>
          <w:szCs w:val="16"/>
        </w:rPr>
        <w:footnoteRef/>
      </w:r>
      <w:r w:rsidRPr="007D1EF8">
        <w:rPr>
          <w:sz w:val="16"/>
          <w:szCs w:val="16"/>
        </w:rPr>
        <w:t xml:space="preserve"> </w:t>
      </w:r>
      <w:r w:rsidR="007D1EF8" w:rsidRPr="007D1EF8">
        <w:rPr>
          <w:sz w:val="16"/>
          <w:szCs w:val="16"/>
        </w:rPr>
        <w:t>DLSL, BS677, EVA, DL119 CB R1 [Letter Sent from W. Evans &amp; Co. to Robert Norris of Manchester, April 1788].</w:t>
      </w:r>
    </w:p>
  </w:footnote>
  <w:footnote w:id="467">
    <w:p w14:paraId="1D444F0C" w14:textId="43AE3EED" w:rsidR="009C5321" w:rsidRPr="00044994" w:rsidRDefault="009C5321">
      <w:pPr>
        <w:pStyle w:val="FootnoteText"/>
        <w:rPr>
          <w:sz w:val="16"/>
          <w:szCs w:val="16"/>
        </w:rPr>
      </w:pPr>
      <w:r w:rsidRPr="00044994">
        <w:rPr>
          <w:rStyle w:val="FootnoteReference"/>
          <w:sz w:val="16"/>
          <w:szCs w:val="16"/>
        </w:rPr>
        <w:footnoteRef/>
      </w:r>
      <w:r w:rsidR="00C95BCF" w:rsidRPr="006F29B5">
        <w:rPr>
          <w:sz w:val="16"/>
          <w:szCs w:val="16"/>
        </w:rPr>
        <w:t xml:space="preserve"> </w:t>
      </w:r>
      <w:bookmarkStart w:id="150" w:name="_Hlk156728012"/>
      <w:r w:rsidR="00C95BCF" w:rsidRPr="00044994">
        <w:rPr>
          <w:sz w:val="16"/>
          <w:szCs w:val="16"/>
        </w:rPr>
        <w:t>DLSL, BS 677 EVA, DL119 CB R1</w:t>
      </w:r>
      <w:r w:rsidR="00044994" w:rsidRPr="00044994">
        <w:rPr>
          <w:sz w:val="16"/>
          <w:szCs w:val="16"/>
        </w:rPr>
        <w:t xml:space="preserve"> [Letter Sent by W. Evans &amp; Co. to Messrs. Whitfield &amp; Co. of Manchester, 19 May 1788</w:t>
      </w:r>
      <w:bookmarkEnd w:id="150"/>
      <w:r w:rsidR="00044994" w:rsidRPr="00044994">
        <w:rPr>
          <w:sz w:val="16"/>
          <w:szCs w:val="16"/>
        </w:rPr>
        <w:t xml:space="preserve">].  </w:t>
      </w:r>
      <w:r w:rsidR="00C95BCF" w:rsidRPr="00044994">
        <w:rPr>
          <w:sz w:val="16"/>
          <w:szCs w:val="16"/>
        </w:rPr>
        <w:t xml:space="preserve"> </w:t>
      </w:r>
    </w:p>
  </w:footnote>
  <w:footnote w:id="468">
    <w:p w14:paraId="2D2A34D5" w14:textId="33AE980A" w:rsidR="00BF2CB4" w:rsidRPr="00044994" w:rsidRDefault="00BF2CB4" w:rsidP="00044994">
      <w:pPr>
        <w:pStyle w:val="FootnoteText"/>
        <w:rPr>
          <w:sz w:val="16"/>
          <w:szCs w:val="16"/>
        </w:rPr>
      </w:pPr>
      <w:r w:rsidRPr="00FD3CFC">
        <w:rPr>
          <w:rStyle w:val="FootnoteReference"/>
          <w:sz w:val="18"/>
          <w:szCs w:val="18"/>
        </w:rPr>
        <w:footnoteRef/>
      </w:r>
      <w:r w:rsidRPr="00C95BCF">
        <w:rPr>
          <w:sz w:val="18"/>
          <w:szCs w:val="18"/>
        </w:rPr>
        <w:t xml:space="preserve"> </w:t>
      </w:r>
      <w:r w:rsidR="00044994" w:rsidRPr="00044994">
        <w:rPr>
          <w:sz w:val="16"/>
          <w:szCs w:val="16"/>
        </w:rPr>
        <w:t>DLSL, BS 677 EVA, DL119 CB R1 [Letter Sent by W. Evans &amp; Co. to Messrs. Whitfield &amp; Co. of Manchester, 19 May 1788].</w:t>
      </w:r>
    </w:p>
  </w:footnote>
  <w:footnote w:id="469">
    <w:p w14:paraId="14D21F0F" w14:textId="72995D13" w:rsidR="005B4563" w:rsidRPr="007A49DB" w:rsidRDefault="005B4563">
      <w:pPr>
        <w:pStyle w:val="FootnoteText"/>
        <w:rPr>
          <w:sz w:val="16"/>
          <w:szCs w:val="16"/>
        </w:rPr>
      </w:pPr>
      <w:r w:rsidRPr="007A49DB">
        <w:rPr>
          <w:rStyle w:val="FootnoteReference"/>
          <w:sz w:val="16"/>
          <w:szCs w:val="16"/>
        </w:rPr>
        <w:footnoteRef/>
      </w:r>
      <w:r w:rsidRPr="007A49DB">
        <w:rPr>
          <w:sz w:val="16"/>
          <w:szCs w:val="16"/>
        </w:rPr>
        <w:t xml:space="preserve"> </w:t>
      </w:r>
      <w:r w:rsidR="007A49DB" w:rsidRPr="007A49DB">
        <w:rPr>
          <w:sz w:val="16"/>
          <w:szCs w:val="16"/>
        </w:rPr>
        <w:t>DLSL, BS 677 EVA, DL119 CB R1 [Letter Sent from W. Evans &amp; Co. to Messrs. Bott &amp; Co. of Tutbury, 14 December 1787].</w:t>
      </w:r>
    </w:p>
  </w:footnote>
  <w:footnote w:id="470">
    <w:p w14:paraId="284F27DA" w14:textId="7053FED1" w:rsidR="00E260B4" w:rsidRPr="007A49DB" w:rsidRDefault="00E260B4" w:rsidP="007A49DB">
      <w:pPr>
        <w:pStyle w:val="FootnoteText"/>
        <w:rPr>
          <w:sz w:val="16"/>
          <w:szCs w:val="16"/>
        </w:rPr>
      </w:pPr>
      <w:r w:rsidRPr="007A49DB">
        <w:rPr>
          <w:rStyle w:val="FootnoteReference"/>
          <w:sz w:val="16"/>
          <w:szCs w:val="16"/>
        </w:rPr>
        <w:footnoteRef/>
      </w:r>
      <w:r w:rsidR="007A49DB">
        <w:rPr>
          <w:sz w:val="16"/>
          <w:szCs w:val="16"/>
        </w:rPr>
        <w:t xml:space="preserve"> </w:t>
      </w:r>
      <w:r w:rsidR="007A49DB" w:rsidRPr="007A49DB">
        <w:rPr>
          <w:sz w:val="16"/>
          <w:szCs w:val="16"/>
        </w:rPr>
        <w:t>DLSL, BS 677 EVA, DL119 CB R1[Two Letters Sent from W. Evans &amp; Co. to John Robinson of Bulwell and James Robinson of Papplewick, 29 June 1795].</w:t>
      </w:r>
    </w:p>
  </w:footnote>
  <w:footnote w:id="471">
    <w:p w14:paraId="7F2CF241" w14:textId="273CC38C" w:rsidR="007D1EF8" w:rsidRDefault="007D1EF8">
      <w:pPr>
        <w:pStyle w:val="FootnoteText"/>
      </w:pPr>
      <w:r w:rsidRPr="007A49DB">
        <w:rPr>
          <w:rStyle w:val="FootnoteReference"/>
          <w:sz w:val="16"/>
          <w:szCs w:val="16"/>
        </w:rPr>
        <w:footnoteRef/>
      </w:r>
      <w:r w:rsidRPr="007A49DB">
        <w:rPr>
          <w:sz w:val="16"/>
          <w:szCs w:val="16"/>
        </w:rPr>
        <w:t xml:space="preserve"> </w:t>
      </w:r>
      <w:r w:rsidR="007A49DB" w:rsidRPr="007A49DB">
        <w:rPr>
          <w:sz w:val="16"/>
          <w:szCs w:val="16"/>
        </w:rPr>
        <w:t>DLSL, BS 677 EVA, DL119 CB R1[Two Letters Sent from W. Evans &amp; Co. to John Robinson of Bulwell and James Robinson of Papplewick, 29 June 1795].</w:t>
      </w:r>
    </w:p>
  </w:footnote>
  <w:footnote w:id="472">
    <w:p w14:paraId="64C379A5" w14:textId="357B4B5A" w:rsidR="00800B41" w:rsidRPr="007A49DB" w:rsidRDefault="00800B41">
      <w:pPr>
        <w:pStyle w:val="FootnoteText"/>
        <w:rPr>
          <w:sz w:val="16"/>
          <w:szCs w:val="16"/>
        </w:rPr>
      </w:pPr>
      <w:r w:rsidRPr="007A49DB">
        <w:rPr>
          <w:rStyle w:val="FootnoteReference"/>
          <w:sz w:val="16"/>
          <w:szCs w:val="16"/>
        </w:rPr>
        <w:footnoteRef/>
      </w:r>
      <w:r w:rsidRPr="007A49DB">
        <w:rPr>
          <w:sz w:val="16"/>
          <w:szCs w:val="16"/>
        </w:rPr>
        <w:t xml:space="preserve"> </w:t>
      </w:r>
      <w:r w:rsidR="00E6445A" w:rsidRPr="007A49DB">
        <w:rPr>
          <w:sz w:val="16"/>
          <w:szCs w:val="16"/>
        </w:rPr>
        <w:t xml:space="preserve">JRL, GB 133 </w:t>
      </w:r>
      <w:r w:rsidR="00E26D74" w:rsidRPr="007A49DB">
        <w:rPr>
          <w:sz w:val="16"/>
          <w:szCs w:val="16"/>
        </w:rPr>
        <w:t>MCK</w:t>
      </w:r>
      <w:r w:rsidR="00FD0D63" w:rsidRPr="007A49DB">
        <w:rPr>
          <w:sz w:val="16"/>
          <w:szCs w:val="16"/>
        </w:rPr>
        <w:t>/</w:t>
      </w:r>
      <w:r w:rsidR="001F1F38" w:rsidRPr="007A49DB">
        <w:rPr>
          <w:sz w:val="16"/>
          <w:szCs w:val="16"/>
        </w:rPr>
        <w:t>2/1/1, MCK/2/1/2, MCK/2/1/3</w:t>
      </w:r>
      <w:r w:rsidR="0076356B" w:rsidRPr="007A49DB">
        <w:rPr>
          <w:sz w:val="16"/>
          <w:szCs w:val="16"/>
        </w:rPr>
        <w:t>, MCK/2/2/1, and MCK/2/2/2</w:t>
      </w:r>
      <w:r w:rsidR="007A49DB">
        <w:rPr>
          <w:sz w:val="16"/>
          <w:szCs w:val="16"/>
        </w:rPr>
        <w:t xml:space="preserve">. [Letters Exchanged between McConnel &amp; Kennedy and </w:t>
      </w:r>
      <w:r w:rsidR="007A49DB">
        <w:rPr>
          <w:sz w:val="16"/>
          <w:szCs w:val="16"/>
        </w:rPr>
        <w:t xml:space="preserve">Brundred and Berrisford of Winkhill, Staffordshire]. </w:t>
      </w:r>
      <w:r w:rsidR="00E26D74" w:rsidRPr="007A49DB">
        <w:rPr>
          <w:sz w:val="16"/>
          <w:szCs w:val="16"/>
        </w:rPr>
        <w:t xml:space="preserve"> </w:t>
      </w:r>
    </w:p>
  </w:footnote>
  <w:footnote w:id="473">
    <w:p w14:paraId="46308660" w14:textId="5DCE8967" w:rsidR="007A49DB" w:rsidRPr="007A49DB" w:rsidRDefault="007A49DB">
      <w:pPr>
        <w:pStyle w:val="FootnoteText"/>
        <w:rPr>
          <w:sz w:val="16"/>
          <w:szCs w:val="16"/>
          <w:lang w:val="en-US"/>
        </w:rPr>
      </w:pPr>
      <w:r w:rsidRPr="007A49DB">
        <w:rPr>
          <w:rStyle w:val="FootnoteReference"/>
          <w:sz w:val="16"/>
          <w:szCs w:val="16"/>
        </w:rPr>
        <w:footnoteRef/>
      </w:r>
      <w:r w:rsidRPr="007A49DB">
        <w:rPr>
          <w:sz w:val="16"/>
          <w:szCs w:val="16"/>
        </w:rPr>
        <w:t xml:space="preserve"> JRL, GB 133 MCK/2/2/1 [Letter Sent from McConnel &amp; Kennedy to </w:t>
      </w:r>
      <w:r w:rsidRPr="007A49DB">
        <w:rPr>
          <w:sz w:val="16"/>
          <w:szCs w:val="16"/>
        </w:rPr>
        <w:t xml:space="preserve">Brundred &amp; Berrisford of Winkhill, Staffordshire, 10 April 1795]. </w:t>
      </w:r>
    </w:p>
  </w:footnote>
  <w:footnote w:id="474">
    <w:p w14:paraId="55D9F249" w14:textId="33F18B57" w:rsidR="00E26D74" w:rsidRPr="007A49DB" w:rsidRDefault="00E26D74">
      <w:pPr>
        <w:pStyle w:val="FootnoteText"/>
        <w:rPr>
          <w:sz w:val="16"/>
          <w:szCs w:val="16"/>
        </w:rPr>
      </w:pPr>
      <w:r w:rsidRPr="007A49DB">
        <w:rPr>
          <w:rStyle w:val="FootnoteReference"/>
          <w:sz w:val="16"/>
          <w:szCs w:val="16"/>
        </w:rPr>
        <w:footnoteRef/>
      </w:r>
      <w:r w:rsidRPr="007A49DB">
        <w:rPr>
          <w:sz w:val="16"/>
          <w:szCs w:val="16"/>
        </w:rPr>
        <w:t xml:space="preserve"> </w:t>
      </w:r>
      <w:r w:rsidR="007A49DB" w:rsidRPr="007A49DB">
        <w:rPr>
          <w:sz w:val="16"/>
          <w:szCs w:val="16"/>
        </w:rPr>
        <w:t xml:space="preserve">JRL, GB 133 MCK/2/2/1 [Letter Sent from McConnel &amp; Kennedy to </w:t>
      </w:r>
      <w:r w:rsidR="007A49DB" w:rsidRPr="007A49DB">
        <w:rPr>
          <w:sz w:val="16"/>
          <w:szCs w:val="16"/>
        </w:rPr>
        <w:t>Brundred &amp; Berrisford of Winkhill, Staffordshire, 10 April 1795].</w:t>
      </w:r>
    </w:p>
  </w:footnote>
  <w:footnote w:id="475">
    <w:p w14:paraId="262B9F21" w14:textId="35BDB580" w:rsidR="007C075C" w:rsidRPr="00FD3CFC" w:rsidRDefault="007C075C" w:rsidP="007A49DB">
      <w:pPr>
        <w:pStyle w:val="FootnoteText"/>
        <w:rPr>
          <w:sz w:val="18"/>
          <w:szCs w:val="18"/>
        </w:rPr>
      </w:pPr>
      <w:r w:rsidRPr="007A49DB">
        <w:rPr>
          <w:rStyle w:val="FootnoteReference"/>
          <w:sz w:val="16"/>
          <w:szCs w:val="16"/>
        </w:rPr>
        <w:footnoteRef/>
      </w:r>
      <w:r w:rsidRPr="007A49DB">
        <w:rPr>
          <w:sz w:val="16"/>
          <w:szCs w:val="16"/>
        </w:rPr>
        <w:t xml:space="preserve"> </w:t>
      </w:r>
      <w:r w:rsidR="007A49DB" w:rsidRPr="007A49DB">
        <w:rPr>
          <w:sz w:val="16"/>
          <w:szCs w:val="16"/>
        </w:rPr>
        <w:t xml:space="preserve">JRL, GB 133 MCK/2/2/1 [Letter Sent from McConnel &amp; Kennedy to </w:t>
      </w:r>
      <w:r w:rsidR="007A49DB" w:rsidRPr="007A49DB">
        <w:rPr>
          <w:sz w:val="16"/>
          <w:szCs w:val="16"/>
        </w:rPr>
        <w:t>Brundred &amp; Berrisford of Winkhill, Staffordshire, 1</w:t>
      </w:r>
      <w:r w:rsidR="007A49DB">
        <w:rPr>
          <w:sz w:val="16"/>
          <w:szCs w:val="16"/>
        </w:rPr>
        <w:t xml:space="preserve"> </w:t>
      </w:r>
      <w:r w:rsidR="007A49DB" w:rsidRPr="007A49DB">
        <w:rPr>
          <w:sz w:val="16"/>
          <w:szCs w:val="16"/>
        </w:rPr>
        <w:t>May 1795].</w:t>
      </w:r>
    </w:p>
  </w:footnote>
  <w:footnote w:id="476">
    <w:p w14:paraId="02027170" w14:textId="5416A0C9" w:rsidR="007A49DB" w:rsidRPr="007A49DB" w:rsidRDefault="007A49DB">
      <w:pPr>
        <w:pStyle w:val="FootnoteText"/>
        <w:rPr>
          <w:sz w:val="16"/>
          <w:szCs w:val="16"/>
          <w:lang w:val="en-US"/>
        </w:rPr>
      </w:pPr>
      <w:r w:rsidRPr="007A49DB">
        <w:rPr>
          <w:rStyle w:val="FootnoteReference"/>
          <w:sz w:val="16"/>
          <w:szCs w:val="16"/>
        </w:rPr>
        <w:footnoteRef/>
      </w:r>
      <w:r w:rsidRPr="007A49DB">
        <w:rPr>
          <w:sz w:val="16"/>
          <w:szCs w:val="16"/>
        </w:rPr>
        <w:t xml:space="preserve"> JRL, GB 133 MCK/2/1/1, MCK/2/1/2, MCK/2/1/3, MCK/2/2/1, and MCK/2/2/2. [Letters Exchanged between McConnel &amp; Kennedy and </w:t>
      </w:r>
      <w:r w:rsidRPr="007A49DB">
        <w:rPr>
          <w:sz w:val="16"/>
          <w:szCs w:val="16"/>
        </w:rPr>
        <w:t xml:space="preserve">Brundred and Berrisford of Winkhill, Staffordshire].  </w:t>
      </w:r>
    </w:p>
  </w:footnote>
  <w:footnote w:id="477">
    <w:p w14:paraId="0AA3902B" w14:textId="43224EF3" w:rsidR="007A23ED" w:rsidRPr="003E2211" w:rsidRDefault="007A23ED">
      <w:pPr>
        <w:pStyle w:val="FootnoteText"/>
        <w:rPr>
          <w:sz w:val="16"/>
          <w:szCs w:val="16"/>
        </w:rPr>
      </w:pPr>
      <w:r w:rsidRPr="003E2211">
        <w:rPr>
          <w:rStyle w:val="FootnoteReference"/>
          <w:sz w:val="16"/>
          <w:szCs w:val="16"/>
        </w:rPr>
        <w:footnoteRef/>
      </w:r>
      <w:r w:rsidRPr="003E2211">
        <w:rPr>
          <w:sz w:val="16"/>
          <w:szCs w:val="16"/>
        </w:rPr>
        <w:t xml:space="preserve"> DLSL, BS677 EVA, DL119, CB R1</w:t>
      </w:r>
      <w:r w:rsidR="007A49DB" w:rsidRPr="003E2211">
        <w:rPr>
          <w:sz w:val="16"/>
          <w:szCs w:val="16"/>
        </w:rPr>
        <w:t xml:space="preserve"> </w:t>
      </w:r>
      <w:bookmarkStart w:id="152" w:name="_Hlk156728696"/>
      <w:r w:rsidR="007A49DB" w:rsidRPr="003E2211">
        <w:rPr>
          <w:sz w:val="16"/>
          <w:szCs w:val="16"/>
        </w:rPr>
        <w:t>[</w:t>
      </w:r>
      <w:r w:rsidR="003E2211" w:rsidRPr="003E2211">
        <w:rPr>
          <w:sz w:val="16"/>
          <w:szCs w:val="16"/>
        </w:rPr>
        <w:t xml:space="preserve">Letter Sent from W. Evans &amp; Co. to Thomas </w:t>
      </w:r>
      <w:r w:rsidR="003E2211" w:rsidRPr="003E2211">
        <w:rPr>
          <w:sz w:val="16"/>
          <w:szCs w:val="16"/>
        </w:rPr>
        <w:t xml:space="preserve">Howbrook of Halifax, March 1791].  </w:t>
      </w:r>
    </w:p>
    <w:bookmarkEnd w:id="152"/>
  </w:footnote>
  <w:footnote w:id="478">
    <w:p w14:paraId="3AB10260" w14:textId="388B08E9" w:rsidR="00E109F6" w:rsidRPr="003E2211" w:rsidRDefault="00E109F6">
      <w:pPr>
        <w:pStyle w:val="FootnoteText"/>
        <w:rPr>
          <w:sz w:val="16"/>
          <w:szCs w:val="16"/>
        </w:rPr>
      </w:pPr>
      <w:r w:rsidRPr="003E2211">
        <w:rPr>
          <w:rStyle w:val="FootnoteReference"/>
          <w:sz w:val="16"/>
          <w:szCs w:val="16"/>
        </w:rPr>
        <w:footnoteRef/>
      </w:r>
      <w:r w:rsidRPr="003E2211">
        <w:rPr>
          <w:sz w:val="16"/>
          <w:szCs w:val="16"/>
        </w:rPr>
        <w:t xml:space="preserve"> DLSL, BS677 EVA, DL119, CB R1</w:t>
      </w:r>
      <w:r w:rsidR="003E2211" w:rsidRPr="003E2211">
        <w:rPr>
          <w:sz w:val="16"/>
          <w:szCs w:val="16"/>
        </w:rPr>
        <w:t xml:space="preserve"> [Letters Sent from W. Evans &amp; Co. to Thomas </w:t>
      </w:r>
      <w:r w:rsidR="003E2211" w:rsidRPr="003E2211">
        <w:rPr>
          <w:sz w:val="16"/>
          <w:szCs w:val="16"/>
        </w:rPr>
        <w:t xml:space="preserve">Howbrook of Halifax, March-December 1791].  </w:t>
      </w:r>
    </w:p>
  </w:footnote>
  <w:footnote w:id="479">
    <w:p w14:paraId="404C5844" w14:textId="04DE5C23" w:rsidR="00AB141C" w:rsidRPr="003E2211" w:rsidRDefault="00AB141C">
      <w:pPr>
        <w:pStyle w:val="FootnoteText"/>
        <w:rPr>
          <w:sz w:val="16"/>
          <w:szCs w:val="16"/>
        </w:rPr>
      </w:pPr>
      <w:r w:rsidRPr="003E2211">
        <w:rPr>
          <w:rStyle w:val="FootnoteReference"/>
          <w:sz w:val="16"/>
          <w:szCs w:val="16"/>
        </w:rPr>
        <w:footnoteRef/>
      </w:r>
      <w:r w:rsidRPr="003E2211">
        <w:rPr>
          <w:sz w:val="16"/>
          <w:szCs w:val="16"/>
        </w:rPr>
        <w:t xml:space="preserve"> </w:t>
      </w:r>
      <w:r w:rsidR="003E2211" w:rsidRPr="003E2211">
        <w:rPr>
          <w:sz w:val="16"/>
          <w:szCs w:val="16"/>
        </w:rPr>
        <w:t xml:space="preserve">DLSL, BS 677 EVA, DL119 CB R1 [Letter Sent from Walter Evans &amp; Co. to J. W. </w:t>
      </w:r>
      <w:r w:rsidR="003E2211" w:rsidRPr="003E2211">
        <w:rPr>
          <w:sz w:val="16"/>
          <w:szCs w:val="16"/>
        </w:rPr>
        <w:t>Killingley, Mount Street, Nottingham, 30 July 1807].</w:t>
      </w:r>
    </w:p>
  </w:footnote>
  <w:footnote w:id="480">
    <w:p w14:paraId="397201B5" w14:textId="72C6CA35" w:rsidR="003E2211" w:rsidRPr="003E2211" w:rsidRDefault="003E2211">
      <w:pPr>
        <w:pStyle w:val="FootnoteText"/>
        <w:rPr>
          <w:sz w:val="16"/>
          <w:szCs w:val="16"/>
          <w:lang w:val="en-US"/>
        </w:rPr>
      </w:pPr>
      <w:r w:rsidRPr="003E2211">
        <w:rPr>
          <w:rStyle w:val="FootnoteReference"/>
          <w:sz w:val="16"/>
          <w:szCs w:val="16"/>
        </w:rPr>
        <w:footnoteRef/>
      </w:r>
      <w:r w:rsidRPr="003E2211">
        <w:rPr>
          <w:sz w:val="16"/>
          <w:szCs w:val="16"/>
        </w:rPr>
        <w:t xml:space="preserve"> DLSL, BS 677 EVA, DL119 CB R1 [Letter Sent from Walter Evans &amp; Co. to J. W. </w:t>
      </w:r>
      <w:r w:rsidRPr="003E2211">
        <w:rPr>
          <w:sz w:val="16"/>
          <w:szCs w:val="16"/>
        </w:rPr>
        <w:t>Killingley, Mount Street, Nottingham, 30 July 1807].</w:t>
      </w:r>
    </w:p>
  </w:footnote>
  <w:footnote w:id="481">
    <w:p w14:paraId="568576D6" w14:textId="6EF52773" w:rsidR="00E260B4" w:rsidRPr="00FD3CFC" w:rsidRDefault="00E260B4">
      <w:pPr>
        <w:pStyle w:val="FootnoteText"/>
        <w:rPr>
          <w:sz w:val="18"/>
          <w:szCs w:val="18"/>
        </w:rPr>
      </w:pPr>
      <w:r w:rsidRPr="003E2211">
        <w:rPr>
          <w:rStyle w:val="FootnoteReference"/>
          <w:sz w:val="16"/>
          <w:szCs w:val="16"/>
        </w:rPr>
        <w:footnoteRef/>
      </w:r>
      <w:r w:rsidRPr="003E2211">
        <w:rPr>
          <w:sz w:val="16"/>
          <w:szCs w:val="16"/>
        </w:rPr>
        <w:t xml:space="preserve"> </w:t>
      </w:r>
      <w:r w:rsidR="003E2211" w:rsidRPr="003E2211">
        <w:rPr>
          <w:sz w:val="16"/>
          <w:szCs w:val="16"/>
        </w:rPr>
        <w:t xml:space="preserve">DLSL, BS 677 EVA, DL119 CB R1 [Letter Sent from Walter Evans &amp; Co. to J. W. </w:t>
      </w:r>
      <w:r w:rsidR="003E2211" w:rsidRPr="003E2211">
        <w:rPr>
          <w:sz w:val="16"/>
          <w:szCs w:val="16"/>
        </w:rPr>
        <w:t>Killingley, Mount Street, Nottingham, 30 July 1807].</w:t>
      </w:r>
    </w:p>
  </w:footnote>
  <w:footnote w:id="482">
    <w:p w14:paraId="7263BA03" w14:textId="3CBCA610" w:rsidR="003E2211" w:rsidRPr="003E2211" w:rsidRDefault="003E2211">
      <w:pPr>
        <w:pStyle w:val="FootnoteText"/>
        <w:rPr>
          <w:sz w:val="16"/>
          <w:szCs w:val="16"/>
          <w:lang w:val="en-US"/>
        </w:rPr>
      </w:pPr>
      <w:r w:rsidRPr="003E2211">
        <w:rPr>
          <w:rStyle w:val="FootnoteReference"/>
          <w:sz w:val="16"/>
          <w:szCs w:val="16"/>
        </w:rPr>
        <w:footnoteRef/>
      </w:r>
      <w:r w:rsidRPr="003E2211">
        <w:rPr>
          <w:sz w:val="16"/>
          <w:szCs w:val="16"/>
        </w:rPr>
        <w:t xml:space="preserve"> </w:t>
      </w:r>
      <w:bookmarkStart w:id="153" w:name="_Hlk156729547"/>
      <w:r w:rsidRPr="003E2211">
        <w:rPr>
          <w:sz w:val="16"/>
          <w:szCs w:val="16"/>
        </w:rPr>
        <w:t xml:space="preserve">JRL, GB 133 MCK/2/1/1, MCK/2/2/1 and MCK2/2/2 [Letters Exchanged by McConnel &amp; Kennedy and George &amp; William Armytage of Halifax and DLSL, BS 677 EVA, DL119 CB R1 Letters Sent by W. Evans &amp; Co. and George and William Armytage, 1795-1810]. </w:t>
      </w:r>
    </w:p>
    <w:bookmarkEnd w:id="153"/>
  </w:footnote>
  <w:footnote w:id="483">
    <w:p w14:paraId="1212D3B3" w14:textId="49DA5329" w:rsidR="000C5B19" w:rsidRPr="00FD3CFC" w:rsidRDefault="000C5B19">
      <w:pPr>
        <w:pStyle w:val="FootnoteText"/>
        <w:rPr>
          <w:sz w:val="18"/>
          <w:szCs w:val="18"/>
        </w:rPr>
      </w:pPr>
      <w:r w:rsidRPr="003E2211">
        <w:rPr>
          <w:rStyle w:val="FootnoteReference"/>
          <w:sz w:val="16"/>
          <w:szCs w:val="16"/>
        </w:rPr>
        <w:footnoteRef/>
      </w:r>
      <w:r w:rsidRPr="003E2211">
        <w:rPr>
          <w:sz w:val="16"/>
          <w:szCs w:val="16"/>
        </w:rPr>
        <w:t xml:space="preserve"> </w:t>
      </w:r>
      <w:bookmarkStart w:id="154" w:name="_Hlk149938252"/>
      <w:r w:rsidR="00511045" w:rsidRPr="003E2211">
        <w:rPr>
          <w:sz w:val="16"/>
          <w:szCs w:val="16"/>
        </w:rPr>
        <w:t>JRL,</w:t>
      </w:r>
      <w:r w:rsidR="0052374A" w:rsidRPr="003E2211">
        <w:rPr>
          <w:sz w:val="16"/>
          <w:szCs w:val="16"/>
        </w:rPr>
        <w:t xml:space="preserve"> GB 133 MCK/2/1/1, MCK/2/2/1 and MCK2/2/2 </w:t>
      </w:r>
      <w:bookmarkEnd w:id="154"/>
      <w:r w:rsidR="003E2211" w:rsidRPr="003E2211">
        <w:rPr>
          <w:sz w:val="16"/>
          <w:szCs w:val="16"/>
        </w:rPr>
        <w:t>[Letters Exchanged by McConnel &amp; Kennedy and George &amp; William Armytage of Halifax, 1795].</w:t>
      </w:r>
      <w:r w:rsidR="003E2211">
        <w:rPr>
          <w:sz w:val="18"/>
          <w:szCs w:val="18"/>
        </w:rPr>
        <w:t xml:space="preserve"> </w:t>
      </w:r>
    </w:p>
  </w:footnote>
  <w:footnote w:id="484">
    <w:p w14:paraId="47D43023" w14:textId="678B0B27" w:rsidR="003E2211" w:rsidRPr="00AF16CA" w:rsidRDefault="003E2211" w:rsidP="003E2211">
      <w:pPr>
        <w:pStyle w:val="FootnoteText"/>
        <w:rPr>
          <w:sz w:val="16"/>
          <w:szCs w:val="16"/>
        </w:rPr>
      </w:pPr>
      <w:r w:rsidRPr="00AF16CA">
        <w:rPr>
          <w:rStyle w:val="FootnoteReference"/>
          <w:sz w:val="16"/>
          <w:szCs w:val="16"/>
        </w:rPr>
        <w:footnoteRef/>
      </w:r>
      <w:r w:rsidRPr="00AF16CA">
        <w:rPr>
          <w:sz w:val="16"/>
          <w:szCs w:val="16"/>
        </w:rPr>
        <w:t xml:space="preserve"> </w:t>
      </w:r>
      <w:bookmarkStart w:id="155" w:name="_Hlk156729300"/>
      <w:r w:rsidRPr="00AF16CA">
        <w:rPr>
          <w:sz w:val="16"/>
          <w:szCs w:val="16"/>
        </w:rPr>
        <w:t xml:space="preserve">JRL, GB 133 MCK/2/2/1 [Letter Sent from McConnel &amp; Kennedy </w:t>
      </w:r>
      <w:r w:rsidR="00AF16CA" w:rsidRPr="00AF16CA">
        <w:rPr>
          <w:sz w:val="16"/>
          <w:szCs w:val="16"/>
        </w:rPr>
        <w:t>to</w:t>
      </w:r>
      <w:r w:rsidRPr="00AF16CA">
        <w:rPr>
          <w:sz w:val="16"/>
          <w:szCs w:val="16"/>
        </w:rPr>
        <w:t xml:space="preserve"> George &amp; William Armytage of Halifax, </w:t>
      </w:r>
      <w:r w:rsidR="00AF16CA" w:rsidRPr="00AF16CA">
        <w:rPr>
          <w:sz w:val="16"/>
          <w:szCs w:val="16"/>
        </w:rPr>
        <w:t xml:space="preserve">17 March </w:t>
      </w:r>
      <w:r w:rsidRPr="00AF16CA">
        <w:rPr>
          <w:sz w:val="16"/>
          <w:szCs w:val="16"/>
        </w:rPr>
        <w:t>1795].</w:t>
      </w:r>
    </w:p>
    <w:bookmarkEnd w:id="155"/>
  </w:footnote>
  <w:footnote w:id="485">
    <w:p w14:paraId="07FCAA45" w14:textId="5187F33B" w:rsidR="00D31B50" w:rsidRPr="00AF16CA" w:rsidRDefault="00D31B50">
      <w:pPr>
        <w:pStyle w:val="FootnoteText"/>
        <w:rPr>
          <w:sz w:val="16"/>
          <w:szCs w:val="16"/>
        </w:rPr>
      </w:pPr>
      <w:r w:rsidRPr="00AF16CA">
        <w:rPr>
          <w:rStyle w:val="FootnoteReference"/>
          <w:sz w:val="16"/>
          <w:szCs w:val="16"/>
        </w:rPr>
        <w:footnoteRef/>
      </w:r>
      <w:r w:rsidRPr="00AF16CA">
        <w:rPr>
          <w:sz w:val="16"/>
          <w:szCs w:val="16"/>
        </w:rPr>
        <w:t xml:space="preserve"> </w:t>
      </w:r>
      <w:r w:rsidR="00AF16CA" w:rsidRPr="00AF16CA">
        <w:rPr>
          <w:sz w:val="16"/>
          <w:szCs w:val="16"/>
        </w:rPr>
        <w:t xml:space="preserve">JRL, GB 133 MCK/2/2/1 [Letter Sent from McConnel &amp; Kennedy to George &amp; William Armytage of Halifax, </w:t>
      </w:r>
      <w:r w:rsidR="00AF16CA">
        <w:rPr>
          <w:sz w:val="16"/>
          <w:szCs w:val="16"/>
        </w:rPr>
        <w:t>2</w:t>
      </w:r>
      <w:r w:rsidR="00AF16CA" w:rsidRPr="00AF16CA">
        <w:rPr>
          <w:sz w:val="16"/>
          <w:szCs w:val="16"/>
        </w:rPr>
        <w:t>7 March 1795].</w:t>
      </w:r>
    </w:p>
  </w:footnote>
  <w:footnote w:id="486">
    <w:p w14:paraId="1BE9136A" w14:textId="1077731E" w:rsidR="00D31B50" w:rsidRPr="00AF16CA" w:rsidRDefault="00D31B50">
      <w:pPr>
        <w:pStyle w:val="FootnoteText"/>
        <w:rPr>
          <w:sz w:val="16"/>
          <w:szCs w:val="16"/>
        </w:rPr>
      </w:pPr>
      <w:r w:rsidRPr="00AF16CA">
        <w:rPr>
          <w:rStyle w:val="FootnoteReference"/>
          <w:sz w:val="16"/>
          <w:szCs w:val="16"/>
        </w:rPr>
        <w:footnoteRef/>
      </w:r>
      <w:r w:rsidRPr="00AF16CA">
        <w:rPr>
          <w:sz w:val="16"/>
          <w:szCs w:val="16"/>
        </w:rPr>
        <w:t xml:space="preserve"> </w:t>
      </w:r>
      <w:r w:rsidR="00AF16CA" w:rsidRPr="00AF16CA">
        <w:rPr>
          <w:sz w:val="16"/>
          <w:szCs w:val="16"/>
        </w:rPr>
        <w:t xml:space="preserve">JRL, GB 133 MCK/2/2/1 [Letter Sent from McConnel &amp; Kennedy to George &amp; William Armytage of Halifax, </w:t>
      </w:r>
      <w:r w:rsidR="00AF16CA">
        <w:rPr>
          <w:sz w:val="16"/>
          <w:szCs w:val="16"/>
        </w:rPr>
        <w:t>21</w:t>
      </w:r>
      <w:r w:rsidR="00AF16CA" w:rsidRPr="00AF16CA">
        <w:rPr>
          <w:sz w:val="16"/>
          <w:szCs w:val="16"/>
        </w:rPr>
        <w:t xml:space="preserve"> Ma</w:t>
      </w:r>
      <w:r w:rsidR="00AF16CA">
        <w:rPr>
          <w:sz w:val="16"/>
          <w:szCs w:val="16"/>
        </w:rPr>
        <w:t>y</w:t>
      </w:r>
      <w:r w:rsidR="00AF16CA" w:rsidRPr="00AF16CA">
        <w:rPr>
          <w:sz w:val="16"/>
          <w:szCs w:val="16"/>
        </w:rPr>
        <w:t xml:space="preserve"> 1795].</w:t>
      </w:r>
    </w:p>
  </w:footnote>
  <w:footnote w:id="487">
    <w:p w14:paraId="62C76648" w14:textId="373C55D5" w:rsidR="00AF16CA" w:rsidRPr="00AF16CA" w:rsidRDefault="00AF16CA">
      <w:pPr>
        <w:pStyle w:val="FootnoteText"/>
        <w:rPr>
          <w:sz w:val="16"/>
          <w:szCs w:val="16"/>
          <w:lang w:val="en-US"/>
        </w:rPr>
      </w:pPr>
      <w:r w:rsidRPr="00AF16CA">
        <w:rPr>
          <w:rStyle w:val="FootnoteReference"/>
          <w:sz w:val="16"/>
          <w:szCs w:val="16"/>
        </w:rPr>
        <w:footnoteRef/>
      </w:r>
      <w:r w:rsidRPr="00AF16CA">
        <w:rPr>
          <w:sz w:val="16"/>
          <w:szCs w:val="16"/>
        </w:rPr>
        <w:t xml:space="preserve"> DLSL, BS 677 EVA, DL119 CB R1 [Letter Sent by W. Evans &amp; Co. to George &amp; William Armytage of Halifax, 26 September 1804]. </w:t>
      </w:r>
    </w:p>
  </w:footnote>
  <w:footnote w:id="488">
    <w:p w14:paraId="3E11F21F" w14:textId="0ADA5FAF" w:rsidR="005E7BE6" w:rsidRPr="00AF16CA" w:rsidRDefault="005E7BE6">
      <w:pPr>
        <w:pStyle w:val="FootnoteText"/>
        <w:rPr>
          <w:sz w:val="16"/>
          <w:szCs w:val="16"/>
        </w:rPr>
      </w:pPr>
      <w:r w:rsidRPr="00AF16CA">
        <w:rPr>
          <w:rStyle w:val="FootnoteReference"/>
          <w:sz w:val="16"/>
          <w:szCs w:val="16"/>
        </w:rPr>
        <w:footnoteRef/>
      </w:r>
      <w:r w:rsidRPr="00AF16CA">
        <w:rPr>
          <w:sz w:val="16"/>
          <w:szCs w:val="16"/>
        </w:rPr>
        <w:t xml:space="preserve"> </w:t>
      </w:r>
      <w:bookmarkStart w:id="156" w:name="_Hlk156729391"/>
      <w:r w:rsidR="00AF16CA" w:rsidRPr="00AF16CA">
        <w:rPr>
          <w:sz w:val="16"/>
          <w:szCs w:val="16"/>
        </w:rPr>
        <w:t>DLSL, BS 677 EVA, DL119 CB R1 [Letter Sent by W. Evans &amp; Co. to George &amp; William Armytage of Halifax, 26 September 1804].</w:t>
      </w:r>
    </w:p>
    <w:bookmarkEnd w:id="156"/>
  </w:footnote>
  <w:footnote w:id="489">
    <w:p w14:paraId="68DDF8F3" w14:textId="1663B302" w:rsidR="00AF16CA" w:rsidRPr="00AF16CA" w:rsidRDefault="00AF16CA">
      <w:pPr>
        <w:pStyle w:val="FootnoteText"/>
        <w:rPr>
          <w:sz w:val="16"/>
          <w:szCs w:val="16"/>
          <w:lang w:val="en-US"/>
        </w:rPr>
      </w:pPr>
      <w:r w:rsidRPr="00AF16CA">
        <w:rPr>
          <w:rStyle w:val="FootnoteReference"/>
          <w:sz w:val="16"/>
          <w:szCs w:val="16"/>
        </w:rPr>
        <w:footnoteRef/>
      </w:r>
      <w:r w:rsidRPr="00AF16CA">
        <w:rPr>
          <w:sz w:val="16"/>
          <w:szCs w:val="16"/>
        </w:rPr>
        <w:t xml:space="preserve"> JRL, GB 133 MCK/2/1/1, MCK/2/2/1 and MCK2/2/2 [Letters Exchanged by McConnel &amp; Kennedy and George &amp; William Armytage of Halifax and DLSL, BS 677 EVA, DL119 CB R1 Letters Sent by W. Evans &amp; Co. and George and William Armytage, 1795-1810].</w:t>
      </w:r>
    </w:p>
  </w:footnote>
  <w:footnote w:id="490">
    <w:p w14:paraId="21EBFA10" w14:textId="573E53DB" w:rsidR="00164542" w:rsidRPr="00AA5CD6" w:rsidRDefault="00164542" w:rsidP="00164542">
      <w:pPr>
        <w:pStyle w:val="FootnoteText"/>
        <w:rPr>
          <w:sz w:val="16"/>
          <w:szCs w:val="16"/>
        </w:rPr>
      </w:pPr>
      <w:r w:rsidRPr="00AA5CD6">
        <w:rPr>
          <w:rStyle w:val="FootnoteReference"/>
          <w:sz w:val="16"/>
          <w:szCs w:val="16"/>
        </w:rPr>
        <w:footnoteRef/>
      </w:r>
      <w:r w:rsidRPr="00AA5CD6">
        <w:rPr>
          <w:sz w:val="16"/>
          <w:szCs w:val="16"/>
        </w:rPr>
        <w:t xml:space="preserve"> JRL, GB 133 MCK/2/2/2</w:t>
      </w:r>
      <w:r w:rsidR="00AA5CD6" w:rsidRPr="00AA5CD6">
        <w:rPr>
          <w:sz w:val="16"/>
          <w:szCs w:val="16"/>
        </w:rPr>
        <w:t xml:space="preserve"> [Letter Sent from McConnel &amp; Kennedy to Robert </w:t>
      </w:r>
      <w:r w:rsidR="00AA5CD6" w:rsidRPr="00AA5CD6">
        <w:rPr>
          <w:sz w:val="16"/>
          <w:szCs w:val="16"/>
        </w:rPr>
        <w:t xml:space="preserve">McGavin of Paisley, 1796]. </w:t>
      </w:r>
    </w:p>
  </w:footnote>
  <w:footnote w:id="491">
    <w:p w14:paraId="2A5EC937" w14:textId="310BB982" w:rsidR="00AA5CD6" w:rsidRPr="00AA5CD6" w:rsidRDefault="00AA5CD6">
      <w:pPr>
        <w:pStyle w:val="FootnoteText"/>
        <w:rPr>
          <w:sz w:val="16"/>
          <w:szCs w:val="16"/>
          <w:lang w:val="en-US"/>
        </w:rPr>
      </w:pPr>
      <w:r w:rsidRPr="00AA5CD6">
        <w:rPr>
          <w:rStyle w:val="FootnoteReference"/>
          <w:sz w:val="16"/>
          <w:szCs w:val="16"/>
        </w:rPr>
        <w:footnoteRef/>
      </w:r>
      <w:r w:rsidRPr="00AA5CD6">
        <w:rPr>
          <w:sz w:val="16"/>
          <w:szCs w:val="16"/>
        </w:rPr>
        <w:t xml:space="preserve"> JRL, GB 133 MCK/2/2/2 [Letter Sent from McConnel &amp; Kennedy to Robert </w:t>
      </w:r>
      <w:r w:rsidRPr="00AA5CD6">
        <w:rPr>
          <w:sz w:val="16"/>
          <w:szCs w:val="16"/>
        </w:rPr>
        <w:t>McGavin of Paisley, 1796].</w:t>
      </w:r>
    </w:p>
  </w:footnote>
  <w:footnote w:id="492">
    <w:p w14:paraId="5EFC436B" w14:textId="69291468" w:rsidR="00164542" w:rsidRPr="00AA5CD6" w:rsidRDefault="00164542">
      <w:pPr>
        <w:pStyle w:val="FootnoteText"/>
        <w:rPr>
          <w:sz w:val="16"/>
          <w:szCs w:val="16"/>
        </w:rPr>
      </w:pPr>
      <w:r w:rsidRPr="00AA5CD6">
        <w:rPr>
          <w:rStyle w:val="FootnoteReference"/>
          <w:sz w:val="16"/>
          <w:szCs w:val="16"/>
        </w:rPr>
        <w:footnoteRef/>
      </w:r>
      <w:r w:rsidRPr="00AA5CD6">
        <w:rPr>
          <w:sz w:val="16"/>
          <w:szCs w:val="16"/>
        </w:rPr>
        <w:t xml:space="preserve"> </w:t>
      </w:r>
      <w:r w:rsidR="00392D02" w:rsidRPr="00AA5CD6">
        <w:rPr>
          <w:sz w:val="16"/>
          <w:szCs w:val="16"/>
        </w:rPr>
        <w:t>JRL, GB 133 MCK/2/1/8</w:t>
      </w:r>
      <w:r w:rsidR="00AA5CD6" w:rsidRPr="00AA5CD6">
        <w:rPr>
          <w:sz w:val="16"/>
          <w:szCs w:val="16"/>
        </w:rPr>
        <w:t xml:space="preserve"> [Letter Received by McConnel &amp; Kennedy from John &amp; Thomas How of Green Castle, Belfast, December 1802]. </w:t>
      </w:r>
    </w:p>
  </w:footnote>
  <w:footnote w:id="493">
    <w:p w14:paraId="1B0163B5" w14:textId="288F0F46" w:rsidR="0038230A" w:rsidRPr="00F2194D" w:rsidRDefault="0038230A">
      <w:pPr>
        <w:pStyle w:val="FootnoteText"/>
        <w:rPr>
          <w:sz w:val="16"/>
          <w:szCs w:val="16"/>
        </w:rPr>
      </w:pPr>
      <w:r w:rsidRPr="00F2194D">
        <w:rPr>
          <w:rStyle w:val="FootnoteReference"/>
          <w:sz w:val="16"/>
          <w:szCs w:val="16"/>
        </w:rPr>
        <w:footnoteRef/>
      </w:r>
      <w:r w:rsidRPr="00F2194D">
        <w:rPr>
          <w:sz w:val="16"/>
          <w:szCs w:val="16"/>
        </w:rPr>
        <w:t xml:space="preserve"> </w:t>
      </w:r>
      <w:bookmarkStart w:id="157" w:name="_Hlk156729946"/>
      <w:r w:rsidR="00392D02" w:rsidRPr="00F2194D">
        <w:rPr>
          <w:sz w:val="16"/>
          <w:szCs w:val="16"/>
        </w:rPr>
        <w:t>JRL, GB 133 MCK/2/1/8</w:t>
      </w:r>
      <w:r w:rsidR="00AA5CD6" w:rsidRPr="00F2194D">
        <w:rPr>
          <w:sz w:val="16"/>
          <w:szCs w:val="16"/>
        </w:rPr>
        <w:t xml:space="preserve"> [Letter Received by McConnel &amp; Kennedy </w:t>
      </w:r>
      <w:r w:rsidR="00F2194D" w:rsidRPr="00F2194D">
        <w:rPr>
          <w:sz w:val="16"/>
          <w:szCs w:val="16"/>
        </w:rPr>
        <w:t xml:space="preserve">from George Hannay of Bangor, Ireland, 1802]. </w:t>
      </w:r>
    </w:p>
    <w:bookmarkEnd w:id="157"/>
  </w:footnote>
  <w:footnote w:id="494">
    <w:p w14:paraId="5FD32955" w14:textId="45DBE718" w:rsidR="006C06D8" w:rsidRPr="00515CC5" w:rsidRDefault="006C06D8">
      <w:pPr>
        <w:pStyle w:val="FootnoteText"/>
        <w:rPr>
          <w:sz w:val="16"/>
          <w:szCs w:val="16"/>
        </w:rPr>
      </w:pPr>
      <w:r w:rsidRPr="00515CC5">
        <w:rPr>
          <w:rStyle w:val="FootnoteReference"/>
          <w:sz w:val="16"/>
          <w:szCs w:val="16"/>
        </w:rPr>
        <w:footnoteRef/>
      </w:r>
      <w:r w:rsidRPr="00515CC5">
        <w:rPr>
          <w:sz w:val="16"/>
          <w:szCs w:val="16"/>
        </w:rPr>
        <w:t xml:space="preserve"> </w:t>
      </w:r>
      <w:r w:rsidR="00515CC5" w:rsidRPr="00515CC5">
        <w:rPr>
          <w:sz w:val="16"/>
          <w:szCs w:val="16"/>
        </w:rPr>
        <w:t>JRL, GB 133 MCK/2/1/8 [Letter Received by McConnel &amp; Kennedy from George Hannay of Bangor, Ireland, 1802].</w:t>
      </w:r>
    </w:p>
  </w:footnote>
  <w:footnote w:id="495">
    <w:p w14:paraId="2F41C696" w14:textId="1F9B7944" w:rsidR="00BA3A4F" w:rsidRPr="00515CC5" w:rsidRDefault="00BA3A4F">
      <w:pPr>
        <w:pStyle w:val="FootnoteText"/>
        <w:rPr>
          <w:sz w:val="16"/>
          <w:szCs w:val="16"/>
        </w:rPr>
      </w:pPr>
      <w:r w:rsidRPr="00515CC5">
        <w:rPr>
          <w:rStyle w:val="FootnoteReference"/>
          <w:sz w:val="16"/>
          <w:szCs w:val="16"/>
        </w:rPr>
        <w:footnoteRef/>
      </w:r>
      <w:r w:rsidRPr="00515CC5">
        <w:rPr>
          <w:sz w:val="16"/>
          <w:szCs w:val="16"/>
        </w:rPr>
        <w:t xml:space="preserve"> JRL, GB 133 MCK/2/2/2</w:t>
      </w:r>
      <w:r w:rsidR="00515CC5" w:rsidRPr="00515CC5">
        <w:rPr>
          <w:sz w:val="16"/>
          <w:szCs w:val="16"/>
        </w:rPr>
        <w:t xml:space="preserve"> [Letter Sent by McConnel &amp; Kennedy to Thomas Lowe of Nottingham, 5 October 1798]. </w:t>
      </w:r>
    </w:p>
  </w:footnote>
  <w:footnote w:id="496">
    <w:p w14:paraId="28DFEB10" w14:textId="3C6142B4" w:rsidR="00AB4B85" w:rsidRPr="00515CC5" w:rsidRDefault="00AB4B85">
      <w:pPr>
        <w:pStyle w:val="FootnoteText"/>
        <w:rPr>
          <w:sz w:val="16"/>
          <w:szCs w:val="16"/>
        </w:rPr>
      </w:pPr>
      <w:r w:rsidRPr="00515CC5">
        <w:rPr>
          <w:rStyle w:val="FootnoteReference"/>
          <w:sz w:val="16"/>
          <w:szCs w:val="16"/>
        </w:rPr>
        <w:footnoteRef/>
      </w:r>
      <w:r w:rsidRPr="00515CC5">
        <w:rPr>
          <w:sz w:val="16"/>
          <w:szCs w:val="16"/>
        </w:rPr>
        <w:t xml:space="preserve"> </w:t>
      </w:r>
      <w:r w:rsidR="00A516AB" w:rsidRPr="00515CC5">
        <w:rPr>
          <w:sz w:val="16"/>
          <w:szCs w:val="16"/>
        </w:rPr>
        <w:t>JRL GB 133 MCK</w:t>
      </w:r>
      <w:r w:rsidR="0079083F" w:rsidRPr="00515CC5">
        <w:rPr>
          <w:sz w:val="16"/>
          <w:szCs w:val="16"/>
        </w:rPr>
        <w:t>/2/1/13</w:t>
      </w:r>
      <w:r w:rsidR="00515CC5" w:rsidRPr="00515CC5">
        <w:rPr>
          <w:sz w:val="16"/>
          <w:szCs w:val="16"/>
        </w:rPr>
        <w:t xml:space="preserve"> [Letter Received by McConnel &amp; Kennedy from W. G. &amp; J. Strutt of Derby, September 1807]. </w:t>
      </w:r>
    </w:p>
  </w:footnote>
  <w:footnote w:id="497">
    <w:p w14:paraId="3239F3A8" w14:textId="6457B34D" w:rsidR="00515CC5" w:rsidRPr="00515CC5" w:rsidRDefault="00515CC5">
      <w:pPr>
        <w:pStyle w:val="FootnoteText"/>
        <w:rPr>
          <w:sz w:val="16"/>
          <w:szCs w:val="16"/>
          <w:lang w:val="en-US"/>
        </w:rPr>
      </w:pPr>
      <w:r w:rsidRPr="00515CC5">
        <w:rPr>
          <w:rStyle w:val="FootnoteReference"/>
          <w:sz w:val="16"/>
          <w:szCs w:val="16"/>
        </w:rPr>
        <w:footnoteRef/>
      </w:r>
      <w:r w:rsidRPr="00515CC5">
        <w:rPr>
          <w:sz w:val="16"/>
          <w:szCs w:val="16"/>
        </w:rPr>
        <w:t xml:space="preserve"> </w:t>
      </w:r>
      <w:r w:rsidRPr="00515CC5">
        <w:rPr>
          <w:sz w:val="16"/>
          <w:szCs w:val="16"/>
          <w:lang w:val="en-US"/>
        </w:rPr>
        <w:t xml:space="preserve">DLSL, BS 677 EVA, DL119 CB R1 [Letter Sent by W. Evans &amp; Co. to Robert Walsh of Halifax, 7 January 1792]. </w:t>
      </w:r>
    </w:p>
  </w:footnote>
  <w:footnote w:id="498">
    <w:p w14:paraId="0EA9E90A" w14:textId="13868484" w:rsidR="00515CC5" w:rsidRPr="00515CC5" w:rsidRDefault="00515CC5">
      <w:pPr>
        <w:pStyle w:val="FootnoteText"/>
        <w:rPr>
          <w:sz w:val="16"/>
          <w:szCs w:val="16"/>
          <w:lang w:val="en-US"/>
        </w:rPr>
      </w:pPr>
      <w:r w:rsidRPr="00515CC5">
        <w:rPr>
          <w:rStyle w:val="FootnoteReference"/>
          <w:sz w:val="16"/>
          <w:szCs w:val="16"/>
        </w:rPr>
        <w:footnoteRef/>
      </w:r>
      <w:r w:rsidRPr="00515CC5">
        <w:rPr>
          <w:sz w:val="16"/>
          <w:szCs w:val="16"/>
        </w:rPr>
        <w:t xml:space="preserve"> DLSL, BS 677 EVA, DL119 CB R1 [Letter Sent by W. Evans &amp; Co. to Robert Walsh of Halifax, 7 January 1792].</w:t>
      </w:r>
    </w:p>
  </w:footnote>
  <w:footnote w:id="499">
    <w:p w14:paraId="55754B5A" w14:textId="4FF22F01" w:rsidR="00D65390" w:rsidRPr="00445D53" w:rsidRDefault="00D65390">
      <w:pPr>
        <w:pStyle w:val="FootnoteText"/>
        <w:rPr>
          <w:sz w:val="18"/>
          <w:szCs w:val="18"/>
        </w:rPr>
      </w:pPr>
      <w:r w:rsidRPr="00515CC5">
        <w:rPr>
          <w:rStyle w:val="FootnoteReference"/>
          <w:sz w:val="16"/>
          <w:szCs w:val="16"/>
        </w:rPr>
        <w:footnoteRef/>
      </w:r>
      <w:r w:rsidRPr="00515CC5">
        <w:rPr>
          <w:sz w:val="16"/>
          <w:szCs w:val="16"/>
        </w:rPr>
        <w:t xml:space="preserve"> </w:t>
      </w:r>
      <w:r w:rsidR="00515CC5" w:rsidRPr="00515CC5">
        <w:rPr>
          <w:sz w:val="16"/>
          <w:szCs w:val="16"/>
        </w:rPr>
        <w:t>DLSL, BS 677 EVA, DL119 CB R1 [Letters Sent by W. Evans &amp; Co. to Robert Walsh of Halifax, 7 January 1792].</w:t>
      </w:r>
    </w:p>
  </w:footnote>
  <w:footnote w:id="500">
    <w:p w14:paraId="7479F6E8" w14:textId="5110206D" w:rsidR="00D311CB" w:rsidRPr="00515CC5" w:rsidRDefault="00D311CB">
      <w:pPr>
        <w:pStyle w:val="FootnoteText"/>
        <w:rPr>
          <w:sz w:val="16"/>
          <w:szCs w:val="16"/>
        </w:rPr>
      </w:pPr>
      <w:r w:rsidRPr="00515CC5">
        <w:rPr>
          <w:rStyle w:val="FootnoteReference"/>
          <w:sz w:val="16"/>
          <w:szCs w:val="16"/>
        </w:rPr>
        <w:footnoteRef/>
      </w:r>
      <w:r w:rsidRPr="00515CC5">
        <w:rPr>
          <w:sz w:val="16"/>
          <w:szCs w:val="16"/>
        </w:rPr>
        <w:t xml:space="preserve"> </w:t>
      </w:r>
      <w:bookmarkStart w:id="159" w:name="_Hlk149939052"/>
      <w:r w:rsidRPr="00515CC5">
        <w:rPr>
          <w:sz w:val="16"/>
          <w:szCs w:val="16"/>
        </w:rPr>
        <w:t>DLSL BS677 EVA, DL119 CB R1</w:t>
      </w:r>
      <w:bookmarkEnd w:id="159"/>
      <w:r w:rsidR="00515CC5" w:rsidRPr="00515CC5">
        <w:rPr>
          <w:sz w:val="16"/>
          <w:szCs w:val="16"/>
        </w:rPr>
        <w:t xml:space="preserve"> [Letter Received by W. Evans &amp; Co from Robert Walsh of Halifax, April 1792]. </w:t>
      </w:r>
    </w:p>
  </w:footnote>
  <w:footnote w:id="501">
    <w:p w14:paraId="16FEC8C4" w14:textId="5F076036" w:rsidR="009E60E9" w:rsidRPr="009E60E9" w:rsidRDefault="009E60E9">
      <w:pPr>
        <w:pStyle w:val="FootnoteText"/>
        <w:rPr>
          <w:sz w:val="16"/>
          <w:szCs w:val="16"/>
          <w:lang w:val="en-US"/>
        </w:rPr>
      </w:pPr>
      <w:r w:rsidRPr="009E60E9">
        <w:rPr>
          <w:rStyle w:val="FootnoteReference"/>
          <w:sz w:val="16"/>
          <w:szCs w:val="16"/>
        </w:rPr>
        <w:footnoteRef/>
      </w:r>
      <w:r w:rsidRPr="009E60E9">
        <w:rPr>
          <w:sz w:val="16"/>
          <w:szCs w:val="16"/>
        </w:rPr>
        <w:t xml:space="preserve"> DLSL, BS 677 EVA, DL119 CB R1 [Letter Sent by W. Evans &amp; Co. to Robert Walsh of Halifax, April 1792].</w:t>
      </w:r>
    </w:p>
  </w:footnote>
  <w:footnote w:id="502">
    <w:p w14:paraId="48EF6CA5" w14:textId="3902D581" w:rsidR="00546CE1" w:rsidRPr="009E60E9" w:rsidRDefault="00546CE1">
      <w:pPr>
        <w:pStyle w:val="FootnoteText"/>
        <w:rPr>
          <w:sz w:val="16"/>
          <w:szCs w:val="16"/>
        </w:rPr>
      </w:pPr>
      <w:r w:rsidRPr="009E60E9">
        <w:rPr>
          <w:rStyle w:val="FootnoteReference"/>
          <w:sz w:val="16"/>
          <w:szCs w:val="16"/>
        </w:rPr>
        <w:footnoteRef/>
      </w:r>
      <w:r w:rsidRPr="009E60E9">
        <w:rPr>
          <w:sz w:val="16"/>
          <w:szCs w:val="16"/>
        </w:rPr>
        <w:t xml:space="preserve"> </w:t>
      </w:r>
      <w:r w:rsidR="00515CC5" w:rsidRPr="009E60E9">
        <w:rPr>
          <w:sz w:val="16"/>
          <w:szCs w:val="16"/>
        </w:rPr>
        <w:t xml:space="preserve">DLSL, BS 677 EVA, DL119 CB R1 [Letter Sent by W. Evans &amp; Co. to Robert Walsh of Halifax, </w:t>
      </w:r>
      <w:r w:rsidR="009E60E9" w:rsidRPr="009E60E9">
        <w:rPr>
          <w:sz w:val="16"/>
          <w:szCs w:val="16"/>
        </w:rPr>
        <w:t>April</w:t>
      </w:r>
      <w:r w:rsidR="00515CC5" w:rsidRPr="009E60E9">
        <w:rPr>
          <w:sz w:val="16"/>
          <w:szCs w:val="16"/>
        </w:rPr>
        <w:t xml:space="preserve"> 1792].</w:t>
      </w:r>
    </w:p>
  </w:footnote>
  <w:footnote w:id="503">
    <w:p w14:paraId="3FC80092" w14:textId="77777777" w:rsidR="009E60E9" w:rsidRPr="009E60E9" w:rsidRDefault="009E60E9" w:rsidP="009E60E9">
      <w:pPr>
        <w:pStyle w:val="FootnoteText"/>
        <w:rPr>
          <w:sz w:val="16"/>
          <w:szCs w:val="16"/>
        </w:rPr>
      </w:pPr>
      <w:r w:rsidRPr="009E60E9">
        <w:rPr>
          <w:rStyle w:val="FootnoteReference"/>
          <w:sz w:val="16"/>
          <w:szCs w:val="16"/>
        </w:rPr>
        <w:footnoteRef/>
      </w:r>
      <w:r w:rsidRPr="009E60E9">
        <w:rPr>
          <w:sz w:val="16"/>
          <w:szCs w:val="16"/>
        </w:rPr>
        <w:t xml:space="preserve"> </w:t>
      </w:r>
      <w:bookmarkStart w:id="160" w:name="_Hlk149939136"/>
      <w:bookmarkStart w:id="161" w:name="_Hlk156730705"/>
      <w:r w:rsidRPr="009E60E9">
        <w:rPr>
          <w:sz w:val="16"/>
          <w:szCs w:val="16"/>
        </w:rPr>
        <w:t>JRL, GB 133 MCK/2/2/2</w:t>
      </w:r>
      <w:bookmarkEnd w:id="160"/>
      <w:r w:rsidRPr="009E60E9">
        <w:rPr>
          <w:sz w:val="16"/>
          <w:szCs w:val="16"/>
        </w:rPr>
        <w:t xml:space="preserve"> [Letters Sent by McConnel &amp; Kennedy to Mr. Barber of Bolton, 1797</w:t>
      </w:r>
      <w:bookmarkEnd w:id="161"/>
      <w:r w:rsidRPr="009E60E9">
        <w:rPr>
          <w:sz w:val="16"/>
          <w:szCs w:val="16"/>
        </w:rPr>
        <w:t xml:space="preserve">]. </w:t>
      </w:r>
    </w:p>
  </w:footnote>
  <w:footnote w:id="504">
    <w:p w14:paraId="3477791B" w14:textId="1BBBDD21" w:rsidR="009E60E9" w:rsidRPr="009E60E9" w:rsidRDefault="009E60E9">
      <w:pPr>
        <w:pStyle w:val="FootnoteText"/>
        <w:rPr>
          <w:sz w:val="16"/>
          <w:szCs w:val="16"/>
          <w:lang w:val="en-US"/>
        </w:rPr>
      </w:pPr>
      <w:r w:rsidRPr="009E60E9">
        <w:rPr>
          <w:rStyle w:val="FootnoteReference"/>
          <w:sz w:val="16"/>
          <w:szCs w:val="16"/>
        </w:rPr>
        <w:footnoteRef/>
      </w:r>
      <w:r w:rsidRPr="009E60E9">
        <w:rPr>
          <w:sz w:val="16"/>
          <w:szCs w:val="16"/>
        </w:rPr>
        <w:t xml:space="preserve"> JRL, GB 133 MCK/2/2/2 [Letter Sent by McConnel &amp; Kennedy to Mr. Barber of Bolton, </w:t>
      </w:r>
      <w:r>
        <w:rPr>
          <w:sz w:val="16"/>
          <w:szCs w:val="16"/>
        </w:rPr>
        <w:t xml:space="preserve">25 April </w:t>
      </w:r>
      <w:r w:rsidRPr="009E60E9">
        <w:rPr>
          <w:sz w:val="16"/>
          <w:szCs w:val="16"/>
        </w:rPr>
        <w:t>1797].</w:t>
      </w:r>
    </w:p>
  </w:footnote>
  <w:footnote w:id="505">
    <w:p w14:paraId="25DC290C" w14:textId="1BA477D6" w:rsidR="005A05DF" w:rsidRPr="00445D53" w:rsidRDefault="005A05DF" w:rsidP="005A05DF">
      <w:pPr>
        <w:pStyle w:val="FootnoteText"/>
        <w:rPr>
          <w:sz w:val="18"/>
          <w:szCs w:val="18"/>
        </w:rPr>
      </w:pPr>
      <w:r w:rsidRPr="00445D53">
        <w:rPr>
          <w:rStyle w:val="FootnoteReference"/>
          <w:sz w:val="18"/>
          <w:szCs w:val="18"/>
        </w:rPr>
        <w:footnoteRef/>
      </w:r>
      <w:r w:rsidRPr="00445D53">
        <w:rPr>
          <w:sz w:val="18"/>
          <w:szCs w:val="18"/>
        </w:rPr>
        <w:t xml:space="preserve"> </w:t>
      </w:r>
      <w:r w:rsidR="009E60E9" w:rsidRPr="009E60E9">
        <w:rPr>
          <w:sz w:val="16"/>
          <w:szCs w:val="16"/>
        </w:rPr>
        <w:t>JRL, GB 133 MCK/2/2/2 [Letter Sent by McConnel &amp; Kennedy to Mr. Barber of Bolton, 25 April 1797].</w:t>
      </w:r>
    </w:p>
  </w:footnote>
  <w:footnote w:id="506">
    <w:p w14:paraId="7FD3B8D4" w14:textId="446DC07F" w:rsidR="009E60E9" w:rsidRPr="00F77E70" w:rsidRDefault="009E60E9">
      <w:pPr>
        <w:pStyle w:val="FootnoteText"/>
        <w:rPr>
          <w:sz w:val="16"/>
          <w:szCs w:val="16"/>
          <w:lang w:val="en-US"/>
        </w:rPr>
      </w:pPr>
      <w:r w:rsidRPr="00F77E70">
        <w:rPr>
          <w:rStyle w:val="FootnoteReference"/>
          <w:sz w:val="16"/>
          <w:szCs w:val="16"/>
        </w:rPr>
        <w:footnoteRef/>
      </w:r>
      <w:r w:rsidRPr="00F77E70">
        <w:rPr>
          <w:sz w:val="16"/>
          <w:szCs w:val="16"/>
        </w:rPr>
        <w:t xml:space="preserve"> </w:t>
      </w:r>
      <w:r w:rsidR="00F77E70" w:rsidRPr="00F77E70">
        <w:rPr>
          <w:sz w:val="16"/>
          <w:szCs w:val="16"/>
        </w:rPr>
        <w:t>JRL, GB 133 MCK/2/2/2 [Letter Sent by McConnel &amp; Kennedy to Mr. Barber of Bolton, 23 May 1797].</w:t>
      </w:r>
    </w:p>
  </w:footnote>
  <w:footnote w:id="507">
    <w:p w14:paraId="0A1F70D4" w14:textId="269E145E" w:rsidR="005A05DF" w:rsidRPr="00F77E70" w:rsidRDefault="005A05DF" w:rsidP="005A05DF">
      <w:pPr>
        <w:pStyle w:val="FootnoteText"/>
        <w:rPr>
          <w:sz w:val="16"/>
          <w:szCs w:val="16"/>
        </w:rPr>
      </w:pPr>
      <w:r w:rsidRPr="00F77E70">
        <w:rPr>
          <w:rStyle w:val="FootnoteReference"/>
          <w:sz w:val="16"/>
          <w:szCs w:val="16"/>
        </w:rPr>
        <w:footnoteRef/>
      </w:r>
      <w:r w:rsidRPr="00F77E70">
        <w:rPr>
          <w:sz w:val="16"/>
          <w:szCs w:val="16"/>
        </w:rPr>
        <w:t xml:space="preserve"> </w:t>
      </w:r>
      <w:bookmarkStart w:id="162" w:name="_Hlk156731082"/>
      <w:r w:rsidR="00E543B8" w:rsidRPr="00F77E70">
        <w:rPr>
          <w:sz w:val="16"/>
          <w:szCs w:val="16"/>
        </w:rPr>
        <w:t>DLSL, BS677 EVA, DL119</w:t>
      </w:r>
      <w:r w:rsidR="001319C7" w:rsidRPr="00F77E70">
        <w:rPr>
          <w:sz w:val="16"/>
          <w:szCs w:val="16"/>
        </w:rPr>
        <w:t>, CB R1</w:t>
      </w:r>
      <w:r w:rsidR="00F77E70" w:rsidRPr="00F77E70">
        <w:rPr>
          <w:sz w:val="16"/>
          <w:szCs w:val="16"/>
        </w:rPr>
        <w:t xml:space="preserve"> [Letter Sent by W. Evans &amp; Co. from Fellows &amp; Sons, 10 March 1788]. </w:t>
      </w:r>
      <w:bookmarkEnd w:id="162"/>
    </w:p>
  </w:footnote>
  <w:footnote w:id="508">
    <w:p w14:paraId="116C6939" w14:textId="731A31F2" w:rsidR="00F77E70" w:rsidRPr="00F77E70" w:rsidRDefault="00F77E70">
      <w:pPr>
        <w:pStyle w:val="FootnoteText"/>
        <w:rPr>
          <w:lang w:val="en-US"/>
        </w:rPr>
      </w:pPr>
      <w:r>
        <w:rPr>
          <w:rStyle w:val="FootnoteReference"/>
        </w:rPr>
        <w:footnoteRef/>
      </w:r>
      <w:r>
        <w:t xml:space="preserve"> </w:t>
      </w:r>
      <w:r w:rsidRPr="00F77E70">
        <w:rPr>
          <w:sz w:val="16"/>
          <w:szCs w:val="16"/>
        </w:rPr>
        <w:t>DLSL, BS677 EVA, DL119, CB R1 [Letter Sent by W. Evans &amp; Co. from Fellows &amp; Sons, 10 March 1788].</w:t>
      </w:r>
    </w:p>
  </w:footnote>
  <w:footnote w:id="509">
    <w:p w14:paraId="3D2E15C8" w14:textId="1DAED0F4" w:rsidR="00ED12C1" w:rsidRPr="006A2EB1" w:rsidRDefault="00ED12C1">
      <w:pPr>
        <w:pStyle w:val="FootnoteText"/>
        <w:rPr>
          <w:sz w:val="16"/>
          <w:szCs w:val="16"/>
          <w:lang w:val="en-US"/>
        </w:rPr>
      </w:pPr>
      <w:r w:rsidRPr="006A2EB1">
        <w:rPr>
          <w:rStyle w:val="FootnoteReference"/>
          <w:sz w:val="16"/>
          <w:szCs w:val="16"/>
        </w:rPr>
        <w:footnoteRef/>
      </w:r>
      <w:r w:rsidRPr="006A2EB1">
        <w:rPr>
          <w:sz w:val="16"/>
          <w:szCs w:val="16"/>
        </w:rPr>
        <w:t xml:space="preserve"> DLSL, BS677 EVA, DL119, CB R1 [Letter Sent by W. Evans &amp; Co. from Fellows &amp; Sons, 10 March 1788].</w:t>
      </w:r>
    </w:p>
  </w:footnote>
  <w:footnote w:id="510">
    <w:p w14:paraId="2E504D48" w14:textId="087E0F5B" w:rsidR="00ED12C1" w:rsidRPr="006A2EB1" w:rsidRDefault="00ED12C1">
      <w:pPr>
        <w:pStyle w:val="FootnoteText"/>
        <w:rPr>
          <w:sz w:val="16"/>
          <w:szCs w:val="16"/>
          <w:lang w:val="en-US"/>
        </w:rPr>
      </w:pPr>
      <w:r w:rsidRPr="006A2EB1">
        <w:rPr>
          <w:rStyle w:val="FootnoteReference"/>
          <w:sz w:val="16"/>
          <w:szCs w:val="16"/>
        </w:rPr>
        <w:footnoteRef/>
      </w:r>
      <w:r w:rsidRPr="006A2EB1">
        <w:rPr>
          <w:sz w:val="16"/>
          <w:szCs w:val="16"/>
        </w:rPr>
        <w:t xml:space="preserve"> JRL, GB 133 MCK/2/2/2 [Letter Sent by McConnel &amp; Kennedy to Fletcher &amp; Harrison of </w:t>
      </w:r>
      <w:r w:rsidRPr="006A2EB1">
        <w:rPr>
          <w:sz w:val="16"/>
          <w:szCs w:val="16"/>
        </w:rPr>
        <w:t xml:space="preserve">Edale, 9 September 1795]. </w:t>
      </w:r>
    </w:p>
  </w:footnote>
  <w:footnote w:id="511">
    <w:p w14:paraId="733822B8" w14:textId="3DA30493" w:rsidR="005A05DF" w:rsidRPr="006A2EB1" w:rsidRDefault="005A05DF" w:rsidP="005A05DF">
      <w:pPr>
        <w:pStyle w:val="FootnoteText"/>
        <w:rPr>
          <w:sz w:val="16"/>
          <w:szCs w:val="16"/>
        </w:rPr>
      </w:pPr>
      <w:r w:rsidRPr="006A2EB1">
        <w:rPr>
          <w:rStyle w:val="FootnoteReference"/>
          <w:sz w:val="16"/>
          <w:szCs w:val="16"/>
        </w:rPr>
        <w:footnoteRef/>
      </w:r>
      <w:r w:rsidRPr="006A2EB1">
        <w:rPr>
          <w:sz w:val="16"/>
          <w:szCs w:val="16"/>
        </w:rPr>
        <w:t xml:space="preserve"> </w:t>
      </w:r>
      <w:r w:rsidR="00ED12C1" w:rsidRPr="006A2EB1">
        <w:rPr>
          <w:sz w:val="16"/>
          <w:szCs w:val="16"/>
        </w:rPr>
        <w:t xml:space="preserve">JRL, GB 133 MCK/2/2/2 [Letter Sent by McConnel &amp; Kennedy to Fletcher &amp; Harrison of </w:t>
      </w:r>
      <w:r w:rsidR="00ED12C1" w:rsidRPr="006A2EB1">
        <w:rPr>
          <w:sz w:val="16"/>
          <w:szCs w:val="16"/>
        </w:rPr>
        <w:t>Edale, 9 September 1795].</w:t>
      </w:r>
    </w:p>
  </w:footnote>
  <w:footnote w:id="512">
    <w:p w14:paraId="4B98E567" w14:textId="65B9B806" w:rsidR="005A05DF" w:rsidRPr="006A2EB1" w:rsidRDefault="005A05DF" w:rsidP="005A05DF">
      <w:pPr>
        <w:pStyle w:val="FootnoteText"/>
        <w:rPr>
          <w:sz w:val="16"/>
          <w:szCs w:val="16"/>
        </w:rPr>
      </w:pPr>
      <w:r w:rsidRPr="006A2EB1">
        <w:rPr>
          <w:rStyle w:val="FootnoteReference"/>
          <w:sz w:val="16"/>
          <w:szCs w:val="16"/>
        </w:rPr>
        <w:footnoteRef/>
      </w:r>
      <w:r w:rsidR="002752F7" w:rsidRPr="006A2EB1">
        <w:rPr>
          <w:sz w:val="16"/>
          <w:szCs w:val="16"/>
        </w:rPr>
        <w:t xml:space="preserve"> </w:t>
      </w:r>
      <w:r w:rsidR="00ED12C1" w:rsidRPr="006A2EB1">
        <w:rPr>
          <w:sz w:val="16"/>
          <w:szCs w:val="16"/>
        </w:rPr>
        <w:t xml:space="preserve">JRL, GB 133 MCK/2/2/2 [Letter Sent by McConnel &amp; Kennedy to Fletcher &amp; Harrison of </w:t>
      </w:r>
      <w:r w:rsidR="00ED12C1" w:rsidRPr="006A2EB1">
        <w:rPr>
          <w:sz w:val="16"/>
          <w:szCs w:val="16"/>
        </w:rPr>
        <w:t>Edale, 9 September 1795].</w:t>
      </w:r>
    </w:p>
  </w:footnote>
  <w:footnote w:id="513">
    <w:p w14:paraId="50A1C773" w14:textId="1E0C4AA1" w:rsidR="001319C7" w:rsidRPr="006A2EB1" w:rsidRDefault="001319C7">
      <w:pPr>
        <w:pStyle w:val="FootnoteText"/>
        <w:rPr>
          <w:sz w:val="16"/>
          <w:szCs w:val="16"/>
        </w:rPr>
      </w:pPr>
      <w:r w:rsidRPr="006A2EB1">
        <w:rPr>
          <w:rStyle w:val="FootnoteReference"/>
          <w:sz w:val="16"/>
          <w:szCs w:val="16"/>
        </w:rPr>
        <w:footnoteRef/>
      </w:r>
      <w:r w:rsidRPr="006A2EB1">
        <w:rPr>
          <w:sz w:val="16"/>
          <w:szCs w:val="16"/>
        </w:rPr>
        <w:t xml:space="preserve"> </w:t>
      </w:r>
      <w:r w:rsidR="00ED12C1" w:rsidRPr="006A2EB1">
        <w:rPr>
          <w:sz w:val="16"/>
          <w:szCs w:val="16"/>
        </w:rPr>
        <w:t xml:space="preserve">JRL, GB 133 MCK/2/2/2 [Letter Sent by McConnel &amp; Kennedy to Fletcher &amp; Harrison of </w:t>
      </w:r>
      <w:r w:rsidR="00ED12C1" w:rsidRPr="006A2EB1">
        <w:rPr>
          <w:sz w:val="16"/>
          <w:szCs w:val="16"/>
        </w:rPr>
        <w:t>Edale, October 1795].</w:t>
      </w:r>
    </w:p>
  </w:footnote>
  <w:footnote w:id="514">
    <w:p w14:paraId="613B91EC" w14:textId="7E95C15B" w:rsidR="006A2EB1" w:rsidRPr="006A2EB1" w:rsidRDefault="006A2EB1">
      <w:pPr>
        <w:pStyle w:val="FootnoteText"/>
        <w:rPr>
          <w:sz w:val="16"/>
          <w:szCs w:val="16"/>
          <w:lang w:val="en-US"/>
        </w:rPr>
      </w:pPr>
      <w:r w:rsidRPr="006A2EB1">
        <w:rPr>
          <w:rStyle w:val="FootnoteReference"/>
          <w:sz w:val="16"/>
          <w:szCs w:val="16"/>
        </w:rPr>
        <w:footnoteRef/>
      </w:r>
      <w:r w:rsidRPr="006A2EB1">
        <w:rPr>
          <w:sz w:val="16"/>
          <w:szCs w:val="16"/>
        </w:rPr>
        <w:t xml:space="preserve"> JRL, GB 133 MCK/2/2/2 [Letter Sent by McConnel &amp; Kennedy to Gordon &amp; Cairns of Glasgow, 24 September 1795].</w:t>
      </w:r>
    </w:p>
  </w:footnote>
  <w:footnote w:id="515">
    <w:p w14:paraId="43A5844C" w14:textId="396B791E" w:rsidR="005A05DF" w:rsidRPr="006A2EB1" w:rsidRDefault="005A05DF" w:rsidP="005A05DF">
      <w:pPr>
        <w:pStyle w:val="FootnoteText"/>
        <w:rPr>
          <w:sz w:val="16"/>
          <w:szCs w:val="16"/>
        </w:rPr>
      </w:pPr>
      <w:r w:rsidRPr="006A2EB1">
        <w:rPr>
          <w:rStyle w:val="FootnoteReference"/>
          <w:sz w:val="16"/>
          <w:szCs w:val="16"/>
        </w:rPr>
        <w:footnoteRef/>
      </w:r>
      <w:r w:rsidRPr="006A2EB1">
        <w:rPr>
          <w:sz w:val="16"/>
          <w:szCs w:val="16"/>
        </w:rPr>
        <w:t xml:space="preserve"> </w:t>
      </w:r>
      <w:bookmarkStart w:id="163" w:name="_Hlk156731373"/>
      <w:r w:rsidR="00ED12C1" w:rsidRPr="006A2EB1">
        <w:rPr>
          <w:sz w:val="16"/>
          <w:szCs w:val="16"/>
        </w:rPr>
        <w:t>JRL, GB 133 MCK/2/2/2 [Letter Sent by McConnel &amp; Kennedy to Gordon &amp; Cairns of Glasgow, 24 September 1795].</w:t>
      </w:r>
      <w:bookmarkEnd w:id="163"/>
    </w:p>
  </w:footnote>
  <w:footnote w:id="516">
    <w:p w14:paraId="3FD13652" w14:textId="65B0517E" w:rsidR="005A05DF" w:rsidRPr="00ED12C1" w:rsidRDefault="005A05DF" w:rsidP="005A05DF">
      <w:pPr>
        <w:pStyle w:val="FootnoteText"/>
        <w:rPr>
          <w:sz w:val="16"/>
          <w:szCs w:val="16"/>
        </w:rPr>
      </w:pPr>
      <w:r w:rsidRPr="006A2EB1">
        <w:rPr>
          <w:rStyle w:val="FootnoteReference"/>
          <w:sz w:val="16"/>
          <w:szCs w:val="16"/>
        </w:rPr>
        <w:footnoteRef/>
      </w:r>
      <w:r w:rsidRPr="006A2EB1">
        <w:rPr>
          <w:sz w:val="16"/>
          <w:szCs w:val="16"/>
        </w:rPr>
        <w:t xml:space="preserve"> </w:t>
      </w:r>
      <w:r w:rsidR="00ED12C1" w:rsidRPr="006A2EB1">
        <w:rPr>
          <w:sz w:val="16"/>
          <w:szCs w:val="16"/>
        </w:rPr>
        <w:t>JRL, GB 133 MCK/2/2/2 [Letter Sent by McConnel &amp; Kennedy to Gordon &amp; Cairns of Glasgow, 24 September 1795].</w:t>
      </w:r>
    </w:p>
  </w:footnote>
  <w:footnote w:id="517">
    <w:p w14:paraId="73FFF687" w14:textId="337030E7" w:rsidR="00ED12C1" w:rsidRPr="00003D55" w:rsidRDefault="00ED12C1">
      <w:pPr>
        <w:pStyle w:val="FootnoteText"/>
        <w:rPr>
          <w:sz w:val="16"/>
          <w:szCs w:val="16"/>
          <w:lang w:val="en-US"/>
        </w:rPr>
      </w:pPr>
      <w:r w:rsidRPr="00003D55">
        <w:rPr>
          <w:rStyle w:val="FootnoteReference"/>
          <w:sz w:val="16"/>
          <w:szCs w:val="16"/>
        </w:rPr>
        <w:footnoteRef/>
      </w:r>
      <w:r w:rsidRPr="00003D55">
        <w:rPr>
          <w:sz w:val="16"/>
          <w:szCs w:val="16"/>
        </w:rPr>
        <w:t xml:space="preserve"> JRL, GB 133 MCK/2/2/2 [Letters Sent by McConnel &amp; Kennedy to Gordon &amp; Cairns of Glasgow, 31 January and 24 February 1797]. </w:t>
      </w:r>
    </w:p>
  </w:footnote>
  <w:footnote w:id="518">
    <w:p w14:paraId="72FE0C66" w14:textId="3D088E5D" w:rsidR="007244D4" w:rsidRPr="00003D55" w:rsidRDefault="007244D4">
      <w:pPr>
        <w:pStyle w:val="FootnoteText"/>
        <w:rPr>
          <w:sz w:val="16"/>
          <w:szCs w:val="16"/>
        </w:rPr>
      </w:pPr>
      <w:r w:rsidRPr="00003D55">
        <w:rPr>
          <w:rStyle w:val="FootnoteReference"/>
          <w:sz w:val="16"/>
          <w:szCs w:val="16"/>
        </w:rPr>
        <w:footnoteRef/>
      </w:r>
      <w:r w:rsidRPr="00003D55">
        <w:rPr>
          <w:sz w:val="16"/>
          <w:szCs w:val="16"/>
        </w:rPr>
        <w:t xml:space="preserve"> JRL, GB 133 MCK/2/2/2</w:t>
      </w:r>
      <w:r w:rsidR="00E55EBE" w:rsidRPr="00003D55">
        <w:rPr>
          <w:sz w:val="16"/>
          <w:szCs w:val="16"/>
        </w:rPr>
        <w:t xml:space="preserve"> [Letter Sent by McConnel &amp; Kennedy to Robert Kennedy of Glasgow, January 1797]. </w:t>
      </w:r>
    </w:p>
  </w:footnote>
  <w:footnote w:id="519">
    <w:p w14:paraId="6AA6E104" w14:textId="54BCE42E" w:rsidR="00A155DF" w:rsidRPr="00003D55" w:rsidRDefault="00A155DF">
      <w:pPr>
        <w:pStyle w:val="FootnoteText"/>
        <w:rPr>
          <w:sz w:val="16"/>
          <w:szCs w:val="16"/>
        </w:rPr>
      </w:pPr>
      <w:r w:rsidRPr="00003D55">
        <w:rPr>
          <w:rStyle w:val="FootnoteReference"/>
          <w:sz w:val="16"/>
          <w:szCs w:val="16"/>
        </w:rPr>
        <w:footnoteRef/>
      </w:r>
      <w:r w:rsidR="00E55EBE" w:rsidRPr="00003D55">
        <w:rPr>
          <w:sz w:val="16"/>
          <w:szCs w:val="16"/>
        </w:rPr>
        <w:t xml:space="preserve"> Mark S. </w:t>
      </w:r>
      <w:r w:rsidR="00E55EBE" w:rsidRPr="00003D55">
        <w:rPr>
          <w:sz w:val="16"/>
          <w:szCs w:val="16"/>
        </w:rPr>
        <w:t xml:space="preserve">Granovetter, ‘The Strength of Weak Ties,’ </w:t>
      </w:r>
      <w:r w:rsidR="00E55EBE" w:rsidRPr="00003D55">
        <w:rPr>
          <w:i/>
          <w:iCs/>
          <w:sz w:val="16"/>
          <w:szCs w:val="16"/>
        </w:rPr>
        <w:t>American Journal of Sociology</w:t>
      </w:r>
      <w:r w:rsidR="00E55EBE" w:rsidRPr="00003D55">
        <w:rPr>
          <w:sz w:val="16"/>
          <w:szCs w:val="16"/>
        </w:rPr>
        <w:t>, 78:6 (1973), pp. 1360-1380.</w:t>
      </w:r>
    </w:p>
  </w:footnote>
  <w:footnote w:id="520">
    <w:p w14:paraId="20FF1D6F" w14:textId="77777777" w:rsidR="006A2EB1" w:rsidRPr="00003D55" w:rsidRDefault="006A2EB1" w:rsidP="006A2EB1">
      <w:pPr>
        <w:pStyle w:val="FootnoteText"/>
        <w:rPr>
          <w:sz w:val="16"/>
          <w:szCs w:val="16"/>
        </w:rPr>
      </w:pPr>
      <w:r w:rsidRPr="00003D55">
        <w:rPr>
          <w:rStyle w:val="FootnoteReference"/>
          <w:sz w:val="16"/>
          <w:szCs w:val="16"/>
        </w:rPr>
        <w:footnoteRef/>
      </w:r>
      <w:r w:rsidRPr="00003D55">
        <w:rPr>
          <w:sz w:val="16"/>
          <w:szCs w:val="16"/>
        </w:rPr>
        <w:t xml:space="preserve">  </w:t>
      </w:r>
      <w:r w:rsidRPr="00003D55">
        <w:rPr>
          <w:sz w:val="16"/>
          <w:szCs w:val="16"/>
        </w:rPr>
        <w:t xml:space="preserve">Hoppit, Julian, ‘Financial Crises in Eighteenth-Century England,’ </w:t>
      </w:r>
      <w:r w:rsidRPr="00003D55">
        <w:rPr>
          <w:i/>
          <w:iCs/>
          <w:sz w:val="16"/>
          <w:szCs w:val="16"/>
        </w:rPr>
        <w:t>Economic History Review</w:t>
      </w:r>
      <w:r w:rsidRPr="00003D55">
        <w:rPr>
          <w:sz w:val="16"/>
          <w:szCs w:val="16"/>
        </w:rPr>
        <w:t>, 39:1 (1986), pp. 39-58.</w:t>
      </w:r>
    </w:p>
  </w:footnote>
  <w:footnote w:id="521">
    <w:p w14:paraId="0D9177E2" w14:textId="651C2C52" w:rsidR="007C74B4" w:rsidRPr="00003D55" w:rsidRDefault="007C74B4">
      <w:pPr>
        <w:pStyle w:val="FootnoteText"/>
        <w:rPr>
          <w:sz w:val="16"/>
          <w:szCs w:val="16"/>
        </w:rPr>
      </w:pPr>
      <w:r w:rsidRPr="00003D55">
        <w:rPr>
          <w:rStyle w:val="FootnoteReference"/>
          <w:sz w:val="16"/>
          <w:szCs w:val="16"/>
        </w:rPr>
        <w:footnoteRef/>
      </w:r>
      <w:r w:rsidRPr="00003D55">
        <w:rPr>
          <w:sz w:val="16"/>
          <w:szCs w:val="16"/>
        </w:rPr>
        <w:t xml:space="preserve"> </w:t>
      </w:r>
      <w:bookmarkStart w:id="165" w:name="_Hlk149939933"/>
      <w:bookmarkStart w:id="166" w:name="_Hlk156731887"/>
      <w:r w:rsidR="00562B29" w:rsidRPr="00003D55">
        <w:rPr>
          <w:sz w:val="16"/>
          <w:szCs w:val="16"/>
        </w:rPr>
        <w:t>DLSL, BS</w:t>
      </w:r>
      <w:r w:rsidR="00003D55">
        <w:rPr>
          <w:sz w:val="16"/>
          <w:szCs w:val="16"/>
        </w:rPr>
        <w:t xml:space="preserve"> </w:t>
      </w:r>
      <w:r w:rsidR="00562B29" w:rsidRPr="00003D55">
        <w:rPr>
          <w:sz w:val="16"/>
          <w:szCs w:val="16"/>
        </w:rPr>
        <w:t>677 EVA, DL119 CB R1</w:t>
      </w:r>
      <w:bookmarkEnd w:id="165"/>
      <w:r w:rsidR="006A2EB1" w:rsidRPr="00003D55">
        <w:rPr>
          <w:sz w:val="16"/>
          <w:szCs w:val="16"/>
        </w:rPr>
        <w:t xml:space="preserve"> [Letter Sent by W. Evans &amp; Co. to Benjamin </w:t>
      </w:r>
      <w:r w:rsidR="006A2EB1" w:rsidRPr="00003D55">
        <w:rPr>
          <w:sz w:val="16"/>
          <w:szCs w:val="16"/>
        </w:rPr>
        <w:t xml:space="preserve">Bulcock of Blackburn, 21 November 1787]. </w:t>
      </w:r>
      <w:bookmarkEnd w:id="166"/>
    </w:p>
  </w:footnote>
  <w:footnote w:id="522">
    <w:p w14:paraId="28F77A98" w14:textId="20EDFD53" w:rsidR="006A2EB1" w:rsidRPr="00003D55" w:rsidRDefault="006A2EB1">
      <w:pPr>
        <w:pStyle w:val="FootnoteText"/>
        <w:rPr>
          <w:sz w:val="16"/>
          <w:szCs w:val="16"/>
          <w:lang w:val="en-US"/>
        </w:rPr>
      </w:pPr>
      <w:r w:rsidRPr="00003D55">
        <w:rPr>
          <w:rStyle w:val="FootnoteReference"/>
          <w:sz w:val="16"/>
          <w:szCs w:val="16"/>
        </w:rPr>
        <w:footnoteRef/>
      </w:r>
      <w:r w:rsidRPr="00003D55">
        <w:rPr>
          <w:sz w:val="16"/>
          <w:szCs w:val="16"/>
        </w:rPr>
        <w:t xml:space="preserve"> DLSL, BS</w:t>
      </w:r>
      <w:r w:rsidR="00003D55">
        <w:rPr>
          <w:sz w:val="16"/>
          <w:szCs w:val="16"/>
        </w:rPr>
        <w:t xml:space="preserve"> </w:t>
      </w:r>
      <w:r w:rsidRPr="00003D55">
        <w:rPr>
          <w:sz w:val="16"/>
          <w:szCs w:val="16"/>
        </w:rPr>
        <w:t xml:space="preserve">677 EVA, DL119 CB R1 [Letter Sent by W. Evans &amp; Co. to Benjamin </w:t>
      </w:r>
      <w:r w:rsidRPr="00003D55">
        <w:rPr>
          <w:sz w:val="16"/>
          <w:szCs w:val="16"/>
        </w:rPr>
        <w:t>Bulcock of Blackburn, 21 November 1787].</w:t>
      </w:r>
    </w:p>
  </w:footnote>
  <w:footnote w:id="523">
    <w:p w14:paraId="04500C3A" w14:textId="1F5BD458" w:rsidR="006A2EB1" w:rsidRPr="00003D55" w:rsidRDefault="006A2EB1">
      <w:pPr>
        <w:pStyle w:val="FootnoteText"/>
        <w:rPr>
          <w:sz w:val="16"/>
          <w:szCs w:val="16"/>
          <w:lang w:val="en-US"/>
        </w:rPr>
      </w:pPr>
      <w:r w:rsidRPr="00003D55">
        <w:rPr>
          <w:rStyle w:val="FootnoteReference"/>
          <w:sz w:val="16"/>
          <w:szCs w:val="16"/>
        </w:rPr>
        <w:footnoteRef/>
      </w:r>
      <w:r w:rsidRPr="00003D55">
        <w:rPr>
          <w:sz w:val="16"/>
          <w:szCs w:val="16"/>
        </w:rPr>
        <w:t xml:space="preserve"> DLSL, BS</w:t>
      </w:r>
      <w:r w:rsidR="00003D55">
        <w:rPr>
          <w:sz w:val="16"/>
          <w:szCs w:val="16"/>
        </w:rPr>
        <w:t xml:space="preserve"> </w:t>
      </w:r>
      <w:r w:rsidRPr="00003D55">
        <w:rPr>
          <w:sz w:val="16"/>
          <w:szCs w:val="16"/>
        </w:rPr>
        <w:t xml:space="preserve">677 EVA, DL119 CB R1 [Letter Sent by W. Evans &amp; Co. to Benjamin </w:t>
      </w:r>
      <w:r w:rsidRPr="00003D55">
        <w:rPr>
          <w:sz w:val="16"/>
          <w:szCs w:val="16"/>
        </w:rPr>
        <w:t>Bulcock of Blackburn, 21 November 1787].</w:t>
      </w:r>
    </w:p>
  </w:footnote>
  <w:footnote w:id="524">
    <w:p w14:paraId="58BE99DD" w14:textId="0D08A2D7" w:rsidR="00003D55" w:rsidRPr="00003D55" w:rsidRDefault="00003D55">
      <w:pPr>
        <w:pStyle w:val="FootnoteText"/>
        <w:rPr>
          <w:sz w:val="16"/>
          <w:szCs w:val="16"/>
          <w:lang w:val="en-US"/>
        </w:rPr>
      </w:pPr>
      <w:r w:rsidRPr="00003D55">
        <w:rPr>
          <w:rStyle w:val="FootnoteReference"/>
          <w:sz w:val="16"/>
          <w:szCs w:val="16"/>
        </w:rPr>
        <w:footnoteRef/>
      </w:r>
      <w:r w:rsidRPr="00003D55">
        <w:rPr>
          <w:sz w:val="16"/>
          <w:szCs w:val="16"/>
        </w:rPr>
        <w:t xml:space="preserve"> DLSL, BS</w:t>
      </w:r>
      <w:r>
        <w:rPr>
          <w:sz w:val="16"/>
          <w:szCs w:val="16"/>
        </w:rPr>
        <w:t xml:space="preserve"> </w:t>
      </w:r>
      <w:r w:rsidRPr="00003D55">
        <w:rPr>
          <w:sz w:val="16"/>
          <w:szCs w:val="16"/>
        </w:rPr>
        <w:t xml:space="preserve">677 EVA, DL119 CB R1 [Letter Sent by W. Evans &amp; Co. to Benjamin </w:t>
      </w:r>
      <w:r w:rsidRPr="00003D55">
        <w:rPr>
          <w:sz w:val="16"/>
          <w:szCs w:val="16"/>
        </w:rPr>
        <w:t>Bulcock of Blackburn, 21 November 1787].</w:t>
      </w:r>
    </w:p>
  </w:footnote>
  <w:footnote w:id="525">
    <w:p w14:paraId="2619F404" w14:textId="4FBC7CB2" w:rsidR="00720361" w:rsidRPr="00003D55" w:rsidRDefault="00720361">
      <w:pPr>
        <w:pStyle w:val="FootnoteText"/>
        <w:rPr>
          <w:sz w:val="16"/>
          <w:szCs w:val="16"/>
        </w:rPr>
      </w:pPr>
      <w:r w:rsidRPr="00003D55">
        <w:rPr>
          <w:rStyle w:val="FootnoteReference"/>
          <w:sz w:val="16"/>
          <w:szCs w:val="16"/>
        </w:rPr>
        <w:footnoteRef/>
      </w:r>
      <w:r w:rsidRPr="00003D55">
        <w:rPr>
          <w:sz w:val="16"/>
          <w:szCs w:val="16"/>
        </w:rPr>
        <w:t xml:space="preserve"> </w:t>
      </w:r>
      <w:r w:rsidR="00A62385" w:rsidRPr="00003D55">
        <w:rPr>
          <w:sz w:val="16"/>
          <w:szCs w:val="16"/>
        </w:rPr>
        <w:t>DLSL, BS</w:t>
      </w:r>
      <w:r w:rsidR="00003D55">
        <w:rPr>
          <w:sz w:val="16"/>
          <w:szCs w:val="16"/>
        </w:rPr>
        <w:t xml:space="preserve"> </w:t>
      </w:r>
      <w:r w:rsidR="00A62385" w:rsidRPr="00003D55">
        <w:rPr>
          <w:sz w:val="16"/>
          <w:szCs w:val="16"/>
        </w:rPr>
        <w:t>677 EVA, DL119 CB R1</w:t>
      </w:r>
      <w:r w:rsidR="006A2EB1" w:rsidRPr="00003D55">
        <w:rPr>
          <w:sz w:val="16"/>
          <w:szCs w:val="16"/>
        </w:rPr>
        <w:t xml:space="preserve"> [Letter Sent by W. Evans &amp; Co. to Benjamin </w:t>
      </w:r>
      <w:r w:rsidR="006A2EB1" w:rsidRPr="00003D55">
        <w:rPr>
          <w:sz w:val="16"/>
          <w:szCs w:val="16"/>
        </w:rPr>
        <w:t>Bulcock of Blackburn, 24 May 1788].</w:t>
      </w:r>
    </w:p>
  </w:footnote>
  <w:footnote w:id="526">
    <w:p w14:paraId="1492614E" w14:textId="12170F89" w:rsidR="006A2EB1" w:rsidRPr="006A2EB1" w:rsidRDefault="006A2EB1">
      <w:pPr>
        <w:pStyle w:val="FootnoteText"/>
        <w:rPr>
          <w:sz w:val="16"/>
          <w:szCs w:val="16"/>
          <w:lang w:val="en-US"/>
        </w:rPr>
      </w:pPr>
      <w:r w:rsidRPr="00003D55">
        <w:rPr>
          <w:rStyle w:val="FootnoteReference"/>
          <w:sz w:val="16"/>
          <w:szCs w:val="16"/>
        </w:rPr>
        <w:footnoteRef/>
      </w:r>
      <w:r w:rsidRPr="00003D55">
        <w:rPr>
          <w:sz w:val="16"/>
          <w:szCs w:val="16"/>
        </w:rPr>
        <w:t xml:space="preserve"> DLSL, BS</w:t>
      </w:r>
      <w:r w:rsidR="00003D55" w:rsidRPr="00003D55">
        <w:rPr>
          <w:sz w:val="16"/>
          <w:szCs w:val="16"/>
        </w:rPr>
        <w:t xml:space="preserve"> </w:t>
      </w:r>
      <w:r w:rsidRPr="00003D55">
        <w:rPr>
          <w:sz w:val="16"/>
          <w:szCs w:val="16"/>
        </w:rPr>
        <w:t xml:space="preserve">677 EVA, DL119 CB R1 [Letter Sent by W. Evans &amp; Co. to Benjamin </w:t>
      </w:r>
      <w:r w:rsidRPr="00003D55">
        <w:rPr>
          <w:sz w:val="16"/>
          <w:szCs w:val="16"/>
        </w:rPr>
        <w:t>Bulcock of Blackburn, 24 May 1788].</w:t>
      </w:r>
    </w:p>
  </w:footnote>
  <w:footnote w:id="527">
    <w:p w14:paraId="0E2E2927" w14:textId="235DB9B1" w:rsidR="009F6BEA" w:rsidRPr="006A2EB1" w:rsidRDefault="009F6BEA">
      <w:pPr>
        <w:pStyle w:val="FootnoteText"/>
        <w:rPr>
          <w:sz w:val="16"/>
          <w:szCs w:val="16"/>
        </w:rPr>
      </w:pPr>
      <w:r w:rsidRPr="006A2EB1">
        <w:rPr>
          <w:rStyle w:val="FootnoteReference"/>
          <w:sz w:val="16"/>
          <w:szCs w:val="16"/>
        </w:rPr>
        <w:footnoteRef/>
      </w:r>
      <w:r w:rsidRPr="006A2EB1">
        <w:rPr>
          <w:sz w:val="16"/>
          <w:szCs w:val="16"/>
        </w:rPr>
        <w:t xml:space="preserve"> </w:t>
      </w:r>
      <w:r w:rsidR="00A62385" w:rsidRPr="006A2EB1">
        <w:rPr>
          <w:sz w:val="16"/>
          <w:szCs w:val="16"/>
        </w:rPr>
        <w:t xml:space="preserve">Julian </w:t>
      </w:r>
      <w:r w:rsidR="00A62385" w:rsidRPr="006A2EB1">
        <w:rPr>
          <w:sz w:val="16"/>
          <w:szCs w:val="16"/>
        </w:rPr>
        <w:t xml:space="preserve">Hoppit, ‘Financial Crises in Eighteenth-Century England,’ </w:t>
      </w:r>
      <w:r w:rsidR="00A62385" w:rsidRPr="006A2EB1">
        <w:rPr>
          <w:i/>
          <w:iCs/>
          <w:sz w:val="16"/>
          <w:szCs w:val="16"/>
        </w:rPr>
        <w:t>Economic History Review</w:t>
      </w:r>
      <w:r w:rsidR="00A62385" w:rsidRPr="006A2EB1">
        <w:rPr>
          <w:sz w:val="16"/>
          <w:szCs w:val="16"/>
        </w:rPr>
        <w:t>,</w:t>
      </w:r>
      <w:r w:rsidR="00624133" w:rsidRPr="006A2EB1">
        <w:rPr>
          <w:sz w:val="16"/>
          <w:szCs w:val="16"/>
        </w:rPr>
        <w:t xml:space="preserve"> p. 40. </w:t>
      </w:r>
    </w:p>
  </w:footnote>
  <w:footnote w:id="528">
    <w:p w14:paraId="7A08D6E9" w14:textId="03174EA5" w:rsidR="00975595" w:rsidRPr="006A2EB1" w:rsidRDefault="00975595" w:rsidP="00975595">
      <w:pPr>
        <w:pStyle w:val="FootnoteText"/>
        <w:rPr>
          <w:sz w:val="16"/>
          <w:szCs w:val="16"/>
        </w:rPr>
      </w:pPr>
      <w:r w:rsidRPr="006A2EB1">
        <w:rPr>
          <w:rStyle w:val="FootnoteReference"/>
          <w:sz w:val="16"/>
          <w:szCs w:val="16"/>
        </w:rPr>
        <w:footnoteRef/>
      </w:r>
      <w:r w:rsidR="006A2EB1" w:rsidRPr="006A2EB1">
        <w:rPr>
          <w:sz w:val="16"/>
          <w:szCs w:val="16"/>
        </w:rPr>
        <w:t xml:space="preserve"> Don Peters, </w:t>
      </w:r>
      <w:r w:rsidR="006A2EB1" w:rsidRPr="006A2EB1">
        <w:rPr>
          <w:i/>
          <w:iCs/>
          <w:sz w:val="16"/>
          <w:szCs w:val="16"/>
        </w:rPr>
        <w:t>Darley Abbey from Monastery to Industrial Community</w:t>
      </w:r>
      <w:r w:rsidR="006A2EB1" w:rsidRPr="006A2EB1">
        <w:rPr>
          <w:sz w:val="16"/>
          <w:szCs w:val="16"/>
        </w:rPr>
        <w:t xml:space="preserve"> (Hartington, Moorland Publishing Company, 1974), p. 46.  </w:t>
      </w:r>
    </w:p>
  </w:footnote>
  <w:footnote w:id="529">
    <w:p w14:paraId="40299A50" w14:textId="7CCD5150" w:rsidR="00975595" w:rsidRPr="000C3B2A" w:rsidRDefault="00975595" w:rsidP="00975595">
      <w:pPr>
        <w:pStyle w:val="FootnoteText"/>
        <w:rPr>
          <w:sz w:val="16"/>
          <w:szCs w:val="16"/>
        </w:rPr>
      </w:pPr>
      <w:r w:rsidRPr="000C3B2A">
        <w:rPr>
          <w:rStyle w:val="FootnoteReference"/>
          <w:sz w:val="16"/>
          <w:szCs w:val="16"/>
        </w:rPr>
        <w:footnoteRef/>
      </w:r>
      <w:r w:rsidRPr="000C3B2A">
        <w:rPr>
          <w:sz w:val="16"/>
          <w:szCs w:val="16"/>
        </w:rPr>
        <w:t xml:space="preserve"> </w:t>
      </w:r>
      <w:r w:rsidR="000C3B2A" w:rsidRPr="000C3B2A">
        <w:rPr>
          <w:sz w:val="16"/>
          <w:szCs w:val="16"/>
        </w:rPr>
        <w:t>Jean Lindsay, ‘An Industrial Community – The Evans’ Cotton Mill at Darley Abbey Derbyshire, 1783-1810’, Business History Review, 34:3 (1960), pp. 277-301.</w:t>
      </w:r>
    </w:p>
  </w:footnote>
  <w:footnote w:id="530">
    <w:p w14:paraId="26C71F76" w14:textId="75F2DE24" w:rsidR="00003D55" w:rsidRPr="00003D55" w:rsidRDefault="00003D55">
      <w:pPr>
        <w:pStyle w:val="FootnoteText"/>
        <w:rPr>
          <w:sz w:val="16"/>
          <w:szCs w:val="16"/>
          <w:lang w:val="en-US"/>
        </w:rPr>
      </w:pPr>
      <w:r w:rsidRPr="00003D55">
        <w:rPr>
          <w:rStyle w:val="FootnoteReference"/>
          <w:sz w:val="16"/>
          <w:szCs w:val="16"/>
        </w:rPr>
        <w:footnoteRef/>
      </w:r>
      <w:r w:rsidRPr="00003D55">
        <w:rPr>
          <w:sz w:val="16"/>
          <w:szCs w:val="16"/>
        </w:rPr>
        <w:t xml:space="preserve"> DLSL, BS</w:t>
      </w:r>
      <w:r>
        <w:rPr>
          <w:sz w:val="16"/>
          <w:szCs w:val="16"/>
        </w:rPr>
        <w:t xml:space="preserve"> </w:t>
      </w:r>
      <w:r w:rsidRPr="00003D55">
        <w:rPr>
          <w:sz w:val="16"/>
          <w:szCs w:val="16"/>
        </w:rPr>
        <w:t>677 EVA, DL119 CB R1 [Letters Sent by W. Evans &amp; Co. to their Customer in Nottingham, 1788-1789].</w:t>
      </w:r>
    </w:p>
  </w:footnote>
  <w:footnote w:id="531">
    <w:p w14:paraId="2DD52A2C" w14:textId="01410B82" w:rsidR="00003D55" w:rsidRPr="00003D55" w:rsidRDefault="00003D55">
      <w:pPr>
        <w:pStyle w:val="FootnoteText"/>
        <w:rPr>
          <w:lang w:val="en-US"/>
        </w:rPr>
      </w:pPr>
      <w:r w:rsidRPr="00003D55">
        <w:rPr>
          <w:rStyle w:val="FootnoteReference"/>
          <w:sz w:val="16"/>
          <w:szCs w:val="16"/>
        </w:rPr>
        <w:footnoteRef/>
      </w:r>
      <w:r w:rsidRPr="00003D55">
        <w:rPr>
          <w:sz w:val="16"/>
          <w:szCs w:val="16"/>
        </w:rPr>
        <w:t xml:space="preserve"> </w:t>
      </w:r>
      <w:bookmarkStart w:id="167" w:name="_Hlk156733224"/>
      <w:r w:rsidRPr="00003D55">
        <w:rPr>
          <w:sz w:val="16"/>
          <w:szCs w:val="16"/>
        </w:rPr>
        <w:t>DLSL, BS</w:t>
      </w:r>
      <w:r>
        <w:rPr>
          <w:sz w:val="16"/>
          <w:szCs w:val="16"/>
        </w:rPr>
        <w:t xml:space="preserve"> </w:t>
      </w:r>
      <w:r w:rsidRPr="00003D55">
        <w:rPr>
          <w:sz w:val="16"/>
          <w:szCs w:val="16"/>
        </w:rPr>
        <w:t xml:space="preserve">677 EVA, DL119 CB R1 [Letter Sent by W. Evans &amp; Co to </w:t>
      </w:r>
      <w:bookmarkEnd w:id="167"/>
      <w:r w:rsidRPr="00003D55">
        <w:rPr>
          <w:sz w:val="16"/>
          <w:szCs w:val="16"/>
        </w:rPr>
        <w:t>Messrs. Mason &amp; Crowther, Messrs. Jarman and Trentham, and Mr Thomas Hill, 5 January 1789].</w:t>
      </w:r>
    </w:p>
  </w:footnote>
  <w:footnote w:id="532">
    <w:p w14:paraId="322FB579" w14:textId="0D5A13D6" w:rsidR="000C3B2A" w:rsidRPr="000C3B2A" w:rsidRDefault="000C3B2A">
      <w:pPr>
        <w:pStyle w:val="FootnoteText"/>
        <w:rPr>
          <w:sz w:val="16"/>
          <w:szCs w:val="16"/>
          <w:lang w:val="en-US"/>
        </w:rPr>
      </w:pPr>
      <w:r w:rsidRPr="000C3B2A">
        <w:rPr>
          <w:rStyle w:val="FootnoteReference"/>
          <w:sz w:val="16"/>
          <w:szCs w:val="16"/>
        </w:rPr>
        <w:footnoteRef/>
      </w:r>
      <w:r w:rsidRPr="000C3B2A">
        <w:rPr>
          <w:sz w:val="16"/>
          <w:szCs w:val="16"/>
        </w:rPr>
        <w:t xml:space="preserve"> DLSL, BS 677 EVA, DL119 CB R1.</w:t>
      </w:r>
    </w:p>
  </w:footnote>
  <w:footnote w:id="533">
    <w:p w14:paraId="63AEE771" w14:textId="2273BF83" w:rsidR="000C3B2A" w:rsidRPr="000C3B2A" w:rsidRDefault="000C3B2A">
      <w:pPr>
        <w:pStyle w:val="FootnoteText"/>
        <w:rPr>
          <w:sz w:val="16"/>
          <w:szCs w:val="16"/>
          <w:lang w:val="en-US"/>
        </w:rPr>
      </w:pPr>
      <w:r w:rsidRPr="000C3B2A">
        <w:rPr>
          <w:rStyle w:val="FootnoteReference"/>
          <w:sz w:val="16"/>
          <w:szCs w:val="16"/>
        </w:rPr>
        <w:footnoteRef/>
      </w:r>
      <w:r w:rsidRPr="000C3B2A">
        <w:rPr>
          <w:sz w:val="16"/>
          <w:szCs w:val="16"/>
        </w:rPr>
        <w:t xml:space="preserve"> Don Peters, </w:t>
      </w:r>
      <w:r w:rsidRPr="000C3B2A">
        <w:rPr>
          <w:i/>
          <w:iCs/>
          <w:sz w:val="16"/>
          <w:szCs w:val="16"/>
        </w:rPr>
        <w:t>Darley Abbey from Monastery to Industrial Community</w:t>
      </w:r>
      <w:r w:rsidRPr="000C3B2A">
        <w:rPr>
          <w:sz w:val="16"/>
          <w:szCs w:val="16"/>
        </w:rPr>
        <w:t xml:space="preserve">, pp.26-51.  </w:t>
      </w:r>
    </w:p>
  </w:footnote>
  <w:footnote w:id="534">
    <w:p w14:paraId="163B5E56" w14:textId="0DBE0024" w:rsidR="000C3B2A" w:rsidRPr="00864E53" w:rsidRDefault="000C3B2A">
      <w:pPr>
        <w:pStyle w:val="FootnoteText"/>
        <w:rPr>
          <w:sz w:val="16"/>
          <w:szCs w:val="16"/>
          <w:lang w:val="en-US"/>
        </w:rPr>
      </w:pPr>
      <w:r w:rsidRPr="00864E53">
        <w:rPr>
          <w:rStyle w:val="FootnoteReference"/>
          <w:sz w:val="16"/>
          <w:szCs w:val="16"/>
        </w:rPr>
        <w:footnoteRef/>
      </w:r>
      <w:r w:rsidRPr="00864E53">
        <w:rPr>
          <w:sz w:val="16"/>
          <w:szCs w:val="16"/>
        </w:rPr>
        <w:t xml:space="preserve"> DLSL, BS 677 EVA, DL119 CB R1 [Letter Sent by W. Evans &amp; Co to Samuel Lister, of Derby, 6 July 1790]. </w:t>
      </w:r>
    </w:p>
  </w:footnote>
  <w:footnote w:id="535">
    <w:p w14:paraId="1711B7AC" w14:textId="20F8DCFB" w:rsidR="00975595" w:rsidRPr="00864E53" w:rsidRDefault="00975595" w:rsidP="00975595">
      <w:pPr>
        <w:pStyle w:val="FootnoteText"/>
        <w:rPr>
          <w:sz w:val="16"/>
          <w:szCs w:val="16"/>
        </w:rPr>
      </w:pPr>
      <w:r w:rsidRPr="00864E53">
        <w:rPr>
          <w:rStyle w:val="FootnoteReference"/>
          <w:sz w:val="16"/>
          <w:szCs w:val="16"/>
        </w:rPr>
        <w:footnoteRef/>
      </w:r>
      <w:r w:rsidRPr="00864E53">
        <w:rPr>
          <w:sz w:val="16"/>
          <w:szCs w:val="16"/>
        </w:rPr>
        <w:t xml:space="preserve"> </w:t>
      </w:r>
      <w:r w:rsidR="000C3B2A" w:rsidRPr="00864E53">
        <w:rPr>
          <w:sz w:val="16"/>
          <w:szCs w:val="16"/>
        </w:rPr>
        <w:t>DLSL, BS 677 EVA, DL119 CB R1 [Letter Sent by W. Evans &amp; Co to Samuel Lister, of Derby, 6 July 1790].</w:t>
      </w:r>
    </w:p>
  </w:footnote>
  <w:footnote w:id="536">
    <w:p w14:paraId="18647902" w14:textId="5DF1DAFC" w:rsidR="00864E53" w:rsidRPr="00864E53" w:rsidRDefault="00864E53">
      <w:pPr>
        <w:pStyle w:val="FootnoteText"/>
        <w:rPr>
          <w:sz w:val="16"/>
          <w:szCs w:val="16"/>
          <w:lang w:val="en-US"/>
        </w:rPr>
      </w:pPr>
      <w:r w:rsidRPr="00864E53">
        <w:rPr>
          <w:rStyle w:val="FootnoteReference"/>
          <w:sz w:val="16"/>
          <w:szCs w:val="16"/>
        </w:rPr>
        <w:footnoteRef/>
      </w:r>
      <w:r w:rsidRPr="00864E53">
        <w:rPr>
          <w:sz w:val="16"/>
          <w:szCs w:val="16"/>
        </w:rPr>
        <w:t xml:space="preserve"> DLSL, BS 677 EVA, DL119 CB R1 [Letter Sent by W. Evans &amp; Co to Samuel Lister, of Derby, 6 July 1790].</w:t>
      </w:r>
    </w:p>
  </w:footnote>
  <w:footnote w:id="537">
    <w:p w14:paraId="045E4CC5" w14:textId="2B3CF04F" w:rsidR="00864E53" w:rsidRPr="00864E53" w:rsidRDefault="00864E53">
      <w:pPr>
        <w:pStyle w:val="FootnoteText"/>
        <w:rPr>
          <w:lang w:val="en-US"/>
        </w:rPr>
      </w:pPr>
      <w:r w:rsidRPr="00864E53">
        <w:rPr>
          <w:rStyle w:val="FootnoteReference"/>
          <w:sz w:val="16"/>
          <w:szCs w:val="16"/>
        </w:rPr>
        <w:footnoteRef/>
      </w:r>
      <w:r w:rsidRPr="00864E53">
        <w:rPr>
          <w:sz w:val="16"/>
          <w:szCs w:val="16"/>
        </w:rPr>
        <w:t xml:space="preserve"> Robert S. Fitton and Alfred P. Wadsworth, The </w:t>
      </w:r>
      <w:r w:rsidRPr="00864E53">
        <w:rPr>
          <w:sz w:val="16"/>
          <w:szCs w:val="16"/>
        </w:rPr>
        <w:t>Strutts and the Arkwrights, 1758-1830 (Manchester: Manchester University Press, 1958), pp. 166-167.</w:t>
      </w:r>
    </w:p>
  </w:footnote>
  <w:footnote w:id="538">
    <w:p w14:paraId="1DBFF556" w14:textId="423D8E91" w:rsidR="00975595" w:rsidRPr="00864E53" w:rsidRDefault="00975595" w:rsidP="00975595">
      <w:pPr>
        <w:pStyle w:val="FootnoteText"/>
        <w:rPr>
          <w:sz w:val="16"/>
          <w:szCs w:val="16"/>
        </w:rPr>
      </w:pPr>
      <w:r w:rsidRPr="00864E53">
        <w:rPr>
          <w:rStyle w:val="FootnoteReference"/>
          <w:sz w:val="16"/>
          <w:szCs w:val="16"/>
        </w:rPr>
        <w:footnoteRef/>
      </w:r>
      <w:r w:rsidRPr="00864E53">
        <w:rPr>
          <w:sz w:val="16"/>
          <w:szCs w:val="16"/>
        </w:rPr>
        <w:t xml:space="preserve"> </w:t>
      </w:r>
      <w:bookmarkStart w:id="168" w:name="_Hlk156733470"/>
      <w:r w:rsidRPr="00864E53">
        <w:rPr>
          <w:sz w:val="16"/>
          <w:szCs w:val="16"/>
        </w:rPr>
        <w:t>DLSL, BS</w:t>
      </w:r>
      <w:r w:rsidR="00864E53" w:rsidRPr="00864E53">
        <w:rPr>
          <w:sz w:val="16"/>
          <w:szCs w:val="16"/>
        </w:rPr>
        <w:t xml:space="preserve"> </w:t>
      </w:r>
      <w:r w:rsidRPr="00864E53">
        <w:rPr>
          <w:sz w:val="16"/>
          <w:szCs w:val="16"/>
        </w:rPr>
        <w:t>677 EVA, DL119 CB R1</w:t>
      </w:r>
      <w:r w:rsidR="00864E53" w:rsidRPr="00864E53">
        <w:rPr>
          <w:sz w:val="16"/>
          <w:szCs w:val="16"/>
        </w:rPr>
        <w:t xml:space="preserve">. </w:t>
      </w:r>
      <w:bookmarkEnd w:id="168"/>
    </w:p>
  </w:footnote>
  <w:footnote w:id="539">
    <w:p w14:paraId="606CCCD2" w14:textId="5B0A3F9A" w:rsidR="00864E53" w:rsidRPr="00864E53" w:rsidRDefault="00864E53">
      <w:pPr>
        <w:pStyle w:val="FootnoteText"/>
        <w:rPr>
          <w:sz w:val="16"/>
          <w:szCs w:val="16"/>
          <w:lang w:val="en-US"/>
        </w:rPr>
      </w:pPr>
      <w:r w:rsidRPr="00864E53">
        <w:rPr>
          <w:rStyle w:val="FootnoteReference"/>
          <w:sz w:val="16"/>
          <w:szCs w:val="16"/>
        </w:rPr>
        <w:footnoteRef/>
      </w:r>
      <w:r w:rsidRPr="00864E53">
        <w:rPr>
          <w:sz w:val="16"/>
          <w:szCs w:val="16"/>
        </w:rPr>
        <w:t xml:space="preserve"> DLSL, BS 677 EVA, DL119 CB R1 [Letter Sent by W. Evans &amp; Co to William Edward Sun Office, Derby, 5 May 1792].  </w:t>
      </w:r>
    </w:p>
  </w:footnote>
  <w:footnote w:id="540">
    <w:p w14:paraId="6833B264" w14:textId="6C706AA0" w:rsidR="00975595" w:rsidRDefault="00975595" w:rsidP="00975595">
      <w:pPr>
        <w:pStyle w:val="FootnoteText"/>
      </w:pPr>
      <w:r w:rsidRPr="00864E53">
        <w:rPr>
          <w:rStyle w:val="FootnoteReference"/>
          <w:sz w:val="16"/>
          <w:szCs w:val="16"/>
        </w:rPr>
        <w:footnoteRef/>
      </w:r>
      <w:r w:rsidR="00864E53" w:rsidRPr="00864E53">
        <w:rPr>
          <w:sz w:val="16"/>
          <w:szCs w:val="16"/>
        </w:rPr>
        <w:t xml:space="preserve"> </w:t>
      </w:r>
      <w:bookmarkStart w:id="169" w:name="_Hlk156733723"/>
      <w:r w:rsidR="00864E53" w:rsidRPr="00864E53">
        <w:rPr>
          <w:sz w:val="16"/>
          <w:szCs w:val="16"/>
        </w:rPr>
        <w:t xml:space="preserve">Don Peters, </w:t>
      </w:r>
      <w:r w:rsidR="00864E53" w:rsidRPr="00864E53">
        <w:rPr>
          <w:i/>
          <w:iCs/>
          <w:sz w:val="16"/>
          <w:szCs w:val="16"/>
        </w:rPr>
        <w:t>Darley Abbey from Monastery to Industrial Community</w:t>
      </w:r>
      <w:r w:rsidR="00864E53" w:rsidRPr="00864E53">
        <w:rPr>
          <w:sz w:val="16"/>
          <w:szCs w:val="16"/>
        </w:rPr>
        <w:t>, p. 46.</w:t>
      </w:r>
    </w:p>
    <w:bookmarkEnd w:id="169"/>
  </w:footnote>
  <w:footnote w:id="541">
    <w:p w14:paraId="224F917A" w14:textId="1222F58C" w:rsidR="00975595" w:rsidRPr="00864E53" w:rsidRDefault="00975595" w:rsidP="00975595">
      <w:pPr>
        <w:pStyle w:val="FootnoteText"/>
        <w:rPr>
          <w:sz w:val="16"/>
          <w:szCs w:val="16"/>
        </w:rPr>
      </w:pPr>
      <w:r w:rsidRPr="00864E53">
        <w:rPr>
          <w:rStyle w:val="FootnoteReference"/>
          <w:sz w:val="16"/>
          <w:szCs w:val="16"/>
        </w:rPr>
        <w:footnoteRef/>
      </w:r>
      <w:r w:rsidRPr="00864E53">
        <w:rPr>
          <w:sz w:val="16"/>
          <w:szCs w:val="16"/>
        </w:rPr>
        <w:t xml:space="preserve"> </w:t>
      </w:r>
      <w:r w:rsidR="00864E53" w:rsidRPr="00864E53">
        <w:rPr>
          <w:sz w:val="16"/>
          <w:szCs w:val="16"/>
        </w:rPr>
        <w:t xml:space="preserve">DLSL, BS 677 EVA, DL119 CB R1 [Letter Sent by W. Evans &amp; Co to William Edward Sun Office, Derby, 22 December 1792].  </w:t>
      </w:r>
    </w:p>
  </w:footnote>
  <w:footnote w:id="542">
    <w:p w14:paraId="618CC56B" w14:textId="05E52862" w:rsidR="00975595" w:rsidRPr="00D5773D" w:rsidRDefault="00975595" w:rsidP="00975595">
      <w:pPr>
        <w:pStyle w:val="FootnoteText"/>
        <w:rPr>
          <w:sz w:val="16"/>
          <w:szCs w:val="16"/>
        </w:rPr>
      </w:pPr>
      <w:r w:rsidRPr="00D5773D">
        <w:rPr>
          <w:rStyle w:val="FootnoteReference"/>
          <w:sz w:val="16"/>
          <w:szCs w:val="16"/>
        </w:rPr>
        <w:footnoteRef/>
      </w:r>
      <w:r w:rsidRPr="00D5773D">
        <w:rPr>
          <w:sz w:val="16"/>
          <w:szCs w:val="16"/>
        </w:rPr>
        <w:t xml:space="preserve"> </w:t>
      </w:r>
      <w:r w:rsidR="00D5773D" w:rsidRPr="00D5773D">
        <w:rPr>
          <w:sz w:val="16"/>
          <w:szCs w:val="16"/>
        </w:rPr>
        <w:t xml:space="preserve">Don Peters, </w:t>
      </w:r>
      <w:r w:rsidR="00D5773D" w:rsidRPr="00D5773D">
        <w:rPr>
          <w:i/>
          <w:iCs/>
          <w:sz w:val="16"/>
          <w:szCs w:val="16"/>
        </w:rPr>
        <w:t>Darley Abbey from Monastery to Industrial Community</w:t>
      </w:r>
      <w:r w:rsidR="00D5773D" w:rsidRPr="00D5773D">
        <w:rPr>
          <w:sz w:val="16"/>
          <w:szCs w:val="16"/>
        </w:rPr>
        <w:t>, p. 46.</w:t>
      </w:r>
    </w:p>
  </w:footnote>
  <w:footnote w:id="543">
    <w:p w14:paraId="000E6808" w14:textId="62C67C7F" w:rsidR="005A05DF" w:rsidRPr="007D529B" w:rsidRDefault="005A05DF" w:rsidP="005A05DF">
      <w:pPr>
        <w:pStyle w:val="FootnoteText"/>
        <w:rPr>
          <w:sz w:val="18"/>
          <w:szCs w:val="18"/>
        </w:rPr>
      </w:pPr>
      <w:r w:rsidRPr="00D5773D">
        <w:rPr>
          <w:rStyle w:val="FootnoteReference"/>
          <w:sz w:val="16"/>
          <w:szCs w:val="16"/>
        </w:rPr>
        <w:footnoteRef/>
      </w:r>
      <w:r w:rsidRPr="00D5773D">
        <w:rPr>
          <w:sz w:val="16"/>
          <w:szCs w:val="16"/>
        </w:rPr>
        <w:t xml:space="preserve"> </w:t>
      </w:r>
      <w:r w:rsidR="00D5773D" w:rsidRPr="00D5773D">
        <w:rPr>
          <w:sz w:val="16"/>
          <w:szCs w:val="16"/>
        </w:rPr>
        <w:t xml:space="preserve">Sven Beckert, </w:t>
      </w:r>
      <w:r w:rsidR="00D5773D" w:rsidRPr="00D5773D">
        <w:rPr>
          <w:i/>
          <w:iCs/>
          <w:sz w:val="16"/>
          <w:szCs w:val="16"/>
        </w:rPr>
        <w:t>Empire of Cotton: A Global History</w:t>
      </w:r>
      <w:r w:rsidR="00D5773D" w:rsidRPr="00D5773D">
        <w:rPr>
          <w:sz w:val="16"/>
          <w:szCs w:val="16"/>
        </w:rPr>
        <w:t xml:space="preserve"> (New York: Vintage Books, 2014), p. 141.</w:t>
      </w:r>
    </w:p>
  </w:footnote>
  <w:footnote w:id="544">
    <w:p w14:paraId="370E46B4" w14:textId="1F27B90A" w:rsidR="00D5773D" w:rsidRPr="00D5773D" w:rsidRDefault="00D5773D">
      <w:pPr>
        <w:pStyle w:val="FootnoteText"/>
        <w:rPr>
          <w:sz w:val="16"/>
          <w:szCs w:val="16"/>
          <w:lang w:val="en-US"/>
        </w:rPr>
      </w:pPr>
      <w:r w:rsidRPr="00D5773D">
        <w:rPr>
          <w:rStyle w:val="FootnoteReference"/>
          <w:sz w:val="16"/>
          <w:szCs w:val="16"/>
        </w:rPr>
        <w:footnoteRef/>
      </w:r>
      <w:r w:rsidRPr="00D5773D">
        <w:rPr>
          <w:sz w:val="16"/>
          <w:szCs w:val="16"/>
        </w:rPr>
        <w:t xml:space="preserve"> Beckert, </w:t>
      </w:r>
      <w:r w:rsidRPr="00D5773D">
        <w:rPr>
          <w:i/>
          <w:iCs/>
          <w:sz w:val="16"/>
          <w:szCs w:val="16"/>
        </w:rPr>
        <w:t>Empire of Cotton</w:t>
      </w:r>
      <w:r w:rsidRPr="00D5773D">
        <w:rPr>
          <w:sz w:val="16"/>
          <w:szCs w:val="16"/>
        </w:rPr>
        <w:t>, p. 141.</w:t>
      </w:r>
    </w:p>
  </w:footnote>
  <w:footnote w:id="545">
    <w:p w14:paraId="4ED4F5B7" w14:textId="250B212A" w:rsidR="00316685" w:rsidRPr="00D5773D" w:rsidRDefault="00316685">
      <w:pPr>
        <w:pStyle w:val="FootnoteText"/>
        <w:rPr>
          <w:sz w:val="16"/>
          <w:szCs w:val="16"/>
          <w:lang w:val="de-DE"/>
        </w:rPr>
      </w:pPr>
      <w:r w:rsidRPr="00D5773D">
        <w:rPr>
          <w:rStyle w:val="FootnoteReference"/>
          <w:sz w:val="16"/>
          <w:szCs w:val="16"/>
        </w:rPr>
        <w:footnoteRef/>
      </w:r>
      <w:r w:rsidRPr="00D5773D">
        <w:rPr>
          <w:sz w:val="16"/>
          <w:szCs w:val="16"/>
          <w:lang w:val="de-DE"/>
        </w:rPr>
        <w:t xml:space="preserve"> </w:t>
      </w:r>
      <w:bookmarkStart w:id="171" w:name="_Hlk170482439"/>
      <w:r w:rsidRPr="00D5773D">
        <w:rPr>
          <w:sz w:val="16"/>
          <w:szCs w:val="16"/>
          <w:lang w:val="de-DE"/>
        </w:rPr>
        <w:t xml:space="preserve">Eckhard Bolenz, </w:t>
      </w:r>
      <w:r w:rsidRPr="00D5773D">
        <w:rPr>
          <w:i/>
          <w:iCs/>
          <w:sz w:val="16"/>
          <w:szCs w:val="16"/>
          <w:lang w:val="de-DE"/>
        </w:rPr>
        <w:t>Textilfabrik Cromford in Ratingen –</w:t>
      </w:r>
      <w:r w:rsidR="00212B42" w:rsidRPr="00D5773D">
        <w:rPr>
          <w:i/>
          <w:iCs/>
          <w:sz w:val="16"/>
          <w:szCs w:val="16"/>
          <w:lang w:val="de-DE"/>
        </w:rPr>
        <w:t xml:space="preserve"> Die </w:t>
      </w:r>
      <w:r w:rsidR="00212B42" w:rsidRPr="00D5773D">
        <w:rPr>
          <w:rFonts w:cstheme="minorHAnsi"/>
          <w:i/>
          <w:iCs/>
          <w:sz w:val="16"/>
          <w:szCs w:val="16"/>
          <w:lang w:val="de-DE"/>
        </w:rPr>
        <w:t>ä</w:t>
      </w:r>
      <w:r w:rsidR="00212B42" w:rsidRPr="00D5773D">
        <w:rPr>
          <w:i/>
          <w:iCs/>
          <w:sz w:val="16"/>
          <w:szCs w:val="16"/>
          <w:lang w:val="de-DE"/>
        </w:rPr>
        <w:t>l</w:t>
      </w:r>
      <w:r w:rsidR="003558C9" w:rsidRPr="00D5773D">
        <w:rPr>
          <w:i/>
          <w:iCs/>
          <w:sz w:val="16"/>
          <w:szCs w:val="16"/>
          <w:lang w:val="de-DE"/>
        </w:rPr>
        <w:t>t</w:t>
      </w:r>
      <w:r w:rsidR="00212B42" w:rsidRPr="00D5773D">
        <w:rPr>
          <w:i/>
          <w:iCs/>
          <w:sz w:val="16"/>
          <w:szCs w:val="16"/>
          <w:lang w:val="de-DE"/>
        </w:rPr>
        <w:t>este Fabrik auf dem Kontinent</w:t>
      </w:r>
      <w:r w:rsidR="002A69EE" w:rsidRPr="00D5773D">
        <w:rPr>
          <w:sz w:val="16"/>
          <w:szCs w:val="16"/>
          <w:lang w:val="de-DE"/>
        </w:rPr>
        <w:t>, (M</w:t>
      </w:r>
      <w:r w:rsidR="002A69EE" w:rsidRPr="00D5773D">
        <w:rPr>
          <w:rFonts w:cstheme="minorHAnsi"/>
          <w:sz w:val="16"/>
          <w:szCs w:val="16"/>
          <w:lang w:val="de-DE"/>
        </w:rPr>
        <w:t>ü</w:t>
      </w:r>
      <w:r w:rsidR="002A69EE" w:rsidRPr="00D5773D">
        <w:rPr>
          <w:sz w:val="16"/>
          <w:szCs w:val="16"/>
          <w:lang w:val="de-DE"/>
        </w:rPr>
        <w:t>nchen</w:t>
      </w:r>
      <w:r w:rsidR="00A41C69" w:rsidRPr="00D5773D">
        <w:rPr>
          <w:sz w:val="16"/>
          <w:szCs w:val="16"/>
          <w:lang w:val="de-DE"/>
        </w:rPr>
        <w:t xml:space="preserve"> – Berlin:  Deutscher Kunstver</w:t>
      </w:r>
      <w:r w:rsidR="00175EE3" w:rsidRPr="00D5773D">
        <w:rPr>
          <w:sz w:val="16"/>
          <w:szCs w:val="16"/>
          <w:lang w:val="de-DE"/>
        </w:rPr>
        <w:t>lag GmbH</w:t>
      </w:r>
      <w:r w:rsidR="00C7214B" w:rsidRPr="00D5773D">
        <w:rPr>
          <w:sz w:val="16"/>
          <w:szCs w:val="16"/>
          <w:lang w:val="de-DE"/>
        </w:rPr>
        <w:t>, 2002)</w:t>
      </w:r>
      <w:r w:rsidR="001345E2" w:rsidRPr="00D5773D">
        <w:rPr>
          <w:sz w:val="16"/>
          <w:szCs w:val="16"/>
          <w:lang w:val="de-DE"/>
        </w:rPr>
        <w:t>, p. 2</w:t>
      </w:r>
      <w:r w:rsidR="003C0DF5" w:rsidRPr="00D5773D">
        <w:rPr>
          <w:sz w:val="16"/>
          <w:szCs w:val="16"/>
          <w:lang w:val="de-DE"/>
        </w:rPr>
        <w:t>.</w:t>
      </w:r>
      <w:r w:rsidR="00C7214B" w:rsidRPr="00D5773D">
        <w:rPr>
          <w:sz w:val="16"/>
          <w:szCs w:val="16"/>
          <w:lang w:val="de-DE"/>
        </w:rPr>
        <w:t xml:space="preserve"> </w:t>
      </w:r>
      <w:r w:rsidR="001345E2" w:rsidRPr="00D5773D">
        <w:rPr>
          <w:sz w:val="16"/>
          <w:szCs w:val="16"/>
          <w:lang w:val="de-DE"/>
        </w:rPr>
        <w:t xml:space="preserve"> </w:t>
      </w:r>
      <w:bookmarkEnd w:id="171"/>
    </w:p>
  </w:footnote>
  <w:footnote w:id="546">
    <w:p w14:paraId="43B9A192" w14:textId="77DD4EFC" w:rsidR="005A05DF" w:rsidRPr="00E14A17" w:rsidRDefault="005A05DF" w:rsidP="005A05DF">
      <w:pPr>
        <w:pStyle w:val="FootnoteText"/>
        <w:rPr>
          <w:sz w:val="16"/>
          <w:szCs w:val="16"/>
        </w:rPr>
      </w:pPr>
      <w:r w:rsidRPr="00E14A17">
        <w:rPr>
          <w:rStyle w:val="FootnoteReference"/>
          <w:sz w:val="16"/>
          <w:szCs w:val="16"/>
        </w:rPr>
        <w:footnoteRef/>
      </w:r>
      <w:r w:rsidRPr="00E14A17">
        <w:rPr>
          <w:sz w:val="16"/>
          <w:szCs w:val="16"/>
          <w:lang w:val="de-DE"/>
        </w:rPr>
        <w:t xml:space="preserve"> Eckhard Bolenz, Bolenz</w:t>
      </w:r>
      <w:r w:rsidR="00E824CD" w:rsidRPr="00E14A17">
        <w:rPr>
          <w:sz w:val="16"/>
          <w:szCs w:val="16"/>
          <w:lang w:val="de-DE"/>
        </w:rPr>
        <w:t>,</w:t>
      </w:r>
      <w:r w:rsidRPr="00E14A17">
        <w:rPr>
          <w:sz w:val="16"/>
          <w:szCs w:val="16"/>
          <w:lang w:val="de-DE"/>
        </w:rPr>
        <w:t xml:space="preserve"> </w:t>
      </w:r>
      <w:r w:rsidRPr="00E14A17">
        <w:rPr>
          <w:i/>
          <w:iCs/>
          <w:sz w:val="16"/>
          <w:szCs w:val="16"/>
          <w:lang w:val="de-DE"/>
        </w:rPr>
        <w:t>et al</w:t>
      </w:r>
      <w:r w:rsidRPr="00E14A17">
        <w:rPr>
          <w:sz w:val="16"/>
          <w:szCs w:val="16"/>
          <w:lang w:val="de-DE"/>
        </w:rPr>
        <w:t xml:space="preserve">. (eds.), </w:t>
      </w:r>
      <w:r w:rsidR="00E824CD" w:rsidRPr="00E14A17">
        <w:rPr>
          <w:sz w:val="16"/>
          <w:szCs w:val="16"/>
          <w:lang w:val="de-DE"/>
        </w:rPr>
        <w:t>‘</w:t>
      </w:r>
      <w:r w:rsidRPr="00E14A17">
        <w:rPr>
          <w:sz w:val="16"/>
          <w:szCs w:val="16"/>
          <w:lang w:val="de-DE"/>
        </w:rPr>
        <w:t>Vom Ende des Ancien régime bis zum Ende des Deutschen Bundes (ca. 1780–1870)</w:t>
      </w:r>
      <w:r w:rsidR="00483977" w:rsidRPr="00E14A17">
        <w:rPr>
          <w:sz w:val="16"/>
          <w:szCs w:val="16"/>
          <w:lang w:val="de-DE"/>
        </w:rPr>
        <w:t>’</w:t>
      </w:r>
      <w:r w:rsidRPr="00E14A17">
        <w:rPr>
          <w:sz w:val="16"/>
          <w:szCs w:val="16"/>
          <w:lang w:val="de-DE"/>
        </w:rPr>
        <w:t>,</w:t>
      </w:r>
      <w:r w:rsidR="00483977" w:rsidRPr="00E14A17">
        <w:rPr>
          <w:sz w:val="16"/>
          <w:szCs w:val="16"/>
          <w:lang w:val="de-DE"/>
        </w:rPr>
        <w:t xml:space="preserve"> in</w:t>
      </w:r>
      <w:r w:rsidRPr="00E14A17">
        <w:rPr>
          <w:sz w:val="16"/>
          <w:szCs w:val="16"/>
          <w:lang w:val="de-DE"/>
        </w:rPr>
        <w:t xml:space="preserve"> </w:t>
      </w:r>
      <w:r w:rsidRPr="00E14A17">
        <w:rPr>
          <w:i/>
          <w:iCs/>
          <w:sz w:val="16"/>
          <w:szCs w:val="16"/>
          <w:lang w:val="de-DE"/>
        </w:rPr>
        <w:t xml:space="preserve">Ratingen. </w:t>
      </w:r>
      <w:r w:rsidRPr="00E14A17">
        <w:rPr>
          <w:i/>
          <w:iCs/>
          <w:sz w:val="16"/>
          <w:szCs w:val="16"/>
        </w:rPr>
        <w:t>Geschichte 1780 Bis 1975</w:t>
      </w:r>
      <w:r w:rsidRPr="00E14A17">
        <w:rPr>
          <w:sz w:val="16"/>
          <w:szCs w:val="16"/>
        </w:rPr>
        <w:t xml:space="preserve"> (in German), </w:t>
      </w:r>
      <w:r w:rsidR="00483977" w:rsidRPr="00E14A17">
        <w:rPr>
          <w:sz w:val="16"/>
          <w:szCs w:val="16"/>
        </w:rPr>
        <w:t>(</w:t>
      </w:r>
      <w:r w:rsidRPr="00E14A17">
        <w:rPr>
          <w:sz w:val="16"/>
          <w:szCs w:val="16"/>
        </w:rPr>
        <w:t>Essen: Klartext Verlag</w:t>
      </w:r>
      <w:r w:rsidR="00483977" w:rsidRPr="00E14A17">
        <w:rPr>
          <w:sz w:val="16"/>
          <w:szCs w:val="16"/>
        </w:rPr>
        <w:t>,</w:t>
      </w:r>
      <w:r w:rsidRPr="00E14A17">
        <w:rPr>
          <w:sz w:val="16"/>
          <w:szCs w:val="16"/>
        </w:rPr>
        <w:t xml:space="preserve"> </w:t>
      </w:r>
      <w:r w:rsidR="00E824CD" w:rsidRPr="00E14A17">
        <w:rPr>
          <w:sz w:val="16"/>
          <w:szCs w:val="16"/>
        </w:rPr>
        <w:t>2000)</w:t>
      </w:r>
      <w:r w:rsidR="00E14A17">
        <w:rPr>
          <w:sz w:val="16"/>
          <w:szCs w:val="16"/>
        </w:rPr>
        <w:t>.</w:t>
      </w:r>
      <w:r w:rsidR="00483977" w:rsidRPr="00E14A17">
        <w:rPr>
          <w:sz w:val="16"/>
          <w:szCs w:val="16"/>
        </w:rPr>
        <w:t xml:space="preserve"> </w:t>
      </w:r>
    </w:p>
  </w:footnote>
  <w:footnote w:id="547">
    <w:p w14:paraId="3F98A172" w14:textId="2ABB6E86" w:rsidR="00D5773D" w:rsidRPr="00E14A17" w:rsidRDefault="00D5773D">
      <w:pPr>
        <w:pStyle w:val="FootnoteText"/>
        <w:rPr>
          <w:sz w:val="16"/>
          <w:szCs w:val="16"/>
          <w:lang w:val="en-US"/>
        </w:rPr>
      </w:pPr>
      <w:r w:rsidRPr="00E14A17">
        <w:rPr>
          <w:rStyle w:val="FootnoteReference"/>
          <w:sz w:val="16"/>
          <w:szCs w:val="16"/>
        </w:rPr>
        <w:footnoteRef/>
      </w:r>
      <w:r w:rsidRPr="00E14A17">
        <w:rPr>
          <w:sz w:val="16"/>
          <w:szCs w:val="16"/>
        </w:rPr>
        <w:t xml:space="preserve"> </w:t>
      </w:r>
      <w:r w:rsidRPr="00E14A17">
        <w:rPr>
          <w:sz w:val="16"/>
          <w:szCs w:val="16"/>
        </w:rPr>
        <w:t xml:space="preserve">Sheryllynne Haggerty, </w:t>
      </w:r>
      <w:r w:rsidRPr="00E14A17">
        <w:rPr>
          <w:i/>
          <w:iCs/>
          <w:sz w:val="16"/>
          <w:szCs w:val="16"/>
        </w:rPr>
        <w:t xml:space="preserve">Merely for </w:t>
      </w:r>
      <w:r w:rsidRPr="00E14A17">
        <w:rPr>
          <w:i/>
          <w:iCs/>
          <w:sz w:val="16"/>
          <w:szCs w:val="16"/>
        </w:rPr>
        <w:t>Money?: Business Culture in the British Atlantic, 1750-1815</w:t>
      </w:r>
      <w:r w:rsidRPr="00E14A17">
        <w:rPr>
          <w:sz w:val="16"/>
          <w:szCs w:val="16"/>
        </w:rPr>
        <w:t xml:space="preserve"> (Liverpool University Press, 2012), p. 161. </w:t>
      </w:r>
    </w:p>
  </w:footnote>
  <w:footnote w:id="548">
    <w:p w14:paraId="310A5A9D" w14:textId="0CDA657A" w:rsidR="00D5773D" w:rsidRPr="00E14A17" w:rsidRDefault="00D5773D" w:rsidP="00D5773D">
      <w:pPr>
        <w:pStyle w:val="FootnoteText"/>
        <w:rPr>
          <w:sz w:val="16"/>
          <w:szCs w:val="16"/>
        </w:rPr>
      </w:pPr>
      <w:r w:rsidRPr="00E14A17">
        <w:rPr>
          <w:rStyle w:val="FootnoteReference"/>
          <w:sz w:val="16"/>
          <w:szCs w:val="16"/>
        </w:rPr>
        <w:footnoteRef/>
      </w:r>
      <w:r w:rsidRPr="00E14A17">
        <w:rPr>
          <w:sz w:val="16"/>
          <w:szCs w:val="16"/>
        </w:rPr>
        <w:t xml:space="preserve"> </w:t>
      </w:r>
      <w:bookmarkStart w:id="172" w:name="_Hlk170482575"/>
      <w:r w:rsidRPr="00E14A17">
        <w:rPr>
          <w:sz w:val="16"/>
          <w:szCs w:val="16"/>
        </w:rPr>
        <w:t xml:space="preserve">Barbara M. Tucker, </w:t>
      </w:r>
      <w:r w:rsidRPr="00E14A17">
        <w:rPr>
          <w:i/>
          <w:iCs/>
          <w:sz w:val="16"/>
          <w:szCs w:val="16"/>
        </w:rPr>
        <w:t>Samuel Slater and the Origins of the American Textile Industry, 1790-1869</w:t>
      </w:r>
      <w:r w:rsidRPr="00E14A17">
        <w:rPr>
          <w:sz w:val="16"/>
          <w:szCs w:val="16"/>
        </w:rPr>
        <w:t xml:space="preserve"> (New York: Cornell University Press, 1984), p. 21-22.</w:t>
      </w:r>
      <w:bookmarkEnd w:id="172"/>
      <w:r w:rsidRPr="00E14A17">
        <w:rPr>
          <w:sz w:val="16"/>
          <w:szCs w:val="16"/>
        </w:rPr>
        <w:t xml:space="preserve"> </w:t>
      </w:r>
    </w:p>
  </w:footnote>
  <w:footnote w:id="549">
    <w:p w14:paraId="38CB6E94" w14:textId="7468B455" w:rsidR="003F43FB" w:rsidRPr="00E14A17" w:rsidRDefault="003F43FB">
      <w:pPr>
        <w:pStyle w:val="FootnoteText"/>
        <w:rPr>
          <w:sz w:val="16"/>
          <w:szCs w:val="16"/>
        </w:rPr>
      </w:pPr>
      <w:r w:rsidRPr="00E14A17">
        <w:rPr>
          <w:rStyle w:val="FootnoteReference"/>
          <w:sz w:val="16"/>
          <w:szCs w:val="16"/>
        </w:rPr>
        <w:footnoteRef/>
      </w:r>
      <w:r w:rsidRPr="00E14A17">
        <w:rPr>
          <w:sz w:val="16"/>
          <w:szCs w:val="16"/>
        </w:rPr>
        <w:t xml:space="preserve"> </w:t>
      </w:r>
      <w:bookmarkStart w:id="173" w:name="_Hlk170482618"/>
      <w:r w:rsidR="00922442" w:rsidRPr="00E14A17">
        <w:rPr>
          <w:sz w:val="16"/>
          <w:szCs w:val="16"/>
        </w:rPr>
        <w:t xml:space="preserve">John L. Hobbs, </w:t>
      </w:r>
      <w:r w:rsidR="005C7040" w:rsidRPr="00E14A17">
        <w:rPr>
          <w:sz w:val="16"/>
          <w:szCs w:val="16"/>
        </w:rPr>
        <w:t>‘</w:t>
      </w:r>
      <w:r w:rsidR="00922442" w:rsidRPr="00E14A17">
        <w:rPr>
          <w:sz w:val="16"/>
          <w:szCs w:val="16"/>
        </w:rPr>
        <w:t xml:space="preserve">The </w:t>
      </w:r>
      <w:r w:rsidR="00922442" w:rsidRPr="00E14A17">
        <w:rPr>
          <w:sz w:val="16"/>
          <w:szCs w:val="16"/>
        </w:rPr>
        <w:t>Boo</w:t>
      </w:r>
      <w:r w:rsidR="0060011B">
        <w:rPr>
          <w:sz w:val="16"/>
          <w:szCs w:val="16"/>
        </w:rPr>
        <w:t>t</w:t>
      </w:r>
      <w:r w:rsidR="00922442" w:rsidRPr="00E14A17">
        <w:rPr>
          <w:sz w:val="16"/>
          <w:szCs w:val="16"/>
        </w:rPr>
        <w:t xml:space="preserve">t and Haden </w:t>
      </w:r>
      <w:r w:rsidR="005C7040" w:rsidRPr="00E14A17">
        <w:rPr>
          <w:sz w:val="16"/>
          <w:szCs w:val="16"/>
        </w:rPr>
        <w:t>Families</w:t>
      </w:r>
      <w:r w:rsidR="00922442" w:rsidRPr="00E14A17">
        <w:rPr>
          <w:sz w:val="16"/>
          <w:szCs w:val="16"/>
        </w:rPr>
        <w:t xml:space="preserve"> and the Founding of Lowell</w:t>
      </w:r>
      <w:r w:rsidR="005815DC" w:rsidRPr="00E14A17">
        <w:rPr>
          <w:sz w:val="16"/>
          <w:szCs w:val="16"/>
        </w:rPr>
        <w:t>,</w:t>
      </w:r>
      <w:r w:rsidR="005C7040" w:rsidRPr="00E14A17">
        <w:rPr>
          <w:sz w:val="16"/>
          <w:szCs w:val="16"/>
        </w:rPr>
        <w:t xml:space="preserve">’ </w:t>
      </w:r>
      <w:r w:rsidR="005815DC" w:rsidRPr="00E14A17">
        <w:rPr>
          <w:i/>
          <w:iCs/>
          <w:sz w:val="16"/>
          <w:szCs w:val="16"/>
        </w:rPr>
        <w:t>Derbyshire Archaeological and Natural History Society’s Journal,</w:t>
      </w:r>
      <w:r w:rsidR="005815DC" w:rsidRPr="00E14A17">
        <w:rPr>
          <w:sz w:val="16"/>
          <w:szCs w:val="16"/>
        </w:rPr>
        <w:t xml:space="preserve"> 1946</w:t>
      </w:r>
      <w:r w:rsidR="005C7040" w:rsidRPr="00E14A17">
        <w:rPr>
          <w:sz w:val="16"/>
          <w:szCs w:val="16"/>
        </w:rPr>
        <w:t xml:space="preserve">, pp. 59-74. </w:t>
      </w:r>
      <w:bookmarkEnd w:id="173"/>
    </w:p>
  </w:footnote>
  <w:footnote w:id="550">
    <w:p w14:paraId="5F97BA5E" w14:textId="2996834E" w:rsidR="00D5773D" w:rsidRPr="00E14A17" w:rsidRDefault="00D5773D">
      <w:pPr>
        <w:pStyle w:val="FootnoteText"/>
        <w:rPr>
          <w:sz w:val="16"/>
          <w:szCs w:val="16"/>
          <w:lang w:val="en-US"/>
        </w:rPr>
      </w:pPr>
      <w:r w:rsidRPr="00E14A17">
        <w:rPr>
          <w:rStyle w:val="FootnoteReference"/>
          <w:sz w:val="16"/>
          <w:szCs w:val="16"/>
        </w:rPr>
        <w:footnoteRef/>
      </w:r>
      <w:r w:rsidRPr="00E14A17">
        <w:rPr>
          <w:sz w:val="16"/>
          <w:szCs w:val="16"/>
        </w:rPr>
        <w:t xml:space="preserve"> Hobbs, ‘The Boot and Haden Families and the Founding of Lowell,’ </w:t>
      </w:r>
      <w:r w:rsidRPr="00E14A17">
        <w:rPr>
          <w:i/>
          <w:iCs/>
          <w:sz w:val="16"/>
          <w:szCs w:val="16"/>
        </w:rPr>
        <w:t>Derbyshire Archaeological and Natural History Society’s Journal</w:t>
      </w:r>
      <w:r w:rsidRPr="00E14A17">
        <w:rPr>
          <w:sz w:val="16"/>
          <w:szCs w:val="16"/>
        </w:rPr>
        <w:t>, pp. 59-74.</w:t>
      </w:r>
    </w:p>
  </w:footnote>
  <w:footnote w:id="551">
    <w:p w14:paraId="4F81E297" w14:textId="4881B382" w:rsidR="00E14A17" w:rsidRPr="00E14A17" w:rsidRDefault="00E14A17">
      <w:pPr>
        <w:pStyle w:val="FootnoteText"/>
        <w:rPr>
          <w:lang w:val="en-US"/>
        </w:rPr>
      </w:pPr>
      <w:r w:rsidRPr="00E14A17">
        <w:rPr>
          <w:rStyle w:val="FootnoteReference"/>
          <w:sz w:val="16"/>
          <w:szCs w:val="16"/>
        </w:rPr>
        <w:footnoteRef/>
      </w:r>
      <w:r w:rsidRPr="00E14A17">
        <w:rPr>
          <w:sz w:val="16"/>
          <w:szCs w:val="16"/>
        </w:rPr>
        <w:t xml:space="preserve"> Tucker, Samuel Slater and the Origins of the American Textile Industry, 1790-1869, p. 21-22.</w:t>
      </w:r>
    </w:p>
  </w:footnote>
  <w:footnote w:id="552">
    <w:p w14:paraId="16045AD7" w14:textId="2F891250" w:rsidR="005A05DF" w:rsidRPr="00FC011E" w:rsidRDefault="005A05DF" w:rsidP="005A05DF">
      <w:pPr>
        <w:pStyle w:val="FootnoteText"/>
        <w:rPr>
          <w:sz w:val="16"/>
          <w:szCs w:val="16"/>
        </w:rPr>
      </w:pPr>
      <w:r w:rsidRPr="00FC011E">
        <w:rPr>
          <w:rStyle w:val="FootnoteReference"/>
          <w:sz w:val="16"/>
          <w:szCs w:val="16"/>
        </w:rPr>
        <w:footnoteRef/>
      </w:r>
      <w:r w:rsidRPr="00FC011E">
        <w:rPr>
          <w:sz w:val="16"/>
          <w:szCs w:val="16"/>
        </w:rPr>
        <w:t xml:space="preserve"> Robert </w:t>
      </w:r>
      <w:r w:rsidRPr="00FC011E">
        <w:rPr>
          <w:sz w:val="16"/>
          <w:szCs w:val="16"/>
        </w:rPr>
        <w:t xml:space="preserve">Granfield and William Cloud, </w:t>
      </w:r>
      <w:r w:rsidRPr="00FC011E">
        <w:rPr>
          <w:i/>
          <w:iCs/>
          <w:sz w:val="16"/>
          <w:szCs w:val="16"/>
        </w:rPr>
        <w:t xml:space="preserve">Coming </w:t>
      </w:r>
      <w:r w:rsidR="00FC011E" w:rsidRPr="00FC011E">
        <w:rPr>
          <w:i/>
          <w:iCs/>
          <w:sz w:val="16"/>
          <w:szCs w:val="16"/>
        </w:rPr>
        <w:t>C</w:t>
      </w:r>
      <w:r w:rsidRPr="00FC011E">
        <w:rPr>
          <w:i/>
          <w:iCs/>
          <w:sz w:val="16"/>
          <w:szCs w:val="16"/>
        </w:rPr>
        <w:t xml:space="preserve">lean: Overcoming </w:t>
      </w:r>
      <w:r w:rsidR="00FC011E" w:rsidRPr="00FC011E">
        <w:rPr>
          <w:i/>
          <w:iCs/>
          <w:sz w:val="16"/>
          <w:szCs w:val="16"/>
        </w:rPr>
        <w:t>A</w:t>
      </w:r>
      <w:r w:rsidRPr="00FC011E">
        <w:rPr>
          <w:i/>
          <w:iCs/>
          <w:sz w:val="16"/>
          <w:szCs w:val="16"/>
        </w:rPr>
        <w:t xml:space="preserve">ddiction without </w:t>
      </w:r>
      <w:r w:rsidR="00FC011E" w:rsidRPr="00FC011E">
        <w:rPr>
          <w:i/>
          <w:iCs/>
          <w:sz w:val="16"/>
          <w:szCs w:val="16"/>
        </w:rPr>
        <w:t>T</w:t>
      </w:r>
      <w:r w:rsidRPr="00FC011E">
        <w:rPr>
          <w:i/>
          <w:iCs/>
          <w:sz w:val="16"/>
          <w:szCs w:val="16"/>
        </w:rPr>
        <w:t>reatment</w:t>
      </w:r>
      <w:r w:rsidRPr="00FC011E">
        <w:rPr>
          <w:sz w:val="16"/>
          <w:szCs w:val="16"/>
        </w:rPr>
        <w:t xml:space="preserve"> (New York University Press, 1999)</w:t>
      </w:r>
      <w:r w:rsidR="00FC011E">
        <w:rPr>
          <w:sz w:val="16"/>
          <w:szCs w:val="16"/>
        </w:rPr>
        <w:t xml:space="preserve"> and </w:t>
      </w:r>
      <w:r w:rsidR="00FC011E" w:rsidRPr="00FC011E">
        <w:rPr>
          <w:sz w:val="16"/>
          <w:szCs w:val="16"/>
        </w:rPr>
        <w:t>Jakob</w:t>
      </w:r>
      <w:r w:rsidRPr="00FC011E">
        <w:rPr>
          <w:sz w:val="16"/>
          <w:szCs w:val="16"/>
        </w:rPr>
        <w:t xml:space="preserve"> Demant, and Margaretha Järvinen, ‘Social capital as norms and resources: Focus groups discussing alcohol,’ </w:t>
      </w:r>
      <w:r w:rsidRPr="00FC011E">
        <w:rPr>
          <w:i/>
          <w:iCs/>
          <w:sz w:val="16"/>
          <w:szCs w:val="16"/>
        </w:rPr>
        <w:t>Addiction Research &amp; Theory,</w:t>
      </w:r>
      <w:r w:rsidRPr="00FC011E">
        <w:rPr>
          <w:sz w:val="16"/>
          <w:szCs w:val="16"/>
        </w:rPr>
        <w:t xml:space="preserve"> (19.2) (2011) pp. 91-101</w:t>
      </w:r>
      <w:r w:rsidR="00C4723E" w:rsidRPr="00FC011E">
        <w:rPr>
          <w:sz w:val="16"/>
          <w:szCs w:val="16"/>
        </w:rPr>
        <w:t xml:space="preserve"> and Pierre Bourdieu, ‘The scholastic point of view,’ </w:t>
      </w:r>
      <w:r w:rsidR="00C4723E" w:rsidRPr="00FC011E">
        <w:rPr>
          <w:i/>
          <w:iCs/>
          <w:sz w:val="16"/>
          <w:szCs w:val="16"/>
        </w:rPr>
        <w:t>Cultural anthropology,</w:t>
      </w:r>
      <w:r w:rsidR="00C4723E" w:rsidRPr="00FC011E">
        <w:rPr>
          <w:sz w:val="16"/>
          <w:szCs w:val="16"/>
        </w:rPr>
        <w:t xml:space="preserve"> 5:4 (1990), pp. 380-391.</w:t>
      </w:r>
    </w:p>
  </w:footnote>
  <w:footnote w:id="553">
    <w:p w14:paraId="5FD23F42" w14:textId="1912219C" w:rsidR="00FC011E" w:rsidRPr="00616D39" w:rsidRDefault="00FC011E">
      <w:pPr>
        <w:pStyle w:val="FootnoteText"/>
        <w:rPr>
          <w:sz w:val="16"/>
          <w:szCs w:val="16"/>
        </w:rPr>
      </w:pPr>
      <w:r w:rsidRPr="00616D39">
        <w:rPr>
          <w:rStyle w:val="FootnoteReference"/>
          <w:sz w:val="16"/>
          <w:szCs w:val="16"/>
        </w:rPr>
        <w:footnoteRef/>
      </w:r>
      <w:r w:rsidRPr="00616D39">
        <w:rPr>
          <w:sz w:val="16"/>
          <w:szCs w:val="16"/>
        </w:rPr>
        <w:t xml:space="preserve"> DLSL, BS 677 EVA, DL119 CB R1 and JRL, GB 133 MCK/2/1 and MCK/2/2.  </w:t>
      </w:r>
    </w:p>
  </w:footnote>
  <w:footnote w:id="554">
    <w:p w14:paraId="07285DA8" w14:textId="53CC2F21" w:rsidR="00FC011E" w:rsidRDefault="00FC011E">
      <w:pPr>
        <w:pStyle w:val="FootnoteText"/>
      </w:pPr>
      <w:r w:rsidRPr="00616D39">
        <w:rPr>
          <w:rStyle w:val="FootnoteReference"/>
          <w:sz w:val="16"/>
          <w:szCs w:val="16"/>
        </w:rPr>
        <w:footnoteRef/>
      </w:r>
      <w:r w:rsidRPr="00616D39">
        <w:rPr>
          <w:sz w:val="16"/>
          <w:szCs w:val="16"/>
        </w:rPr>
        <w:t xml:space="preserve"> Giorgio Riello, </w:t>
      </w:r>
      <w:r w:rsidRPr="00616D39">
        <w:rPr>
          <w:i/>
          <w:iCs/>
          <w:sz w:val="16"/>
          <w:szCs w:val="16"/>
        </w:rPr>
        <w:t>Cotton: The Fabric that Made the Modern World</w:t>
      </w:r>
      <w:r w:rsidRPr="00616D39">
        <w:rPr>
          <w:sz w:val="16"/>
          <w:szCs w:val="16"/>
        </w:rPr>
        <w:t xml:space="preserve"> (Cambridge: Cambridge University Press, 2013)</w:t>
      </w:r>
      <w:r w:rsidR="00616D39" w:rsidRPr="00616D39">
        <w:rPr>
          <w:sz w:val="16"/>
          <w:szCs w:val="16"/>
        </w:rPr>
        <w:t>.</w:t>
      </w:r>
      <w:r w:rsidR="00616D39">
        <w:t xml:space="preserve"> </w:t>
      </w:r>
    </w:p>
  </w:footnote>
  <w:footnote w:id="555">
    <w:p w14:paraId="4BA86CA7" w14:textId="73E989DE" w:rsidR="00616D39" w:rsidRPr="00616D39" w:rsidRDefault="00616D39">
      <w:pPr>
        <w:pStyle w:val="FootnoteText"/>
        <w:rPr>
          <w:sz w:val="16"/>
          <w:szCs w:val="16"/>
        </w:rPr>
      </w:pPr>
      <w:r w:rsidRPr="00616D39">
        <w:rPr>
          <w:rStyle w:val="FootnoteReference"/>
          <w:sz w:val="16"/>
          <w:szCs w:val="16"/>
        </w:rPr>
        <w:footnoteRef/>
      </w:r>
      <w:r w:rsidRPr="00616D39">
        <w:rPr>
          <w:sz w:val="16"/>
          <w:szCs w:val="16"/>
        </w:rPr>
        <w:t xml:space="preserve"> Conclusion based on the data collected from the archives DLSL, BS 677 EVA, DL119 CB R1, LB R2 and R3 and JRL, GB 133 MCK/2/1 and MCK/2/2.  </w:t>
      </w:r>
    </w:p>
  </w:footnote>
  <w:footnote w:id="556">
    <w:p w14:paraId="718B2FFA" w14:textId="02EB30C9" w:rsidR="00616D39" w:rsidRPr="00616D39" w:rsidRDefault="00616D39">
      <w:pPr>
        <w:pStyle w:val="FootnoteText"/>
        <w:rPr>
          <w:sz w:val="16"/>
          <w:szCs w:val="16"/>
        </w:rPr>
      </w:pPr>
      <w:r w:rsidRPr="00616D39">
        <w:rPr>
          <w:rStyle w:val="FootnoteReference"/>
          <w:sz w:val="16"/>
          <w:szCs w:val="16"/>
        </w:rPr>
        <w:footnoteRef/>
      </w:r>
      <w:r w:rsidRPr="00616D39">
        <w:rPr>
          <w:sz w:val="16"/>
          <w:szCs w:val="16"/>
        </w:rPr>
        <w:t xml:space="preserve"> DLSL, BS 677 EVA, DL119 CB R1, LB R2 [Letters Sent between 1798-1800 and Ledger Entries]. </w:t>
      </w:r>
    </w:p>
  </w:footnote>
  <w:footnote w:id="557">
    <w:p w14:paraId="4F5ABEF3" w14:textId="6AB0E51D" w:rsidR="005A05DF" w:rsidRPr="006E7390" w:rsidRDefault="005A05DF" w:rsidP="005A05DF">
      <w:pPr>
        <w:pStyle w:val="FootnoteText"/>
        <w:rPr>
          <w:sz w:val="18"/>
          <w:szCs w:val="18"/>
        </w:rPr>
      </w:pPr>
      <w:r w:rsidRPr="00616D39">
        <w:rPr>
          <w:rStyle w:val="FootnoteReference"/>
          <w:sz w:val="16"/>
          <w:szCs w:val="16"/>
        </w:rPr>
        <w:footnoteRef/>
      </w:r>
      <w:r w:rsidRPr="00616D39">
        <w:rPr>
          <w:sz w:val="16"/>
          <w:szCs w:val="16"/>
        </w:rPr>
        <w:t xml:space="preserve"> </w:t>
      </w:r>
      <w:r w:rsidR="009A7EFD" w:rsidRPr="00616D39">
        <w:rPr>
          <w:sz w:val="16"/>
          <w:szCs w:val="16"/>
        </w:rPr>
        <w:t>JRL,</w:t>
      </w:r>
      <w:r w:rsidR="004B27E2" w:rsidRPr="00616D39">
        <w:rPr>
          <w:sz w:val="16"/>
          <w:szCs w:val="16"/>
        </w:rPr>
        <w:t xml:space="preserve"> </w:t>
      </w:r>
      <w:r w:rsidRPr="00616D39">
        <w:rPr>
          <w:sz w:val="16"/>
          <w:szCs w:val="16"/>
        </w:rPr>
        <w:t xml:space="preserve">GB 133 MCK/2/1/12 </w:t>
      </w:r>
      <w:r w:rsidR="00616D39" w:rsidRPr="00616D39">
        <w:rPr>
          <w:sz w:val="16"/>
          <w:szCs w:val="16"/>
        </w:rPr>
        <w:t>[</w:t>
      </w:r>
      <w:r w:rsidR="00D55CFC" w:rsidRPr="00616D39">
        <w:rPr>
          <w:sz w:val="16"/>
          <w:szCs w:val="16"/>
        </w:rPr>
        <w:t>L</w:t>
      </w:r>
      <w:r w:rsidRPr="00616D39">
        <w:rPr>
          <w:sz w:val="16"/>
          <w:szCs w:val="16"/>
        </w:rPr>
        <w:t xml:space="preserve">etters </w:t>
      </w:r>
      <w:r w:rsidR="00616D39" w:rsidRPr="00616D39">
        <w:rPr>
          <w:sz w:val="16"/>
          <w:szCs w:val="16"/>
        </w:rPr>
        <w:t>R</w:t>
      </w:r>
      <w:r w:rsidRPr="00616D39">
        <w:rPr>
          <w:sz w:val="16"/>
          <w:szCs w:val="16"/>
        </w:rPr>
        <w:t>eceived</w:t>
      </w:r>
      <w:r w:rsidR="00616D39" w:rsidRPr="00616D39">
        <w:rPr>
          <w:sz w:val="16"/>
          <w:szCs w:val="16"/>
        </w:rPr>
        <w:t xml:space="preserve"> by McConnel &amp; Kennedy from Messrs. Coates &amp; Co. of Hull, 1806]</w:t>
      </w:r>
      <w:r w:rsidRPr="00616D39">
        <w:rPr>
          <w:sz w:val="16"/>
          <w:szCs w:val="16"/>
        </w:rPr>
        <w:t xml:space="preserve"> and </w:t>
      </w:r>
      <w:r w:rsidR="00D55CFC" w:rsidRPr="00616D39">
        <w:rPr>
          <w:sz w:val="16"/>
          <w:szCs w:val="16"/>
        </w:rPr>
        <w:t>DLSL, BS</w:t>
      </w:r>
      <w:r w:rsidR="00616D39" w:rsidRPr="00616D39">
        <w:rPr>
          <w:sz w:val="16"/>
          <w:szCs w:val="16"/>
        </w:rPr>
        <w:t xml:space="preserve"> </w:t>
      </w:r>
      <w:r w:rsidR="00D55CFC" w:rsidRPr="00616D39">
        <w:rPr>
          <w:sz w:val="16"/>
          <w:szCs w:val="16"/>
        </w:rPr>
        <w:t xml:space="preserve">677 EVA, </w:t>
      </w:r>
      <w:r w:rsidRPr="00616D39">
        <w:rPr>
          <w:sz w:val="16"/>
          <w:szCs w:val="16"/>
        </w:rPr>
        <w:t>DL119 LB</w:t>
      </w:r>
      <w:r w:rsidR="006E7390" w:rsidRPr="00616D39">
        <w:rPr>
          <w:sz w:val="16"/>
          <w:szCs w:val="16"/>
        </w:rPr>
        <w:t xml:space="preserve"> R2</w:t>
      </w:r>
      <w:r w:rsidRPr="00616D39">
        <w:rPr>
          <w:sz w:val="16"/>
          <w:szCs w:val="16"/>
        </w:rPr>
        <w:t xml:space="preserve"> </w:t>
      </w:r>
      <w:r w:rsidR="00616D39" w:rsidRPr="00616D39">
        <w:rPr>
          <w:sz w:val="16"/>
          <w:szCs w:val="16"/>
        </w:rPr>
        <w:t xml:space="preserve">[Ledger Entries between </w:t>
      </w:r>
      <w:r w:rsidRPr="00616D39">
        <w:rPr>
          <w:sz w:val="16"/>
          <w:szCs w:val="16"/>
        </w:rPr>
        <w:t>1798-1800</w:t>
      </w:r>
      <w:r w:rsidR="00616D39" w:rsidRPr="00616D39">
        <w:rPr>
          <w:sz w:val="16"/>
          <w:szCs w:val="16"/>
        </w:rPr>
        <w:t>].</w:t>
      </w:r>
      <w:r w:rsidR="00616D39">
        <w:rPr>
          <w:sz w:val="18"/>
          <w:szCs w:val="18"/>
        </w:rPr>
        <w:t xml:space="preserve"> </w:t>
      </w:r>
      <w:r w:rsidRPr="006E7390">
        <w:rPr>
          <w:sz w:val="18"/>
          <w:szCs w:val="18"/>
        </w:rPr>
        <w:t xml:space="preserve">  </w:t>
      </w:r>
    </w:p>
  </w:footnote>
  <w:footnote w:id="558">
    <w:p w14:paraId="675C5368" w14:textId="56C6D7C5" w:rsidR="005A05DF" w:rsidRPr="00616D39" w:rsidRDefault="005A05DF" w:rsidP="005A05DF">
      <w:pPr>
        <w:pStyle w:val="FootnoteText"/>
        <w:rPr>
          <w:sz w:val="16"/>
          <w:szCs w:val="16"/>
        </w:rPr>
      </w:pPr>
      <w:r w:rsidRPr="00616D39">
        <w:rPr>
          <w:rStyle w:val="FootnoteReference"/>
          <w:sz w:val="16"/>
          <w:szCs w:val="16"/>
        </w:rPr>
        <w:footnoteRef/>
      </w:r>
      <w:r w:rsidRPr="00616D39">
        <w:rPr>
          <w:sz w:val="16"/>
          <w:szCs w:val="16"/>
        </w:rPr>
        <w:t xml:space="preserve"> </w:t>
      </w:r>
      <w:r w:rsidR="00D92877" w:rsidRPr="00616D39">
        <w:rPr>
          <w:sz w:val="16"/>
          <w:szCs w:val="16"/>
        </w:rPr>
        <w:t>DLSL, BS677, EVA, DL119 CB R1</w:t>
      </w:r>
      <w:r w:rsidR="004B27E2" w:rsidRPr="00616D39">
        <w:rPr>
          <w:sz w:val="16"/>
          <w:szCs w:val="16"/>
        </w:rPr>
        <w:t>, LB R2 AND LB R3</w:t>
      </w:r>
      <w:r w:rsidR="00616D39" w:rsidRPr="00616D39">
        <w:rPr>
          <w:sz w:val="16"/>
          <w:szCs w:val="16"/>
        </w:rPr>
        <w:t xml:space="preserve"> [All Letters and Ledger Entries for Raw Cotton Purchases between 1787 and 1793]. </w:t>
      </w:r>
    </w:p>
  </w:footnote>
  <w:footnote w:id="559">
    <w:p w14:paraId="5BF8A288" w14:textId="7D6979E7" w:rsidR="005A05DF" w:rsidRPr="006E7390" w:rsidRDefault="005A05DF" w:rsidP="005A05DF">
      <w:pPr>
        <w:pStyle w:val="FootnoteText"/>
        <w:rPr>
          <w:sz w:val="18"/>
          <w:szCs w:val="18"/>
        </w:rPr>
      </w:pPr>
      <w:r w:rsidRPr="00616D39">
        <w:rPr>
          <w:rStyle w:val="FootnoteReference"/>
          <w:sz w:val="16"/>
          <w:szCs w:val="16"/>
        </w:rPr>
        <w:footnoteRef/>
      </w:r>
      <w:r w:rsidRPr="00616D39">
        <w:rPr>
          <w:sz w:val="16"/>
          <w:szCs w:val="16"/>
        </w:rPr>
        <w:t xml:space="preserve"> </w:t>
      </w:r>
      <w:bookmarkStart w:id="179" w:name="_Hlk149936070"/>
      <w:r w:rsidR="006E7390" w:rsidRPr="00616D39">
        <w:rPr>
          <w:sz w:val="16"/>
          <w:szCs w:val="16"/>
        </w:rPr>
        <w:t>DLSL</w:t>
      </w:r>
      <w:r w:rsidR="007478C0" w:rsidRPr="00616D39">
        <w:rPr>
          <w:sz w:val="16"/>
          <w:szCs w:val="16"/>
        </w:rPr>
        <w:t>, BS677,</w:t>
      </w:r>
      <w:r w:rsidR="00D92877" w:rsidRPr="00616D39">
        <w:rPr>
          <w:sz w:val="16"/>
          <w:szCs w:val="16"/>
        </w:rPr>
        <w:t xml:space="preserve"> EVA,</w:t>
      </w:r>
      <w:r w:rsidR="007478C0" w:rsidRPr="00616D39">
        <w:rPr>
          <w:sz w:val="16"/>
          <w:szCs w:val="16"/>
        </w:rPr>
        <w:t xml:space="preserve"> </w:t>
      </w:r>
      <w:r w:rsidRPr="00616D39">
        <w:rPr>
          <w:sz w:val="16"/>
          <w:szCs w:val="16"/>
        </w:rPr>
        <w:t>DL119</w:t>
      </w:r>
      <w:r w:rsidR="007478C0" w:rsidRPr="00616D39">
        <w:rPr>
          <w:sz w:val="16"/>
          <w:szCs w:val="16"/>
        </w:rPr>
        <w:t xml:space="preserve"> CB</w:t>
      </w:r>
      <w:r w:rsidRPr="00616D39">
        <w:rPr>
          <w:sz w:val="16"/>
          <w:szCs w:val="16"/>
        </w:rPr>
        <w:t xml:space="preserve"> R1 </w:t>
      </w:r>
      <w:bookmarkEnd w:id="179"/>
      <w:r w:rsidR="00616D39" w:rsidRPr="00616D39">
        <w:rPr>
          <w:sz w:val="16"/>
          <w:szCs w:val="16"/>
        </w:rPr>
        <w:t xml:space="preserve">[Letter Sent from W. Evans &amp; Co. to William Purdy of Tower Street, London, </w:t>
      </w:r>
      <w:r w:rsidRPr="00616D39">
        <w:rPr>
          <w:sz w:val="16"/>
          <w:szCs w:val="16"/>
        </w:rPr>
        <w:t>7 November 1787</w:t>
      </w:r>
      <w:r w:rsidR="00616D39" w:rsidRPr="00616D39">
        <w:rPr>
          <w:sz w:val="16"/>
          <w:szCs w:val="16"/>
        </w:rPr>
        <w:t>].</w:t>
      </w:r>
    </w:p>
  </w:footnote>
  <w:footnote w:id="560">
    <w:p w14:paraId="6C802EDE" w14:textId="2E140E23" w:rsidR="005A05DF" w:rsidRPr="002668A2" w:rsidRDefault="005A05DF" w:rsidP="005A05DF">
      <w:pPr>
        <w:pStyle w:val="FootnoteText"/>
        <w:rPr>
          <w:sz w:val="16"/>
          <w:szCs w:val="16"/>
        </w:rPr>
      </w:pPr>
      <w:r w:rsidRPr="002668A2">
        <w:rPr>
          <w:rStyle w:val="FootnoteReference"/>
          <w:sz w:val="16"/>
          <w:szCs w:val="16"/>
        </w:rPr>
        <w:footnoteRef/>
      </w:r>
      <w:r w:rsidRPr="002668A2">
        <w:rPr>
          <w:sz w:val="16"/>
          <w:szCs w:val="16"/>
        </w:rPr>
        <w:t xml:space="preserve"> </w:t>
      </w:r>
      <w:r w:rsidR="00616D39" w:rsidRPr="002668A2">
        <w:rPr>
          <w:sz w:val="16"/>
          <w:szCs w:val="16"/>
        </w:rPr>
        <w:t xml:space="preserve"> </w:t>
      </w:r>
      <w:r w:rsidR="00D92877" w:rsidRPr="002668A2">
        <w:rPr>
          <w:sz w:val="16"/>
          <w:szCs w:val="16"/>
        </w:rPr>
        <w:t>DLSL, BS</w:t>
      </w:r>
      <w:r w:rsidR="00616D39" w:rsidRPr="002668A2">
        <w:rPr>
          <w:sz w:val="16"/>
          <w:szCs w:val="16"/>
        </w:rPr>
        <w:t xml:space="preserve"> </w:t>
      </w:r>
      <w:r w:rsidR="00D92877" w:rsidRPr="002668A2">
        <w:rPr>
          <w:sz w:val="16"/>
          <w:szCs w:val="16"/>
        </w:rPr>
        <w:t xml:space="preserve">677, EVA, DL119 CB R1 </w:t>
      </w:r>
      <w:r w:rsidR="002668A2" w:rsidRPr="002668A2">
        <w:rPr>
          <w:sz w:val="16"/>
          <w:szCs w:val="16"/>
        </w:rPr>
        <w:t>[Letter Sent from W. Evans &amp; Co. to William Purdy of Tower Street, London, 11 November 1787].</w:t>
      </w:r>
    </w:p>
  </w:footnote>
  <w:footnote w:id="561">
    <w:p w14:paraId="0C92F755" w14:textId="57F2F6CE" w:rsidR="005A05DF" w:rsidRPr="002668A2" w:rsidRDefault="005A05DF" w:rsidP="005A05DF">
      <w:pPr>
        <w:pStyle w:val="FootnoteText"/>
        <w:rPr>
          <w:sz w:val="16"/>
          <w:szCs w:val="16"/>
        </w:rPr>
      </w:pPr>
      <w:r w:rsidRPr="002668A2">
        <w:rPr>
          <w:rStyle w:val="FootnoteReference"/>
          <w:sz w:val="16"/>
          <w:szCs w:val="16"/>
        </w:rPr>
        <w:footnoteRef/>
      </w:r>
      <w:r w:rsidRPr="002668A2">
        <w:rPr>
          <w:sz w:val="16"/>
          <w:szCs w:val="16"/>
        </w:rPr>
        <w:t xml:space="preserve"> </w:t>
      </w:r>
      <w:r w:rsidR="00D92877" w:rsidRPr="002668A2">
        <w:rPr>
          <w:sz w:val="16"/>
          <w:szCs w:val="16"/>
        </w:rPr>
        <w:t>DLSL, BS</w:t>
      </w:r>
      <w:r w:rsidR="00616D39" w:rsidRPr="002668A2">
        <w:rPr>
          <w:sz w:val="16"/>
          <w:szCs w:val="16"/>
        </w:rPr>
        <w:t xml:space="preserve"> </w:t>
      </w:r>
      <w:r w:rsidR="00D92877" w:rsidRPr="002668A2">
        <w:rPr>
          <w:sz w:val="16"/>
          <w:szCs w:val="16"/>
        </w:rPr>
        <w:t>677, EVA, DL119 CB R1</w:t>
      </w:r>
      <w:r w:rsidR="002668A2" w:rsidRPr="002668A2">
        <w:rPr>
          <w:sz w:val="16"/>
          <w:szCs w:val="16"/>
        </w:rPr>
        <w:t xml:space="preserve"> [Letters Sent from W. Evans &amp; Co. to William Purdy of Tower Street, London, between 7 November 1787 and 17 </w:t>
      </w:r>
      <w:r w:rsidRPr="002668A2">
        <w:rPr>
          <w:sz w:val="16"/>
          <w:szCs w:val="16"/>
        </w:rPr>
        <w:t>November 1788</w:t>
      </w:r>
      <w:r w:rsidR="002668A2" w:rsidRPr="002668A2">
        <w:rPr>
          <w:sz w:val="16"/>
          <w:szCs w:val="16"/>
        </w:rPr>
        <w:t>].</w:t>
      </w:r>
      <w:r w:rsidRPr="002668A2">
        <w:rPr>
          <w:sz w:val="16"/>
          <w:szCs w:val="16"/>
        </w:rPr>
        <w:t xml:space="preserve"> </w:t>
      </w:r>
    </w:p>
  </w:footnote>
  <w:footnote w:id="562">
    <w:p w14:paraId="58FE50AB" w14:textId="34AD8377" w:rsidR="00616D39" w:rsidRPr="002668A2" w:rsidRDefault="00616D39">
      <w:pPr>
        <w:pStyle w:val="FootnoteText"/>
        <w:rPr>
          <w:sz w:val="16"/>
          <w:szCs w:val="16"/>
        </w:rPr>
      </w:pPr>
      <w:r w:rsidRPr="002668A2">
        <w:rPr>
          <w:rStyle w:val="FootnoteReference"/>
          <w:sz w:val="16"/>
          <w:szCs w:val="16"/>
        </w:rPr>
        <w:footnoteRef/>
      </w:r>
      <w:r w:rsidRPr="002668A2">
        <w:rPr>
          <w:sz w:val="16"/>
          <w:szCs w:val="16"/>
        </w:rPr>
        <w:t xml:space="preserve"> </w:t>
      </w:r>
      <w:bookmarkStart w:id="180" w:name="_Hlk156656029"/>
      <w:bookmarkStart w:id="181" w:name="_Hlk156656092"/>
      <w:r w:rsidR="002668A2" w:rsidRPr="002668A2">
        <w:rPr>
          <w:sz w:val="16"/>
          <w:szCs w:val="16"/>
        </w:rPr>
        <w:t>DLSL, BS 677, EVA, DL119 CB R1 [Letters Sent from W. Evans &amp; Co. to Samuel Wagstaff</w:t>
      </w:r>
      <w:bookmarkEnd w:id="180"/>
      <w:r w:rsidR="002668A2" w:rsidRPr="002668A2">
        <w:rPr>
          <w:sz w:val="16"/>
          <w:szCs w:val="16"/>
        </w:rPr>
        <w:t xml:space="preserve">, Bush Lane Cannon Street, London and George Greaves, 12 </w:t>
      </w:r>
      <w:r w:rsidR="002668A2" w:rsidRPr="002668A2">
        <w:rPr>
          <w:sz w:val="16"/>
          <w:szCs w:val="16"/>
        </w:rPr>
        <w:t>Lothbury</w:t>
      </w:r>
      <w:r w:rsidR="002668A2">
        <w:rPr>
          <w:sz w:val="16"/>
          <w:szCs w:val="16"/>
        </w:rPr>
        <w:t>,</w:t>
      </w:r>
      <w:r w:rsidR="002668A2" w:rsidRPr="002668A2">
        <w:rPr>
          <w:sz w:val="16"/>
          <w:szCs w:val="16"/>
        </w:rPr>
        <w:t xml:space="preserve"> and Aldermanbury, London, between 1787 and 18</w:t>
      </w:r>
      <w:r w:rsidR="00D62C67">
        <w:rPr>
          <w:sz w:val="16"/>
          <w:szCs w:val="16"/>
        </w:rPr>
        <w:t>09</w:t>
      </w:r>
      <w:r w:rsidR="002668A2" w:rsidRPr="002668A2">
        <w:rPr>
          <w:sz w:val="16"/>
          <w:szCs w:val="16"/>
        </w:rPr>
        <w:t xml:space="preserve">]. </w:t>
      </w:r>
    </w:p>
    <w:bookmarkEnd w:id="181"/>
  </w:footnote>
  <w:footnote w:id="563">
    <w:p w14:paraId="1C2FA72E" w14:textId="52E42D20" w:rsidR="00616D39" w:rsidRPr="002668A2" w:rsidRDefault="00616D39">
      <w:pPr>
        <w:pStyle w:val="FootnoteText"/>
        <w:rPr>
          <w:sz w:val="16"/>
          <w:szCs w:val="16"/>
        </w:rPr>
      </w:pPr>
      <w:r w:rsidRPr="002668A2">
        <w:rPr>
          <w:rStyle w:val="FootnoteReference"/>
          <w:sz w:val="16"/>
          <w:szCs w:val="16"/>
        </w:rPr>
        <w:footnoteRef/>
      </w:r>
      <w:r w:rsidRPr="002668A2">
        <w:rPr>
          <w:sz w:val="16"/>
          <w:szCs w:val="16"/>
        </w:rPr>
        <w:t xml:space="preserve"> </w:t>
      </w:r>
      <w:r w:rsidR="002668A2" w:rsidRPr="002668A2">
        <w:rPr>
          <w:sz w:val="16"/>
          <w:szCs w:val="16"/>
        </w:rPr>
        <w:t xml:space="preserve">DLSL, BS 677, EVA, DL119 CB R1 [Letters Sent from W. Evans &amp; Co. to Samuel Wagstaff, Bush Lane Cannon Street, between December 1791 and 1796 and to Mrs. E. Wagstaff in January 1797].  </w:t>
      </w:r>
    </w:p>
  </w:footnote>
  <w:footnote w:id="564">
    <w:p w14:paraId="2D48C036" w14:textId="0622C4D8" w:rsidR="00616D39" w:rsidRPr="002668A2" w:rsidRDefault="00616D39">
      <w:pPr>
        <w:pStyle w:val="FootnoteText"/>
        <w:rPr>
          <w:sz w:val="16"/>
          <w:szCs w:val="16"/>
        </w:rPr>
      </w:pPr>
      <w:r w:rsidRPr="002668A2">
        <w:rPr>
          <w:rStyle w:val="FootnoteReference"/>
          <w:sz w:val="16"/>
          <w:szCs w:val="16"/>
        </w:rPr>
        <w:footnoteRef/>
      </w:r>
      <w:r w:rsidRPr="002668A2">
        <w:rPr>
          <w:sz w:val="16"/>
          <w:szCs w:val="16"/>
        </w:rPr>
        <w:t xml:space="preserve"> </w:t>
      </w:r>
      <w:r w:rsidR="002668A2" w:rsidRPr="002668A2">
        <w:rPr>
          <w:sz w:val="16"/>
          <w:szCs w:val="16"/>
        </w:rPr>
        <w:t xml:space="preserve">DLSL, BS 677, EVA, DL119 CB R1 [Letters Sent from W. Evans &amp; Co. signed by Samuel Wagstaff, 19 May 1788 – 24 May 1788]. </w:t>
      </w:r>
    </w:p>
  </w:footnote>
  <w:footnote w:id="565">
    <w:p w14:paraId="2F14A7C1" w14:textId="55598A0E" w:rsidR="00616D39" w:rsidRPr="002668A2" w:rsidRDefault="00616D39">
      <w:pPr>
        <w:pStyle w:val="FootnoteText"/>
        <w:rPr>
          <w:sz w:val="16"/>
          <w:szCs w:val="16"/>
        </w:rPr>
      </w:pPr>
      <w:r w:rsidRPr="002668A2">
        <w:rPr>
          <w:rStyle w:val="FootnoteReference"/>
          <w:sz w:val="16"/>
          <w:szCs w:val="16"/>
        </w:rPr>
        <w:footnoteRef/>
      </w:r>
      <w:r w:rsidRPr="002668A2">
        <w:rPr>
          <w:sz w:val="16"/>
          <w:szCs w:val="16"/>
        </w:rPr>
        <w:t xml:space="preserve"> </w:t>
      </w:r>
      <w:r w:rsidR="002668A2" w:rsidRPr="002668A2">
        <w:rPr>
          <w:sz w:val="16"/>
          <w:szCs w:val="16"/>
        </w:rPr>
        <w:t xml:space="preserve">DLSL, BS 677, EVA, DL119 CB R1 [Letters Sent from W. Evans &amp; Co. </w:t>
      </w:r>
      <w:r w:rsidR="00D62C67">
        <w:rPr>
          <w:sz w:val="16"/>
          <w:szCs w:val="16"/>
        </w:rPr>
        <w:t xml:space="preserve">to </w:t>
      </w:r>
      <w:r w:rsidR="002668A2" w:rsidRPr="002668A2">
        <w:rPr>
          <w:sz w:val="16"/>
          <w:szCs w:val="16"/>
        </w:rPr>
        <w:t>George Greaves,</w:t>
      </w:r>
      <w:r w:rsidR="00D62C67">
        <w:rPr>
          <w:sz w:val="16"/>
          <w:szCs w:val="16"/>
        </w:rPr>
        <w:t xml:space="preserve"> 1</w:t>
      </w:r>
      <w:r w:rsidR="002668A2" w:rsidRPr="002668A2">
        <w:rPr>
          <w:sz w:val="16"/>
          <w:szCs w:val="16"/>
        </w:rPr>
        <w:t xml:space="preserve">2 </w:t>
      </w:r>
      <w:r w:rsidR="002668A2" w:rsidRPr="002668A2">
        <w:rPr>
          <w:sz w:val="16"/>
          <w:szCs w:val="16"/>
        </w:rPr>
        <w:t>Lothbury, and Aldermanbury, London, between 17</w:t>
      </w:r>
      <w:r w:rsidR="002668A2">
        <w:rPr>
          <w:sz w:val="16"/>
          <w:szCs w:val="16"/>
        </w:rPr>
        <w:t>96</w:t>
      </w:r>
      <w:r w:rsidR="002668A2" w:rsidRPr="002668A2">
        <w:rPr>
          <w:sz w:val="16"/>
          <w:szCs w:val="16"/>
        </w:rPr>
        <w:t xml:space="preserve"> and 18</w:t>
      </w:r>
      <w:r w:rsidR="002668A2">
        <w:rPr>
          <w:sz w:val="16"/>
          <w:szCs w:val="16"/>
        </w:rPr>
        <w:t>09</w:t>
      </w:r>
      <w:r w:rsidR="002668A2" w:rsidRPr="002668A2">
        <w:rPr>
          <w:sz w:val="16"/>
          <w:szCs w:val="16"/>
        </w:rPr>
        <w:t>].</w:t>
      </w:r>
    </w:p>
  </w:footnote>
  <w:footnote w:id="566">
    <w:p w14:paraId="7D2734F1" w14:textId="5C926A99" w:rsidR="005A05DF" w:rsidRPr="00D62C67" w:rsidRDefault="005A05DF" w:rsidP="005A05DF">
      <w:pPr>
        <w:pStyle w:val="FootnoteText"/>
        <w:rPr>
          <w:sz w:val="16"/>
          <w:szCs w:val="16"/>
        </w:rPr>
      </w:pPr>
      <w:r w:rsidRPr="00D62C67">
        <w:rPr>
          <w:rStyle w:val="FootnoteReference"/>
          <w:sz w:val="16"/>
          <w:szCs w:val="16"/>
        </w:rPr>
        <w:footnoteRef/>
      </w:r>
      <w:r w:rsidRPr="00D62C67">
        <w:rPr>
          <w:sz w:val="16"/>
          <w:szCs w:val="16"/>
        </w:rPr>
        <w:t xml:space="preserve"> </w:t>
      </w:r>
      <w:bookmarkStart w:id="182" w:name="_Hlk156656225"/>
      <w:r w:rsidR="00D92877" w:rsidRPr="00D62C67">
        <w:rPr>
          <w:sz w:val="16"/>
          <w:szCs w:val="16"/>
        </w:rPr>
        <w:t>DLSL, BS</w:t>
      </w:r>
      <w:r w:rsidR="00760C77">
        <w:rPr>
          <w:sz w:val="16"/>
          <w:szCs w:val="16"/>
        </w:rPr>
        <w:t xml:space="preserve"> </w:t>
      </w:r>
      <w:r w:rsidR="00D92877" w:rsidRPr="00D62C67">
        <w:rPr>
          <w:sz w:val="16"/>
          <w:szCs w:val="16"/>
        </w:rPr>
        <w:t xml:space="preserve">677 EVA, DL119 CB R1 </w:t>
      </w:r>
      <w:r w:rsidR="00D62C67" w:rsidRPr="00D62C67">
        <w:rPr>
          <w:sz w:val="16"/>
          <w:szCs w:val="16"/>
        </w:rPr>
        <w:t xml:space="preserve">[Letter Sent from W. Evans &amp; Co. to George Greaves, 12 </w:t>
      </w:r>
      <w:r w:rsidR="00D62C67" w:rsidRPr="00D62C67">
        <w:rPr>
          <w:sz w:val="16"/>
          <w:szCs w:val="16"/>
        </w:rPr>
        <w:t xml:space="preserve">Lothbury, </w:t>
      </w:r>
      <w:r w:rsidRPr="00D62C67">
        <w:rPr>
          <w:sz w:val="16"/>
          <w:szCs w:val="16"/>
        </w:rPr>
        <w:t>19 November 1796</w:t>
      </w:r>
      <w:r w:rsidR="00D62C67" w:rsidRPr="00D62C67">
        <w:rPr>
          <w:sz w:val="16"/>
          <w:szCs w:val="16"/>
        </w:rPr>
        <w:t xml:space="preserve">]. </w:t>
      </w:r>
    </w:p>
    <w:bookmarkEnd w:id="182"/>
  </w:footnote>
  <w:footnote w:id="567">
    <w:p w14:paraId="6650E49B" w14:textId="78105EB3" w:rsidR="00616D39" w:rsidRPr="00D62C67" w:rsidRDefault="00616D39">
      <w:pPr>
        <w:pStyle w:val="FootnoteText"/>
        <w:rPr>
          <w:sz w:val="16"/>
          <w:szCs w:val="16"/>
        </w:rPr>
      </w:pPr>
      <w:r w:rsidRPr="00D62C67">
        <w:rPr>
          <w:rStyle w:val="FootnoteReference"/>
          <w:sz w:val="16"/>
          <w:szCs w:val="16"/>
        </w:rPr>
        <w:footnoteRef/>
      </w:r>
      <w:r w:rsidRPr="00D62C67">
        <w:rPr>
          <w:sz w:val="16"/>
          <w:szCs w:val="16"/>
        </w:rPr>
        <w:t xml:space="preserve"> </w:t>
      </w:r>
      <w:r w:rsidR="00D62C67" w:rsidRPr="00D62C67">
        <w:rPr>
          <w:sz w:val="16"/>
          <w:szCs w:val="16"/>
        </w:rPr>
        <w:t>DLSL, BS</w:t>
      </w:r>
      <w:r w:rsidR="00760C77">
        <w:rPr>
          <w:sz w:val="16"/>
          <w:szCs w:val="16"/>
        </w:rPr>
        <w:t xml:space="preserve"> </w:t>
      </w:r>
      <w:r w:rsidR="00D62C67" w:rsidRPr="00D62C67">
        <w:rPr>
          <w:sz w:val="16"/>
          <w:szCs w:val="16"/>
        </w:rPr>
        <w:t xml:space="preserve">677 EVA, DL119 CB R1 [Letters Sent from W. Evans &amp; Co. to George Greaves, 12 </w:t>
      </w:r>
      <w:r w:rsidR="00D62C67" w:rsidRPr="00D62C67">
        <w:rPr>
          <w:sz w:val="16"/>
          <w:szCs w:val="16"/>
        </w:rPr>
        <w:t>Lothbury, 1796-1809].</w:t>
      </w:r>
    </w:p>
  </w:footnote>
  <w:footnote w:id="568">
    <w:p w14:paraId="6427032D" w14:textId="7B85F199" w:rsidR="005A05DF" w:rsidRPr="00D62C67" w:rsidRDefault="005A05DF" w:rsidP="005A05DF">
      <w:pPr>
        <w:pStyle w:val="FootnoteText"/>
        <w:rPr>
          <w:sz w:val="16"/>
          <w:szCs w:val="16"/>
        </w:rPr>
      </w:pPr>
      <w:r w:rsidRPr="00D62C67">
        <w:rPr>
          <w:rStyle w:val="FootnoteReference"/>
          <w:sz w:val="16"/>
          <w:szCs w:val="16"/>
        </w:rPr>
        <w:footnoteRef/>
      </w:r>
      <w:r w:rsidRPr="00D62C67">
        <w:rPr>
          <w:sz w:val="16"/>
          <w:szCs w:val="16"/>
        </w:rPr>
        <w:t xml:space="preserve"> </w:t>
      </w:r>
      <w:r w:rsidR="007B5F56" w:rsidRPr="00D62C67">
        <w:rPr>
          <w:sz w:val="16"/>
          <w:szCs w:val="16"/>
        </w:rPr>
        <w:t>DLSL</w:t>
      </w:r>
      <w:r w:rsidR="00760C77">
        <w:rPr>
          <w:sz w:val="16"/>
          <w:szCs w:val="16"/>
        </w:rPr>
        <w:t>,</w:t>
      </w:r>
      <w:r w:rsidR="007B5F56" w:rsidRPr="00D62C67">
        <w:rPr>
          <w:sz w:val="16"/>
          <w:szCs w:val="16"/>
        </w:rPr>
        <w:t xml:space="preserve"> BS</w:t>
      </w:r>
      <w:r w:rsidR="00760C77">
        <w:rPr>
          <w:sz w:val="16"/>
          <w:szCs w:val="16"/>
        </w:rPr>
        <w:t xml:space="preserve"> </w:t>
      </w:r>
      <w:r w:rsidR="007B5F56" w:rsidRPr="00D62C67">
        <w:rPr>
          <w:sz w:val="16"/>
          <w:szCs w:val="16"/>
        </w:rPr>
        <w:t>677 EVA, DL119 CB R1</w:t>
      </w:r>
      <w:r w:rsidR="00D62C67" w:rsidRPr="00D62C67">
        <w:rPr>
          <w:sz w:val="16"/>
          <w:szCs w:val="16"/>
        </w:rPr>
        <w:t xml:space="preserve"> [Letter Sent from W. Evans &amp; Co. to Nicholas Waterhouse &amp; Co. Liverpool, 3 December 1793]. </w:t>
      </w:r>
    </w:p>
  </w:footnote>
  <w:footnote w:id="569">
    <w:p w14:paraId="07FF0614" w14:textId="553091CC" w:rsidR="005A05DF" w:rsidRPr="00760C77" w:rsidRDefault="005A05DF" w:rsidP="005A05DF">
      <w:pPr>
        <w:pStyle w:val="FootnoteText"/>
        <w:rPr>
          <w:sz w:val="16"/>
          <w:szCs w:val="16"/>
        </w:rPr>
      </w:pPr>
      <w:r w:rsidRPr="00760C77">
        <w:rPr>
          <w:rStyle w:val="FootnoteReference"/>
          <w:sz w:val="16"/>
          <w:szCs w:val="16"/>
        </w:rPr>
        <w:footnoteRef/>
      </w:r>
      <w:r w:rsidRPr="00760C77">
        <w:rPr>
          <w:sz w:val="16"/>
          <w:szCs w:val="16"/>
        </w:rPr>
        <w:t xml:space="preserve">  </w:t>
      </w:r>
      <w:r w:rsidRPr="00760C77">
        <w:rPr>
          <w:sz w:val="16"/>
          <w:szCs w:val="16"/>
        </w:rPr>
        <w:t xml:space="preserve">Dumbell, Stanley, ‘The </w:t>
      </w:r>
      <w:r w:rsidR="00D62C67" w:rsidRPr="00760C77">
        <w:rPr>
          <w:sz w:val="16"/>
          <w:szCs w:val="16"/>
        </w:rPr>
        <w:t>C</w:t>
      </w:r>
      <w:r w:rsidRPr="00760C77">
        <w:rPr>
          <w:sz w:val="16"/>
          <w:szCs w:val="16"/>
        </w:rPr>
        <w:t xml:space="preserve">otton </w:t>
      </w:r>
      <w:r w:rsidR="00D62C67" w:rsidRPr="00760C77">
        <w:rPr>
          <w:sz w:val="16"/>
          <w:szCs w:val="16"/>
        </w:rPr>
        <w:t>M</w:t>
      </w:r>
      <w:r w:rsidRPr="00760C77">
        <w:rPr>
          <w:sz w:val="16"/>
          <w:szCs w:val="16"/>
        </w:rPr>
        <w:t xml:space="preserve">arket in 1799‘, </w:t>
      </w:r>
      <w:r w:rsidRPr="00760C77">
        <w:rPr>
          <w:i/>
          <w:iCs/>
          <w:sz w:val="16"/>
          <w:szCs w:val="16"/>
        </w:rPr>
        <w:t>Economic History</w:t>
      </w:r>
      <w:r w:rsidRPr="00760C77">
        <w:rPr>
          <w:sz w:val="16"/>
          <w:szCs w:val="16"/>
        </w:rPr>
        <w:t xml:space="preserve">, No. 1 </w:t>
      </w:r>
      <w:r w:rsidR="00D62C67" w:rsidRPr="00760C77">
        <w:rPr>
          <w:sz w:val="16"/>
          <w:szCs w:val="16"/>
        </w:rPr>
        <w:t>(1</w:t>
      </w:r>
      <w:r w:rsidRPr="00760C77">
        <w:rPr>
          <w:sz w:val="16"/>
          <w:szCs w:val="16"/>
        </w:rPr>
        <w:t>926</w:t>
      </w:r>
      <w:r w:rsidR="00D62C67" w:rsidRPr="00760C77">
        <w:rPr>
          <w:sz w:val="16"/>
          <w:szCs w:val="16"/>
        </w:rPr>
        <w:t>)</w:t>
      </w:r>
      <w:r w:rsidRPr="00760C77">
        <w:rPr>
          <w:sz w:val="16"/>
          <w:szCs w:val="16"/>
        </w:rPr>
        <w:t>,</w:t>
      </w:r>
      <w:r w:rsidR="00AC53AB" w:rsidRPr="00760C77">
        <w:rPr>
          <w:sz w:val="16"/>
          <w:szCs w:val="16"/>
        </w:rPr>
        <w:t xml:space="preserve"> </w:t>
      </w:r>
      <w:r w:rsidRPr="00760C77">
        <w:rPr>
          <w:sz w:val="16"/>
          <w:szCs w:val="16"/>
        </w:rPr>
        <w:t xml:space="preserve">pp. 141-148. </w:t>
      </w:r>
      <w:r w:rsidR="00D62C67" w:rsidRPr="00760C77">
        <w:rPr>
          <w:sz w:val="16"/>
          <w:szCs w:val="16"/>
        </w:rPr>
        <w:t>(</w:t>
      </w:r>
      <w:r w:rsidRPr="00760C77">
        <w:rPr>
          <w:sz w:val="16"/>
          <w:szCs w:val="16"/>
        </w:rPr>
        <w:t>p.142</w:t>
      </w:r>
      <w:r w:rsidR="00D62C67" w:rsidRPr="00760C77">
        <w:rPr>
          <w:sz w:val="16"/>
          <w:szCs w:val="16"/>
        </w:rPr>
        <w:t>]</w:t>
      </w:r>
      <w:r w:rsidRPr="00760C77">
        <w:rPr>
          <w:sz w:val="16"/>
          <w:szCs w:val="16"/>
        </w:rPr>
        <w:t xml:space="preserve"> </w:t>
      </w:r>
      <w:r w:rsidR="00D62C67" w:rsidRPr="00760C77">
        <w:rPr>
          <w:sz w:val="16"/>
          <w:szCs w:val="16"/>
        </w:rPr>
        <w:t>and</w:t>
      </w:r>
      <w:r w:rsidRPr="00760C77">
        <w:rPr>
          <w:sz w:val="16"/>
          <w:szCs w:val="16"/>
        </w:rPr>
        <w:t xml:space="preserve"> Alexey Krichtal, ‘Liverpool and the Raw Cotton Trade: A Study of the Port and its Merchant Community, 1770-1815’</w:t>
      </w:r>
      <w:r w:rsidR="00760C77">
        <w:rPr>
          <w:sz w:val="16"/>
          <w:szCs w:val="16"/>
        </w:rPr>
        <w:t xml:space="preserve"> (</w:t>
      </w:r>
      <w:r w:rsidRPr="00760C77">
        <w:rPr>
          <w:sz w:val="16"/>
          <w:szCs w:val="16"/>
        </w:rPr>
        <w:t>MA thesis, Victoria University of Wellington, 2013), p.</w:t>
      </w:r>
      <w:r w:rsidR="00760C77">
        <w:rPr>
          <w:sz w:val="16"/>
          <w:szCs w:val="16"/>
        </w:rPr>
        <w:t xml:space="preserve">  </w:t>
      </w:r>
      <w:r w:rsidRPr="00760C77">
        <w:rPr>
          <w:sz w:val="16"/>
          <w:szCs w:val="16"/>
        </w:rPr>
        <w:t>99.</w:t>
      </w:r>
    </w:p>
  </w:footnote>
  <w:footnote w:id="570">
    <w:p w14:paraId="17C79248" w14:textId="52EBEE95" w:rsidR="00760C77" w:rsidRPr="00760C77" w:rsidRDefault="00760C77">
      <w:pPr>
        <w:pStyle w:val="FootnoteText"/>
        <w:rPr>
          <w:sz w:val="16"/>
          <w:szCs w:val="16"/>
        </w:rPr>
      </w:pPr>
      <w:r w:rsidRPr="00760C77">
        <w:rPr>
          <w:rStyle w:val="FootnoteReference"/>
          <w:sz w:val="16"/>
          <w:szCs w:val="16"/>
        </w:rPr>
        <w:footnoteRef/>
      </w:r>
      <w:r w:rsidRPr="00760C77">
        <w:rPr>
          <w:sz w:val="16"/>
          <w:szCs w:val="16"/>
        </w:rPr>
        <w:t xml:space="preserve"> DLSL, BS 677 EVA, DL119 CB R1 [Letter Sent from Walter Evans &amp; Co. to George Marsden, Harrington Street, Liverpool, 17 October 1799]. </w:t>
      </w:r>
    </w:p>
  </w:footnote>
  <w:footnote w:id="571">
    <w:p w14:paraId="5D98D401" w14:textId="0B678787" w:rsidR="005A05DF" w:rsidRPr="00760C77" w:rsidRDefault="005A05DF" w:rsidP="005A05DF">
      <w:pPr>
        <w:pStyle w:val="FootnoteText"/>
        <w:rPr>
          <w:i/>
          <w:iCs/>
          <w:sz w:val="16"/>
          <w:szCs w:val="16"/>
        </w:rPr>
      </w:pPr>
      <w:r w:rsidRPr="00760C77">
        <w:rPr>
          <w:rStyle w:val="FootnoteReference"/>
          <w:sz w:val="16"/>
          <w:szCs w:val="16"/>
        </w:rPr>
        <w:footnoteRef/>
      </w:r>
      <w:r w:rsidRPr="00760C77">
        <w:rPr>
          <w:sz w:val="16"/>
          <w:szCs w:val="16"/>
        </w:rPr>
        <w:t xml:space="preserve"> </w:t>
      </w:r>
      <w:r w:rsidR="00760C77" w:rsidRPr="00760C77">
        <w:rPr>
          <w:sz w:val="16"/>
          <w:szCs w:val="16"/>
        </w:rPr>
        <w:t xml:space="preserve">DLSL, BS 677 EVA, DL119 LB R2 [Ledger Entries for George Marsden for 1803]. </w:t>
      </w:r>
    </w:p>
  </w:footnote>
  <w:footnote w:id="572">
    <w:p w14:paraId="5683150D" w14:textId="0B0CFFB2" w:rsidR="00760C77" w:rsidRPr="00760C77" w:rsidRDefault="00760C77">
      <w:pPr>
        <w:pStyle w:val="FootnoteText"/>
        <w:rPr>
          <w:sz w:val="16"/>
          <w:szCs w:val="16"/>
        </w:rPr>
      </w:pPr>
      <w:r w:rsidRPr="00760C77">
        <w:rPr>
          <w:rStyle w:val="FootnoteReference"/>
          <w:sz w:val="16"/>
          <w:szCs w:val="16"/>
        </w:rPr>
        <w:footnoteRef/>
      </w:r>
      <w:r w:rsidRPr="00760C77">
        <w:rPr>
          <w:sz w:val="16"/>
          <w:szCs w:val="16"/>
        </w:rPr>
        <w:t xml:space="preserve"> DLSL, BS 677 EVA. DL119 LB R2 [Ledger Entries for George Marsden for 1805]. </w:t>
      </w:r>
    </w:p>
  </w:footnote>
  <w:footnote w:id="573">
    <w:p w14:paraId="23B94195" w14:textId="2A52D8B5" w:rsidR="00760C77" w:rsidRPr="00292A6A" w:rsidRDefault="00760C77">
      <w:pPr>
        <w:pStyle w:val="FootnoteText"/>
        <w:rPr>
          <w:sz w:val="16"/>
          <w:szCs w:val="16"/>
        </w:rPr>
      </w:pPr>
      <w:r w:rsidRPr="00292A6A">
        <w:rPr>
          <w:rStyle w:val="FootnoteReference"/>
          <w:sz w:val="16"/>
          <w:szCs w:val="16"/>
        </w:rPr>
        <w:footnoteRef/>
      </w:r>
      <w:r w:rsidRPr="00292A6A">
        <w:rPr>
          <w:sz w:val="16"/>
          <w:szCs w:val="16"/>
        </w:rPr>
        <w:t xml:space="preserve"> JRL, GB 133 MCK</w:t>
      </w:r>
      <w:r w:rsidR="00AB17D0" w:rsidRPr="00292A6A">
        <w:rPr>
          <w:sz w:val="16"/>
          <w:szCs w:val="16"/>
        </w:rPr>
        <w:t>/2/1/10 – MCK/2/1</w:t>
      </w:r>
      <w:r w:rsidR="00292A6A" w:rsidRPr="00292A6A">
        <w:rPr>
          <w:sz w:val="16"/>
          <w:szCs w:val="16"/>
        </w:rPr>
        <w:t xml:space="preserve">/20 [Letters Received by McConnel &amp; Kennedy from George Marsden of Liverpool, 1804-1814] and JRL, GB 133 MCK/2/2/3 – MCK/2/2/4 [Letters Sent by McConnel &amp; Kennedy to George Marsden of Liverpool]. </w:t>
      </w:r>
    </w:p>
  </w:footnote>
  <w:footnote w:id="574">
    <w:p w14:paraId="2FC79C3E" w14:textId="0000C4BA" w:rsidR="00292A6A" w:rsidRPr="00292A6A" w:rsidRDefault="00292A6A">
      <w:pPr>
        <w:pStyle w:val="FootnoteText"/>
        <w:rPr>
          <w:sz w:val="16"/>
          <w:szCs w:val="16"/>
        </w:rPr>
      </w:pPr>
      <w:r w:rsidRPr="00292A6A">
        <w:rPr>
          <w:rStyle w:val="FootnoteReference"/>
          <w:sz w:val="16"/>
          <w:szCs w:val="16"/>
        </w:rPr>
        <w:footnoteRef/>
      </w:r>
      <w:r w:rsidRPr="00292A6A">
        <w:rPr>
          <w:sz w:val="16"/>
          <w:szCs w:val="16"/>
        </w:rPr>
        <w:t xml:space="preserve"> JRL, GB 133 MCK/3/5/1 – MCK/3/5/5 [Receipt and Purchase Books of McConnel &amp; Kennedy]. </w:t>
      </w:r>
    </w:p>
  </w:footnote>
  <w:footnote w:id="575">
    <w:p w14:paraId="6C58A3D5" w14:textId="69896237" w:rsidR="00292A6A" w:rsidRPr="00292A6A" w:rsidRDefault="00292A6A">
      <w:pPr>
        <w:pStyle w:val="FootnoteText"/>
        <w:rPr>
          <w:sz w:val="16"/>
          <w:szCs w:val="16"/>
        </w:rPr>
      </w:pPr>
      <w:r w:rsidRPr="00292A6A">
        <w:rPr>
          <w:rStyle w:val="FootnoteReference"/>
          <w:sz w:val="16"/>
          <w:szCs w:val="16"/>
        </w:rPr>
        <w:footnoteRef/>
      </w:r>
      <w:r w:rsidRPr="00292A6A">
        <w:rPr>
          <w:sz w:val="16"/>
          <w:szCs w:val="16"/>
        </w:rPr>
        <w:t xml:space="preserve"> Lee, Clive H., </w:t>
      </w:r>
      <w:r w:rsidRPr="00292A6A">
        <w:rPr>
          <w:i/>
          <w:iCs/>
          <w:sz w:val="16"/>
          <w:szCs w:val="16"/>
        </w:rPr>
        <w:t xml:space="preserve">A Cotton Enterprise 1795-1840: </w:t>
      </w:r>
      <w:r w:rsidRPr="00292A6A">
        <w:rPr>
          <w:i/>
          <w:iCs/>
          <w:sz w:val="16"/>
          <w:szCs w:val="16"/>
        </w:rPr>
        <w:t>M’Connel and Kennedy Fine Cotton Spinners</w:t>
      </w:r>
      <w:r w:rsidRPr="00292A6A">
        <w:rPr>
          <w:sz w:val="16"/>
          <w:szCs w:val="16"/>
        </w:rPr>
        <w:t xml:space="preserve"> (Manchester: Manchester University Press, 1972), p.36.  </w:t>
      </w:r>
    </w:p>
  </w:footnote>
  <w:footnote w:id="576">
    <w:p w14:paraId="18C4CB80" w14:textId="14493A92" w:rsidR="00292A6A" w:rsidRPr="00292A6A" w:rsidRDefault="00292A6A">
      <w:pPr>
        <w:pStyle w:val="FootnoteText"/>
        <w:rPr>
          <w:sz w:val="16"/>
          <w:szCs w:val="16"/>
        </w:rPr>
      </w:pPr>
      <w:r w:rsidRPr="00292A6A">
        <w:rPr>
          <w:rStyle w:val="FootnoteReference"/>
          <w:sz w:val="16"/>
          <w:szCs w:val="16"/>
        </w:rPr>
        <w:footnoteRef/>
      </w:r>
      <w:r w:rsidRPr="00292A6A">
        <w:rPr>
          <w:sz w:val="16"/>
          <w:szCs w:val="16"/>
        </w:rPr>
        <w:t xml:space="preserve"> </w:t>
      </w:r>
      <w:bookmarkStart w:id="183" w:name="_Hlk156659309"/>
      <w:r w:rsidRPr="00292A6A">
        <w:rPr>
          <w:sz w:val="16"/>
          <w:szCs w:val="16"/>
        </w:rPr>
        <w:t>JRL, GB 133 MCK/3/5/1 – MCK/3/5/5 [Receipt and Purchase Books of McConnel &amp; Kennedy].</w:t>
      </w:r>
      <w:bookmarkEnd w:id="183"/>
    </w:p>
  </w:footnote>
  <w:footnote w:id="577">
    <w:p w14:paraId="24067F29" w14:textId="39EE98B2"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w:t>
      </w:r>
      <w:bookmarkStart w:id="184" w:name="_Hlk156659356"/>
      <w:r w:rsidRPr="002B2560">
        <w:rPr>
          <w:sz w:val="16"/>
          <w:szCs w:val="16"/>
        </w:rPr>
        <w:t>JRL, GB 133 MCK/3/5/1 – MCK/3/5/5 [Receipt and Purchase Books of McConnel &amp; Kennedy].</w:t>
      </w:r>
      <w:bookmarkEnd w:id="184"/>
    </w:p>
  </w:footnote>
  <w:footnote w:id="578">
    <w:p w14:paraId="5B8B077A" w14:textId="22BF499F"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w:t>
      </w:r>
      <w:bookmarkStart w:id="185" w:name="_Hlk156659934"/>
      <w:r w:rsidRPr="002B2560">
        <w:rPr>
          <w:sz w:val="16"/>
          <w:szCs w:val="16"/>
        </w:rPr>
        <w:t>JRL, GB 133 MCK/3/5/1 – MCK/3/5/5 [Receipt and Purchase Books of McConnel &amp; Kennedy].</w:t>
      </w:r>
    </w:p>
    <w:bookmarkEnd w:id="185"/>
  </w:footnote>
  <w:footnote w:id="579">
    <w:p w14:paraId="69A371F9" w14:textId="111E059C"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JRL, GB 133 MCK/3/5/1 – MCK/3/5/5 [Receipt and Purchase Books of McConnel &amp; Kennedy</w:t>
      </w:r>
      <w:r>
        <w:rPr>
          <w:sz w:val="16"/>
          <w:szCs w:val="16"/>
        </w:rPr>
        <w:t xml:space="preserve">, Receipt from Clegg &amp; </w:t>
      </w:r>
      <w:r>
        <w:rPr>
          <w:sz w:val="16"/>
          <w:szCs w:val="16"/>
        </w:rPr>
        <w:t>Rutson of Manchester, August 1805</w:t>
      </w:r>
      <w:r w:rsidRPr="002B2560">
        <w:rPr>
          <w:sz w:val="16"/>
          <w:szCs w:val="16"/>
        </w:rPr>
        <w:t>].</w:t>
      </w:r>
    </w:p>
  </w:footnote>
  <w:footnote w:id="580">
    <w:p w14:paraId="2833F162" w14:textId="0255394B"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JRL, GB 133 MCK/3/5/1 – MCK/3/5/5 [Receipt and Purchase Books of McConnel &amp; Kennedy</w:t>
      </w:r>
      <w:r>
        <w:rPr>
          <w:sz w:val="16"/>
          <w:szCs w:val="16"/>
        </w:rPr>
        <w:t xml:space="preserve">, Receipt from Clegg &amp; </w:t>
      </w:r>
      <w:r>
        <w:rPr>
          <w:sz w:val="16"/>
          <w:szCs w:val="16"/>
        </w:rPr>
        <w:t>Rutson of Manchester, November 1806</w:t>
      </w:r>
      <w:r w:rsidRPr="002B2560">
        <w:rPr>
          <w:sz w:val="16"/>
          <w:szCs w:val="16"/>
        </w:rPr>
        <w:t>].</w:t>
      </w:r>
    </w:p>
  </w:footnote>
  <w:footnote w:id="581">
    <w:p w14:paraId="13658CC5" w14:textId="280577C4"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w:t>
      </w:r>
      <w:bookmarkStart w:id="188" w:name="_Hlk156659735"/>
      <w:r w:rsidRPr="002B2560">
        <w:rPr>
          <w:sz w:val="16"/>
          <w:szCs w:val="16"/>
        </w:rPr>
        <w:t>JRL, GB 133 MCK/3/5/1 – MCK/3/5/5 [Receipt and Purchase Books of McConnel &amp; Kennedy</w:t>
      </w:r>
      <w:r>
        <w:rPr>
          <w:sz w:val="16"/>
          <w:szCs w:val="16"/>
        </w:rPr>
        <w:t>, Receipt from William Johnson Edensor, October 1795</w:t>
      </w:r>
      <w:r w:rsidRPr="002B2560">
        <w:rPr>
          <w:sz w:val="16"/>
          <w:szCs w:val="16"/>
        </w:rPr>
        <w:t>].</w:t>
      </w:r>
      <w:bookmarkEnd w:id="188"/>
    </w:p>
  </w:footnote>
  <w:footnote w:id="582">
    <w:p w14:paraId="7688BAA6" w14:textId="50BC56E8"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JRL, GB 133 MCK/3/5/1 – MCK/3/5/5 [Receipt and Purchase Books of McConnel &amp; Kennedy, Receipt from William Johnson Edensor, July 1806].</w:t>
      </w:r>
    </w:p>
  </w:footnote>
  <w:footnote w:id="583">
    <w:p w14:paraId="29C459AE" w14:textId="420361DD" w:rsidR="002B2560" w:rsidRPr="002B2560" w:rsidRDefault="002B2560">
      <w:pPr>
        <w:pStyle w:val="FootnoteText"/>
        <w:rPr>
          <w:sz w:val="16"/>
          <w:szCs w:val="16"/>
        </w:rPr>
      </w:pPr>
      <w:r w:rsidRPr="002B2560">
        <w:rPr>
          <w:rStyle w:val="FootnoteReference"/>
          <w:sz w:val="16"/>
          <w:szCs w:val="16"/>
        </w:rPr>
        <w:footnoteRef/>
      </w:r>
      <w:r w:rsidRPr="002B2560">
        <w:rPr>
          <w:sz w:val="16"/>
          <w:szCs w:val="16"/>
        </w:rPr>
        <w:t xml:space="preserve"> DLSL, BS 677 EVA, DL119 CB R1</w:t>
      </w:r>
      <w:r>
        <w:rPr>
          <w:sz w:val="16"/>
          <w:szCs w:val="16"/>
        </w:rPr>
        <w:t>.</w:t>
      </w:r>
    </w:p>
  </w:footnote>
  <w:footnote w:id="584">
    <w:p w14:paraId="4B0A00AE" w14:textId="130A858A" w:rsidR="005A05DF" w:rsidRPr="002B2560" w:rsidRDefault="005A05DF" w:rsidP="005A05DF">
      <w:pPr>
        <w:pStyle w:val="FootnoteText"/>
        <w:rPr>
          <w:sz w:val="16"/>
          <w:szCs w:val="16"/>
        </w:rPr>
      </w:pPr>
      <w:r w:rsidRPr="002B2560">
        <w:rPr>
          <w:rStyle w:val="FootnoteReference"/>
          <w:sz w:val="16"/>
          <w:szCs w:val="16"/>
        </w:rPr>
        <w:footnoteRef/>
      </w:r>
      <w:r w:rsidRPr="002B2560">
        <w:rPr>
          <w:sz w:val="16"/>
          <w:szCs w:val="16"/>
        </w:rPr>
        <w:t xml:space="preserve"> </w:t>
      </w:r>
      <w:r w:rsidR="002B2560" w:rsidRPr="002B2560">
        <w:rPr>
          <w:sz w:val="16"/>
          <w:szCs w:val="16"/>
        </w:rPr>
        <w:t>DLSL, BS 677 EVA, DL119 CB R1.</w:t>
      </w:r>
    </w:p>
  </w:footnote>
  <w:footnote w:id="585">
    <w:p w14:paraId="456E5798" w14:textId="0E3D3769" w:rsidR="00A646B2" w:rsidRPr="00A646B2" w:rsidRDefault="00A646B2">
      <w:pPr>
        <w:pStyle w:val="FootnoteText"/>
        <w:rPr>
          <w:sz w:val="16"/>
          <w:szCs w:val="16"/>
        </w:rPr>
      </w:pPr>
      <w:r w:rsidRPr="00A646B2">
        <w:rPr>
          <w:rStyle w:val="FootnoteReference"/>
          <w:sz w:val="16"/>
          <w:szCs w:val="16"/>
        </w:rPr>
        <w:footnoteRef/>
      </w:r>
      <w:r w:rsidRPr="00A646B2">
        <w:rPr>
          <w:sz w:val="16"/>
          <w:szCs w:val="16"/>
        </w:rPr>
        <w:t xml:space="preserve"> JRL, GB 133 MCK/3/5/1 – MCK/3/5/5 [Receipt and Purchase Books of McConnel &amp; Kennedy].</w:t>
      </w:r>
    </w:p>
  </w:footnote>
  <w:footnote w:id="586">
    <w:p w14:paraId="59C8F6A4" w14:textId="44B49E1B" w:rsidR="005A05DF" w:rsidRPr="00A646B2" w:rsidRDefault="005A05DF" w:rsidP="005A05DF">
      <w:pPr>
        <w:pStyle w:val="FootnoteText"/>
        <w:rPr>
          <w:sz w:val="16"/>
          <w:szCs w:val="16"/>
        </w:rPr>
      </w:pPr>
      <w:r w:rsidRPr="00A646B2">
        <w:rPr>
          <w:rStyle w:val="FootnoteReference"/>
          <w:sz w:val="16"/>
          <w:szCs w:val="16"/>
        </w:rPr>
        <w:footnoteRef/>
      </w:r>
      <w:r w:rsidRPr="00A646B2">
        <w:rPr>
          <w:sz w:val="16"/>
          <w:szCs w:val="16"/>
        </w:rPr>
        <w:t xml:space="preserve"> </w:t>
      </w:r>
      <w:r w:rsidR="00A646B2" w:rsidRPr="00A646B2">
        <w:rPr>
          <w:sz w:val="16"/>
          <w:szCs w:val="16"/>
        </w:rPr>
        <w:t>JRL, GB 133 MCK/3/5/1 – MCK/3/5/5 [Receipt and Purchase Books of McConnel &amp; Kennedy].</w:t>
      </w:r>
    </w:p>
  </w:footnote>
  <w:footnote w:id="587">
    <w:p w14:paraId="69AE65C2" w14:textId="71460667" w:rsidR="00A646B2" w:rsidRPr="00A646B2" w:rsidRDefault="00A646B2">
      <w:pPr>
        <w:pStyle w:val="FootnoteText"/>
        <w:rPr>
          <w:sz w:val="16"/>
          <w:szCs w:val="16"/>
        </w:rPr>
      </w:pPr>
      <w:r w:rsidRPr="00A646B2">
        <w:rPr>
          <w:rStyle w:val="FootnoteReference"/>
          <w:sz w:val="16"/>
          <w:szCs w:val="16"/>
        </w:rPr>
        <w:footnoteRef/>
      </w:r>
      <w:r w:rsidRPr="00A646B2">
        <w:rPr>
          <w:sz w:val="16"/>
          <w:szCs w:val="16"/>
        </w:rPr>
        <w:t xml:space="preserve"> Katherine Soar, </w:t>
      </w:r>
      <w:r w:rsidRPr="00A646B2">
        <w:rPr>
          <w:i/>
          <w:iCs/>
          <w:sz w:val="16"/>
          <w:szCs w:val="16"/>
        </w:rPr>
        <w:t>Global Cotton Connections of the Evans Family Cotton Spinning Mill at Darley Abbey, Derby 1788-1834</w:t>
      </w:r>
      <w:r w:rsidRPr="00A646B2">
        <w:rPr>
          <w:sz w:val="16"/>
          <w:szCs w:val="16"/>
        </w:rPr>
        <w:t xml:space="preserve"> [Thesis submitted for the degree of Master of Arts at the University of Sheffield, 2015). pp.18-19. </w:t>
      </w:r>
    </w:p>
  </w:footnote>
  <w:footnote w:id="588">
    <w:p w14:paraId="0DAACCD8" w14:textId="5EEC5FE1" w:rsidR="005A05DF" w:rsidRPr="009C5321" w:rsidRDefault="005A05DF" w:rsidP="005A05DF">
      <w:pPr>
        <w:pStyle w:val="FootnoteText"/>
        <w:rPr>
          <w:sz w:val="16"/>
          <w:szCs w:val="16"/>
        </w:rPr>
      </w:pPr>
      <w:r w:rsidRPr="00D415E5">
        <w:rPr>
          <w:rStyle w:val="FootnoteReference"/>
          <w:sz w:val="16"/>
          <w:szCs w:val="16"/>
        </w:rPr>
        <w:footnoteRef/>
      </w:r>
      <w:r w:rsidRPr="009C5321">
        <w:rPr>
          <w:sz w:val="16"/>
          <w:szCs w:val="16"/>
        </w:rPr>
        <w:t xml:space="preserve"> </w:t>
      </w:r>
      <w:r w:rsidR="00D415E5" w:rsidRPr="009C5321">
        <w:rPr>
          <w:sz w:val="16"/>
          <w:szCs w:val="16"/>
        </w:rPr>
        <w:t xml:space="preserve">Barry W. </w:t>
      </w:r>
      <w:r w:rsidR="00D415E5" w:rsidRPr="009C5321">
        <w:rPr>
          <w:sz w:val="16"/>
          <w:szCs w:val="16"/>
        </w:rPr>
        <w:t xml:space="preserve">Higman, </w:t>
      </w:r>
      <w:r w:rsidR="00D415E5" w:rsidRPr="009C5321">
        <w:rPr>
          <w:i/>
          <w:iCs/>
          <w:sz w:val="16"/>
          <w:szCs w:val="16"/>
        </w:rPr>
        <w:t>Jamaica Surveyed: Plantation Maps and Plans of the Eighteenth and Nineteenth Centuries</w:t>
      </w:r>
      <w:r w:rsidR="00D415E5" w:rsidRPr="009C5321">
        <w:rPr>
          <w:sz w:val="16"/>
          <w:szCs w:val="16"/>
        </w:rPr>
        <w:t xml:space="preserve"> (Jamaica: University of West India Press, 2001), p.192.</w:t>
      </w:r>
    </w:p>
  </w:footnote>
  <w:footnote w:id="589">
    <w:p w14:paraId="23050E51" w14:textId="0BC2FEEE" w:rsidR="00634031" w:rsidRPr="00634031" w:rsidRDefault="00634031">
      <w:pPr>
        <w:pStyle w:val="FootnoteText"/>
        <w:rPr>
          <w:sz w:val="16"/>
          <w:szCs w:val="16"/>
        </w:rPr>
      </w:pPr>
      <w:r w:rsidRPr="00634031">
        <w:rPr>
          <w:rStyle w:val="FootnoteReference"/>
          <w:sz w:val="16"/>
          <w:szCs w:val="16"/>
        </w:rPr>
        <w:footnoteRef/>
      </w:r>
      <w:r w:rsidRPr="00634031">
        <w:rPr>
          <w:sz w:val="16"/>
          <w:szCs w:val="16"/>
        </w:rPr>
        <w:t xml:space="preserve"> Henry Iles Woodcock, </w:t>
      </w:r>
      <w:r w:rsidRPr="00634031">
        <w:rPr>
          <w:i/>
          <w:iCs/>
          <w:sz w:val="16"/>
          <w:szCs w:val="16"/>
        </w:rPr>
        <w:t>A History of Tobago</w:t>
      </w:r>
      <w:r w:rsidRPr="00634031">
        <w:rPr>
          <w:sz w:val="16"/>
          <w:szCs w:val="16"/>
        </w:rPr>
        <w:t xml:space="preserve"> (Ayr: Smith and Grant, 1867), p. 57. </w:t>
      </w:r>
    </w:p>
  </w:footnote>
  <w:footnote w:id="590">
    <w:p w14:paraId="6C813715" w14:textId="62E69876" w:rsidR="005A05DF" w:rsidRPr="00634031" w:rsidRDefault="005A05DF" w:rsidP="005A05DF">
      <w:pPr>
        <w:pStyle w:val="FootnoteText"/>
        <w:rPr>
          <w:sz w:val="16"/>
          <w:szCs w:val="16"/>
        </w:rPr>
      </w:pPr>
      <w:r w:rsidRPr="00634031">
        <w:rPr>
          <w:rStyle w:val="FootnoteReference"/>
          <w:sz w:val="16"/>
          <w:szCs w:val="16"/>
        </w:rPr>
        <w:footnoteRef/>
      </w:r>
      <w:r w:rsidRPr="00634031">
        <w:rPr>
          <w:sz w:val="16"/>
          <w:szCs w:val="16"/>
        </w:rPr>
        <w:t xml:space="preserve"> </w:t>
      </w:r>
      <w:r w:rsidR="00634031" w:rsidRPr="00634031">
        <w:rPr>
          <w:sz w:val="16"/>
          <w:szCs w:val="16"/>
        </w:rPr>
        <w:t xml:space="preserve">Woodcock, </w:t>
      </w:r>
      <w:r w:rsidR="00634031" w:rsidRPr="00634031">
        <w:rPr>
          <w:i/>
          <w:iCs/>
          <w:sz w:val="16"/>
          <w:szCs w:val="16"/>
        </w:rPr>
        <w:t>A History of Tobago</w:t>
      </w:r>
      <w:r w:rsidR="00634031">
        <w:rPr>
          <w:sz w:val="16"/>
          <w:szCs w:val="16"/>
        </w:rPr>
        <w:t>,</w:t>
      </w:r>
      <w:r w:rsidR="00634031" w:rsidRPr="00634031">
        <w:rPr>
          <w:sz w:val="16"/>
          <w:szCs w:val="16"/>
        </w:rPr>
        <w:t xml:space="preserve"> p.57.</w:t>
      </w:r>
    </w:p>
  </w:footnote>
  <w:footnote w:id="591">
    <w:p w14:paraId="342B1ECF" w14:textId="48D8AC4C" w:rsidR="005A05DF" w:rsidRPr="008352A3" w:rsidRDefault="005A05DF" w:rsidP="005A05DF">
      <w:pPr>
        <w:pStyle w:val="FootnoteText"/>
        <w:rPr>
          <w:sz w:val="18"/>
          <w:szCs w:val="18"/>
        </w:rPr>
      </w:pPr>
      <w:r w:rsidRPr="00634031">
        <w:rPr>
          <w:rStyle w:val="FootnoteReference"/>
          <w:sz w:val="16"/>
          <w:szCs w:val="16"/>
        </w:rPr>
        <w:footnoteRef/>
      </w:r>
      <w:r w:rsidRPr="00634031">
        <w:rPr>
          <w:sz w:val="16"/>
          <w:szCs w:val="16"/>
        </w:rPr>
        <w:t xml:space="preserve"> Justin Roberts, ‘Working between the Lines: Labor and Agriculture in Two Barbadian Sugar Plantations, 1796-97,’ </w:t>
      </w:r>
      <w:r w:rsidRPr="00634031">
        <w:rPr>
          <w:i/>
          <w:iCs/>
          <w:sz w:val="16"/>
          <w:szCs w:val="16"/>
        </w:rPr>
        <w:t>The William Mary Quarterly,</w:t>
      </w:r>
      <w:r w:rsidRPr="00634031">
        <w:rPr>
          <w:sz w:val="16"/>
          <w:szCs w:val="16"/>
        </w:rPr>
        <w:t xml:space="preserve"> 63:3 (2006), </w:t>
      </w:r>
      <w:r w:rsidR="00634031">
        <w:rPr>
          <w:sz w:val="16"/>
          <w:szCs w:val="16"/>
        </w:rPr>
        <w:t>pp. 551-586 (</w:t>
      </w:r>
      <w:r w:rsidRPr="00634031">
        <w:rPr>
          <w:sz w:val="16"/>
          <w:szCs w:val="16"/>
        </w:rPr>
        <w:t>p.555</w:t>
      </w:r>
      <w:r w:rsidR="00634031">
        <w:rPr>
          <w:sz w:val="16"/>
          <w:szCs w:val="16"/>
        </w:rPr>
        <w:t>)</w:t>
      </w:r>
      <w:r w:rsidRPr="00634031">
        <w:rPr>
          <w:sz w:val="16"/>
          <w:szCs w:val="16"/>
        </w:rPr>
        <w:t xml:space="preserve"> and S. D. Smith, </w:t>
      </w:r>
      <w:r w:rsidRPr="00634031">
        <w:rPr>
          <w:i/>
          <w:iCs/>
          <w:sz w:val="16"/>
          <w:szCs w:val="16"/>
        </w:rPr>
        <w:t>Slavery, Family and Gentry Capitalism in the British Atlantic: The World of the Lascelles, 1648-1834</w:t>
      </w:r>
      <w:r w:rsidRPr="00634031">
        <w:rPr>
          <w:sz w:val="16"/>
          <w:szCs w:val="16"/>
        </w:rPr>
        <w:t xml:space="preserve"> (Cambridge University Press, 2006), pp.226-227.</w:t>
      </w:r>
    </w:p>
  </w:footnote>
  <w:footnote w:id="592">
    <w:p w14:paraId="7549C08A" w14:textId="5AB34276" w:rsidR="005A05DF" w:rsidRPr="00634031" w:rsidRDefault="005A05DF" w:rsidP="005A05DF">
      <w:pPr>
        <w:pStyle w:val="FootnoteText"/>
        <w:rPr>
          <w:sz w:val="16"/>
          <w:szCs w:val="16"/>
        </w:rPr>
      </w:pPr>
      <w:r w:rsidRPr="00634031">
        <w:rPr>
          <w:rStyle w:val="FootnoteReference"/>
          <w:sz w:val="16"/>
          <w:szCs w:val="16"/>
        </w:rPr>
        <w:footnoteRef/>
      </w:r>
      <w:r w:rsidRPr="00634031">
        <w:rPr>
          <w:sz w:val="16"/>
          <w:szCs w:val="16"/>
        </w:rPr>
        <w:t xml:space="preserve"> Howard Johnson, ‘The </w:t>
      </w:r>
      <w:r w:rsidR="00634031" w:rsidRPr="00634031">
        <w:rPr>
          <w:sz w:val="16"/>
          <w:szCs w:val="16"/>
        </w:rPr>
        <w:t>E</w:t>
      </w:r>
      <w:r w:rsidRPr="00634031">
        <w:rPr>
          <w:sz w:val="16"/>
          <w:szCs w:val="16"/>
        </w:rPr>
        <w:t xml:space="preserve">mergence of a </w:t>
      </w:r>
      <w:r w:rsidR="00634031" w:rsidRPr="00634031">
        <w:rPr>
          <w:sz w:val="16"/>
          <w:szCs w:val="16"/>
        </w:rPr>
        <w:t>P</w:t>
      </w:r>
      <w:r w:rsidRPr="00634031">
        <w:rPr>
          <w:sz w:val="16"/>
          <w:szCs w:val="16"/>
        </w:rPr>
        <w:t xml:space="preserve">easantry in the Bahamas during </w:t>
      </w:r>
      <w:r w:rsidR="00634031" w:rsidRPr="00634031">
        <w:rPr>
          <w:sz w:val="16"/>
          <w:szCs w:val="16"/>
        </w:rPr>
        <w:t>S</w:t>
      </w:r>
      <w:r w:rsidRPr="00634031">
        <w:rPr>
          <w:sz w:val="16"/>
          <w:szCs w:val="16"/>
        </w:rPr>
        <w:t xml:space="preserve">lavery,’ </w:t>
      </w:r>
      <w:r w:rsidRPr="00634031">
        <w:rPr>
          <w:i/>
          <w:iCs/>
          <w:sz w:val="16"/>
          <w:szCs w:val="16"/>
        </w:rPr>
        <w:t>Slavery and Abolition: A Journal of Slave and Post-Slave Studies</w:t>
      </w:r>
      <w:r w:rsidRPr="00634031">
        <w:rPr>
          <w:sz w:val="16"/>
          <w:szCs w:val="16"/>
        </w:rPr>
        <w:t xml:space="preserve"> (1989), </w:t>
      </w:r>
      <w:r w:rsidR="00634031">
        <w:rPr>
          <w:sz w:val="16"/>
          <w:szCs w:val="16"/>
        </w:rPr>
        <w:t>pp. 172-186 (</w:t>
      </w:r>
      <w:r w:rsidRPr="00634031">
        <w:rPr>
          <w:sz w:val="16"/>
          <w:szCs w:val="16"/>
        </w:rPr>
        <w:t>p.174</w:t>
      </w:r>
      <w:r w:rsidR="00634031">
        <w:rPr>
          <w:sz w:val="16"/>
          <w:szCs w:val="16"/>
        </w:rPr>
        <w:t>)</w:t>
      </w:r>
      <w:r w:rsidRPr="00634031">
        <w:rPr>
          <w:sz w:val="16"/>
          <w:szCs w:val="16"/>
        </w:rPr>
        <w:t>.</w:t>
      </w:r>
    </w:p>
  </w:footnote>
  <w:footnote w:id="593">
    <w:p w14:paraId="296C6A11" w14:textId="2FB01C4E" w:rsidR="005A05DF" w:rsidRPr="00634031" w:rsidRDefault="005A05DF" w:rsidP="005A05DF">
      <w:pPr>
        <w:pStyle w:val="FootnoteText"/>
        <w:rPr>
          <w:sz w:val="16"/>
          <w:szCs w:val="16"/>
        </w:rPr>
      </w:pPr>
      <w:r w:rsidRPr="00634031">
        <w:rPr>
          <w:rStyle w:val="FootnoteReference"/>
          <w:sz w:val="16"/>
          <w:szCs w:val="16"/>
        </w:rPr>
        <w:footnoteRef/>
      </w:r>
      <w:r w:rsidRPr="00634031">
        <w:rPr>
          <w:sz w:val="16"/>
          <w:szCs w:val="16"/>
        </w:rPr>
        <w:t xml:space="preserve"> David Beck </w:t>
      </w:r>
      <w:r w:rsidRPr="00634031">
        <w:rPr>
          <w:sz w:val="16"/>
          <w:szCs w:val="16"/>
        </w:rPr>
        <w:t xml:space="preserve">Ryden, </w:t>
      </w:r>
      <w:r w:rsidRPr="00634031">
        <w:rPr>
          <w:sz w:val="16"/>
          <w:szCs w:val="16"/>
        </w:rPr>
        <w:t xml:space="preserve">‘ </w:t>
      </w:r>
      <w:r w:rsidR="00634031" w:rsidRPr="00634031">
        <w:rPr>
          <w:sz w:val="16"/>
          <w:szCs w:val="16"/>
        </w:rPr>
        <w:t>“</w:t>
      </w:r>
      <w:r w:rsidRPr="00634031">
        <w:rPr>
          <w:sz w:val="16"/>
          <w:szCs w:val="16"/>
        </w:rPr>
        <w:t xml:space="preserve">One of the Finest and Most Fruitful Spots in America:” An Analysis of Eighteenth-Century Carriacou,’ </w:t>
      </w:r>
      <w:r w:rsidRPr="00634031">
        <w:rPr>
          <w:i/>
          <w:iCs/>
          <w:sz w:val="16"/>
          <w:szCs w:val="16"/>
        </w:rPr>
        <w:t>Journal of Interdisciplinary History</w:t>
      </w:r>
      <w:r w:rsidRPr="00634031">
        <w:rPr>
          <w:sz w:val="16"/>
          <w:szCs w:val="16"/>
        </w:rPr>
        <w:t xml:space="preserve">, 43:4 (2013), </w:t>
      </w:r>
      <w:r w:rsidR="00634031" w:rsidRPr="00634031">
        <w:rPr>
          <w:sz w:val="16"/>
          <w:szCs w:val="16"/>
        </w:rPr>
        <w:t>pp. 539-570 (</w:t>
      </w:r>
      <w:r w:rsidRPr="00634031">
        <w:rPr>
          <w:sz w:val="16"/>
          <w:szCs w:val="16"/>
        </w:rPr>
        <w:t>p</w:t>
      </w:r>
      <w:r w:rsidR="00C219F4" w:rsidRPr="00634031">
        <w:rPr>
          <w:sz w:val="16"/>
          <w:szCs w:val="16"/>
        </w:rPr>
        <w:t>.</w:t>
      </w:r>
      <w:r w:rsidRPr="00634031">
        <w:rPr>
          <w:sz w:val="16"/>
          <w:szCs w:val="16"/>
        </w:rPr>
        <w:t>539</w:t>
      </w:r>
      <w:r w:rsidR="00634031" w:rsidRPr="00634031">
        <w:rPr>
          <w:sz w:val="16"/>
          <w:szCs w:val="16"/>
        </w:rPr>
        <w:t>)</w:t>
      </w:r>
      <w:r w:rsidRPr="00634031">
        <w:rPr>
          <w:sz w:val="16"/>
          <w:szCs w:val="16"/>
        </w:rPr>
        <w:t xml:space="preserve">. </w:t>
      </w:r>
    </w:p>
  </w:footnote>
  <w:footnote w:id="594">
    <w:p w14:paraId="3F2DD270" w14:textId="038C636D" w:rsidR="005A05DF" w:rsidRPr="009C7FE0" w:rsidRDefault="005A05DF" w:rsidP="005A05DF">
      <w:pPr>
        <w:pStyle w:val="FootnoteText"/>
        <w:rPr>
          <w:sz w:val="16"/>
          <w:szCs w:val="16"/>
        </w:rPr>
      </w:pPr>
      <w:r w:rsidRPr="009C7FE0">
        <w:rPr>
          <w:rStyle w:val="FootnoteReference"/>
          <w:sz w:val="16"/>
          <w:szCs w:val="16"/>
        </w:rPr>
        <w:footnoteRef/>
      </w:r>
      <w:r w:rsidR="00634031" w:rsidRPr="009C7FE0">
        <w:rPr>
          <w:sz w:val="16"/>
          <w:szCs w:val="16"/>
        </w:rPr>
        <w:t xml:space="preserve"> </w:t>
      </w:r>
      <w:bookmarkStart w:id="191" w:name="_Hlk156661266"/>
      <w:r w:rsidR="00634031" w:rsidRPr="009C7FE0">
        <w:rPr>
          <w:sz w:val="16"/>
          <w:szCs w:val="16"/>
        </w:rPr>
        <w:t>Ancestry Ireland Unlimited Company</w:t>
      </w:r>
      <w:bookmarkEnd w:id="191"/>
      <w:r w:rsidR="00634031" w:rsidRPr="009C7FE0">
        <w:rPr>
          <w:sz w:val="16"/>
          <w:szCs w:val="16"/>
        </w:rPr>
        <w:t xml:space="preserve">, </w:t>
      </w:r>
      <w:r w:rsidRPr="009C7FE0">
        <w:rPr>
          <w:i/>
          <w:iCs/>
          <w:sz w:val="16"/>
          <w:szCs w:val="16"/>
        </w:rPr>
        <w:t>US and Canada, Passenger and Immigration Lists Index, 1500s-1900s</w:t>
      </w:r>
      <w:r w:rsidR="00634031" w:rsidRPr="009C7FE0">
        <w:rPr>
          <w:i/>
          <w:iCs/>
          <w:sz w:val="16"/>
          <w:szCs w:val="16"/>
        </w:rPr>
        <w:t>,</w:t>
      </w:r>
      <w:r w:rsidR="00634031" w:rsidRPr="009C7FE0">
        <w:rPr>
          <w:sz w:val="16"/>
          <w:szCs w:val="16"/>
        </w:rPr>
        <w:t xml:space="preserve"> Ancestry Ireland Unlimited Company, 2024</w:t>
      </w:r>
      <w:r w:rsidR="00634031" w:rsidRPr="009C7FE0">
        <w:rPr>
          <w:i/>
          <w:iCs/>
          <w:sz w:val="16"/>
          <w:szCs w:val="16"/>
        </w:rPr>
        <w:t xml:space="preserve"> </w:t>
      </w:r>
      <w:hyperlink r:id="rId42" w:history="1">
        <w:r w:rsidR="009C7FE0" w:rsidRPr="009C7FE0">
          <w:rPr>
            <w:rStyle w:val="Hyperlink"/>
            <w:sz w:val="16"/>
            <w:szCs w:val="16"/>
          </w:rPr>
          <w:t>https://www.ancestry.co.uk/</w:t>
        </w:r>
      </w:hyperlink>
      <w:r w:rsidR="009C7FE0" w:rsidRPr="009C7FE0">
        <w:rPr>
          <w:sz w:val="16"/>
          <w:szCs w:val="16"/>
        </w:rPr>
        <w:t xml:space="preserve"> </w:t>
      </w:r>
      <w:r w:rsidR="00634031" w:rsidRPr="009C7FE0">
        <w:rPr>
          <w:sz w:val="16"/>
          <w:szCs w:val="16"/>
        </w:rPr>
        <w:t xml:space="preserve">[last accessed </w:t>
      </w:r>
      <w:r w:rsidR="009C7FE0" w:rsidRPr="009C7FE0">
        <w:rPr>
          <w:sz w:val="16"/>
          <w:szCs w:val="16"/>
        </w:rPr>
        <w:t xml:space="preserve">12 </w:t>
      </w:r>
      <w:r w:rsidR="00634031" w:rsidRPr="009C7FE0">
        <w:rPr>
          <w:sz w:val="16"/>
          <w:szCs w:val="16"/>
        </w:rPr>
        <w:t>January 2024</w:t>
      </w:r>
      <w:r w:rsidR="009C7FE0" w:rsidRPr="009C7FE0">
        <w:rPr>
          <w:sz w:val="16"/>
          <w:szCs w:val="16"/>
        </w:rPr>
        <w:t xml:space="preserve">]. </w:t>
      </w:r>
    </w:p>
  </w:footnote>
  <w:footnote w:id="595">
    <w:p w14:paraId="5BEED85F" w14:textId="214D4489" w:rsidR="005A05DF" w:rsidRPr="000155B2" w:rsidRDefault="005A05DF" w:rsidP="005A05DF">
      <w:pPr>
        <w:pStyle w:val="FootnoteText"/>
        <w:rPr>
          <w:sz w:val="16"/>
          <w:szCs w:val="16"/>
        </w:rPr>
      </w:pPr>
      <w:r w:rsidRPr="000155B2">
        <w:rPr>
          <w:rStyle w:val="FootnoteReference"/>
          <w:sz w:val="16"/>
          <w:szCs w:val="16"/>
        </w:rPr>
        <w:footnoteRef/>
      </w:r>
      <w:r w:rsidRPr="000155B2">
        <w:rPr>
          <w:sz w:val="16"/>
          <w:szCs w:val="16"/>
        </w:rPr>
        <w:t xml:space="preserve"> </w:t>
      </w:r>
      <w:r w:rsidR="000155B2" w:rsidRPr="000155B2">
        <w:rPr>
          <w:sz w:val="16"/>
          <w:szCs w:val="16"/>
        </w:rPr>
        <w:t xml:space="preserve">Ancestry Ireland Unlimited Company, </w:t>
      </w:r>
      <w:r w:rsidRPr="000155B2">
        <w:rPr>
          <w:i/>
          <w:iCs/>
          <w:sz w:val="16"/>
          <w:szCs w:val="16"/>
        </w:rPr>
        <w:t>The National Archives of the UK; Kew, Surrey, England; Office of Registry of Colonial Slaves and Slave Compensation Commission: Records; Class: T 71; Piece Number: 51</w:t>
      </w:r>
      <w:r w:rsidR="000155B2" w:rsidRPr="000155B2">
        <w:rPr>
          <w:sz w:val="16"/>
          <w:szCs w:val="16"/>
        </w:rPr>
        <w:t>, Ancestry Ireland Unlimited Company, 2002-2024</w:t>
      </w:r>
      <w:r w:rsidRPr="000155B2">
        <w:rPr>
          <w:sz w:val="16"/>
          <w:szCs w:val="16"/>
        </w:rPr>
        <w:t xml:space="preserve"> </w:t>
      </w:r>
      <w:hyperlink r:id="rId43" w:history="1">
        <w:r w:rsidR="000155B2" w:rsidRPr="000155B2">
          <w:rPr>
            <w:rStyle w:val="Hyperlink"/>
            <w:sz w:val="16"/>
            <w:szCs w:val="16"/>
          </w:rPr>
          <w:t>https://www.ancestry.co.uk/</w:t>
        </w:r>
      </w:hyperlink>
      <w:r w:rsidR="000155B2" w:rsidRPr="000155B2">
        <w:rPr>
          <w:sz w:val="16"/>
          <w:szCs w:val="16"/>
        </w:rPr>
        <w:t xml:space="preserve"> </w:t>
      </w:r>
      <w:r w:rsidRPr="000155B2">
        <w:rPr>
          <w:sz w:val="16"/>
          <w:szCs w:val="16"/>
        </w:rPr>
        <w:t>[</w:t>
      </w:r>
      <w:r w:rsidR="000155B2" w:rsidRPr="000155B2">
        <w:rPr>
          <w:sz w:val="16"/>
          <w:szCs w:val="16"/>
        </w:rPr>
        <w:t xml:space="preserve">last </w:t>
      </w:r>
      <w:r w:rsidRPr="000155B2">
        <w:rPr>
          <w:sz w:val="16"/>
          <w:szCs w:val="16"/>
        </w:rPr>
        <w:t xml:space="preserve">accessed </w:t>
      </w:r>
      <w:r w:rsidR="000155B2" w:rsidRPr="000155B2">
        <w:rPr>
          <w:sz w:val="16"/>
          <w:szCs w:val="16"/>
        </w:rPr>
        <w:t>12 January 2024</w:t>
      </w:r>
      <w:r w:rsidRPr="000155B2">
        <w:rPr>
          <w:sz w:val="16"/>
          <w:szCs w:val="16"/>
        </w:rPr>
        <w:t>]</w:t>
      </w:r>
      <w:r w:rsidR="000155B2" w:rsidRPr="000155B2">
        <w:rPr>
          <w:sz w:val="16"/>
          <w:szCs w:val="16"/>
        </w:rPr>
        <w:t>.</w:t>
      </w:r>
      <w:r w:rsidRPr="000155B2">
        <w:rPr>
          <w:sz w:val="16"/>
          <w:szCs w:val="16"/>
        </w:rPr>
        <w:t xml:space="preserve"> </w:t>
      </w:r>
    </w:p>
  </w:footnote>
  <w:footnote w:id="596">
    <w:p w14:paraId="74EF8B80" w14:textId="1E5FCD49" w:rsidR="005A05DF" w:rsidRPr="006F29B5" w:rsidRDefault="005A05DF" w:rsidP="005A05DF">
      <w:pPr>
        <w:pStyle w:val="FootnoteText"/>
        <w:rPr>
          <w:sz w:val="16"/>
          <w:szCs w:val="16"/>
        </w:rPr>
      </w:pPr>
      <w:r w:rsidRPr="004F08F2">
        <w:rPr>
          <w:rStyle w:val="FootnoteReference"/>
          <w:sz w:val="16"/>
          <w:szCs w:val="16"/>
        </w:rPr>
        <w:footnoteRef/>
      </w:r>
      <w:r w:rsidRPr="006F29B5">
        <w:rPr>
          <w:sz w:val="16"/>
          <w:szCs w:val="16"/>
        </w:rPr>
        <w:t xml:space="preserve">  </w:t>
      </w:r>
      <w:r w:rsidR="004F08F2" w:rsidRPr="006F29B5">
        <w:rPr>
          <w:sz w:val="16"/>
          <w:szCs w:val="16"/>
        </w:rPr>
        <w:t xml:space="preserve">Ancestry Ireland Unlimited Company, </w:t>
      </w:r>
      <w:r w:rsidR="004F08F2" w:rsidRPr="006F29B5">
        <w:rPr>
          <w:i/>
          <w:iCs/>
          <w:sz w:val="16"/>
          <w:szCs w:val="16"/>
        </w:rPr>
        <w:t>The National Archives of the UK; Kew, Surrey, England; Office of Registry of Colonial Slaves and Slave Compensation Commission: Records; Class: T 71; Piece Number: 51</w:t>
      </w:r>
      <w:r w:rsidR="004F08F2" w:rsidRPr="006F29B5">
        <w:rPr>
          <w:sz w:val="16"/>
          <w:szCs w:val="16"/>
        </w:rPr>
        <w:t>, Ancestry Ireland Unlimited Company, 2002-2024 https://www.ancestry.co.uk/ [last accessed 12 January 2024].</w:t>
      </w:r>
    </w:p>
  </w:footnote>
  <w:footnote w:id="597">
    <w:p w14:paraId="24C7A949" w14:textId="6AAC5814" w:rsidR="005A05DF" w:rsidRPr="006F29B5" w:rsidRDefault="005A05DF" w:rsidP="005A05DF">
      <w:pPr>
        <w:pStyle w:val="FootnoteText"/>
        <w:rPr>
          <w:sz w:val="16"/>
          <w:szCs w:val="16"/>
        </w:rPr>
      </w:pPr>
      <w:r w:rsidRPr="004F08F2">
        <w:rPr>
          <w:rStyle w:val="FootnoteReference"/>
          <w:sz w:val="16"/>
          <w:szCs w:val="16"/>
        </w:rPr>
        <w:footnoteRef/>
      </w:r>
      <w:r w:rsidR="004F08F2" w:rsidRPr="006F29B5">
        <w:rPr>
          <w:sz w:val="16"/>
          <w:szCs w:val="16"/>
        </w:rPr>
        <w:t xml:space="preserve"> </w:t>
      </w:r>
      <w:r w:rsidR="004F08F2" w:rsidRPr="006F29B5">
        <w:rPr>
          <w:sz w:val="16"/>
          <w:szCs w:val="16"/>
        </w:rPr>
        <w:t xml:space="preserve">Robley, John, </w:t>
      </w:r>
      <w:r w:rsidR="004F08F2" w:rsidRPr="006F29B5">
        <w:rPr>
          <w:i/>
          <w:iCs/>
          <w:sz w:val="16"/>
          <w:szCs w:val="16"/>
        </w:rPr>
        <w:t>Robley Genealogy</w:t>
      </w:r>
      <w:r w:rsidR="004F08F2" w:rsidRPr="006F29B5">
        <w:rPr>
          <w:sz w:val="16"/>
          <w:szCs w:val="16"/>
        </w:rPr>
        <w:t xml:space="preserve">, 2002 </w:t>
      </w:r>
      <w:hyperlink r:id="rId44" w:history="1">
        <w:r w:rsidR="004F08F2" w:rsidRPr="006F29B5">
          <w:rPr>
            <w:rStyle w:val="Hyperlink"/>
            <w:sz w:val="16"/>
            <w:szCs w:val="16"/>
          </w:rPr>
          <w:t>https://www.robley.org.uk/jrstoke.html</w:t>
        </w:r>
      </w:hyperlink>
      <w:r w:rsidR="004F08F2" w:rsidRPr="006F29B5">
        <w:rPr>
          <w:sz w:val="16"/>
          <w:szCs w:val="16"/>
        </w:rPr>
        <w:t xml:space="preserve"> [last accessed 12 January 2024. </w:t>
      </w:r>
      <w:r w:rsidRPr="006F29B5">
        <w:rPr>
          <w:sz w:val="16"/>
          <w:szCs w:val="16"/>
        </w:rPr>
        <w:t xml:space="preserve"> </w:t>
      </w:r>
    </w:p>
  </w:footnote>
  <w:footnote w:id="598">
    <w:p w14:paraId="1AB60BB2" w14:textId="0C2FAD21" w:rsidR="005A05DF" w:rsidRPr="006F29B5" w:rsidRDefault="005A05DF" w:rsidP="004F08F2">
      <w:pPr>
        <w:pStyle w:val="FootnoteText"/>
        <w:rPr>
          <w:sz w:val="16"/>
          <w:szCs w:val="16"/>
        </w:rPr>
      </w:pPr>
      <w:r w:rsidRPr="004F08F2">
        <w:rPr>
          <w:rStyle w:val="FootnoteReference"/>
          <w:sz w:val="16"/>
          <w:szCs w:val="16"/>
        </w:rPr>
        <w:footnoteRef/>
      </w:r>
      <w:r w:rsidR="004F08F2" w:rsidRPr="006F29B5">
        <w:rPr>
          <w:sz w:val="16"/>
          <w:szCs w:val="16"/>
        </w:rPr>
        <w:t xml:space="preserve"> Pemberton, Rita, ‘Joseph </w:t>
      </w:r>
      <w:r w:rsidR="004F08F2" w:rsidRPr="006F29B5">
        <w:rPr>
          <w:sz w:val="16"/>
          <w:szCs w:val="16"/>
        </w:rPr>
        <w:t xml:space="preserve">Robley’s Journey to Wealth and Power in Tobago,’ </w:t>
      </w:r>
      <w:r w:rsidR="004F08F2" w:rsidRPr="006F29B5">
        <w:rPr>
          <w:i/>
          <w:iCs/>
          <w:sz w:val="16"/>
          <w:szCs w:val="16"/>
        </w:rPr>
        <w:t>Trinidad and Tobago</w:t>
      </w:r>
      <w:r w:rsidR="004F08F2" w:rsidRPr="006F29B5">
        <w:rPr>
          <w:sz w:val="16"/>
          <w:szCs w:val="16"/>
        </w:rPr>
        <w:t xml:space="preserve"> – Newsday, 31 March 2021 </w:t>
      </w:r>
      <w:hyperlink r:id="rId45" w:history="1">
        <w:r w:rsidR="004F08F2" w:rsidRPr="006F29B5">
          <w:rPr>
            <w:rStyle w:val="Hyperlink"/>
            <w:sz w:val="16"/>
            <w:szCs w:val="16"/>
          </w:rPr>
          <w:t>https://newsday.co.tt/2021/03/31/joseph-robleys-journey-to-wealth-and-power-in-tobago/</w:t>
        </w:r>
      </w:hyperlink>
      <w:r w:rsidR="004F08F2" w:rsidRPr="006F29B5">
        <w:rPr>
          <w:sz w:val="16"/>
          <w:szCs w:val="16"/>
        </w:rPr>
        <w:t xml:space="preserve">  [last accessed 12 January 2024].  </w:t>
      </w:r>
      <w:r w:rsidRPr="006F29B5">
        <w:rPr>
          <w:sz w:val="16"/>
          <w:szCs w:val="16"/>
        </w:rPr>
        <w:t xml:space="preserve"> </w:t>
      </w:r>
    </w:p>
  </w:footnote>
  <w:footnote w:id="599">
    <w:p w14:paraId="54EB6BA7" w14:textId="474F8D11" w:rsidR="005A05DF" w:rsidRPr="004F08F2" w:rsidRDefault="005A05DF" w:rsidP="005A05DF">
      <w:pPr>
        <w:pStyle w:val="FootnoteText"/>
        <w:rPr>
          <w:sz w:val="16"/>
          <w:szCs w:val="16"/>
        </w:rPr>
      </w:pPr>
      <w:r w:rsidRPr="004F08F2">
        <w:rPr>
          <w:rStyle w:val="FootnoteReference"/>
          <w:sz w:val="16"/>
          <w:szCs w:val="16"/>
        </w:rPr>
        <w:footnoteRef/>
      </w:r>
      <w:r w:rsidRPr="004F08F2">
        <w:rPr>
          <w:sz w:val="16"/>
          <w:szCs w:val="16"/>
        </w:rPr>
        <w:t xml:space="preserve"> </w:t>
      </w:r>
      <w:r w:rsidR="004F08F2" w:rsidRPr="004F08F2">
        <w:rPr>
          <w:sz w:val="16"/>
          <w:szCs w:val="16"/>
        </w:rPr>
        <w:t xml:space="preserve">Pemberton, Rita, ‘Joseph </w:t>
      </w:r>
      <w:r w:rsidR="004F08F2" w:rsidRPr="004F08F2">
        <w:rPr>
          <w:sz w:val="16"/>
          <w:szCs w:val="16"/>
        </w:rPr>
        <w:t xml:space="preserve">Robley’s Journey to Wealth and Power in Tobago,’ Trinidad and Tobago – Newsday, 31 March 2021 </w:t>
      </w:r>
      <w:hyperlink r:id="rId46" w:history="1">
        <w:r w:rsidR="004F08F2" w:rsidRPr="004F08F2">
          <w:rPr>
            <w:rStyle w:val="Hyperlink"/>
            <w:sz w:val="16"/>
            <w:szCs w:val="16"/>
          </w:rPr>
          <w:t>https://newsday.co.tt/2021/03/31/joseph-robleys-journey-to-wealth-and-power-in-tobago/</w:t>
        </w:r>
      </w:hyperlink>
      <w:r w:rsidR="004F08F2" w:rsidRPr="004F08F2">
        <w:rPr>
          <w:sz w:val="16"/>
          <w:szCs w:val="16"/>
        </w:rPr>
        <w:t xml:space="preserve"> [last accessed 12 January 2024].   </w:t>
      </w:r>
    </w:p>
  </w:footnote>
  <w:footnote w:id="600">
    <w:p w14:paraId="668DC427" w14:textId="4D0298FE" w:rsidR="005A05DF" w:rsidRPr="004F08F2" w:rsidRDefault="005A05DF" w:rsidP="005A05DF">
      <w:pPr>
        <w:pStyle w:val="FootnoteText"/>
        <w:rPr>
          <w:sz w:val="16"/>
          <w:szCs w:val="16"/>
        </w:rPr>
      </w:pPr>
      <w:r w:rsidRPr="004F08F2">
        <w:rPr>
          <w:rStyle w:val="FootnoteReference"/>
          <w:sz w:val="16"/>
          <w:szCs w:val="16"/>
        </w:rPr>
        <w:footnoteRef/>
      </w:r>
      <w:r w:rsidRPr="004F08F2">
        <w:rPr>
          <w:sz w:val="16"/>
          <w:szCs w:val="16"/>
        </w:rPr>
        <w:t xml:space="preserve"> </w:t>
      </w:r>
      <w:r w:rsidR="004F08F2" w:rsidRPr="004F08F2">
        <w:rPr>
          <w:sz w:val="16"/>
          <w:szCs w:val="16"/>
        </w:rPr>
        <w:t xml:space="preserve">Pemberton, Rita, ‘Joseph </w:t>
      </w:r>
      <w:r w:rsidR="004F08F2" w:rsidRPr="004F08F2">
        <w:rPr>
          <w:sz w:val="16"/>
          <w:szCs w:val="16"/>
        </w:rPr>
        <w:t xml:space="preserve">Robley’s Journey to Wealth and Power in Tobago,’ Trinidad and Tobago – Newsday, 31 March 2021 </w:t>
      </w:r>
      <w:hyperlink r:id="rId47" w:history="1">
        <w:r w:rsidR="004F08F2" w:rsidRPr="004F08F2">
          <w:rPr>
            <w:rStyle w:val="Hyperlink"/>
            <w:sz w:val="16"/>
            <w:szCs w:val="16"/>
          </w:rPr>
          <w:t>https://newsday.co.tt/2021/03/31/joseph-robleys-journey-to-wealth-and-power-in-tobago/</w:t>
        </w:r>
      </w:hyperlink>
      <w:r w:rsidR="004F08F2" w:rsidRPr="004F08F2">
        <w:rPr>
          <w:sz w:val="16"/>
          <w:szCs w:val="16"/>
        </w:rPr>
        <w:t xml:space="preserve"> [last accessed 12 January 2024].   </w:t>
      </w:r>
    </w:p>
  </w:footnote>
  <w:footnote w:id="601">
    <w:p w14:paraId="67AAE7E1" w14:textId="1DFB9F4D" w:rsidR="005A05DF" w:rsidRPr="004F08F2" w:rsidRDefault="005A05DF" w:rsidP="005A05DF">
      <w:pPr>
        <w:pStyle w:val="FootnoteText"/>
        <w:rPr>
          <w:sz w:val="16"/>
          <w:szCs w:val="16"/>
        </w:rPr>
      </w:pPr>
      <w:r w:rsidRPr="004F08F2">
        <w:rPr>
          <w:rStyle w:val="FootnoteReference"/>
          <w:sz w:val="16"/>
          <w:szCs w:val="16"/>
        </w:rPr>
        <w:footnoteRef/>
      </w:r>
      <w:bookmarkStart w:id="192" w:name="_Hlk145311104"/>
      <w:r w:rsidR="004F08F2" w:rsidRPr="004F08F2">
        <w:rPr>
          <w:sz w:val="16"/>
          <w:szCs w:val="16"/>
        </w:rPr>
        <w:t xml:space="preserve"> </w:t>
      </w:r>
      <w:r w:rsidR="004F08F2" w:rsidRPr="004F08F2">
        <w:rPr>
          <w:sz w:val="16"/>
          <w:szCs w:val="16"/>
        </w:rPr>
        <w:t xml:space="preserve">Robley, John, Robley Genealogy, 2002 </w:t>
      </w:r>
      <w:hyperlink r:id="rId48" w:history="1">
        <w:r w:rsidR="004F08F2" w:rsidRPr="004F08F2">
          <w:rPr>
            <w:rStyle w:val="Hyperlink"/>
            <w:sz w:val="16"/>
            <w:szCs w:val="16"/>
          </w:rPr>
          <w:t>https://www.robley.org.uk/jrstoke.html</w:t>
        </w:r>
      </w:hyperlink>
      <w:r w:rsidR="004F08F2" w:rsidRPr="004F08F2">
        <w:rPr>
          <w:sz w:val="16"/>
          <w:szCs w:val="16"/>
        </w:rPr>
        <w:t xml:space="preserve"> [</w:t>
      </w:r>
      <w:bookmarkStart w:id="193" w:name="_Hlk156736367"/>
      <w:r w:rsidR="004F08F2" w:rsidRPr="004F08F2">
        <w:rPr>
          <w:sz w:val="16"/>
          <w:szCs w:val="16"/>
        </w:rPr>
        <w:t xml:space="preserve">last accessed 12 January 2024.  </w:t>
      </w:r>
      <w:bookmarkEnd w:id="193"/>
    </w:p>
    <w:bookmarkEnd w:id="192"/>
  </w:footnote>
  <w:footnote w:id="602">
    <w:p w14:paraId="228E892B" w14:textId="7FF921FE" w:rsidR="005A05DF" w:rsidRPr="008352A3" w:rsidRDefault="005A05DF" w:rsidP="005A05DF">
      <w:pPr>
        <w:pStyle w:val="FootnoteText"/>
        <w:rPr>
          <w:sz w:val="18"/>
          <w:szCs w:val="18"/>
        </w:rPr>
      </w:pPr>
      <w:r w:rsidRPr="004F08F2">
        <w:rPr>
          <w:rStyle w:val="FootnoteReference"/>
          <w:sz w:val="16"/>
          <w:szCs w:val="16"/>
        </w:rPr>
        <w:footnoteRef/>
      </w:r>
      <w:r w:rsidRPr="004F08F2">
        <w:rPr>
          <w:sz w:val="16"/>
          <w:szCs w:val="16"/>
        </w:rPr>
        <w:t xml:space="preserve"> </w:t>
      </w:r>
      <w:bookmarkStart w:id="194" w:name="_Hlk145310957"/>
      <w:r w:rsidRPr="004F08F2">
        <w:rPr>
          <w:sz w:val="16"/>
          <w:szCs w:val="16"/>
        </w:rPr>
        <w:t xml:space="preserve">University College London, </w:t>
      </w:r>
      <w:r w:rsidRPr="004F08F2">
        <w:rPr>
          <w:i/>
          <w:iCs/>
          <w:sz w:val="16"/>
          <w:szCs w:val="16"/>
        </w:rPr>
        <w:t>Legacies of British Slave Ownershi</w:t>
      </w:r>
      <w:r w:rsidR="00CA175B">
        <w:rPr>
          <w:i/>
          <w:iCs/>
          <w:sz w:val="16"/>
          <w:szCs w:val="16"/>
        </w:rPr>
        <w:t>p,</w:t>
      </w:r>
      <w:r w:rsidRPr="004F08F2">
        <w:rPr>
          <w:sz w:val="16"/>
          <w:szCs w:val="16"/>
        </w:rPr>
        <w:t xml:space="preserve"> U</w:t>
      </w:r>
      <w:r w:rsidR="004F08F2" w:rsidRPr="004F08F2">
        <w:rPr>
          <w:sz w:val="16"/>
          <w:szCs w:val="16"/>
        </w:rPr>
        <w:t xml:space="preserve">niversity </w:t>
      </w:r>
      <w:r w:rsidRPr="004F08F2">
        <w:rPr>
          <w:sz w:val="16"/>
          <w:szCs w:val="16"/>
        </w:rPr>
        <w:t>C</w:t>
      </w:r>
      <w:r w:rsidR="004F08F2" w:rsidRPr="004F08F2">
        <w:rPr>
          <w:sz w:val="16"/>
          <w:szCs w:val="16"/>
        </w:rPr>
        <w:t xml:space="preserve">ollege </w:t>
      </w:r>
      <w:r w:rsidRPr="004F08F2">
        <w:rPr>
          <w:sz w:val="16"/>
          <w:szCs w:val="16"/>
        </w:rPr>
        <w:t>L</w:t>
      </w:r>
      <w:r w:rsidR="004F08F2" w:rsidRPr="004F08F2">
        <w:rPr>
          <w:sz w:val="16"/>
          <w:szCs w:val="16"/>
        </w:rPr>
        <w:t>ondon,</w:t>
      </w:r>
      <w:r w:rsidRPr="004F08F2">
        <w:rPr>
          <w:sz w:val="16"/>
          <w:szCs w:val="16"/>
        </w:rPr>
        <w:t xml:space="preserve"> 2015</w:t>
      </w:r>
      <w:bookmarkEnd w:id="194"/>
      <w:r w:rsidR="004F08F2" w:rsidRPr="004F08F2">
        <w:rPr>
          <w:sz w:val="16"/>
          <w:szCs w:val="16"/>
        </w:rPr>
        <w:t xml:space="preserve"> </w:t>
      </w:r>
      <w:r w:rsidRPr="004F08F2">
        <w:rPr>
          <w:sz w:val="16"/>
          <w:szCs w:val="16"/>
        </w:rPr>
        <w:t xml:space="preserve"> </w:t>
      </w:r>
      <w:hyperlink r:id="rId49" w:history="1">
        <w:r w:rsidRPr="004F08F2">
          <w:rPr>
            <w:rStyle w:val="Hyperlink"/>
            <w:sz w:val="16"/>
            <w:szCs w:val="16"/>
          </w:rPr>
          <w:t>https://www.ucl.ac.uk/lbs/person/view/-84757287</w:t>
        </w:r>
      </w:hyperlink>
      <w:r w:rsidRPr="004F08F2">
        <w:rPr>
          <w:sz w:val="16"/>
          <w:szCs w:val="16"/>
        </w:rPr>
        <w:t xml:space="preserve"> </w:t>
      </w:r>
      <w:r w:rsidR="00B76591">
        <w:rPr>
          <w:sz w:val="16"/>
          <w:szCs w:val="16"/>
        </w:rPr>
        <w:t>[</w:t>
      </w:r>
      <w:r w:rsidR="00B76591" w:rsidRPr="00B76591">
        <w:rPr>
          <w:sz w:val="16"/>
          <w:szCs w:val="16"/>
        </w:rPr>
        <w:t xml:space="preserve">last accessed 12 January 2024.  </w:t>
      </w:r>
    </w:p>
  </w:footnote>
  <w:footnote w:id="603">
    <w:p w14:paraId="5EF4B3D4" w14:textId="559E3B3B" w:rsidR="00B76591" w:rsidRPr="00B76591" w:rsidRDefault="00B76591">
      <w:pPr>
        <w:pStyle w:val="FootnoteText"/>
        <w:rPr>
          <w:sz w:val="16"/>
          <w:szCs w:val="16"/>
          <w:lang w:val="en-US"/>
        </w:rPr>
      </w:pPr>
      <w:r w:rsidRPr="00B76591">
        <w:rPr>
          <w:rStyle w:val="FootnoteReference"/>
          <w:sz w:val="16"/>
          <w:szCs w:val="16"/>
        </w:rPr>
        <w:footnoteRef/>
      </w:r>
      <w:r w:rsidRPr="00B76591">
        <w:rPr>
          <w:sz w:val="16"/>
          <w:szCs w:val="16"/>
        </w:rPr>
        <w:t xml:space="preserve"> University College London, Legacies of British Slave Ownership, University College London, 2015 https://www.ucl.ac.uk/lbs/person/view/2146634872 [last accessed 12 January 2024].  </w:t>
      </w:r>
    </w:p>
  </w:footnote>
  <w:footnote w:id="604">
    <w:p w14:paraId="5130F5B6" w14:textId="40F173F6" w:rsidR="005A05DF" w:rsidRPr="00CA175B" w:rsidRDefault="005A05DF" w:rsidP="00CA175B">
      <w:pPr>
        <w:pStyle w:val="FootnoteText"/>
        <w:rPr>
          <w:sz w:val="16"/>
          <w:szCs w:val="16"/>
        </w:rPr>
      </w:pPr>
      <w:r w:rsidRPr="00CA175B">
        <w:rPr>
          <w:rStyle w:val="FootnoteReference"/>
          <w:sz w:val="16"/>
          <w:szCs w:val="16"/>
        </w:rPr>
        <w:footnoteRef/>
      </w:r>
      <w:bookmarkStart w:id="195" w:name="_Hlk145314156"/>
      <w:r w:rsidR="00CA175B" w:rsidRPr="00CA175B">
        <w:rPr>
          <w:sz w:val="16"/>
          <w:szCs w:val="16"/>
        </w:rPr>
        <w:t xml:space="preserve"> University College London, </w:t>
      </w:r>
      <w:r w:rsidR="00CA175B" w:rsidRPr="00CA175B">
        <w:rPr>
          <w:i/>
          <w:iCs/>
          <w:sz w:val="16"/>
          <w:szCs w:val="16"/>
        </w:rPr>
        <w:t>Legacies of British Slave Ownership</w:t>
      </w:r>
      <w:r w:rsidR="00CA175B" w:rsidRPr="00CA175B">
        <w:rPr>
          <w:sz w:val="16"/>
          <w:szCs w:val="16"/>
        </w:rPr>
        <w:t xml:space="preserve">, University College London, 2015  </w:t>
      </w:r>
      <w:hyperlink r:id="rId50" w:history="1">
        <w:r w:rsidR="00CA175B" w:rsidRPr="00CA175B">
          <w:rPr>
            <w:rStyle w:val="Hyperlink"/>
            <w:sz w:val="16"/>
            <w:szCs w:val="16"/>
          </w:rPr>
          <w:t>https://www.ucl.ac.uk/lbs/person/view/-84757287</w:t>
        </w:r>
      </w:hyperlink>
      <w:r w:rsidR="00CA175B" w:rsidRPr="00CA175B">
        <w:rPr>
          <w:sz w:val="16"/>
          <w:szCs w:val="16"/>
        </w:rPr>
        <w:t xml:space="preserve"> </w:t>
      </w:r>
      <w:r w:rsidR="00B76591">
        <w:rPr>
          <w:sz w:val="16"/>
          <w:szCs w:val="16"/>
        </w:rPr>
        <w:t>[</w:t>
      </w:r>
      <w:r w:rsidR="00B76591" w:rsidRPr="00B76591">
        <w:rPr>
          <w:sz w:val="16"/>
          <w:szCs w:val="16"/>
        </w:rPr>
        <w:t>last accessed 12 January 2024</w:t>
      </w:r>
      <w:r w:rsidR="00B76591">
        <w:rPr>
          <w:sz w:val="16"/>
          <w:szCs w:val="16"/>
        </w:rPr>
        <w:t>]</w:t>
      </w:r>
      <w:r w:rsidR="00B76591" w:rsidRPr="00B76591">
        <w:rPr>
          <w:sz w:val="16"/>
          <w:szCs w:val="16"/>
        </w:rPr>
        <w:t xml:space="preserve">.  </w:t>
      </w:r>
    </w:p>
    <w:bookmarkEnd w:id="195"/>
  </w:footnote>
  <w:footnote w:id="605">
    <w:p w14:paraId="5E4F1EB5" w14:textId="2908FD79" w:rsidR="005A05DF" w:rsidRPr="00CA175B" w:rsidRDefault="005A05DF" w:rsidP="005A05DF">
      <w:pPr>
        <w:pStyle w:val="FootnoteText"/>
        <w:rPr>
          <w:sz w:val="16"/>
          <w:szCs w:val="16"/>
        </w:rPr>
      </w:pPr>
      <w:r w:rsidRPr="00CA175B">
        <w:rPr>
          <w:rStyle w:val="FootnoteReference"/>
          <w:sz w:val="16"/>
          <w:szCs w:val="16"/>
        </w:rPr>
        <w:footnoteRef/>
      </w:r>
      <w:r w:rsidR="00CA175B" w:rsidRPr="00CA175B">
        <w:rPr>
          <w:sz w:val="16"/>
          <w:szCs w:val="16"/>
        </w:rPr>
        <w:t xml:space="preserve"> University College London, </w:t>
      </w:r>
      <w:r w:rsidR="00CA175B" w:rsidRPr="00CA175B">
        <w:rPr>
          <w:i/>
          <w:iCs/>
          <w:sz w:val="16"/>
          <w:szCs w:val="16"/>
        </w:rPr>
        <w:t>Legacies of British Slave Ownership</w:t>
      </w:r>
      <w:r w:rsidR="00CA175B" w:rsidRPr="00CA175B">
        <w:rPr>
          <w:sz w:val="16"/>
          <w:szCs w:val="16"/>
        </w:rPr>
        <w:t xml:space="preserve">, University College London, 2015  </w:t>
      </w:r>
      <w:hyperlink r:id="rId51" w:history="1">
        <w:r w:rsidR="00CA175B" w:rsidRPr="00CA175B">
          <w:rPr>
            <w:rStyle w:val="Hyperlink"/>
            <w:sz w:val="16"/>
            <w:szCs w:val="16"/>
          </w:rPr>
          <w:t>https://www.ucl.ac.uk/lbs/person/view/-84757287</w:t>
        </w:r>
      </w:hyperlink>
      <w:r w:rsidR="00CA175B" w:rsidRPr="00CA175B">
        <w:rPr>
          <w:sz w:val="16"/>
          <w:szCs w:val="16"/>
        </w:rPr>
        <w:t xml:space="preserve"> </w:t>
      </w:r>
      <w:r w:rsidR="00B76591">
        <w:rPr>
          <w:sz w:val="16"/>
          <w:szCs w:val="16"/>
        </w:rPr>
        <w:t>[</w:t>
      </w:r>
      <w:r w:rsidR="00B76591" w:rsidRPr="00B76591">
        <w:rPr>
          <w:sz w:val="16"/>
          <w:szCs w:val="16"/>
        </w:rPr>
        <w:t>last accessed 12 January 2024</w:t>
      </w:r>
      <w:r w:rsidR="00B76591">
        <w:rPr>
          <w:sz w:val="16"/>
          <w:szCs w:val="16"/>
        </w:rPr>
        <w:t>]</w:t>
      </w:r>
      <w:r w:rsidR="00B76591" w:rsidRPr="00B76591">
        <w:rPr>
          <w:sz w:val="16"/>
          <w:szCs w:val="16"/>
        </w:rPr>
        <w:t xml:space="preserve">.  </w:t>
      </w:r>
    </w:p>
  </w:footnote>
  <w:footnote w:id="606">
    <w:p w14:paraId="1C59EC8F" w14:textId="77B27017" w:rsidR="005A05DF" w:rsidRPr="00CA175B" w:rsidRDefault="005A05DF" w:rsidP="005A05DF">
      <w:pPr>
        <w:pStyle w:val="FootnoteText"/>
        <w:rPr>
          <w:sz w:val="16"/>
          <w:szCs w:val="16"/>
        </w:rPr>
      </w:pPr>
      <w:r w:rsidRPr="00CA175B">
        <w:rPr>
          <w:rStyle w:val="FootnoteReference"/>
          <w:sz w:val="16"/>
          <w:szCs w:val="16"/>
        </w:rPr>
        <w:footnoteRef/>
      </w:r>
      <w:r w:rsidRPr="00CA175B">
        <w:rPr>
          <w:sz w:val="16"/>
          <w:szCs w:val="16"/>
        </w:rPr>
        <w:t xml:space="preserve"> DLSL</w:t>
      </w:r>
      <w:r w:rsidR="00CA175B">
        <w:rPr>
          <w:sz w:val="16"/>
          <w:szCs w:val="16"/>
        </w:rPr>
        <w:t>,</w:t>
      </w:r>
      <w:r w:rsidRPr="00CA175B">
        <w:rPr>
          <w:sz w:val="16"/>
          <w:szCs w:val="16"/>
        </w:rPr>
        <w:t xml:space="preserve"> BS 677 EVA DL119, </w:t>
      </w:r>
      <w:r w:rsidR="000C1D0F" w:rsidRPr="00CA175B">
        <w:rPr>
          <w:sz w:val="16"/>
          <w:szCs w:val="16"/>
        </w:rPr>
        <w:t>CB R1</w:t>
      </w:r>
      <w:r w:rsidR="00CA175B" w:rsidRPr="00CA175B">
        <w:rPr>
          <w:sz w:val="16"/>
          <w:szCs w:val="16"/>
        </w:rPr>
        <w:t xml:space="preserve"> [Letter Sent from W. Evans &amp; Co. to Samuel Wagstaff, London, 29 September 1796]. </w:t>
      </w:r>
    </w:p>
  </w:footnote>
  <w:footnote w:id="607">
    <w:p w14:paraId="193BC238" w14:textId="4BD0CFF0" w:rsidR="00B76591" w:rsidRPr="00B76591" w:rsidRDefault="00B76591">
      <w:pPr>
        <w:pStyle w:val="FootnoteText"/>
        <w:rPr>
          <w:sz w:val="16"/>
          <w:szCs w:val="16"/>
          <w:lang w:val="en-US"/>
        </w:rPr>
      </w:pPr>
      <w:r w:rsidRPr="00B76591">
        <w:rPr>
          <w:rStyle w:val="FootnoteReference"/>
          <w:sz w:val="16"/>
          <w:szCs w:val="16"/>
        </w:rPr>
        <w:footnoteRef/>
      </w:r>
      <w:r w:rsidRPr="00B76591">
        <w:rPr>
          <w:sz w:val="16"/>
          <w:szCs w:val="16"/>
        </w:rPr>
        <w:t xml:space="preserve"> Allan D. Meyers, ‘Striking for Freedom: The 1831 Uprising at Golden Grove Plantation, Cat Island,’ The International Journal of Bahamian Studies, 21:1 (2015), pp. 74-90</w:t>
      </w:r>
    </w:p>
  </w:footnote>
  <w:footnote w:id="608">
    <w:p w14:paraId="40D4E584" w14:textId="54870251" w:rsidR="005A05DF" w:rsidRPr="00B76591" w:rsidRDefault="005A05DF" w:rsidP="005A05DF">
      <w:pPr>
        <w:pStyle w:val="FootnoteText"/>
        <w:rPr>
          <w:sz w:val="16"/>
          <w:szCs w:val="16"/>
        </w:rPr>
      </w:pPr>
      <w:r w:rsidRPr="00B76591">
        <w:rPr>
          <w:rStyle w:val="FootnoteReference"/>
          <w:sz w:val="16"/>
          <w:szCs w:val="16"/>
        </w:rPr>
        <w:footnoteRef/>
      </w:r>
      <w:r w:rsidRPr="00B76591">
        <w:rPr>
          <w:sz w:val="16"/>
          <w:szCs w:val="16"/>
        </w:rPr>
        <w:t xml:space="preserve"> Meyers, ‘Striking for Freedom: The 1831 Uprising at Golden Grove Plantation, Cat Island,’ </w:t>
      </w:r>
      <w:r w:rsidRPr="00B76591">
        <w:rPr>
          <w:i/>
          <w:iCs/>
          <w:sz w:val="16"/>
          <w:szCs w:val="16"/>
        </w:rPr>
        <w:t>The International Journal of Bahamian Studies</w:t>
      </w:r>
      <w:r w:rsidRPr="00B76591">
        <w:rPr>
          <w:sz w:val="16"/>
          <w:szCs w:val="16"/>
        </w:rPr>
        <w:t xml:space="preserve">, pp. 74-90. Also see G. Saunders, ‘Slavery and cotton culture in the Bahamas,’ in V. Shepherd (Ed.). </w:t>
      </w:r>
      <w:r w:rsidRPr="00B76591">
        <w:rPr>
          <w:i/>
          <w:iCs/>
          <w:sz w:val="16"/>
          <w:szCs w:val="16"/>
        </w:rPr>
        <w:t xml:space="preserve">Slavery without sugar: Diversity in Caribbean </w:t>
      </w:r>
      <w:r w:rsidR="00B76591">
        <w:rPr>
          <w:i/>
          <w:iCs/>
          <w:sz w:val="16"/>
          <w:szCs w:val="16"/>
        </w:rPr>
        <w:t>E</w:t>
      </w:r>
      <w:r w:rsidRPr="00B76591">
        <w:rPr>
          <w:i/>
          <w:iCs/>
          <w:sz w:val="16"/>
          <w:szCs w:val="16"/>
        </w:rPr>
        <w:t xml:space="preserve">conomy and </w:t>
      </w:r>
      <w:r w:rsidR="00B76591">
        <w:rPr>
          <w:i/>
          <w:iCs/>
          <w:sz w:val="16"/>
          <w:szCs w:val="16"/>
        </w:rPr>
        <w:t>S</w:t>
      </w:r>
      <w:r w:rsidRPr="00B76591">
        <w:rPr>
          <w:i/>
          <w:iCs/>
          <w:sz w:val="16"/>
          <w:szCs w:val="16"/>
        </w:rPr>
        <w:t xml:space="preserve">ociety since the 17th </w:t>
      </w:r>
      <w:r w:rsidR="00B76591">
        <w:rPr>
          <w:i/>
          <w:iCs/>
          <w:sz w:val="16"/>
          <w:szCs w:val="16"/>
        </w:rPr>
        <w:t>C</w:t>
      </w:r>
      <w:r w:rsidRPr="00B76591">
        <w:rPr>
          <w:i/>
          <w:iCs/>
          <w:sz w:val="16"/>
          <w:szCs w:val="16"/>
        </w:rPr>
        <w:t>entury</w:t>
      </w:r>
      <w:r w:rsidRPr="00B76591">
        <w:rPr>
          <w:sz w:val="16"/>
          <w:szCs w:val="16"/>
        </w:rPr>
        <w:t xml:space="preserve"> (Gainesville: University Press of Florida, 2002) pp. 129-151.</w:t>
      </w:r>
    </w:p>
  </w:footnote>
  <w:footnote w:id="609">
    <w:p w14:paraId="678F581A" w14:textId="0A10436A" w:rsidR="00B76591" w:rsidRPr="00B76591" w:rsidRDefault="00B76591">
      <w:pPr>
        <w:pStyle w:val="FootnoteText"/>
        <w:rPr>
          <w:lang w:val="en-US"/>
        </w:rPr>
      </w:pPr>
      <w:r w:rsidRPr="00B76591">
        <w:rPr>
          <w:rStyle w:val="FootnoteReference"/>
          <w:sz w:val="16"/>
          <w:szCs w:val="16"/>
        </w:rPr>
        <w:footnoteRef/>
      </w:r>
      <w:r w:rsidRPr="00B76591">
        <w:rPr>
          <w:sz w:val="16"/>
          <w:szCs w:val="16"/>
        </w:rPr>
        <w:t xml:space="preserve"> Thales A. </w:t>
      </w:r>
      <w:r w:rsidRPr="00B76591">
        <w:rPr>
          <w:sz w:val="16"/>
          <w:szCs w:val="16"/>
        </w:rPr>
        <w:t xml:space="preserve">Zamberlan Pereira, ‘The rise of the Brazilian cotton trade in Britain during the Industrial Revolution,’ </w:t>
      </w:r>
      <w:r w:rsidRPr="00B76591">
        <w:rPr>
          <w:i/>
          <w:iCs/>
          <w:sz w:val="16"/>
          <w:szCs w:val="16"/>
        </w:rPr>
        <w:t>Journal of Latin American Studies</w:t>
      </w:r>
      <w:r>
        <w:rPr>
          <w:i/>
          <w:iCs/>
          <w:sz w:val="16"/>
          <w:szCs w:val="16"/>
        </w:rPr>
        <w:t>,</w:t>
      </w:r>
      <w:r w:rsidRPr="00B76591">
        <w:rPr>
          <w:sz w:val="16"/>
          <w:szCs w:val="16"/>
        </w:rPr>
        <w:t xml:space="preserve"> 50:4 (2018), pp. 919-949.</w:t>
      </w:r>
    </w:p>
  </w:footnote>
  <w:footnote w:id="610">
    <w:p w14:paraId="4275E24D" w14:textId="4C4DD066" w:rsidR="005A05DF" w:rsidRPr="00B76591" w:rsidRDefault="005A05DF" w:rsidP="005A05DF">
      <w:pPr>
        <w:pStyle w:val="FootnoteText"/>
        <w:rPr>
          <w:sz w:val="16"/>
          <w:szCs w:val="16"/>
        </w:rPr>
      </w:pPr>
      <w:r w:rsidRPr="00B76591">
        <w:rPr>
          <w:rStyle w:val="FootnoteReference"/>
          <w:sz w:val="16"/>
          <w:szCs w:val="16"/>
        </w:rPr>
        <w:footnoteRef/>
      </w:r>
      <w:r w:rsidRPr="00B76591">
        <w:rPr>
          <w:sz w:val="16"/>
          <w:szCs w:val="16"/>
        </w:rPr>
        <w:t xml:space="preserve"> Mark A. Burkholder and Lyman L. Johnson, </w:t>
      </w:r>
      <w:r w:rsidRPr="00B76591">
        <w:rPr>
          <w:i/>
          <w:iCs/>
          <w:sz w:val="16"/>
          <w:szCs w:val="16"/>
        </w:rPr>
        <w:t>Colonial Latin America</w:t>
      </w:r>
      <w:r w:rsidRPr="00B76591">
        <w:rPr>
          <w:sz w:val="16"/>
          <w:szCs w:val="16"/>
        </w:rPr>
        <w:t xml:space="preserve"> (Oxford</w:t>
      </w:r>
      <w:r w:rsidR="00B76591">
        <w:rPr>
          <w:sz w:val="16"/>
          <w:szCs w:val="16"/>
        </w:rPr>
        <w:t>: Oxford University Press,</w:t>
      </w:r>
      <w:r w:rsidRPr="00B76591">
        <w:rPr>
          <w:sz w:val="16"/>
          <w:szCs w:val="16"/>
        </w:rPr>
        <w:t xml:space="preserve"> 2010), p.317. </w:t>
      </w:r>
    </w:p>
  </w:footnote>
  <w:footnote w:id="611">
    <w:p w14:paraId="3F778CA6" w14:textId="7C7E26BE" w:rsidR="005A05DF" w:rsidRPr="00B76591" w:rsidRDefault="005A05DF" w:rsidP="005A05DF">
      <w:pPr>
        <w:pStyle w:val="FootnoteText"/>
        <w:rPr>
          <w:sz w:val="16"/>
          <w:szCs w:val="16"/>
        </w:rPr>
      </w:pPr>
      <w:r w:rsidRPr="00B76591">
        <w:rPr>
          <w:rStyle w:val="FootnoteReference"/>
          <w:sz w:val="16"/>
          <w:szCs w:val="16"/>
        </w:rPr>
        <w:footnoteRef/>
      </w:r>
      <w:r w:rsidRPr="00B76591">
        <w:rPr>
          <w:sz w:val="16"/>
          <w:szCs w:val="16"/>
        </w:rPr>
        <w:t xml:space="preserve"> Felipe Souza Melo and Diego de </w:t>
      </w:r>
      <w:r w:rsidRPr="00B76591">
        <w:rPr>
          <w:sz w:val="16"/>
          <w:szCs w:val="16"/>
        </w:rPr>
        <w:t xml:space="preserve">Cambraia Martins, ‘Reassessing the </w:t>
      </w:r>
      <w:r w:rsidR="00B76591" w:rsidRPr="00B76591">
        <w:rPr>
          <w:sz w:val="16"/>
          <w:szCs w:val="16"/>
        </w:rPr>
        <w:t>P</w:t>
      </w:r>
      <w:r w:rsidRPr="00B76591">
        <w:rPr>
          <w:sz w:val="16"/>
          <w:szCs w:val="16"/>
        </w:rPr>
        <w:t xml:space="preserve">roductivity of </w:t>
      </w:r>
      <w:r w:rsidR="00B76591" w:rsidRPr="00B76591">
        <w:rPr>
          <w:sz w:val="16"/>
          <w:szCs w:val="16"/>
        </w:rPr>
        <w:t>E</w:t>
      </w:r>
      <w:r w:rsidRPr="00B76591">
        <w:rPr>
          <w:sz w:val="16"/>
          <w:szCs w:val="16"/>
        </w:rPr>
        <w:t xml:space="preserve">nslavement on </w:t>
      </w:r>
      <w:r w:rsidR="00B76591" w:rsidRPr="00B76591">
        <w:rPr>
          <w:sz w:val="16"/>
          <w:szCs w:val="16"/>
        </w:rPr>
        <w:t>L</w:t>
      </w:r>
      <w:r w:rsidRPr="00B76591">
        <w:rPr>
          <w:sz w:val="16"/>
          <w:szCs w:val="16"/>
        </w:rPr>
        <w:t xml:space="preserve">arge-scale </w:t>
      </w:r>
      <w:r w:rsidR="00B76591" w:rsidRPr="00B76591">
        <w:rPr>
          <w:sz w:val="16"/>
          <w:szCs w:val="16"/>
        </w:rPr>
        <w:t>P</w:t>
      </w:r>
      <w:r w:rsidRPr="00B76591">
        <w:rPr>
          <w:sz w:val="16"/>
          <w:szCs w:val="16"/>
        </w:rPr>
        <w:t xml:space="preserve">lantations and </w:t>
      </w:r>
      <w:r w:rsidR="00B76591" w:rsidRPr="00B76591">
        <w:rPr>
          <w:sz w:val="16"/>
          <w:szCs w:val="16"/>
        </w:rPr>
        <w:t>S</w:t>
      </w:r>
      <w:r w:rsidRPr="00B76591">
        <w:rPr>
          <w:sz w:val="16"/>
          <w:szCs w:val="16"/>
        </w:rPr>
        <w:t xml:space="preserve">mall </w:t>
      </w:r>
      <w:r w:rsidR="00B76591" w:rsidRPr="00B76591">
        <w:rPr>
          <w:sz w:val="16"/>
          <w:szCs w:val="16"/>
        </w:rPr>
        <w:t>F</w:t>
      </w:r>
      <w:r w:rsidRPr="00B76591">
        <w:rPr>
          <w:sz w:val="16"/>
          <w:szCs w:val="16"/>
        </w:rPr>
        <w:t xml:space="preserve">arms in Brazilian </w:t>
      </w:r>
      <w:r w:rsidR="00B76591" w:rsidRPr="00B76591">
        <w:rPr>
          <w:sz w:val="16"/>
          <w:szCs w:val="16"/>
        </w:rPr>
        <w:t>C</w:t>
      </w:r>
      <w:r w:rsidRPr="00B76591">
        <w:rPr>
          <w:sz w:val="16"/>
          <w:szCs w:val="16"/>
        </w:rPr>
        <w:t xml:space="preserve">otton </w:t>
      </w:r>
      <w:r w:rsidR="00B76591" w:rsidRPr="00B76591">
        <w:rPr>
          <w:sz w:val="16"/>
          <w:szCs w:val="16"/>
        </w:rPr>
        <w:t>P</w:t>
      </w:r>
      <w:r w:rsidRPr="00B76591">
        <w:rPr>
          <w:sz w:val="16"/>
          <w:szCs w:val="16"/>
        </w:rPr>
        <w:t xml:space="preserve">roduction (c.1750–c.1810),’ </w:t>
      </w:r>
      <w:r w:rsidRPr="00B76591">
        <w:rPr>
          <w:i/>
          <w:iCs/>
          <w:sz w:val="16"/>
          <w:szCs w:val="16"/>
        </w:rPr>
        <w:t>Historical Research</w:t>
      </w:r>
      <w:r w:rsidRPr="00B76591">
        <w:rPr>
          <w:sz w:val="16"/>
          <w:szCs w:val="16"/>
        </w:rPr>
        <w:t>, Vol. 96 (2023) pp.193–221</w:t>
      </w:r>
      <w:r w:rsidR="00364220" w:rsidRPr="00B76591">
        <w:rPr>
          <w:sz w:val="16"/>
          <w:szCs w:val="16"/>
        </w:rPr>
        <w:t>.</w:t>
      </w:r>
      <w:r w:rsidRPr="00B76591">
        <w:rPr>
          <w:sz w:val="16"/>
          <w:szCs w:val="16"/>
        </w:rPr>
        <w:t xml:space="preserve"> </w:t>
      </w:r>
    </w:p>
  </w:footnote>
  <w:footnote w:id="612">
    <w:p w14:paraId="0EC9B4E6" w14:textId="212901D3" w:rsidR="00B76591" w:rsidRPr="00B76591" w:rsidRDefault="00B76591">
      <w:pPr>
        <w:pStyle w:val="FootnoteText"/>
        <w:rPr>
          <w:sz w:val="16"/>
          <w:szCs w:val="16"/>
          <w:lang w:val="en-US"/>
        </w:rPr>
      </w:pPr>
      <w:r w:rsidRPr="00B76591">
        <w:rPr>
          <w:rStyle w:val="FootnoteReference"/>
          <w:sz w:val="16"/>
          <w:szCs w:val="16"/>
        </w:rPr>
        <w:footnoteRef/>
      </w:r>
      <w:r w:rsidRPr="00B76591">
        <w:rPr>
          <w:sz w:val="16"/>
          <w:szCs w:val="16"/>
        </w:rPr>
        <w:t xml:space="preserve"> JRL, GB 133 MCK/3/5/1-2 [Receipt and Purchase Books for McConnel &amp; Kennedy].</w:t>
      </w:r>
    </w:p>
  </w:footnote>
  <w:footnote w:id="613">
    <w:p w14:paraId="2FFE413C" w14:textId="74721CA7" w:rsidR="00DD1CD2" w:rsidRPr="00DD1CD2" w:rsidRDefault="00DD1CD2">
      <w:pPr>
        <w:pStyle w:val="FootnoteText"/>
        <w:rPr>
          <w:sz w:val="16"/>
          <w:szCs w:val="16"/>
          <w:lang w:val="en-US"/>
        </w:rPr>
      </w:pPr>
      <w:r w:rsidRPr="00DD1CD2">
        <w:rPr>
          <w:rStyle w:val="FootnoteReference"/>
          <w:sz w:val="16"/>
          <w:szCs w:val="16"/>
        </w:rPr>
        <w:footnoteRef/>
      </w:r>
      <w:r w:rsidRPr="00DD1CD2">
        <w:rPr>
          <w:sz w:val="16"/>
          <w:szCs w:val="16"/>
        </w:rPr>
        <w:t xml:space="preserve"> JRL, GB 133 MCK/3/5/1-2 [Receipt and Purchase Books for McConnel &amp; Kennedy].</w:t>
      </w:r>
    </w:p>
  </w:footnote>
  <w:footnote w:id="614">
    <w:p w14:paraId="685B8CA0" w14:textId="00F8D10B" w:rsidR="005A05DF" w:rsidRPr="00DD1CD2" w:rsidRDefault="005A05DF" w:rsidP="005A05DF">
      <w:pPr>
        <w:pStyle w:val="FootnoteText"/>
        <w:rPr>
          <w:sz w:val="16"/>
          <w:szCs w:val="16"/>
        </w:rPr>
      </w:pPr>
      <w:r w:rsidRPr="00DD1CD2">
        <w:rPr>
          <w:rStyle w:val="FootnoteReference"/>
          <w:sz w:val="16"/>
          <w:szCs w:val="16"/>
        </w:rPr>
        <w:footnoteRef/>
      </w:r>
      <w:r w:rsidRPr="00DD1CD2">
        <w:rPr>
          <w:sz w:val="16"/>
          <w:szCs w:val="16"/>
        </w:rPr>
        <w:t xml:space="preserve"> DLSL BS 677 EVA DL119 </w:t>
      </w:r>
      <w:r w:rsidR="00364220" w:rsidRPr="00DD1CD2">
        <w:rPr>
          <w:sz w:val="16"/>
          <w:szCs w:val="16"/>
        </w:rPr>
        <w:t>CB R1</w:t>
      </w:r>
      <w:r w:rsidR="00DD1CD2" w:rsidRPr="00DD1CD2">
        <w:rPr>
          <w:sz w:val="16"/>
          <w:szCs w:val="16"/>
        </w:rPr>
        <w:t xml:space="preserve">. </w:t>
      </w:r>
    </w:p>
  </w:footnote>
  <w:footnote w:id="615">
    <w:p w14:paraId="346F12D3" w14:textId="17BBE8C9" w:rsidR="008E4625" w:rsidRPr="008E4625" w:rsidRDefault="008E4625" w:rsidP="008E4625">
      <w:pPr>
        <w:pStyle w:val="FootnoteText"/>
        <w:rPr>
          <w:sz w:val="16"/>
          <w:szCs w:val="16"/>
        </w:rPr>
      </w:pPr>
      <w:r w:rsidRPr="008E4625">
        <w:rPr>
          <w:rStyle w:val="FootnoteReference"/>
          <w:sz w:val="16"/>
          <w:szCs w:val="16"/>
        </w:rPr>
        <w:footnoteRef/>
      </w:r>
      <w:r w:rsidRPr="008E4625">
        <w:rPr>
          <w:sz w:val="16"/>
          <w:szCs w:val="16"/>
        </w:rPr>
        <w:t xml:space="preserve"> Melo and de </w:t>
      </w:r>
      <w:r w:rsidRPr="008E4625">
        <w:rPr>
          <w:sz w:val="16"/>
          <w:szCs w:val="16"/>
        </w:rPr>
        <w:t xml:space="preserve">Cambraia Martins, ‘Reassessing the Productivity of Enslavement on Large-scale Plantations and Small Farms in Brazilian Cotton Production (c.1750–c.1810),’ </w:t>
      </w:r>
      <w:r w:rsidRPr="008E4625">
        <w:rPr>
          <w:i/>
          <w:iCs/>
          <w:sz w:val="16"/>
          <w:szCs w:val="16"/>
        </w:rPr>
        <w:t>Historical Research</w:t>
      </w:r>
      <w:r w:rsidRPr="008E4625">
        <w:rPr>
          <w:sz w:val="16"/>
          <w:szCs w:val="16"/>
        </w:rPr>
        <w:t>, pp.193–221</w:t>
      </w:r>
      <w:r>
        <w:rPr>
          <w:sz w:val="16"/>
          <w:szCs w:val="16"/>
        </w:rPr>
        <w:t>.</w:t>
      </w:r>
    </w:p>
  </w:footnote>
  <w:footnote w:id="616">
    <w:p w14:paraId="09E35816" w14:textId="1B9AAAC4" w:rsidR="008E4625" w:rsidRPr="008E4625" w:rsidRDefault="008E4625">
      <w:pPr>
        <w:pStyle w:val="FootnoteText"/>
        <w:rPr>
          <w:sz w:val="16"/>
          <w:szCs w:val="16"/>
        </w:rPr>
      </w:pPr>
      <w:r w:rsidRPr="008E4625">
        <w:rPr>
          <w:rStyle w:val="FootnoteReference"/>
          <w:sz w:val="16"/>
          <w:szCs w:val="16"/>
        </w:rPr>
        <w:footnoteRef/>
      </w:r>
      <w:r w:rsidRPr="008E4625">
        <w:rPr>
          <w:sz w:val="16"/>
          <w:szCs w:val="16"/>
        </w:rPr>
        <w:t xml:space="preserve"> Thales A. </w:t>
      </w:r>
      <w:r w:rsidRPr="008E4625">
        <w:rPr>
          <w:sz w:val="16"/>
          <w:szCs w:val="16"/>
        </w:rPr>
        <w:t xml:space="preserve">Zamberlan Pereira, ‘The Rise of the Brazilian Cotton Trade in Britain during the Industrial Revolution,’ </w:t>
      </w:r>
      <w:r w:rsidRPr="008E4625">
        <w:rPr>
          <w:i/>
          <w:iCs/>
          <w:sz w:val="16"/>
          <w:szCs w:val="16"/>
        </w:rPr>
        <w:t>Journal of Latin American Studies</w:t>
      </w:r>
      <w:r w:rsidRPr="008E4625">
        <w:rPr>
          <w:sz w:val="16"/>
          <w:szCs w:val="16"/>
        </w:rPr>
        <w:t>, 50:4 (2018), 919-949</w:t>
      </w:r>
    </w:p>
  </w:footnote>
  <w:footnote w:id="617">
    <w:p w14:paraId="1B2ECB8A" w14:textId="2EDB62BD" w:rsidR="005A05DF" w:rsidRPr="00DD1CD2" w:rsidRDefault="005A05DF" w:rsidP="005A05DF">
      <w:pPr>
        <w:pStyle w:val="FootnoteText"/>
        <w:rPr>
          <w:sz w:val="16"/>
          <w:szCs w:val="16"/>
        </w:rPr>
      </w:pPr>
      <w:r w:rsidRPr="00DD1CD2">
        <w:rPr>
          <w:rStyle w:val="FootnoteReference"/>
          <w:sz w:val="16"/>
          <w:szCs w:val="16"/>
        </w:rPr>
        <w:footnoteRef/>
      </w:r>
      <w:r w:rsidRPr="00DD1CD2">
        <w:rPr>
          <w:sz w:val="16"/>
          <w:szCs w:val="16"/>
        </w:rPr>
        <w:t xml:space="preserve"> </w:t>
      </w:r>
      <w:r w:rsidR="00DD1CD2" w:rsidRPr="00DD1CD2">
        <w:rPr>
          <w:sz w:val="16"/>
          <w:szCs w:val="16"/>
        </w:rPr>
        <w:t xml:space="preserve">Melo and de </w:t>
      </w:r>
      <w:r w:rsidR="00DD1CD2" w:rsidRPr="00DD1CD2">
        <w:rPr>
          <w:sz w:val="16"/>
          <w:szCs w:val="16"/>
        </w:rPr>
        <w:t xml:space="preserve">Cambraia Martins, ‘Reassessing the Productivity of Enslavement on Large-scale Plantations and Small Farms in Brazilian Cotton Production (c.1750–c.1810),’ </w:t>
      </w:r>
      <w:r w:rsidR="00DD1CD2" w:rsidRPr="00DD1CD2">
        <w:rPr>
          <w:i/>
          <w:iCs/>
          <w:sz w:val="16"/>
          <w:szCs w:val="16"/>
        </w:rPr>
        <w:t>Historical Research</w:t>
      </w:r>
      <w:r w:rsidR="00DD1CD2" w:rsidRPr="00DD1CD2">
        <w:rPr>
          <w:sz w:val="16"/>
          <w:szCs w:val="16"/>
        </w:rPr>
        <w:t>, pp.193–221 (p.196).</w:t>
      </w:r>
    </w:p>
  </w:footnote>
  <w:footnote w:id="618">
    <w:p w14:paraId="4DE5EF87" w14:textId="42C83986" w:rsidR="008E5702" w:rsidRPr="008E5702" w:rsidRDefault="008E5702">
      <w:pPr>
        <w:pStyle w:val="FootnoteText"/>
        <w:rPr>
          <w:sz w:val="16"/>
          <w:szCs w:val="16"/>
          <w:lang w:val="en-US"/>
        </w:rPr>
      </w:pPr>
      <w:r w:rsidRPr="008E5702">
        <w:rPr>
          <w:rStyle w:val="FootnoteReference"/>
          <w:sz w:val="16"/>
          <w:szCs w:val="16"/>
        </w:rPr>
        <w:footnoteRef/>
      </w:r>
      <w:r w:rsidRPr="008E5702">
        <w:rPr>
          <w:sz w:val="16"/>
          <w:szCs w:val="16"/>
        </w:rPr>
        <w:t xml:space="preserve"> DLSL BS 677 EVA DL119, CB R1 [Letter Sent from W. Evans &amp; Co. to William Purdy of London, 1790]. </w:t>
      </w:r>
    </w:p>
  </w:footnote>
  <w:footnote w:id="619">
    <w:p w14:paraId="154000D2" w14:textId="7A70F7AD" w:rsidR="008E5702" w:rsidRPr="008E5702" w:rsidRDefault="008E5702">
      <w:pPr>
        <w:pStyle w:val="FootnoteText"/>
        <w:rPr>
          <w:lang w:val="en-US"/>
        </w:rPr>
      </w:pPr>
      <w:r w:rsidRPr="008E5702">
        <w:rPr>
          <w:rStyle w:val="FootnoteReference"/>
          <w:sz w:val="16"/>
          <w:szCs w:val="16"/>
        </w:rPr>
        <w:footnoteRef/>
      </w:r>
      <w:r w:rsidRPr="008E5702">
        <w:rPr>
          <w:sz w:val="16"/>
          <w:szCs w:val="16"/>
        </w:rPr>
        <w:t xml:space="preserve"> JRL, GB 133 MCK/3/5/1-2 [Receipt and Purchase Books for McConnel &amp; Kennedy].</w:t>
      </w:r>
    </w:p>
  </w:footnote>
  <w:footnote w:id="620">
    <w:p w14:paraId="610695F4" w14:textId="68AB8BB8" w:rsidR="00DD1CD2" w:rsidRPr="00DD1CD2" w:rsidRDefault="00DD1CD2">
      <w:pPr>
        <w:pStyle w:val="FootnoteText"/>
        <w:rPr>
          <w:lang w:val="en-US"/>
        </w:rPr>
      </w:pPr>
      <w:r w:rsidRPr="00DD1CD2">
        <w:rPr>
          <w:rStyle w:val="FootnoteReference"/>
          <w:sz w:val="16"/>
          <w:szCs w:val="16"/>
        </w:rPr>
        <w:footnoteRef/>
      </w:r>
      <w:r w:rsidRPr="00DD1CD2">
        <w:rPr>
          <w:sz w:val="16"/>
          <w:szCs w:val="16"/>
        </w:rPr>
        <w:t xml:space="preserve"> David Alston, </w:t>
      </w:r>
      <w:r w:rsidRPr="00DD1CD2">
        <w:rPr>
          <w:i/>
          <w:iCs/>
          <w:sz w:val="16"/>
          <w:szCs w:val="16"/>
        </w:rPr>
        <w:t>Slaves and Highlanders: Silenced Histories of Scotland and the Caribbean</w:t>
      </w:r>
      <w:r>
        <w:rPr>
          <w:sz w:val="16"/>
          <w:szCs w:val="16"/>
        </w:rPr>
        <w:t xml:space="preserve"> </w:t>
      </w:r>
      <w:r w:rsidRPr="00DD1CD2">
        <w:rPr>
          <w:sz w:val="16"/>
          <w:szCs w:val="16"/>
        </w:rPr>
        <w:t xml:space="preserve">(Edinburgh University Press, 2022) and </w:t>
      </w:r>
      <w:bookmarkStart w:id="196" w:name="_Hlk156737087"/>
      <w:r w:rsidRPr="00DD1CD2">
        <w:rPr>
          <w:sz w:val="16"/>
          <w:szCs w:val="16"/>
        </w:rPr>
        <w:t xml:space="preserve">Douglas Hamilton, </w:t>
      </w:r>
      <w:r w:rsidRPr="00DD1CD2">
        <w:rPr>
          <w:i/>
          <w:iCs/>
          <w:sz w:val="16"/>
          <w:szCs w:val="16"/>
        </w:rPr>
        <w:t xml:space="preserve">Scotland, the Caribbean, and the Atlantic World from 1750 </w:t>
      </w:r>
      <w:r>
        <w:rPr>
          <w:i/>
          <w:iCs/>
          <w:sz w:val="16"/>
          <w:szCs w:val="16"/>
        </w:rPr>
        <w:t>-</w:t>
      </w:r>
      <w:r w:rsidRPr="00DD1CD2">
        <w:rPr>
          <w:i/>
          <w:iCs/>
          <w:sz w:val="16"/>
          <w:szCs w:val="16"/>
        </w:rPr>
        <w:t xml:space="preserve"> 1820</w:t>
      </w:r>
      <w:r w:rsidRPr="00DD1CD2">
        <w:rPr>
          <w:sz w:val="16"/>
          <w:szCs w:val="16"/>
        </w:rPr>
        <w:t xml:space="preserve"> (Manchester: Manchester University Press, 2016).</w:t>
      </w:r>
      <w:bookmarkEnd w:id="196"/>
      <w:r>
        <w:t xml:space="preserve"> </w:t>
      </w:r>
    </w:p>
  </w:footnote>
  <w:footnote w:id="621">
    <w:p w14:paraId="12EFA5A6" w14:textId="4149B9B3" w:rsidR="00710A58" w:rsidRPr="00710A58" w:rsidRDefault="00710A58">
      <w:pPr>
        <w:pStyle w:val="FootnoteText"/>
        <w:rPr>
          <w:sz w:val="16"/>
          <w:szCs w:val="16"/>
          <w:lang w:val="en-US"/>
        </w:rPr>
      </w:pPr>
      <w:r w:rsidRPr="00710A58">
        <w:rPr>
          <w:rStyle w:val="FootnoteReference"/>
          <w:sz w:val="16"/>
          <w:szCs w:val="16"/>
        </w:rPr>
        <w:footnoteRef/>
      </w:r>
      <w:r w:rsidRPr="00710A58">
        <w:rPr>
          <w:sz w:val="16"/>
          <w:szCs w:val="16"/>
        </w:rPr>
        <w:t xml:space="preserve"> </w:t>
      </w:r>
      <w:bookmarkStart w:id="197" w:name="_Hlk156737404"/>
      <w:r w:rsidRPr="00710A58">
        <w:rPr>
          <w:sz w:val="16"/>
          <w:szCs w:val="16"/>
        </w:rPr>
        <w:t xml:space="preserve">University College London, </w:t>
      </w:r>
      <w:r w:rsidRPr="00710A58">
        <w:rPr>
          <w:i/>
          <w:iCs/>
          <w:sz w:val="16"/>
          <w:szCs w:val="16"/>
        </w:rPr>
        <w:t>Legacies of British Slave Ownership</w:t>
      </w:r>
      <w:r w:rsidRPr="00710A58">
        <w:rPr>
          <w:sz w:val="16"/>
          <w:szCs w:val="16"/>
        </w:rPr>
        <w:t>, University College London, 2015</w:t>
      </w:r>
      <w:bookmarkEnd w:id="197"/>
      <w:r>
        <w:rPr>
          <w:sz w:val="16"/>
          <w:szCs w:val="16"/>
        </w:rPr>
        <w:t xml:space="preserve">. </w:t>
      </w:r>
    </w:p>
  </w:footnote>
  <w:footnote w:id="622">
    <w:p w14:paraId="6D4338CF" w14:textId="0004CC8A" w:rsidR="005A05DF" w:rsidRPr="00710A58" w:rsidRDefault="005A05DF" w:rsidP="005A05DF">
      <w:pPr>
        <w:pStyle w:val="FootnoteText"/>
        <w:rPr>
          <w:sz w:val="16"/>
          <w:szCs w:val="16"/>
        </w:rPr>
      </w:pPr>
      <w:r w:rsidRPr="00710A58">
        <w:rPr>
          <w:rStyle w:val="FootnoteReference"/>
          <w:sz w:val="16"/>
          <w:szCs w:val="16"/>
        </w:rPr>
        <w:footnoteRef/>
      </w:r>
      <w:r w:rsidRPr="00710A58">
        <w:rPr>
          <w:sz w:val="16"/>
          <w:szCs w:val="16"/>
        </w:rPr>
        <w:t xml:space="preserve"> </w:t>
      </w:r>
      <w:r w:rsidR="00DD1CD2" w:rsidRPr="00710A58">
        <w:rPr>
          <w:sz w:val="16"/>
          <w:szCs w:val="16"/>
        </w:rPr>
        <w:t xml:space="preserve">University College London, Legacies of British Slave Ownership, University College London, 2015 </w:t>
      </w:r>
      <w:hyperlink r:id="rId52" w:history="1">
        <w:r w:rsidR="00710A58" w:rsidRPr="00710A58">
          <w:rPr>
            <w:rStyle w:val="Hyperlink"/>
            <w:sz w:val="16"/>
            <w:szCs w:val="16"/>
          </w:rPr>
          <w:t>https://www.ucl.ac.uk/lbs/person/view/2146633538</w:t>
        </w:r>
      </w:hyperlink>
      <w:r w:rsidR="00710A58" w:rsidRPr="00710A58">
        <w:rPr>
          <w:sz w:val="16"/>
          <w:szCs w:val="16"/>
        </w:rPr>
        <w:t xml:space="preserve"> [last accessed 12 January 2024].  </w:t>
      </w:r>
    </w:p>
  </w:footnote>
  <w:footnote w:id="623">
    <w:p w14:paraId="46E74892" w14:textId="0CB36E64" w:rsidR="005A05DF" w:rsidRPr="008E5702" w:rsidRDefault="005A05DF" w:rsidP="005A05DF">
      <w:pPr>
        <w:pStyle w:val="FootnoteText"/>
        <w:rPr>
          <w:sz w:val="16"/>
          <w:szCs w:val="16"/>
        </w:rPr>
      </w:pPr>
      <w:r w:rsidRPr="008E5702">
        <w:rPr>
          <w:rStyle w:val="FootnoteReference"/>
          <w:sz w:val="16"/>
          <w:szCs w:val="16"/>
        </w:rPr>
        <w:footnoteRef/>
      </w:r>
      <w:r w:rsidRPr="008E5702">
        <w:rPr>
          <w:sz w:val="16"/>
          <w:szCs w:val="16"/>
        </w:rPr>
        <w:t xml:space="preserve"> Alston, </w:t>
      </w:r>
      <w:r w:rsidRPr="008E5702">
        <w:rPr>
          <w:i/>
          <w:iCs/>
          <w:sz w:val="16"/>
          <w:szCs w:val="16"/>
        </w:rPr>
        <w:t>Slaves and Highlanders: Silenced Histories of Scotland and the Caribbean</w:t>
      </w:r>
      <w:r w:rsidRPr="008E5702">
        <w:rPr>
          <w:sz w:val="16"/>
          <w:szCs w:val="16"/>
        </w:rPr>
        <w:t xml:space="preserve">, </w:t>
      </w:r>
      <w:r w:rsidR="00710A58" w:rsidRPr="008E5702">
        <w:rPr>
          <w:sz w:val="16"/>
          <w:szCs w:val="16"/>
        </w:rPr>
        <w:t>pp.16-33.</w:t>
      </w:r>
    </w:p>
  </w:footnote>
  <w:footnote w:id="624">
    <w:p w14:paraId="31D7EE1E" w14:textId="460D7B3D" w:rsidR="005A05DF" w:rsidRPr="007F112E" w:rsidRDefault="005A05DF" w:rsidP="005A05DF">
      <w:pPr>
        <w:pStyle w:val="FootnoteText"/>
        <w:rPr>
          <w:sz w:val="16"/>
          <w:szCs w:val="16"/>
        </w:rPr>
      </w:pPr>
      <w:r w:rsidRPr="007F112E">
        <w:rPr>
          <w:rStyle w:val="FootnoteReference"/>
          <w:sz w:val="16"/>
          <w:szCs w:val="16"/>
        </w:rPr>
        <w:footnoteRef/>
      </w:r>
      <w:r w:rsidRPr="007F112E">
        <w:rPr>
          <w:sz w:val="16"/>
          <w:szCs w:val="16"/>
        </w:rPr>
        <w:t xml:space="preserve"> </w:t>
      </w:r>
      <w:r w:rsidR="007F112E" w:rsidRPr="007F112E">
        <w:rPr>
          <w:sz w:val="16"/>
          <w:szCs w:val="16"/>
        </w:rPr>
        <w:t xml:space="preserve">History of Parliament Trust, © Crown Copyright, </w:t>
      </w:r>
      <w:r w:rsidR="007F112E" w:rsidRPr="007F112E">
        <w:rPr>
          <w:i/>
          <w:iCs/>
          <w:sz w:val="16"/>
          <w:szCs w:val="16"/>
        </w:rPr>
        <w:t>History of Parliament Online: British Political, Social, and Local History</w:t>
      </w:r>
      <w:r w:rsidR="007F112E" w:rsidRPr="007F112E">
        <w:rPr>
          <w:sz w:val="16"/>
          <w:szCs w:val="16"/>
        </w:rPr>
        <w:t xml:space="preserve">, 1964-2020  </w:t>
      </w:r>
      <w:hyperlink r:id="rId53" w:history="1">
        <w:r w:rsidR="007F112E" w:rsidRPr="007F112E">
          <w:rPr>
            <w:rStyle w:val="Hyperlink"/>
            <w:sz w:val="16"/>
            <w:szCs w:val="16"/>
          </w:rPr>
          <w:t>https://www.historyofparliamentonline.org/volume/1790-1820/member/baillie-evan-1741-1835</w:t>
        </w:r>
      </w:hyperlink>
      <w:r w:rsidRPr="007F112E">
        <w:rPr>
          <w:sz w:val="16"/>
          <w:szCs w:val="16"/>
        </w:rPr>
        <w:t xml:space="preserve"> </w:t>
      </w:r>
      <w:r w:rsidR="007F112E" w:rsidRPr="007F112E">
        <w:rPr>
          <w:sz w:val="16"/>
          <w:szCs w:val="16"/>
        </w:rPr>
        <w:t xml:space="preserve">[last accessed 12 January 2024].  </w:t>
      </w:r>
    </w:p>
  </w:footnote>
  <w:footnote w:id="625">
    <w:p w14:paraId="43D6D003" w14:textId="29DEDC68" w:rsidR="005A05DF" w:rsidRPr="007F112E" w:rsidRDefault="005A05DF" w:rsidP="005A05DF">
      <w:pPr>
        <w:pStyle w:val="FootnoteText"/>
        <w:rPr>
          <w:sz w:val="16"/>
          <w:szCs w:val="16"/>
        </w:rPr>
      </w:pPr>
      <w:r w:rsidRPr="007F112E">
        <w:rPr>
          <w:rStyle w:val="FootnoteReference"/>
          <w:sz w:val="16"/>
          <w:szCs w:val="16"/>
        </w:rPr>
        <w:footnoteRef/>
      </w:r>
      <w:r w:rsidRPr="007F112E">
        <w:rPr>
          <w:sz w:val="16"/>
          <w:szCs w:val="16"/>
        </w:rPr>
        <w:t xml:space="preserve"> </w:t>
      </w:r>
      <w:r w:rsidR="007F112E" w:rsidRPr="007F112E">
        <w:rPr>
          <w:sz w:val="16"/>
          <w:szCs w:val="16"/>
        </w:rPr>
        <w:t xml:space="preserve">University College London, </w:t>
      </w:r>
      <w:r w:rsidR="007F112E" w:rsidRPr="007F112E">
        <w:rPr>
          <w:i/>
          <w:iCs/>
          <w:sz w:val="16"/>
          <w:szCs w:val="16"/>
        </w:rPr>
        <w:t>Legacies of British Slave Ownership</w:t>
      </w:r>
      <w:r w:rsidR="007F112E" w:rsidRPr="007F112E">
        <w:rPr>
          <w:sz w:val="16"/>
          <w:szCs w:val="16"/>
        </w:rPr>
        <w:t xml:space="preserve">, University College London, 2015 </w:t>
      </w:r>
      <w:hyperlink r:id="rId54" w:history="1">
        <w:r w:rsidR="007F112E" w:rsidRPr="007F112E">
          <w:rPr>
            <w:rStyle w:val="Hyperlink"/>
            <w:sz w:val="16"/>
            <w:szCs w:val="16"/>
          </w:rPr>
          <w:t>https://www.ucl.ac.uk/lbs/person/view/2146633538</w:t>
        </w:r>
      </w:hyperlink>
      <w:r w:rsidR="007F112E" w:rsidRPr="007F112E">
        <w:rPr>
          <w:sz w:val="16"/>
          <w:szCs w:val="16"/>
        </w:rPr>
        <w:t xml:space="preserve"> [last accessed 12 January 2024].  </w:t>
      </w:r>
    </w:p>
  </w:footnote>
  <w:footnote w:id="626">
    <w:p w14:paraId="22F6D823" w14:textId="27528433" w:rsidR="005A05DF" w:rsidRPr="007F112E" w:rsidRDefault="005A05DF" w:rsidP="005A05DF">
      <w:pPr>
        <w:pStyle w:val="FootnoteText"/>
        <w:rPr>
          <w:sz w:val="16"/>
          <w:szCs w:val="16"/>
        </w:rPr>
      </w:pPr>
      <w:r w:rsidRPr="007F112E">
        <w:rPr>
          <w:rStyle w:val="FootnoteReference"/>
          <w:sz w:val="16"/>
          <w:szCs w:val="16"/>
        </w:rPr>
        <w:footnoteRef/>
      </w:r>
      <w:r w:rsidRPr="007F112E">
        <w:rPr>
          <w:sz w:val="16"/>
          <w:szCs w:val="16"/>
        </w:rPr>
        <w:t xml:space="preserve"> DLSL BS 677 EVA DL119, </w:t>
      </w:r>
      <w:r w:rsidR="007F112E" w:rsidRPr="007F112E">
        <w:rPr>
          <w:sz w:val="16"/>
          <w:szCs w:val="16"/>
        </w:rPr>
        <w:t>CB R1</w:t>
      </w:r>
      <w:r w:rsidRPr="007F112E">
        <w:rPr>
          <w:sz w:val="16"/>
          <w:szCs w:val="16"/>
        </w:rPr>
        <w:t>,</w:t>
      </w:r>
      <w:r w:rsidR="007F112E" w:rsidRPr="007F112E">
        <w:rPr>
          <w:sz w:val="16"/>
          <w:szCs w:val="16"/>
        </w:rPr>
        <w:t xml:space="preserve"> LB R2</w:t>
      </w:r>
      <w:r w:rsidRPr="007F112E">
        <w:rPr>
          <w:sz w:val="16"/>
          <w:szCs w:val="16"/>
        </w:rPr>
        <w:t xml:space="preserve"> and</w:t>
      </w:r>
      <w:r w:rsidR="007F112E" w:rsidRPr="007F112E">
        <w:rPr>
          <w:sz w:val="16"/>
          <w:szCs w:val="16"/>
        </w:rPr>
        <w:t xml:space="preserve"> LB R3</w:t>
      </w:r>
      <w:r w:rsidRPr="007F112E">
        <w:rPr>
          <w:sz w:val="16"/>
          <w:szCs w:val="16"/>
        </w:rPr>
        <w:t>.</w:t>
      </w:r>
    </w:p>
  </w:footnote>
  <w:footnote w:id="627">
    <w:p w14:paraId="72CE7068" w14:textId="5BE3B687"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JRL, GB 133 MCK/3/5/1-5 and MCK/3/5/2</w:t>
      </w:r>
    </w:p>
  </w:footnote>
  <w:footnote w:id="628">
    <w:p w14:paraId="74BB40BC" w14:textId="6D330FAF" w:rsidR="005A05DF" w:rsidRPr="008E5702" w:rsidRDefault="005A05DF" w:rsidP="005A05DF">
      <w:pPr>
        <w:pStyle w:val="FootnoteText"/>
        <w:rPr>
          <w:sz w:val="16"/>
          <w:szCs w:val="16"/>
        </w:rPr>
      </w:pPr>
      <w:r w:rsidRPr="008E5702">
        <w:rPr>
          <w:rStyle w:val="FootnoteReference"/>
          <w:sz w:val="16"/>
          <w:szCs w:val="16"/>
        </w:rPr>
        <w:footnoteRef/>
      </w:r>
      <w:r w:rsidRPr="008E5702">
        <w:rPr>
          <w:sz w:val="16"/>
          <w:szCs w:val="16"/>
        </w:rPr>
        <w:t xml:space="preserve"> Juanita Jackson, Sabra, and J. Herman Black, ‘The Sea Islands as a Cultural Resource,’ </w:t>
      </w:r>
      <w:r w:rsidRPr="008E5702">
        <w:rPr>
          <w:i/>
          <w:iCs/>
          <w:sz w:val="16"/>
          <w:szCs w:val="16"/>
        </w:rPr>
        <w:t>The Black Scholar: Journal of Black Studies and Research</w:t>
      </w:r>
      <w:r w:rsidRPr="008E5702">
        <w:rPr>
          <w:sz w:val="16"/>
          <w:szCs w:val="16"/>
        </w:rPr>
        <w:t>, 5:6, (1974), p.32</w:t>
      </w:r>
      <w:r w:rsidR="00FC7FB4" w:rsidRPr="008E5702">
        <w:rPr>
          <w:sz w:val="16"/>
          <w:szCs w:val="16"/>
        </w:rPr>
        <w:t>.</w:t>
      </w:r>
      <w:r w:rsidRPr="008E5702">
        <w:rPr>
          <w:sz w:val="16"/>
          <w:szCs w:val="16"/>
        </w:rPr>
        <w:t xml:space="preserve"> </w:t>
      </w:r>
    </w:p>
  </w:footnote>
  <w:footnote w:id="629">
    <w:p w14:paraId="4EAF6F59" w14:textId="77777777" w:rsidR="005A05DF" w:rsidRPr="008352A3" w:rsidRDefault="005A05DF" w:rsidP="005A05DF">
      <w:pPr>
        <w:pStyle w:val="FootnoteText"/>
        <w:rPr>
          <w:sz w:val="18"/>
          <w:szCs w:val="18"/>
        </w:rPr>
      </w:pPr>
      <w:r w:rsidRPr="008E5702">
        <w:rPr>
          <w:rStyle w:val="FootnoteReference"/>
          <w:sz w:val="16"/>
          <w:szCs w:val="16"/>
        </w:rPr>
        <w:footnoteRef/>
      </w:r>
      <w:r w:rsidRPr="008E5702">
        <w:rPr>
          <w:sz w:val="16"/>
          <w:szCs w:val="16"/>
        </w:rPr>
        <w:t xml:space="preserve"> Patricia Jones-Jackson, </w:t>
      </w:r>
      <w:r w:rsidRPr="008E5702">
        <w:rPr>
          <w:i/>
          <w:iCs/>
          <w:sz w:val="16"/>
          <w:szCs w:val="16"/>
        </w:rPr>
        <w:t>When Roots Die: Endangered Traditions on the Sea Islands</w:t>
      </w:r>
      <w:r w:rsidRPr="008E5702">
        <w:rPr>
          <w:sz w:val="16"/>
          <w:szCs w:val="16"/>
        </w:rPr>
        <w:t>, (University of Georgia Press, 1987), p. X.</w:t>
      </w:r>
      <w:r w:rsidRPr="008352A3">
        <w:rPr>
          <w:sz w:val="18"/>
          <w:szCs w:val="18"/>
        </w:rPr>
        <w:t xml:space="preserve"> </w:t>
      </w:r>
    </w:p>
  </w:footnote>
  <w:footnote w:id="630">
    <w:p w14:paraId="3B4F7755" w14:textId="49DE38BA" w:rsidR="005A05DF" w:rsidRPr="00C84D65" w:rsidRDefault="005A05DF" w:rsidP="005A05DF">
      <w:pPr>
        <w:pStyle w:val="FootnoteText"/>
        <w:rPr>
          <w:sz w:val="16"/>
          <w:szCs w:val="16"/>
        </w:rPr>
      </w:pPr>
      <w:r w:rsidRPr="008E5702">
        <w:rPr>
          <w:rStyle w:val="FootnoteReference"/>
          <w:sz w:val="16"/>
          <w:szCs w:val="16"/>
        </w:rPr>
        <w:footnoteRef/>
      </w:r>
      <w:r w:rsidRPr="008E5702">
        <w:rPr>
          <w:sz w:val="16"/>
          <w:szCs w:val="16"/>
        </w:rPr>
        <w:t xml:space="preserve"> Juanita Jackson, Sabra, and J. Herman Black, ‘The Sea Islands as a Cultural Resource,’ </w:t>
      </w:r>
      <w:r w:rsidRPr="008E5702">
        <w:rPr>
          <w:i/>
          <w:iCs/>
          <w:sz w:val="16"/>
          <w:szCs w:val="16"/>
        </w:rPr>
        <w:t xml:space="preserve">The Black Scholar: Journal of Black Studies and </w:t>
      </w:r>
      <w:r w:rsidRPr="00C84D65">
        <w:rPr>
          <w:i/>
          <w:iCs/>
          <w:sz w:val="16"/>
          <w:szCs w:val="16"/>
        </w:rPr>
        <w:t>Research</w:t>
      </w:r>
      <w:r w:rsidRPr="00C84D65">
        <w:rPr>
          <w:sz w:val="16"/>
          <w:szCs w:val="16"/>
        </w:rPr>
        <w:t>, 5:6, (1974), p.32</w:t>
      </w:r>
      <w:r w:rsidR="00FC7FB4" w:rsidRPr="00C84D65">
        <w:rPr>
          <w:sz w:val="16"/>
          <w:szCs w:val="16"/>
        </w:rPr>
        <w:t>.</w:t>
      </w:r>
    </w:p>
  </w:footnote>
  <w:footnote w:id="631">
    <w:p w14:paraId="72A1D516" w14:textId="77777777" w:rsidR="005A05DF" w:rsidRDefault="005A05DF" w:rsidP="005A05DF">
      <w:pPr>
        <w:pStyle w:val="FootnoteText"/>
      </w:pPr>
      <w:r w:rsidRPr="00C84D65">
        <w:rPr>
          <w:rStyle w:val="FootnoteReference"/>
          <w:sz w:val="16"/>
          <w:szCs w:val="16"/>
        </w:rPr>
        <w:footnoteRef/>
      </w:r>
      <w:r w:rsidRPr="00C84D65">
        <w:rPr>
          <w:sz w:val="16"/>
          <w:szCs w:val="16"/>
        </w:rPr>
        <w:t xml:space="preserve"> Patricia Jones-Jackson, </w:t>
      </w:r>
      <w:r w:rsidRPr="00C84D65">
        <w:rPr>
          <w:i/>
          <w:iCs/>
          <w:sz w:val="16"/>
          <w:szCs w:val="16"/>
        </w:rPr>
        <w:t>When Roots Die</w:t>
      </w:r>
      <w:r w:rsidRPr="00C84D65">
        <w:rPr>
          <w:sz w:val="16"/>
          <w:szCs w:val="16"/>
        </w:rPr>
        <w:t>, p 2</w:t>
      </w:r>
      <w:r w:rsidRPr="008352A3">
        <w:rPr>
          <w:sz w:val="18"/>
          <w:szCs w:val="18"/>
        </w:rPr>
        <w:t>.</w:t>
      </w:r>
      <w:r>
        <w:t xml:space="preserve"> </w:t>
      </w:r>
    </w:p>
  </w:footnote>
  <w:footnote w:id="632">
    <w:p w14:paraId="4578ABB2" w14:textId="73CE223B"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w:t>
      </w:r>
      <w:r w:rsidR="001E25E1" w:rsidRPr="00C84D65">
        <w:rPr>
          <w:sz w:val="16"/>
          <w:szCs w:val="16"/>
        </w:rPr>
        <w:t>JRL</w:t>
      </w:r>
      <w:r w:rsidR="00575F51" w:rsidRPr="00C84D65">
        <w:rPr>
          <w:sz w:val="16"/>
          <w:szCs w:val="16"/>
        </w:rPr>
        <w:t xml:space="preserve">, GB133 </w:t>
      </w:r>
      <w:r w:rsidRPr="00C84D65">
        <w:rPr>
          <w:sz w:val="16"/>
          <w:szCs w:val="16"/>
        </w:rPr>
        <w:t>MCK/2/2/2</w:t>
      </w:r>
      <w:r w:rsidR="00C84D65" w:rsidRPr="00C84D65">
        <w:rPr>
          <w:sz w:val="16"/>
          <w:szCs w:val="16"/>
        </w:rPr>
        <w:t xml:space="preserve"> [Letter Sent from McConnel &amp; Kennedy to George Marsden of Liverpool, 11 November 1807]. </w:t>
      </w:r>
      <w:r w:rsidRPr="00C84D65">
        <w:rPr>
          <w:sz w:val="16"/>
          <w:szCs w:val="16"/>
        </w:rPr>
        <w:t xml:space="preserve"> </w:t>
      </w:r>
    </w:p>
  </w:footnote>
  <w:footnote w:id="633">
    <w:p w14:paraId="415FAB7F" w14:textId="77777777"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Francis Coghlan, ‘Pierce Butler, 1744-1822, First Senator from South Carolina,’ </w:t>
      </w:r>
      <w:r w:rsidRPr="00C84D65">
        <w:rPr>
          <w:i/>
          <w:iCs/>
          <w:sz w:val="16"/>
          <w:szCs w:val="16"/>
        </w:rPr>
        <w:t>The South Carolina Historical Magazine</w:t>
      </w:r>
      <w:r w:rsidRPr="00C84D65">
        <w:rPr>
          <w:sz w:val="16"/>
          <w:szCs w:val="16"/>
        </w:rPr>
        <w:t xml:space="preserve">, 77:2 (1977) p.114. </w:t>
      </w:r>
    </w:p>
  </w:footnote>
  <w:footnote w:id="634">
    <w:p w14:paraId="0E430D31" w14:textId="1DCDA6F6"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Thomas Ellison</w:t>
      </w:r>
      <w:r w:rsidR="000B6977" w:rsidRPr="00C84D65">
        <w:rPr>
          <w:sz w:val="16"/>
          <w:szCs w:val="16"/>
        </w:rPr>
        <w:t xml:space="preserve">, </w:t>
      </w:r>
      <w:r w:rsidR="000B6977" w:rsidRPr="00C84D65">
        <w:rPr>
          <w:i/>
          <w:iCs/>
          <w:sz w:val="16"/>
          <w:szCs w:val="16"/>
        </w:rPr>
        <w:t>The Cotton Trade of Great Britain</w:t>
      </w:r>
      <w:r w:rsidR="00F2522B" w:rsidRPr="00C84D65">
        <w:rPr>
          <w:sz w:val="16"/>
          <w:szCs w:val="16"/>
        </w:rPr>
        <w:t>,</w:t>
      </w:r>
      <w:r w:rsidR="00BC5D28" w:rsidRPr="00C84D65">
        <w:rPr>
          <w:sz w:val="16"/>
          <w:szCs w:val="16"/>
        </w:rPr>
        <w:t xml:space="preserve"> </w:t>
      </w:r>
      <w:r w:rsidR="00C84D65" w:rsidRPr="00C84D65">
        <w:rPr>
          <w:sz w:val="16"/>
          <w:szCs w:val="16"/>
        </w:rPr>
        <w:t>(London: Effingham Wilson, 1886), p.22.</w:t>
      </w:r>
    </w:p>
  </w:footnote>
  <w:footnote w:id="635">
    <w:p w14:paraId="3D5DD36A" w14:textId="7F415697"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w:t>
      </w:r>
      <w:bookmarkStart w:id="198" w:name="_Hlk156736488"/>
      <w:r w:rsidR="004D0B2C" w:rsidRPr="00C84D65">
        <w:rPr>
          <w:sz w:val="16"/>
          <w:szCs w:val="16"/>
        </w:rPr>
        <w:t xml:space="preserve">Pereira, ‘The </w:t>
      </w:r>
      <w:r w:rsidR="00C84D65" w:rsidRPr="00C84D65">
        <w:rPr>
          <w:sz w:val="16"/>
          <w:szCs w:val="16"/>
        </w:rPr>
        <w:t>R</w:t>
      </w:r>
      <w:r w:rsidR="004D0B2C" w:rsidRPr="00C84D65">
        <w:rPr>
          <w:sz w:val="16"/>
          <w:szCs w:val="16"/>
        </w:rPr>
        <w:t xml:space="preserve">ise of the Brazilian </w:t>
      </w:r>
      <w:r w:rsidR="00C84D65" w:rsidRPr="00C84D65">
        <w:rPr>
          <w:sz w:val="16"/>
          <w:szCs w:val="16"/>
        </w:rPr>
        <w:t>C</w:t>
      </w:r>
      <w:r w:rsidR="004D0B2C" w:rsidRPr="00C84D65">
        <w:rPr>
          <w:sz w:val="16"/>
          <w:szCs w:val="16"/>
        </w:rPr>
        <w:t xml:space="preserve">otton </w:t>
      </w:r>
      <w:r w:rsidR="00C84D65" w:rsidRPr="00C84D65">
        <w:rPr>
          <w:sz w:val="16"/>
          <w:szCs w:val="16"/>
        </w:rPr>
        <w:t>T</w:t>
      </w:r>
      <w:r w:rsidR="004D0B2C" w:rsidRPr="00C84D65">
        <w:rPr>
          <w:sz w:val="16"/>
          <w:szCs w:val="16"/>
        </w:rPr>
        <w:t xml:space="preserve">rade in Britain during the Industrial Revolution,’ </w:t>
      </w:r>
      <w:r w:rsidR="004D0B2C" w:rsidRPr="00C84D65">
        <w:rPr>
          <w:i/>
          <w:iCs/>
          <w:sz w:val="16"/>
          <w:szCs w:val="16"/>
        </w:rPr>
        <w:t>Journal of Latin American Studies</w:t>
      </w:r>
      <w:r w:rsidR="00C84D65" w:rsidRPr="00C84D65">
        <w:rPr>
          <w:i/>
          <w:iCs/>
          <w:sz w:val="16"/>
          <w:szCs w:val="16"/>
        </w:rPr>
        <w:t>,</w:t>
      </w:r>
      <w:r w:rsidR="004D0B2C" w:rsidRPr="00C84D65">
        <w:rPr>
          <w:sz w:val="16"/>
          <w:szCs w:val="16"/>
        </w:rPr>
        <w:t xml:space="preserve"> pp. 919-949.</w:t>
      </w:r>
    </w:p>
    <w:bookmarkEnd w:id="198"/>
  </w:footnote>
  <w:footnote w:id="636">
    <w:p w14:paraId="53844F57" w14:textId="77777777" w:rsidR="005A05DF" w:rsidRPr="00C84D65" w:rsidRDefault="005A05DF" w:rsidP="005A05DF">
      <w:pPr>
        <w:pStyle w:val="FootnoteText"/>
        <w:rPr>
          <w:sz w:val="16"/>
          <w:szCs w:val="16"/>
        </w:rPr>
      </w:pPr>
      <w:r w:rsidRPr="00C84D65">
        <w:rPr>
          <w:rStyle w:val="FootnoteReference"/>
          <w:sz w:val="16"/>
          <w:szCs w:val="16"/>
        </w:rPr>
        <w:footnoteRef/>
      </w:r>
      <w:r w:rsidRPr="00C84D65">
        <w:rPr>
          <w:sz w:val="16"/>
          <w:szCs w:val="16"/>
        </w:rPr>
        <w:t xml:space="preserve"> Richard Dwight </w:t>
      </w:r>
      <w:r w:rsidRPr="00C84D65">
        <w:rPr>
          <w:sz w:val="16"/>
          <w:szCs w:val="16"/>
        </w:rPr>
        <w:t xml:space="preserve">Porcher and Sara Fick, </w:t>
      </w:r>
      <w:r w:rsidRPr="00C84D65">
        <w:rPr>
          <w:i/>
          <w:iCs/>
          <w:sz w:val="16"/>
          <w:szCs w:val="16"/>
        </w:rPr>
        <w:t>The Story of Sea Island Cotton</w:t>
      </w:r>
      <w:r w:rsidRPr="00C84D65">
        <w:rPr>
          <w:sz w:val="16"/>
          <w:szCs w:val="16"/>
        </w:rPr>
        <w:t xml:space="preserve">, (Charleston: Gibbs Smith, 2005), pp.299-340.  </w:t>
      </w:r>
    </w:p>
  </w:footnote>
  <w:footnote w:id="637">
    <w:p w14:paraId="198B2931" w14:textId="591C5E90" w:rsidR="00370490" w:rsidRPr="00370490" w:rsidRDefault="00370490">
      <w:pPr>
        <w:pStyle w:val="FootnoteText"/>
        <w:rPr>
          <w:sz w:val="16"/>
          <w:szCs w:val="16"/>
          <w:lang w:val="en-US"/>
        </w:rPr>
      </w:pPr>
      <w:r w:rsidRPr="00370490">
        <w:rPr>
          <w:rStyle w:val="FootnoteReference"/>
          <w:sz w:val="16"/>
          <w:szCs w:val="16"/>
        </w:rPr>
        <w:footnoteRef/>
      </w:r>
      <w:r w:rsidRPr="00370490">
        <w:rPr>
          <w:sz w:val="16"/>
          <w:szCs w:val="16"/>
        </w:rPr>
        <w:t xml:space="preserve"> JRL, GB133 MCK/2/1 and MCK/2/2 [Letters Exchanged between Robert Gillespie, W. McCleod and McConnel &amp; Kennedy, 1803-1826].   </w:t>
      </w:r>
    </w:p>
  </w:footnote>
  <w:footnote w:id="638">
    <w:p w14:paraId="15E4A189" w14:textId="230D7714" w:rsidR="005A05DF" w:rsidRPr="00113651" w:rsidRDefault="005A05DF" w:rsidP="005A05DF">
      <w:pPr>
        <w:pStyle w:val="FootnoteText"/>
        <w:rPr>
          <w:sz w:val="16"/>
          <w:szCs w:val="16"/>
        </w:rPr>
      </w:pPr>
      <w:r w:rsidRPr="00113651">
        <w:rPr>
          <w:rStyle w:val="FootnoteReference"/>
          <w:sz w:val="16"/>
          <w:szCs w:val="16"/>
        </w:rPr>
        <w:footnoteRef/>
      </w:r>
      <w:r w:rsidR="004D5BF9" w:rsidRPr="00113651">
        <w:rPr>
          <w:sz w:val="16"/>
          <w:szCs w:val="16"/>
        </w:rPr>
        <w:t xml:space="preserve"> </w:t>
      </w:r>
      <w:bookmarkStart w:id="199" w:name="_Hlk156738705"/>
      <w:r w:rsidR="004D5BF9" w:rsidRPr="00113651">
        <w:rPr>
          <w:sz w:val="16"/>
          <w:szCs w:val="16"/>
        </w:rPr>
        <w:t>JRL, GB133 MCK/2/1/11</w:t>
      </w:r>
      <w:r w:rsidRPr="00113651">
        <w:rPr>
          <w:sz w:val="16"/>
          <w:szCs w:val="16"/>
        </w:rPr>
        <w:t xml:space="preserve"> </w:t>
      </w:r>
      <w:r w:rsidR="00C84D65" w:rsidRPr="00113651">
        <w:rPr>
          <w:sz w:val="16"/>
          <w:szCs w:val="16"/>
        </w:rPr>
        <w:t>[</w:t>
      </w:r>
      <w:r w:rsidRPr="00113651">
        <w:rPr>
          <w:sz w:val="16"/>
          <w:szCs w:val="16"/>
        </w:rPr>
        <w:t>Letters</w:t>
      </w:r>
      <w:r w:rsidR="00C84D65" w:rsidRPr="00113651">
        <w:rPr>
          <w:sz w:val="16"/>
          <w:szCs w:val="16"/>
        </w:rPr>
        <w:t xml:space="preserve"> Exchanged</w:t>
      </w:r>
      <w:r w:rsidRPr="00113651">
        <w:rPr>
          <w:sz w:val="16"/>
          <w:szCs w:val="16"/>
        </w:rPr>
        <w:t xml:space="preserve"> between Robert Gillespie and McConnel &amp; Kennedy</w:t>
      </w:r>
      <w:r w:rsidR="00370490" w:rsidRPr="00113651">
        <w:rPr>
          <w:sz w:val="16"/>
          <w:szCs w:val="16"/>
        </w:rPr>
        <w:t>, 1805</w:t>
      </w:r>
      <w:r w:rsidR="00C84D65" w:rsidRPr="00113651">
        <w:rPr>
          <w:sz w:val="16"/>
          <w:szCs w:val="16"/>
        </w:rPr>
        <w:t>]</w:t>
      </w:r>
      <w:r w:rsidR="00370490" w:rsidRPr="00113651">
        <w:rPr>
          <w:sz w:val="16"/>
          <w:szCs w:val="16"/>
        </w:rPr>
        <w:t>.</w:t>
      </w:r>
      <w:r w:rsidR="00C84D65" w:rsidRPr="00113651">
        <w:rPr>
          <w:sz w:val="16"/>
          <w:szCs w:val="16"/>
        </w:rPr>
        <w:t xml:space="preserve"> </w:t>
      </w:r>
      <w:r w:rsidRPr="00113651">
        <w:rPr>
          <w:sz w:val="16"/>
          <w:szCs w:val="16"/>
        </w:rPr>
        <w:t xml:space="preserve"> </w:t>
      </w:r>
      <w:bookmarkEnd w:id="199"/>
    </w:p>
  </w:footnote>
  <w:footnote w:id="639">
    <w:p w14:paraId="7F15D1F1" w14:textId="359261F8" w:rsidR="005A05DF" w:rsidRPr="00370490" w:rsidRDefault="005A05DF" w:rsidP="005A05DF">
      <w:pPr>
        <w:pStyle w:val="FootnoteText"/>
        <w:rPr>
          <w:sz w:val="16"/>
          <w:szCs w:val="16"/>
        </w:rPr>
      </w:pPr>
      <w:r w:rsidRPr="00370490">
        <w:rPr>
          <w:rStyle w:val="FootnoteReference"/>
          <w:sz w:val="16"/>
          <w:szCs w:val="16"/>
        </w:rPr>
        <w:footnoteRef/>
      </w:r>
      <w:r w:rsidRPr="00370490">
        <w:rPr>
          <w:sz w:val="16"/>
          <w:szCs w:val="16"/>
        </w:rPr>
        <w:t xml:space="preserve"> </w:t>
      </w:r>
      <w:r w:rsidR="00370490" w:rsidRPr="00370490">
        <w:rPr>
          <w:sz w:val="16"/>
          <w:szCs w:val="16"/>
        </w:rPr>
        <w:t xml:space="preserve">Alistair Livingston, ‘The </w:t>
      </w:r>
      <w:r w:rsidR="00370490" w:rsidRPr="00370490">
        <w:rPr>
          <w:sz w:val="16"/>
          <w:szCs w:val="16"/>
        </w:rPr>
        <w:t xml:space="preserve">Glenkens, Cattle, Cotton and Capitalism,’ Transactions of Dumfriesshire and Galloway Natural History and Antiquarian Society, Third Series, vol. 90 (2016), pp. 67-78 (p.69).  </w:t>
      </w:r>
    </w:p>
  </w:footnote>
  <w:footnote w:id="640">
    <w:p w14:paraId="03240E34" w14:textId="2AD64995" w:rsidR="005A05DF" w:rsidRPr="00113651" w:rsidRDefault="005A05DF" w:rsidP="005A05DF">
      <w:pPr>
        <w:pStyle w:val="FootnoteText"/>
        <w:rPr>
          <w:sz w:val="16"/>
          <w:szCs w:val="16"/>
        </w:rPr>
      </w:pPr>
      <w:r w:rsidRPr="00113651">
        <w:rPr>
          <w:rStyle w:val="FootnoteReference"/>
          <w:sz w:val="16"/>
          <w:szCs w:val="16"/>
        </w:rPr>
        <w:footnoteRef/>
      </w:r>
      <w:r w:rsidRPr="00113651">
        <w:rPr>
          <w:sz w:val="16"/>
          <w:szCs w:val="16"/>
        </w:rPr>
        <w:t xml:space="preserve"> </w:t>
      </w:r>
      <w:bookmarkStart w:id="200" w:name="_Hlk149934671"/>
      <w:r w:rsidR="00027140" w:rsidRPr="00113651">
        <w:rPr>
          <w:sz w:val="16"/>
          <w:szCs w:val="16"/>
        </w:rPr>
        <w:t>JRL</w:t>
      </w:r>
      <w:r w:rsidR="004B50A1" w:rsidRPr="00113651">
        <w:rPr>
          <w:sz w:val="16"/>
          <w:szCs w:val="16"/>
        </w:rPr>
        <w:t xml:space="preserve">, GB133 </w:t>
      </w:r>
      <w:r w:rsidR="000D2086" w:rsidRPr="00113651">
        <w:rPr>
          <w:sz w:val="16"/>
          <w:szCs w:val="16"/>
        </w:rPr>
        <w:t>MCK</w:t>
      </w:r>
      <w:r w:rsidR="00DB77B6" w:rsidRPr="00113651">
        <w:rPr>
          <w:sz w:val="16"/>
          <w:szCs w:val="16"/>
        </w:rPr>
        <w:t>/2/1/13</w:t>
      </w:r>
      <w:r w:rsidR="000D2086" w:rsidRPr="00113651">
        <w:rPr>
          <w:sz w:val="16"/>
          <w:szCs w:val="16"/>
        </w:rPr>
        <w:t xml:space="preserve"> </w:t>
      </w:r>
      <w:bookmarkEnd w:id="200"/>
      <w:r w:rsidR="000D2086" w:rsidRPr="00113651">
        <w:rPr>
          <w:sz w:val="16"/>
          <w:szCs w:val="16"/>
        </w:rPr>
        <w:t>Letter</w:t>
      </w:r>
      <w:r w:rsidR="00C84505" w:rsidRPr="00113651">
        <w:rPr>
          <w:sz w:val="16"/>
          <w:szCs w:val="16"/>
        </w:rPr>
        <w:t xml:space="preserve"> Received </w:t>
      </w:r>
      <w:r w:rsidR="00370490" w:rsidRPr="00113651">
        <w:rPr>
          <w:sz w:val="16"/>
          <w:szCs w:val="16"/>
        </w:rPr>
        <w:t xml:space="preserve">by McConnel &amp; Kennedy </w:t>
      </w:r>
      <w:r w:rsidR="00C84505" w:rsidRPr="00113651">
        <w:rPr>
          <w:sz w:val="16"/>
          <w:szCs w:val="16"/>
        </w:rPr>
        <w:t>from</w:t>
      </w:r>
      <w:r w:rsidR="000D2086" w:rsidRPr="00113651">
        <w:rPr>
          <w:sz w:val="16"/>
          <w:szCs w:val="16"/>
        </w:rPr>
        <w:t xml:space="preserve"> Thomas Hindley</w:t>
      </w:r>
      <w:r w:rsidR="00C84505" w:rsidRPr="00113651">
        <w:rPr>
          <w:sz w:val="16"/>
          <w:szCs w:val="16"/>
        </w:rPr>
        <w:t xml:space="preserve"> of</w:t>
      </w:r>
      <w:r w:rsidR="000D2086" w:rsidRPr="00113651">
        <w:rPr>
          <w:sz w:val="16"/>
          <w:szCs w:val="16"/>
        </w:rPr>
        <w:t xml:space="preserve"> Charleston</w:t>
      </w:r>
      <w:r w:rsidR="00370490" w:rsidRPr="00113651">
        <w:rPr>
          <w:sz w:val="16"/>
          <w:szCs w:val="16"/>
        </w:rPr>
        <w:t xml:space="preserve">, 1807]. </w:t>
      </w:r>
    </w:p>
  </w:footnote>
  <w:footnote w:id="641">
    <w:p w14:paraId="194199EA" w14:textId="010C463A" w:rsidR="005A05DF" w:rsidRPr="00113651" w:rsidRDefault="005A05DF" w:rsidP="005A05DF">
      <w:pPr>
        <w:pStyle w:val="FootnoteText"/>
        <w:rPr>
          <w:sz w:val="16"/>
          <w:szCs w:val="16"/>
        </w:rPr>
      </w:pPr>
      <w:r w:rsidRPr="00113651">
        <w:rPr>
          <w:rStyle w:val="FootnoteReference"/>
          <w:sz w:val="16"/>
          <w:szCs w:val="16"/>
        </w:rPr>
        <w:footnoteRef/>
      </w:r>
      <w:r w:rsidRPr="00113651">
        <w:rPr>
          <w:sz w:val="16"/>
          <w:szCs w:val="16"/>
        </w:rPr>
        <w:t xml:space="preserve"> </w:t>
      </w:r>
      <w:r w:rsidR="00113651" w:rsidRPr="00113651">
        <w:rPr>
          <w:sz w:val="16"/>
          <w:szCs w:val="16"/>
        </w:rPr>
        <w:t xml:space="preserve">Ancestry Ireland Unlimited Company, </w:t>
      </w:r>
      <w:r w:rsidR="00D11A1A" w:rsidRPr="00113651">
        <w:rPr>
          <w:i/>
          <w:iCs/>
          <w:sz w:val="16"/>
          <w:szCs w:val="16"/>
        </w:rPr>
        <w:t xml:space="preserve">Filby, P. William, ed. Passenger and Immigration Lists Index, 1500s-1900s. Farmington Hills, MI, USA: Gale Research, 2012 - </w:t>
      </w:r>
      <w:r w:rsidR="00946500" w:rsidRPr="00113651">
        <w:rPr>
          <w:i/>
          <w:iCs/>
          <w:sz w:val="16"/>
          <w:szCs w:val="16"/>
        </w:rPr>
        <w:t>Federal Court records, District of South Carolina, Books 1-12, 1789-1861</w:t>
      </w:r>
      <w:r w:rsidR="00113651" w:rsidRPr="00113651">
        <w:rPr>
          <w:sz w:val="16"/>
          <w:szCs w:val="16"/>
        </w:rPr>
        <w:t>, Ancestry Ireland Unlimited Company, 2002-2024</w:t>
      </w:r>
      <w:r w:rsidR="00D11A1A" w:rsidRPr="00113651">
        <w:rPr>
          <w:sz w:val="16"/>
          <w:szCs w:val="16"/>
        </w:rPr>
        <w:t xml:space="preserve"> </w:t>
      </w:r>
      <w:hyperlink r:id="rId55" w:history="1">
        <w:r w:rsidR="00113651" w:rsidRPr="00113651">
          <w:rPr>
            <w:rStyle w:val="Hyperlink"/>
            <w:sz w:val="16"/>
            <w:szCs w:val="16"/>
          </w:rPr>
          <w:t>https://www.ancestry.co.uk/</w:t>
        </w:r>
      </w:hyperlink>
      <w:r w:rsidR="00113651" w:rsidRPr="00113651">
        <w:rPr>
          <w:sz w:val="16"/>
          <w:szCs w:val="16"/>
        </w:rPr>
        <w:t xml:space="preserve"> [last accessed 12 January 2024]  </w:t>
      </w:r>
    </w:p>
  </w:footnote>
  <w:footnote w:id="642">
    <w:p w14:paraId="04BA6242" w14:textId="1B40BF28" w:rsidR="005A05DF" w:rsidRPr="00113651" w:rsidRDefault="005A05DF" w:rsidP="005A05DF">
      <w:pPr>
        <w:pStyle w:val="FootnoteText"/>
        <w:rPr>
          <w:sz w:val="16"/>
          <w:szCs w:val="16"/>
        </w:rPr>
      </w:pPr>
      <w:r w:rsidRPr="00113651">
        <w:rPr>
          <w:rStyle w:val="FootnoteReference"/>
          <w:sz w:val="16"/>
          <w:szCs w:val="16"/>
        </w:rPr>
        <w:footnoteRef/>
      </w:r>
      <w:r w:rsidRPr="00113651">
        <w:rPr>
          <w:sz w:val="16"/>
          <w:szCs w:val="16"/>
        </w:rPr>
        <w:t xml:space="preserve"> </w:t>
      </w:r>
      <w:r w:rsidR="00C84505" w:rsidRPr="00113651">
        <w:rPr>
          <w:sz w:val="16"/>
          <w:szCs w:val="16"/>
        </w:rPr>
        <w:t>JRL, GB133 MCK/2/1/13</w:t>
      </w:r>
      <w:r w:rsidR="00113651" w:rsidRPr="00113651">
        <w:rPr>
          <w:sz w:val="16"/>
          <w:szCs w:val="16"/>
        </w:rPr>
        <w:t xml:space="preserve"> [Letter Received by McConnel &amp; Kennedy from Hindley &amp; Gregory of Charleston, 1809]. </w:t>
      </w:r>
    </w:p>
  </w:footnote>
  <w:footnote w:id="643">
    <w:p w14:paraId="4FFC99D2" w14:textId="3B246E1C" w:rsidR="00833228" w:rsidRPr="00C84D65" w:rsidRDefault="00833228">
      <w:pPr>
        <w:pStyle w:val="FootnoteText"/>
        <w:rPr>
          <w:sz w:val="16"/>
          <w:szCs w:val="16"/>
        </w:rPr>
      </w:pPr>
      <w:r w:rsidRPr="00C84D65">
        <w:rPr>
          <w:rStyle w:val="FootnoteReference"/>
          <w:sz w:val="16"/>
          <w:szCs w:val="16"/>
        </w:rPr>
        <w:footnoteRef/>
      </w:r>
      <w:r w:rsidRPr="00C84D65">
        <w:rPr>
          <w:sz w:val="16"/>
          <w:szCs w:val="16"/>
        </w:rPr>
        <w:t xml:space="preserve"> </w:t>
      </w:r>
      <w:r w:rsidR="00087AC3" w:rsidRPr="00C84D65">
        <w:rPr>
          <w:sz w:val="16"/>
          <w:szCs w:val="16"/>
        </w:rPr>
        <w:t xml:space="preserve">Mary B. Rose, </w:t>
      </w:r>
      <w:r w:rsidR="00C84D65" w:rsidRPr="00C84D65">
        <w:rPr>
          <w:i/>
          <w:iCs/>
          <w:sz w:val="16"/>
          <w:szCs w:val="16"/>
        </w:rPr>
        <w:t>Firms, Networks and Business Values: The British and American Cotton Industries since 1750</w:t>
      </w:r>
      <w:r w:rsidR="00C84D65" w:rsidRPr="00C84D65">
        <w:rPr>
          <w:sz w:val="16"/>
          <w:szCs w:val="16"/>
        </w:rPr>
        <w:t xml:space="preserve"> (Cambridge: Cambridge University Press, 2000), p. 111. </w:t>
      </w:r>
    </w:p>
  </w:footnote>
  <w:footnote w:id="644">
    <w:p w14:paraId="4B25D456" w14:textId="05967C7A" w:rsidR="00787470" w:rsidRPr="00C55F06" w:rsidRDefault="00787470">
      <w:pPr>
        <w:pStyle w:val="FootnoteText"/>
        <w:rPr>
          <w:sz w:val="16"/>
          <w:szCs w:val="16"/>
          <w:lang w:val="en-US"/>
        </w:rPr>
      </w:pPr>
      <w:r w:rsidRPr="00C55F06">
        <w:rPr>
          <w:rStyle w:val="FootnoteReference"/>
          <w:sz w:val="16"/>
          <w:szCs w:val="16"/>
        </w:rPr>
        <w:footnoteRef/>
      </w:r>
      <w:r w:rsidRPr="00C55F06">
        <w:rPr>
          <w:sz w:val="16"/>
          <w:szCs w:val="16"/>
        </w:rPr>
        <w:t xml:space="preserve"> </w:t>
      </w:r>
      <w:r w:rsidRPr="00C55F06">
        <w:rPr>
          <w:sz w:val="16"/>
          <w:szCs w:val="16"/>
          <w:lang w:val="en-US"/>
        </w:rPr>
        <w:t xml:space="preserve">DLSL, BS 677 EVA, DL119 CB R2, LB R2, LB R3. </w:t>
      </w:r>
    </w:p>
  </w:footnote>
  <w:footnote w:id="645">
    <w:p w14:paraId="1CF71182" w14:textId="0C101A2D" w:rsidR="00787470" w:rsidRPr="00C55F06" w:rsidRDefault="00787470">
      <w:pPr>
        <w:pStyle w:val="FootnoteText"/>
        <w:rPr>
          <w:sz w:val="16"/>
          <w:szCs w:val="16"/>
          <w:lang w:val="en-US"/>
        </w:rPr>
      </w:pPr>
      <w:r w:rsidRPr="00C55F06">
        <w:rPr>
          <w:rStyle w:val="FootnoteReference"/>
          <w:sz w:val="16"/>
          <w:szCs w:val="16"/>
        </w:rPr>
        <w:footnoteRef/>
      </w:r>
      <w:r w:rsidRPr="00C55F06">
        <w:rPr>
          <w:sz w:val="16"/>
          <w:szCs w:val="16"/>
        </w:rPr>
        <w:t xml:space="preserve"> </w:t>
      </w:r>
      <w:r w:rsidRPr="00C55F06">
        <w:rPr>
          <w:sz w:val="16"/>
          <w:szCs w:val="16"/>
          <w:lang w:val="en-US"/>
        </w:rPr>
        <w:t xml:space="preserve">JRL, GB 133 MCK/2/1, MCK/2/2 and MCK/3/5/1-2 [Correspondence, Receipt and Purchase Books of McConnel &amp; Kennedy].  </w:t>
      </w:r>
    </w:p>
  </w:footnote>
  <w:footnote w:id="646">
    <w:p w14:paraId="39DB76BF" w14:textId="31FD189C" w:rsidR="000D6E91" w:rsidRPr="00C55F06" w:rsidRDefault="000D6E91">
      <w:pPr>
        <w:pStyle w:val="FootnoteText"/>
        <w:rPr>
          <w:sz w:val="16"/>
          <w:szCs w:val="16"/>
        </w:rPr>
      </w:pPr>
      <w:r w:rsidRPr="00C55F06">
        <w:rPr>
          <w:rStyle w:val="FootnoteReference"/>
          <w:sz w:val="16"/>
          <w:szCs w:val="16"/>
        </w:rPr>
        <w:footnoteRef/>
      </w:r>
      <w:r w:rsidR="00087AC3" w:rsidRPr="00C55F06">
        <w:rPr>
          <w:sz w:val="16"/>
          <w:szCs w:val="16"/>
        </w:rPr>
        <w:t xml:space="preserve"> DLSL </w:t>
      </w:r>
      <w:r w:rsidR="00CC3024" w:rsidRPr="00C55F06">
        <w:rPr>
          <w:sz w:val="16"/>
          <w:szCs w:val="16"/>
        </w:rPr>
        <w:t>BS677 EVA, DL119 CB R1</w:t>
      </w:r>
      <w:r w:rsidR="00C40D6A" w:rsidRPr="00C55F06">
        <w:rPr>
          <w:sz w:val="16"/>
          <w:szCs w:val="16"/>
        </w:rPr>
        <w:t xml:space="preserve"> </w:t>
      </w:r>
      <w:r w:rsidR="00CC3024" w:rsidRPr="00C55F06">
        <w:rPr>
          <w:sz w:val="16"/>
          <w:szCs w:val="16"/>
        </w:rPr>
        <w:t>[</w:t>
      </w:r>
      <w:r w:rsidR="00787470" w:rsidRPr="00C55F06">
        <w:rPr>
          <w:sz w:val="16"/>
          <w:szCs w:val="16"/>
        </w:rPr>
        <w:t xml:space="preserve">Letter Sent by W. Evans &amp; Co to Messrs. E. &amp; F. Butt of Stamford, Lincolnshire, 17 July </w:t>
      </w:r>
      <w:r w:rsidR="00C40D6A" w:rsidRPr="00C55F06">
        <w:rPr>
          <w:sz w:val="16"/>
          <w:szCs w:val="16"/>
        </w:rPr>
        <w:t>1809</w:t>
      </w:r>
      <w:r w:rsidR="00CC3024" w:rsidRPr="00C55F06">
        <w:rPr>
          <w:sz w:val="16"/>
          <w:szCs w:val="16"/>
        </w:rPr>
        <w:t>]</w:t>
      </w:r>
      <w:r w:rsidR="00787470" w:rsidRPr="00C55F06">
        <w:rPr>
          <w:sz w:val="16"/>
          <w:szCs w:val="16"/>
        </w:rPr>
        <w:t>.</w:t>
      </w:r>
      <w:r w:rsidR="00C40D6A" w:rsidRPr="00C55F06">
        <w:rPr>
          <w:sz w:val="16"/>
          <w:szCs w:val="16"/>
        </w:rPr>
        <w:t xml:space="preserve"> </w:t>
      </w:r>
    </w:p>
  </w:footnote>
  <w:footnote w:id="647">
    <w:p w14:paraId="6B7B4AF9" w14:textId="66B793FB" w:rsidR="00C045C1" w:rsidRPr="00C55F06" w:rsidRDefault="00C045C1">
      <w:pPr>
        <w:pStyle w:val="FootnoteText"/>
        <w:rPr>
          <w:sz w:val="16"/>
          <w:szCs w:val="16"/>
        </w:rPr>
      </w:pPr>
      <w:r w:rsidRPr="00C55F06">
        <w:rPr>
          <w:rStyle w:val="FootnoteReference"/>
          <w:sz w:val="16"/>
          <w:szCs w:val="16"/>
        </w:rPr>
        <w:footnoteRef/>
      </w:r>
      <w:r w:rsidRPr="00C55F06">
        <w:rPr>
          <w:sz w:val="16"/>
          <w:szCs w:val="16"/>
        </w:rPr>
        <w:t xml:space="preserve"> </w:t>
      </w:r>
      <w:r w:rsidR="00787470" w:rsidRPr="00C55F06">
        <w:rPr>
          <w:sz w:val="16"/>
          <w:szCs w:val="16"/>
        </w:rPr>
        <w:t>DLSL, BS 677 EVA, DL119 CB R1 [See letters to Samuel Evans between 1806-1808].</w:t>
      </w:r>
    </w:p>
  </w:footnote>
  <w:footnote w:id="648">
    <w:p w14:paraId="04E4069A" w14:textId="28742D2E" w:rsidR="00787470" w:rsidRPr="00C55F06" w:rsidRDefault="00787470">
      <w:pPr>
        <w:pStyle w:val="FootnoteText"/>
        <w:rPr>
          <w:sz w:val="16"/>
          <w:szCs w:val="16"/>
          <w:lang w:val="en-US"/>
        </w:rPr>
      </w:pPr>
      <w:r w:rsidRPr="00C55F06">
        <w:rPr>
          <w:rStyle w:val="FootnoteReference"/>
          <w:sz w:val="16"/>
          <w:szCs w:val="16"/>
        </w:rPr>
        <w:footnoteRef/>
      </w:r>
      <w:r w:rsidRPr="00C55F06">
        <w:rPr>
          <w:sz w:val="16"/>
          <w:szCs w:val="16"/>
        </w:rPr>
        <w:t xml:space="preserve"> DLSL, BS 677 EVA, DL119 CB R2, LB R2, LB R3.</w:t>
      </w:r>
    </w:p>
  </w:footnote>
  <w:footnote w:id="649">
    <w:p w14:paraId="377982EC" w14:textId="7685870D" w:rsidR="00787470" w:rsidRPr="00787470" w:rsidRDefault="00787470">
      <w:pPr>
        <w:pStyle w:val="FootnoteText"/>
        <w:rPr>
          <w:sz w:val="16"/>
          <w:szCs w:val="16"/>
          <w:lang w:val="en-US"/>
        </w:rPr>
      </w:pPr>
      <w:r w:rsidRPr="00C55F06">
        <w:rPr>
          <w:rStyle w:val="FootnoteReference"/>
          <w:sz w:val="16"/>
          <w:szCs w:val="16"/>
        </w:rPr>
        <w:footnoteRef/>
      </w:r>
      <w:r w:rsidRPr="00C55F06">
        <w:rPr>
          <w:sz w:val="16"/>
          <w:szCs w:val="16"/>
        </w:rPr>
        <w:t xml:space="preserve"> JRL, GB 133 MCK/2/1, MCK/2/2 and MCK/3/5/1-2 [Correspondence, Receipt and Purchase Books of McConnel &amp; Kennedy].</w:t>
      </w:r>
      <w:r w:rsidRPr="00787470">
        <w:rPr>
          <w:sz w:val="16"/>
          <w:szCs w:val="16"/>
        </w:rPr>
        <w:t xml:space="preserve">  </w:t>
      </w:r>
    </w:p>
  </w:footnote>
  <w:footnote w:id="650">
    <w:p w14:paraId="51290AC7" w14:textId="77777777" w:rsidR="004B147D" w:rsidRPr="002D5D0C" w:rsidRDefault="004B147D" w:rsidP="004B147D">
      <w:pPr>
        <w:pStyle w:val="FootnoteText"/>
        <w:rPr>
          <w:sz w:val="16"/>
          <w:szCs w:val="16"/>
        </w:rPr>
      </w:pPr>
      <w:r w:rsidRPr="002D5D0C">
        <w:rPr>
          <w:rStyle w:val="FootnoteReference"/>
          <w:sz w:val="16"/>
          <w:szCs w:val="16"/>
        </w:rPr>
        <w:footnoteRef/>
      </w:r>
      <w:r w:rsidRPr="002D5D0C">
        <w:rPr>
          <w:sz w:val="16"/>
          <w:szCs w:val="16"/>
        </w:rPr>
        <w:t xml:space="preserve"> Patrick Crowhurst, ‘The Effect of War on the Swiss Cotton Trade: Christophe Burckhardt of Basel, 1793–1810,’ </w:t>
      </w:r>
      <w:r w:rsidRPr="002D5D0C">
        <w:rPr>
          <w:i/>
          <w:iCs/>
          <w:sz w:val="16"/>
          <w:szCs w:val="16"/>
        </w:rPr>
        <w:t>Textile history</w:t>
      </w:r>
      <w:r w:rsidRPr="002D5D0C">
        <w:rPr>
          <w:sz w:val="16"/>
          <w:szCs w:val="16"/>
        </w:rPr>
        <w:t xml:space="preserve"> 18.1 (1987), pp. 17-31.</w:t>
      </w:r>
    </w:p>
  </w:footnote>
  <w:footnote w:id="651">
    <w:p w14:paraId="3F634AFF" w14:textId="440B7266" w:rsidR="00046461" w:rsidRPr="008352A3" w:rsidRDefault="00046461">
      <w:pPr>
        <w:pStyle w:val="FootnoteText"/>
        <w:rPr>
          <w:sz w:val="18"/>
          <w:szCs w:val="18"/>
        </w:rPr>
      </w:pPr>
      <w:r w:rsidRPr="008352A3">
        <w:rPr>
          <w:rStyle w:val="FootnoteReference"/>
          <w:sz w:val="18"/>
          <w:szCs w:val="18"/>
        </w:rPr>
        <w:footnoteRef/>
      </w:r>
      <w:r w:rsidRPr="008352A3">
        <w:rPr>
          <w:sz w:val="18"/>
          <w:szCs w:val="18"/>
        </w:rPr>
        <w:t xml:space="preserve"> C. H. Lee</w:t>
      </w:r>
      <w:r w:rsidRPr="00B62A55">
        <w:rPr>
          <w:i/>
          <w:iCs/>
          <w:sz w:val="18"/>
          <w:szCs w:val="18"/>
        </w:rPr>
        <w:t xml:space="preserve">, </w:t>
      </w:r>
      <w:r w:rsidR="00421676" w:rsidRPr="00B62A55">
        <w:rPr>
          <w:i/>
          <w:iCs/>
          <w:sz w:val="18"/>
          <w:szCs w:val="18"/>
        </w:rPr>
        <w:t>A Cotton Enterprise</w:t>
      </w:r>
      <w:r w:rsidR="00421676" w:rsidRPr="008352A3">
        <w:rPr>
          <w:sz w:val="18"/>
          <w:szCs w:val="18"/>
        </w:rPr>
        <w:t>, p</w:t>
      </w:r>
      <w:r w:rsidR="00B62A55">
        <w:rPr>
          <w:sz w:val="18"/>
          <w:szCs w:val="18"/>
        </w:rPr>
        <w:t xml:space="preserve">. </w:t>
      </w:r>
      <w:r w:rsidR="007E55DF" w:rsidRPr="008352A3">
        <w:rPr>
          <w:sz w:val="18"/>
          <w:szCs w:val="18"/>
        </w:rPr>
        <w:t xml:space="preserve">51. </w:t>
      </w:r>
    </w:p>
  </w:footnote>
  <w:footnote w:id="652">
    <w:p w14:paraId="6A3FE2C6" w14:textId="7932259F" w:rsidR="004506E3" w:rsidRPr="002D5D0C" w:rsidRDefault="004506E3">
      <w:pPr>
        <w:pStyle w:val="FootnoteText"/>
        <w:rPr>
          <w:sz w:val="16"/>
          <w:szCs w:val="16"/>
        </w:rPr>
      </w:pPr>
      <w:r w:rsidRPr="002D5D0C">
        <w:rPr>
          <w:rStyle w:val="FootnoteReference"/>
          <w:sz w:val="16"/>
          <w:szCs w:val="16"/>
        </w:rPr>
        <w:footnoteRef/>
      </w:r>
      <w:r w:rsidRPr="002D5D0C">
        <w:rPr>
          <w:sz w:val="16"/>
          <w:szCs w:val="16"/>
        </w:rPr>
        <w:t xml:space="preserve"> </w:t>
      </w:r>
      <w:r w:rsidR="0088454D" w:rsidRPr="002D5D0C">
        <w:rPr>
          <w:sz w:val="16"/>
          <w:szCs w:val="16"/>
        </w:rPr>
        <w:t>JRL, GB 133 MCK/2/1/11</w:t>
      </w:r>
      <w:r w:rsidR="002D5D0C" w:rsidRPr="002D5D0C">
        <w:rPr>
          <w:sz w:val="16"/>
          <w:szCs w:val="16"/>
        </w:rPr>
        <w:t xml:space="preserve"> [Letter Received by McConnel &amp; Kennedy from Mr. Stuart, 1805]. </w:t>
      </w:r>
    </w:p>
  </w:footnote>
  <w:footnote w:id="653">
    <w:p w14:paraId="539FD4CA" w14:textId="77D47754" w:rsidR="00BD295C" w:rsidRPr="002D5D0C" w:rsidRDefault="00BD295C">
      <w:pPr>
        <w:pStyle w:val="FootnoteText"/>
        <w:rPr>
          <w:sz w:val="16"/>
          <w:szCs w:val="16"/>
        </w:rPr>
      </w:pPr>
      <w:r w:rsidRPr="002D5D0C">
        <w:rPr>
          <w:rStyle w:val="FootnoteReference"/>
          <w:sz w:val="16"/>
          <w:szCs w:val="16"/>
        </w:rPr>
        <w:footnoteRef/>
      </w:r>
      <w:r w:rsidRPr="002D5D0C">
        <w:rPr>
          <w:sz w:val="16"/>
          <w:szCs w:val="16"/>
        </w:rPr>
        <w:t xml:space="preserve"> </w:t>
      </w:r>
      <w:r w:rsidR="00A96C3F" w:rsidRPr="002D5D0C">
        <w:rPr>
          <w:sz w:val="16"/>
          <w:szCs w:val="16"/>
        </w:rPr>
        <w:t>JRL, GB 133 MCK/2/1/14</w:t>
      </w:r>
      <w:r w:rsidR="002D5D0C" w:rsidRPr="002D5D0C">
        <w:rPr>
          <w:sz w:val="16"/>
          <w:szCs w:val="16"/>
        </w:rPr>
        <w:t xml:space="preserve"> </w:t>
      </w:r>
      <w:bookmarkStart w:id="202" w:name="_Hlk156740710"/>
      <w:r w:rsidR="002D5D0C" w:rsidRPr="002D5D0C">
        <w:rPr>
          <w:sz w:val="16"/>
          <w:szCs w:val="16"/>
        </w:rPr>
        <w:t>[Letter Received by McConnel &amp; Kennedy from Alexander Barclay,</w:t>
      </w:r>
      <w:r w:rsidR="002D5D0C">
        <w:rPr>
          <w:sz w:val="16"/>
          <w:szCs w:val="16"/>
        </w:rPr>
        <w:t xml:space="preserve"> Hamburg,</w:t>
      </w:r>
      <w:r w:rsidR="002D5D0C" w:rsidRPr="002D5D0C">
        <w:rPr>
          <w:sz w:val="16"/>
          <w:szCs w:val="16"/>
        </w:rPr>
        <w:t xml:space="preserve"> 1808].</w:t>
      </w:r>
      <w:bookmarkEnd w:id="202"/>
    </w:p>
  </w:footnote>
  <w:footnote w:id="654">
    <w:p w14:paraId="206A0071" w14:textId="50D7F2F1" w:rsidR="001540B4" w:rsidRPr="002D5D0C" w:rsidRDefault="001540B4">
      <w:pPr>
        <w:pStyle w:val="FootnoteText"/>
        <w:rPr>
          <w:sz w:val="16"/>
          <w:szCs w:val="16"/>
        </w:rPr>
      </w:pPr>
      <w:r w:rsidRPr="002D5D0C">
        <w:rPr>
          <w:rStyle w:val="FootnoteReference"/>
          <w:sz w:val="16"/>
          <w:szCs w:val="16"/>
        </w:rPr>
        <w:footnoteRef/>
      </w:r>
      <w:r w:rsidRPr="002D5D0C">
        <w:rPr>
          <w:sz w:val="16"/>
          <w:szCs w:val="16"/>
        </w:rPr>
        <w:t xml:space="preserve"> </w:t>
      </w:r>
      <w:r w:rsidR="002D5D0C" w:rsidRPr="002D5D0C">
        <w:rPr>
          <w:sz w:val="16"/>
          <w:szCs w:val="16"/>
        </w:rPr>
        <w:t>JRL, GB 133 MCK/2/1/14 [Letter Received by McConnel &amp; Kennedy from Alexander Barclay, Hamburg, 1808].</w:t>
      </w:r>
    </w:p>
  </w:footnote>
  <w:footnote w:id="655">
    <w:p w14:paraId="5D4C61EC" w14:textId="5E8BCD3D" w:rsidR="00637CC0" w:rsidRPr="002D5D0C" w:rsidRDefault="00637CC0">
      <w:pPr>
        <w:pStyle w:val="FootnoteText"/>
        <w:rPr>
          <w:sz w:val="16"/>
          <w:szCs w:val="16"/>
        </w:rPr>
      </w:pPr>
      <w:r w:rsidRPr="002D5D0C">
        <w:rPr>
          <w:rStyle w:val="FootnoteReference"/>
          <w:sz w:val="16"/>
          <w:szCs w:val="16"/>
        </w:rPr>
        <w:footnoteRef/>
      </w:r>
      <w:r w:rsidRPr="002D5D0C">
        <w:rPr>
          <w:sz w:val="16"/>
          <w:szCs w:val="16"/>
        </w:rPr>
        <w:t xml:space="preserve"> </w:t>
      </w:r>
      <w:r w:rsidR="002D5D0C" w:rsidRPr="002D5D0C">
        <w:rPr>
          <w:sz w:val="16"/>
          <w:szCs w:val="16"/>
        </w:rPr>
        <w:t>JRL, GB 133 MCK/2/1/8 [Letter Received by McConnel &amp; Kennedy from J. L. Eckhardt of Leipzig in 1802].</w:t>
      </w:r>
    </w:p>
  </w:footnote>
  <w:footnote w:id="656">
    <w:p w14:paraId="0BA523B9" w14:textId="12A62ECB" w:rsidR="007A334E" w:rsidRPr="002D5D0C" w:rsidRDefault="007A334E">
      <w:pPr>
        <w:pStyle w:val="FootnoteText"/>
        <w:rPr>
          <w:sz w:val="16"/>
          <w:szCs w:val="16"/>
        </w:rPr>
      </w:pPr>
      <w:r w:rsidRPr="002D5D0C">
        <w:rPr>
          <w:rStyle w:val="FootnoteReference"/>
          <w:sz w:val="16"/>
          <w:szCs w:val="16"/>
        </w:rPr>
        <w:footnoteRef/>
      </w:r>
      <w:r w:rsidRPr="002D5D0C">
        <w:rPr>
          <w:sz w:val="16"/>
          <w:szCs w:val="16"/>
        </w:rPr>
        <w:t xml:space="preserve"> </w:t>
      </w:r>
      <w:r w:rsidR="002D5D0C" w:rsidRPr="002D5D0C">
        <w:rPr>
          <w:sz w:val="16"/>
          <w:szCs w:val="16"/>
        </w:rPr>
        <w:t xml:space="preserve">DLSL BS 677 EVA, DL119 EVA CB R1 and LB R1 and R2 [Collection of Correspondence and Ledger Entries for Evans, </w:t>
      </w:r>
      <w:r w:rsidR="002D5D0C" w:rsidRPr="002D5D0C">
        <w:rPr>
          <w:sz w:val="16"/>
          <w:szCs w:val="16"/>
        </w:rPr>
        <w:t>Offley &amp; Sealey of Lisbon].</w:t>
      </w:r>
    </w:p>
  </w:footnote>
  <w:footnote w:id="657">
    <w:p w14:paraId="777E9D91" w14:textId="638EBB0F" w:rsidR="002D5D0C" w:rsidRPr="001A2BD1" w:rsidRDefault="002D5D0C">
      <w:pPr>
        <w:pStyle w:val="FootnoteText"/>
        <w:rPr>
          <w:sz w:val="16"/>
          <w:szCs w:val="16"/>
          <w:lang w:val="en-US"/>
        </w:rPr>
      </w:pPr>
      <w:r w:rsidRPr="001A2BD1">
        <w:rPr>
          <w:rStyle w:val="FootnoteReference"/>
          <w:sz w:val="16"/>
          <w:szCs w:val="16"/>
        </w:rPr>
        <w:footnoteRef/>
      </w:r>
      <w:r w:rsidRPr="001A2BD1">
        <w:rPr>
          <w:sz w:val="16"/>
          <w:szCs w:val="16"/>
        </w:rPr>
        <w:t xml:space="preserve"> </w:t>
      </w:r>
      <w:r w:rsidR="001A2BD1" w:rsidRPr="001A2BD1">
        <w:rPr>
          <w:sz w:val="16"/>
          <w:szCs w:val="16"/>
        </w:rPr>
        <w:t xml:space="preserve">Thomasin Elizabeth Sharpe, </w:t>
      </w:r>
      <w:r w:rsidR="001A2BD1" w:rsidRPr="001A2BD1">
        <w:rPr>
          <w:i/>
          <w:iCs/>
          <w:sz w:val="16"/>
          <w:szCs w:val="16"/>
        </w:rPr>
        <w:t xml:space="preserve">A Royal Descent; with other </w:t>
      </w:r>
      <w:r w:rsidR="001A2BD1">
        <w:rPr>
          <w:i/>
          <w:iCs/>
          <w:sz w:val="16"/>
          <w:szCs w:val="16"/>
        </w:rPr>
        <w:t>P</w:t>
      </w:r>
      <w:r w:rsidR="001A2BD1" w:rsidRPr="001A2BD1">
        <w:rPr>
          <w:i/>
          <w:iCs/>
          <w:sz w:val="16"/>
          <w:szCs w:val="16"/>
        </w:rPr>
        <w:t xml:space="preserve">edigrees and </w:t>
      </w:r>
      <w:r w:rsidR="001A2BD1">
        <w:rPr>
          <w:i/>
          <w:iCs/>
          <w:sz w:val="16"/>
          <w:szCs w:val="16"/>
        </w:rPr>
        <w:t>M</w:t>
      </w:r>
      <w:r w:rsidR="001A2BD1" w:rsidRPr="001A2BD1">
        <w:rPr>
          <w:i/>
          <w:iCs/>
          <w:sz w:val="16"/>
          <w:szCs w:val="16"/>
        </w:rPr>
        <w:t>emorials</w:t>
      </w:r>
      <w:r w:rsidR="001A2BD1" w:rsidRPr="001A2BD1">
        <w:rPr>
          <w:sz w:val="16"/>
          <w:szCs w:val="16"/>
        </w:rPr>
        <w:t xml:space="preserve"> (London: Mitchell and Hughes, 1875), pp. 22-23.     </w:t>
      </w:r>
    </w:p>
  </w:footnote>
  <w:footnote w:id="658">
    <w:p w14:paraId="4031C99E" w14:textId="54C32B9F" w:rsidR="00470BBE" w:rsidRPr="001A2BD1" w:rsidRDefault="00470BBE">
      <w:pPr>
        <w:pStyle w:val="FootnoteText"/>
        <w:rPr>
          <w:sz w:val="16"/>
          <w:szCs w:val="16"/>
        </w:rPr>
      </w:pPr>
      <w:r w:rsidRPr="001A2BD1">
        <w:rPr>
          <w:rStyle w:val="FootnoteReference"/>
          <w:sz w:val="16"/>
          <w:szCs w:val="16"/>
        </w:rPr>
        <w:footnoteRef/>
      </w:r>
      <w:r w:rsidRPr="001A2BD1">
        <w:rPr>
          <w:sz w:val="16"/>
          <w:szCs w:val="16"/>
        </w:rPr>
        <w:t xml:space="preserve"> DLSL, BS677 EVA, DL119 CB R1</w:t>
      </w:r>
      <w:r w:rsidR="001A2BD1" w:rsidRPr="001A2BD1">
        <w:rPr>
          <w:sz w:val="16"/>
          <w:szCs w:val="16"/>
        </w:rPr>
        <w:t xml:space="preserve"> [Letter Sent by W. Evans &amp; Co. to H. N. Ward of Bread Street, London, 30 July 1807]. </w:t>
      </w:r>
    </w:p>
  </w:footnote>
  <w:footnote w:id="659">
    <w:p w14:paraId="309D54D7" w14:textId="5D1C1CC0" w:rsidR="00AC129B" w:rsidRPr="00876511" w:rsidRDefault="00AC129B">
      <w:pPr>
        <w:pStyle w:val="FootnoteText"/>
        <w:rPr>
          <w:sz w:val="16"/>
          <w:szCs w:val="16"/>
        </w:rPr>
      </w:pPr>
      <w:r w:rsidRPr="00876511">
        <w:rPr>
          <w:rStyle w:val="FootnoteReference"/>
          <w:sz w:val="16"/>
          <w:szCs w:val="16"/>
        </w:rPr>
        <w:footnoteRef/>
      </w:r>
      <w:r w:rsidRPr="00876511">
        <w:rPr>
          <w:sz w:val="16"/>
          <w:szCs w:val="16"/>
        </w:rPr>
        <w:t xml:space="preserve"> </w:t>
      </w:r>
      <w:bookmarkStart w:id="208" w:name="_Hlk150086214"/>
      <w:r w:rsidR="00696639" w:rsidRPr="00876511">
        <w:rPr>
          <w:sz w:val="16"/>
          <w:szCs w:val="16"/>
        </w:rPr>
        <w:t xml:space="preserve">Francesca </w:t>
      </w:r>
      <w:r w:rsidR="00696639" w:rsidRPr="00876511">
        <w:rPr>
          <w:sz w:val="16"/>
          <w:szCs w:val="16"/>
        </w:rPr>
        <w:t xml:space="preserve">Trivellato, </w:t>
      </w:r>
      <w:r w:rsidR="00696639" w:rsidRPr="00876511">
        <w:rPr>
          <w:i/>
          <w:iCs/>
          <w:sz w:val="16"/>
          <w:szCs w:val="16"/>
        </w:rPr>
        <w:t xml:space="preserve">The </w:t>
      </w:r>
      <w:r w:rsidR="00704CC3" w:rsidRPr="00876511">
        <w:rPr>
          <w:i/>
          <w:iCs/>
          <w:sz w:val="16"/>
          <w:szCs w:val="16"/>
        </w:rPr>
        <w:t>F</w:t>
      </w:r>
      <w:r w:rsidR="00696639" w:rsidRPr="00876511">
        <w:rPr>
          <w:i/>
          <w:iCs/>
          <w:sz w:val="16"/>
          <w:szCs w:val="16"/>
        </w:rPr>
        <w:t xml:space="preserve">amiliarity of </w:t>
      </w:r>
      <w:r w:rsidR="00704CC3" w:rsidRPr="00876511">
        <w:rPr>
          <w:i/>
          <w:iCs/>
          <w:sz w:val="16"/>
          <w:szCs w:val="16"/>
        </w:rPr>
        <w:t>S</w:t>
      </w:r>
      <w:r w:rsidR="00696639" w:rsidRPr="00876511">
        <w:rPr>
          <w:i/>
          <w:iCs/>
          <w:sz w:val="16"/>
          <w:szCs w:val="16"/>
        </w:rPr>
        <w:t xml:space="preserve">trangers: </w:t>
      </w:r>
      <w:r w:rsidR="00696639" w:rsidRPr="00876511">
        <w:rPr>
          <w:i/>
          <w:iCs/>
          <w:sz w:val="16"/>
          <w:szCs w:val="16"/>
        </w:rPr>
        <w:t xml:space="preserve">the Sephardic </w:t>
      </w:r>
      <w:r w:rsidR="00704CC3" w:rsidRPr="00876511">
        <w:rPr>
          <w:i/>
          <w:iCs/>
          <w:sz w:val="16"/>
          <w:szCs w:val="16"/>
        </w:rPr>
        <w:t>D</w:t>
      </w:r>
      <w:r w:rsidR="00696639" w:rsidRPr="00876511">
        <w:rPr>
          <w:i/>
          <w:iCs/>
          <w:sz w:val="16"/>
          <w:szCs w:val="16"/>
        </w:rPr>
        <w:t xml:space="preserve">iaspora, Livorno, and </w:t>
      </w:r>
      <w:r w:rsidR="00704CC3" w:rsidRPr="00876511">
        <w:rPr>
          <w:i/>
          <w:iCs/>
          <w:sz w:val="16"/>
          <w:szCs w:val="16"/>
        </w:rPr>
        <w:t>C</w:t>
      </w:r>
      <w:r w:rsidR="00696639" w:rsidRPr="00876511">
        <w:rPr>
          <w:i/>
          <w:iCs/>
          <w:sz w:val="16"/>
          <w:szCs w:val="16"/>
        </w:rPr>
        <w:t xml:space="preserve">ross-cultural trade in the </w:t>
      </w:r>
      <w:r w:rsidR="00704CC3" w:rsidRPr="00876511">
        <w:rPr>
          <w:i/>
          <w:iCs/>
          <w:sz w:val="16"/>
          <w:szCs w:val="16"/>
        </w:rPr>
        <w:t>E</w:t>
      </w:r>
      <w:r w:rsidR="00696639" w:rsidRPr="00876511">
        <w:rPr>
          <w:i/>
          <w:iCs/>
          <w:sz w:val="16"/>
          <w:szCs w:val="16"/>
        </w:rPr>
        <w:t xml:space="preserve">arly </w:t>
      </w:r>
      <w:r w:rsidR="00876511" w:rsidRPr="00876511">
        <w:rPr>
          <w:i/>
          <w:iCs/>
          <w:sz w:val="16"/>
          <w:szCs w:val="16"/>
        </w:rPr>
        <w:t>M</w:t>
      </w:r>
      <w:r w:rsidR="00696639" w:rsidRPr="00876511">
        <w:rPr>
          <w:i/>
          <w:iCs/>
          <w:sz w:val="16"/>
          <w:szCs w:val="16"/>
        </w:rPr>
        <w:t xml:space="preserve">odern </w:t>
      </w:r>
      <w:r w:rsidR="00876511" w:rsidRPr="00876511">
        <w:rPr>
          <w:i/>
          <w:iCs/>
          <w:sz w:val="16"/>
          <w:szCs w:val="16"/>
        </w:rPr>
        <w:t>P</w:t>
      </w:r>
      <w:r w:rsidR="00696639" w:rsidRPr="00876511">
        <w:rPr>
          <w:i/>
          <w:iCs/>
          <w:sz w:val="16"/>
          <w:szCs w:val="16"/>
        </w:rPr>
        <w:t>eriod</w:t>
      </w:r>
      <w:r w:rsidR="00696639" w:rsidRPr="00876511">
        <w:rPr>
          <w:sz w:val="16"/>
          <w:szCs w:val="16"/>
        </w:rPr>
        <w:t>, (</w:t>
      </w:r>
      <w:r w:rsidR="00876511" w:rsidRPr="00876511">
        <w:rPr>
          <w:sz w:val="16"/>
          <w:szCs w:val="16"/>
        </w:rPr>
        <w:t xml:space="preserve">New Haven: </w:t>
      </w:r>
      <w:r w:rsidR="00696639" w:rsidRPr="00876511">
        <w:rPr>
          <w:sz w:val="16"/>
          <w:szCs w:val="16"/>
        </w:rPr>
        <w:t xml:space="preserve">Yale University Press, 2009) p.20.  </w:t>
      </w:r>
      <w:bookmarkEnd w:id="208"/>
    </w:p>
  </w:footnote>
  <w:footnote w:id="660">
    <w:p w14:paraId="772A92EC" w14:textId="7E3A712D" w:rsidR="0002598E" w:rsidRDefault="0002598E">
      <w:pPr>
        <w:pStyle w:val="FootnoteText"/>
      </w:pPr>
      <w:r w:rsidRPr="00876511">
        <w:rPr>
          <w:rStyle w:val="FootnoteReference"/>
          <w:sz w:val="16"/>
          <w:szCs w:val="16"/>
        </w:rPr>
        <w:footnoteRef/>
      </w:r>
      <w:r w:rsidRPr="00876511">
        <w:rPr>
          <w:sz w:val="16"/>
          <w:szCs w:val="16"/>
        </w:rPr>
        <w:t xml:space="preserve"> </w:t>
      </w:r>
      <w:r w:rsidR="00876511" w:rsidRPr="00876511">
        <w:rPr>
          <w:sz w:val="16"/>
          <w:szCs w:val="16"/>
        </w:rPr>
        <w:t xml:space="preserve">Mark S. </w:t>
      </w:r>
      <w:r w:rsidR="00876511" w:rsidRPr="00876511">
        <w:rPr>
          <w:sz w:val="16"/>
          <w:szCs w:val="16"/>
        </w:rPr>
        <w:t xml:space="preserve">Granovetter, ‘The Strength of Weak Ties,’ </w:t>
      </w:r>
      <w:r w:rsidR="00876511" w:rsidRPr="00876511">
        <w:rPr>
          <w:i/>
          <w:iCs/>
          <w:sz w:val="16"/>
          <w:szCs w:val="16"/>
        </w:rPr>
        <w:t>American Journal of Sociology</w:t>
      </w:r>
      <w:r w:rsidR="00876511" w:rsidRPr="00876511">
        <w:rPr>
          <w:sz w:val="16"/>
          <w:szCs w:val="16"/>
        </w:rPr>
        <w:t>, 78:6 (1973), pp. 1360-1380.</w:t>
      </w:r>
    </w:p>
  </w:footnote>
  <w:footnote w:id="661">
    <w:p w14:paraId="72FC639C" w14:textId="535EE3BD" w:rsidR="008D7062" w:rsidRPr="00876511" w:rsidRDefault="008D7062">
      <w:pPr>
        <w:pStyle w:val="FootnoteText"/>
        <w:rPr>
          <w:sz w:val="16"/>
          <w:szCs w:val="16"/>
        </w:rPr>
      </w:pPr>
      <w:r w:rsidRPr="00876511">
        <w:rPr>
          <w:rStyle w:val="FootnoteReference"/>
          <w:sz w:val="16"/>
          <w:szCs w:val="16"/>
        </w:rPr>
        <w:footnoteRef/>
      </w:r>
      <w:r w:rsidRPr="00876511">
        <w:rPr>
          <w:sz w:val="16"/>
          <w:szCs w:val="16"/>
        </w:rPr>
        <w:t xml:space="preserve"> </w:t>
      </w:r>
      <w:r w:rsidR="00413063" w:rsidRPr="00876511">
        <w:rPr>
          <w:sz w:val="16"/>
          <w:szCs w:val="16"/>
        </w:rPr>
        <w:t>DLSL</w:t>
      </w:r>
      <w:r w:rsidR="00876511">
        <w:rPr>
          <w:sz w:val="16"/>
          <w:szCs w:val="16"/>
        </w:rPr>
        <w:t>,</w:t>
      </w:r>
      <w:r w:rsidR="00413063" w:rsidRPr="00876511">
        <w:rPr>
          <w:sz w:val="16"/>
          <w:szCs w:val="16"/>
        </w:rPr>
        <w:t xml:space="preserve"> BS</w:t>
      </w:r>
      <w:r w:rsidR="00876511">
        <w:rPr>
          <w:sz w:val="16"/>
          <w:szCs w:val="16"/>
        </w:rPr>
        <w:t xml:space="preserve"> </w:t>
      </w:r>
      <w:r w:rsidR="00413063" w:rsidRPr="00876511">
        <w:rPr>
          <w:sz w:val="16"/>
          <w:szCs w:val="16"/>
        </w:rPr>
        <w:t>677 EVA, DL119 CB R1</w:t>
      </w:r>
      <w:r w:rsidR="00B042A0" w:rsidRPr="00876511">
        <w:rPr>
          <w:sz w:val="16"/>
          <w:szCs w:val="16"/>
        </w:rPr>
        <w:t xml:space="preserve"> [</w:t>
      </w:r>
      <w:r w:rsidR="00876511" w:rsidRPr="00876511">
        <w:rPr>
          <w:sz w:val="16"/>
          <w:szCs w:val="16"/>
        </w:rPr>
        <w:t>Letter Sent from Thomas Evans &amp; Sons to Mr</w:t>
      </w:r>
      <w:r w:rsidR="00BC0AC5">
        <w:rPr>
          <w:sz w:val="16"/>
          <w:szCs w:val="16"/>
        </w:rPr>
        <w:t>.</w:t>
      </w:r>
      <w:r w:rsidR="00876511" w:rsidRPr="00876511">
        <w:rPr>
          <w:sz w:val="16"/>
          <w:szCs w:val="16"/>
        </w:rPr>
        <w:t xml:space="preserve"> Reynolds, Ketley Bank Iron Works, Shropshire, 29 November 1788].  </w:t>
      </w:r>
    </w:p>
  </w:footnote>
  <w:footnote w:id="662">
    <w:p w14:paraId="323E589C" w14:textId="7A53A272" w:rsidR="00876511" w:rsidRPr="00876511" w:rsidRDefault="00876511">
      <w:pPr>
        <w:pStyle w:val="FootnoteText"/>
        <w:rPr>
          <w:sz w:val="16"/>
          <w:szCs w:val="16"/>
        </w:rPr>
      </w:pPr>
      <w:r w:rsidRPr="00876511">
        <w:rPr>
          <w:rStyle w:val="FootnoteReference"/>
          <w:sz w:val="16"/>
          <w:szCs w:val="16"/>
        </w:rPr>
        <w:footnoteRef/>
      </w:r>
      <w:r w:rsidRPr="00876511">
        <w:rPr>
          <w:sz w:val="16"/>
          <w:szCs w:val="16"/>
        </w:rPr>
        <w:t xml:space="preserve"> DLSL, BS 677 EVA, DL119 CB R1 [Letter Sent from Thomas Evans &amp; Sons to Mr</w:t>
      </w:r>
      <w:r w:rsidR="00BC0AC5">
        <w:rPr>
          <w:sz w:val="16"/>
          <w:szCs w:val="16"/>
        </w:rPr>
        <w:t>.</w:t>
      </w:r>
      <w:r w:rsidRPr="00876511">
        <w:rPr>
          <w:sz w:val="16"/>
          <w:szCs w:val="16"/>
        </w:rPr>
        <w:t xml:space="preserve"> Reynolds, Ketley Bank Iron Works, Shropshire, 29 November 1788].  </w:t>
      </w:r>
    </w:p>
  </w:footnote>
  <w:footnote w:id="663">
    <w:p w14:paraId="38C7637D" w14:textId="758BF8FB" w:rsidR="00876511" w:rsidRPr="00876511" w:rsidRDefault="00876511">
      <w:pPr>
        <w:pStyle w:val="FootnoteText"/>
        <w:rPr>
          <w:sz w:val="16"/>
          <w:szCs w:val="16"/>
        </w:rPr>
      </w:pPr>
      <w:r w:rsidRPr="00876511">
        <w:rPr>
          <w:rStyle w:val="FootnoteReference"/>
          <w:sz w:val="16"/>
          <w:szCs w:val="16"/>
        </w:rPr>
        <w:footnoteRef/>
      </w:r>
      <w:r w:rsidRPr="00876511">
        <w:rPr>
          <w:sz w:val="16"/>
          <w:szCs w:val="16"/>
        </w:rPr>
        <w:t xml:space="preserve"> DLSL, BS 677 EVA, DL119 CB R1 [Letter Sent from Thomas Evans &amp; Sons to Mr</w:t>
      </w:r>
      <w:r w:rsidR="00BC0AC5">
        <w:rPr>
          <w:sz w:val="16"/>
          <w:szCs w:val="16"/>
        </w:rPr>
        <w:t>.</w:t>
      </w:r>
      <w:r w:rsidRPr="00876511">
        <w:rPr>
          <w:sz w:val="16"/>
          <w:szCs w:val="16"/>
        </w:rPr>
        <w:t xml:space="preserve"> Reynolds, Ketley Bank Iron Works, Shropshire, 29 November 1788].  </w:t>
      </w:r>
    </w:p>
  </w:footnote>
  <w:footnote w:id="664">
    <w:p w14:paraId="179A766E" w14:textId="0F149704" w:rsidR="00876511" w:rsidRDefault="00876511">
      <w:pPr>
        <w:pStyle w:val="FootnoteText"/>
      </w:pPr>
      <w:r w:rsidRPr="00876511">
        <w:rPr>
          <w:rStyle w:val="FootnoteReference"/>
          <w:sz w:val="16"/>
          <w:szCs w:val="16"/>
        </w:rPr>
        <w:footnoteRef/>
      </w:r>
      <w:r w:rsidRPr="00876511">
        <w:rPr>
          <w:sz w:val="16"/>
          <w:szCs w:val="16"/>
        </w:rPr>
        <w:t xml:space="preserve"> Kristen Pond, </w:t>
      </w:r>
      <w:r w:rsidRPr="00876511">
        <w:rPr>
          <w:sz w:val="16"/>
          <w:szCs w:val="16"/>
        </w:rPr>
        <w:t>‘ ‘A Desire to Look Respectable in the Eyes of Strangers’: The Victorian Press and the Figure of the Stranger at the Great</w:t>
      </w:r>
      <w:r w:rsidRPr="00704CC3">
        <w:rPr>
          <w:sz w:val="16"/>
          <w:szCs w:val="16"/>
        </w:rPr>
        <w:t xml:space="preserve"> Exhibition of 1851,’ </w:t>
      </w:r>
      <w:r w:rsidRPr="00704CC3">
        <w:rPr>
          <w:i/>
          <w:iCs/>
          <w:sz w:val="16"/>
          <w:szCs w:val="16"/>
        </w:rPr>
        <w:t>Victorian Periodicals Review</w:t>
      </w:r>
      <w:r w:rsidRPr="00704CC3">
        <w:rPr>
          <w:sz w:val="16"/>
          <w:szCs w:val="16"/>
        </w:rPr>
        <w:t>, 53:1 (2020), pp. 57-75.</w:t>
      </w:r>
    </w:p>
  </w:footnote>
  <w:footnote w:id="665">
    <w:p w14:paraId="7D8B446A" w14:textId="1127E9BD" w:rsidR="001C7DCE" w:rsidRPr="00704CC3" w:rsidRDefault="001C7DCE">
      <w:pPr>
        <w:pStyle w:val="FootnoteText"/>
        <w:rPr>
          <w:sz w:val="16"/>
          <w:szCs w:val="16"/>
        </w:rPr>
      </w:pPr>
      <w:r w:rsidRPr="00704CC3">
        <w:rPr>
          <w:rStyle w:val="FootnoteReference"/>
          <w:sz w:val="16"/>
          <w:szCs w:val="16"/>
        </w:rPr>
        <w:footnoteRef/>
      </w:r>
      <w:r w:rsidRPr="00704CC3">
        <w:rPr>
          <w:sz w:val="16"/>
          <w:szCs w:val="16"/>
        </w:rPr>
        <w:t xml:space="preserve"> </w:t>
      </w:r>
      <w:r w:rsidR="00876511" w:rsidRPr="00704CC3">
        <w:rPr>
          <w:sz w:val="16"/>
          <w:szCs w:val="16"/>
        </w:rPr>
        <w:t xml:space="preserve">Pond, ‘A desire to look respectable in the eyes of strangers’ </w:t>
      </w:r>
      <w:r w:rsidR="00876511" w:rsidRPr="00704CC3">
        <w:rPr>
          <w:i/>
          <w:iCs/>
          <w:sz w:val="16"/>
          <w:szCs w:val="16"/>
        </w:rPr>
        <w:t>Victorian Periodicals Review</w:t>
      </w:r>
      <w:r w:rsidR="00876511" w:rsidRPr="00704CC3">
        <w:rPr>
          <w:sz w:val="16"/>
          <w:szCs w:val="16"/>
        </w:rPr>
        <w:t>, pp. 57-75.</w:t>
      </w:r>
    </w:p>
  </w:footnote>
  <w:footnote w:id="666">
    <w:p w14:paraId="5252D316" w14:textId="363A6BFF" w:rsidR="00535ADD" w:rsidRDefault="00535ADD">
      <w:pPr>
        <w:pStyle w:val="FootnoteText"/>
      </w:pPr>
      <w:r w:rsidRPr="00704CC3">
        <w:rPr>
          <w:rStyle w:val="FootnoteReference"/>
          <w:sz w:val="16"/>
          <w:szCs w:val="16"/>
        </w:rPr>
        <w:footnoteRef/>
      </w:r>
      <w:r w:rsidRPr="00704CC3">
        <w:rPr>
          <w:sz w:val="16"/>
          <w:szCs w:val="16"/>
        </w:rPr>
        <w:t xml:space="preserve"> </w:t>
      </w:r>
      <w:r w:rsidR="00876511" w:rsidRPr="00876511">
        <w:rPr>
          <w:i/>
          <w:iCs/>
          <w:sz w:val="16"/>
          <w:szCs w:val="16"/>
        </w:rPr>
        <w:t>Ibid</w:t>
      </w:r>
      <w:r w:rsidR="00876511">
        <w:rPr>
          <w:sz w:val="16"/>
          <w:szCs w:val="16"/>
        </w:rPr>
        <w:t xml:space="preserve">, </w:t>
      </w:r>
      <w:r w:rsidR="00876511" w:rsidRPr="00876511">
        <w:rPr>
          <w:sz w:val="16"/>
          <w:szCs w:val="16"/>
        </w:rPr>
        <w:t>pp. 57-75</w:t>
      </w:r>
      <w:r w:rsidR="00876511">
        <w:rPr>
          <w:sz w:val="16"/>
          <w:szCs w:val="16"/>
        </w:rPr>
        <w:t xml:space="preserve">. </w:t>
      </w:r>
    </w:p>
  </w:footnote>
  <w:footnote w:id="667">
    <w:p w14:paraId="30EF9F16" w14:textId="4900C294" w:rsidR="003320BB" w:rsidRPr="003320BB" w:rsidRDefault="003320BB">
      <w:pPr>
        <w:pStyle w:val="FootnoteText"/>
        <w:rPr>
          <w:sz w:val="16"/>
          <w:szCs w:val="16"/>
        </w:rPr>
      </w:pPr>
      <w:r w:rsidRPr="003320BB">
        <w:rPr>
          <w:rStyle w:val="FootnoteReference"/>
          <w:sz w:val="16"/>
          <w:szCs w:val="16"/>
        </w:rPr>
        <w:footnoteRef/>
      </w:r>
      <w:r w:rsidRPr="003320BB">
        <w:rPr>
          <w:sz w:val="16"/>
          <w:szCs w:val="16"/>
        </w:rPr>
        <w:t xml:space="preserve"> </w:t>
      </w:r>
      <w:r>
        <w:rPr>
          <w:sz w:val="16"/>
          <w:szCs w:val="16"/>
        </w:rPr>
        <w:t xml:space="preserve"> </w:t>
      </w:r>
      <w:r w:rsidRPr="003320BB">
        <w:rPr>
          <w:sz w:val="16"/>
          <w:szCs w:val="16"/>
        </w:rPr>
        <w:t xml:space="preserve">JRL, GB 133 MCK/2/2/3 [Letter Sent from McConnel &amp; Kennedy to Francis Johnson of Belfast, September 1808]. </w:t>
      </w:r>
    </w:p>
  </w:footnote>
  <w:footnote w:id="668">
    <w:p w14:paraId="206A245F" w14:textId="4BD0656A" w:rsidR="003320BB" w:rsidRDefault="003320BB">
      <w:pPr>
        <w:pStyle w:val="FootnoteText"/>
      </w:pPr>
      <w:r w:rsidRPr="003320BB">
        <w:rPr>
          <w:rStyle w:val="FootnoteReference"/>
          <w:sz w:val="16"/>
          <w:szCs w:val="16"/>
        </w:rPr>
        <w:footnoteRef/>
      </w:r>
      <w:r w:rsidRPr="003320BB">
        <w:rPr>
          <w:sz w:val="16"/>
          <w:szCs w:val="16"/>
        </w:rPr>
        <w:t xml:space="preserve"> JRL, GB 133 MCK/2/2/3 [Letter Sent from McConnel &amp; Kennedy to Richard Salisbury of Preston, September 1808].</w:t>
      </w:r>
      <w:r>
        <w:t xml:space="preserve"> </w:t>
      </w:r>
    </w:p>
  </w:footnote>
  <w:footnote w:id="669">
    <w:p w14:paraId="1A1B4072" w14:textId="1C7B250F" w:rsidR="00C23282" w:rsidRPr="00704CC3" w:rsidRDefault="00C23282">
      <w:pPr>
        <w:pStyle w:val="FootnoteText"/>
        <w:rPr>
          <w:sz w:val="16"/>
          <w:szCs w:val="16"/>
        </w:rPr>
      </w:pPr>
      <w:r w:rsidRPr="00704CC3">
        <w:rPr>
          <w:rStyle w:val="FootnoteReference"/>
          <w:sz w:val="16"/>
          <w:szCs w:val="16"/>
        </w:rPr>
        <w:footnoteRef/>
      </w:r>
      <w:r w:rsidRPr="00704CC3">
        <w:rPr>
          <w:sz w:val="16"/>
          <w:szCs w:val="16"/>
        </w:rPr>
        <w:t xml:space="preserve"> </w:t>
      </w:r>
      <w:bookmarkStart w:id="210" w:name="_Hlk150084076"/>
      <w:r w:rsidRPr="00704CC3">
        <w:rPr>
          <w:sz w:val="16"/>
          <w:szCs w:val="16"/>
        </w:rPr>
        <w:t>DLSL BS</w:t>
      </w:r>
      <w:r w:rsidR="00704CC3" w:rsidRPr="00704CC3">
        <w:rPr>
          <w:sz w:val="16"/>
          <w:szCs w:val="16"/>
        </w:rPr>
        <w:t xml:space="preserve"> </w:t>
      </w:r>
      <w:r w:rsidRPr="00704CC3">
        <w:rPr>
          <w:sz w:val="16"/>
          <w:szCs w:val="16"/>
        </w:rPr>
        <w:t>677 EVA, DL119 EVA</w:t>
      </w:r>
      <w:r w:rsidR="00BA6ED3" w:rsidRPr="00704CC3">
        <w:rPr>
          <w:sz w:val="16"/>
          <w:szCs w:val="16"/>
        </w:rPr>
        <w:t xml:space="preserve"> R1</w:t>
      </w:r>
      <w:bookmarkEnd w:id="210"/>
      <w:r w:rsidR="00704CC3" w:rsidRPr="00704CC3">
        <w:rPr>
          <w:sz w:val="16"/>
          <w:szCs w:val="16"/>
        </w:rPr>
        <w:t xml:space="preserve"> [Letter from Thomas Evans &amp; Sons and Messrs. </w:t>
      </w:r>
      <w:r w:rsidR="00704CC3" w:rsidRPr="00704CC3">
        <w:rPr>
          <w:sz w:val="16"/>
          <w:szCs w:val="16"/>
        </w:rPr>
        <w:t xml:space="preserve">Bolders, Adey, Lushington &amp; Bolders of London 22 August 1792]. </w:t>
      </w:r>
    </w:p>
  </w:footnote>
  <w:footnote w:id="670">
    <w:p w14:paraId="0C792D5E" w14:textId="1D8B51BF" w:rsidR="00C23282" w:rsidRPr="00704CC3" w:rsidRDefault="00C23282">
      <w:pPr>
        <w:pStyle w:val="FootnoteText"/>
        <w:rPr>
          <w:sz w:val="16"/>
          <w:szCs w:val="16"/>
        </w:rPr>
      </w:pPr>
      <w:r w:rsidRPr="00704CC3">
        <w:rPr>
          <w:rStyle w:val="FootnoteReference"/>
          <w:sz w:val="16"/>
          <w:szCs w:val="16"/>
        </w:rPr>
        <w:footnoteRef/>
      </w:r>
      <w:r w:rsidRPr="00704CC3">
        <w:rPr>
          <w:sz w:val="16"/>
          <w:szCs w:val="16"/>
        </w:rPr>
        <w:t xml:space="preserve"> </w:t>
      </w:r>
      <w:r w:rsidR="00BA6ED3" w:rsidRPr="00704CC3">
        <w:rPr>
          <w:sz w:val="16"/>
          <w:szCs w:val="16"/>
        </w:rPr>
        <w:t>DLSL BS</w:t>
      </w:r>
      <w:r w:rsidR="00704CC3" w:rsidRPr="00704CC3">
        <w:rPr>
          <w:sz w:val="16"/>
          <w:szCs w:val="16"/>
        </w:rPr>
        <w:t xml:space="preserve"> </w:t>
      </w:r>
      <w:r w:rsidR="00BA6ED3" w:rsidRPr="00704CC3">
        <w:rPr>
          <w:sz w:val="16"/>
          <w:szCs w:val="16"/>
        </w:rPr>
        <w:t>677 EVA, DL119 EVA R1</w:t>
      </w:r>
      <w:r w:rsidR="00704CC3" w:rsidRPr="00704CC3">
        <w:rPr>
          <w:sz w:val="16"/>
          <w:szCs w:val="16"/>
        </w:rPr>
        <w:t xml:space="preserve"> [Letters between Thomas Evans &amp; Sons, W. Evans &amp; Co. and Messrs. </w:t>
      </w:r>
      <w:r w:rsidR="00704CC3" w:rsidRPr="00704CC3">
        <w:rPr>
          <w:sz w:val="16"/>
          <w:szCs w:val="16"/>
        </w:rPr>
        <w:t xml:space="preserve">Bolders, Adey, Lushington &amp; Bolders of London, August 1792]. </w:t>
      </w:r>
    </w:p>
  </w:footnote>
  <w:footnote w:id="671">
    <w:p w14:paraId="56C78DF5" w14:textId="64B9274E" w:rsidR="00C23282" w:rsidRDefault="00C23282">
      <w:pPr>
        <w:pStyle w:val="FootnoteText"/>
      </w:pPr>
      <w:r w:rsidRPr="00704CC3">
        <w:rPr>
          <w:rStyle w:val="FootnoteReference"/>
          <w:sz w:val="16"/>
          <w:szCs w:val="16"/>
        </w:rPr>
        <w:footnoteRef/>
      </w:r>
      <w:r w:rsidRPr="00704CC3">
        <w:rPr>
          <w:sz w:val="16"/>
          <w:szCs w:val="16"/>
        </w:rPr>
        <w:t xml:space="preserve"> </w:t>
      </w:r>
      <w:r w:rsidR="00BA6ED3" w:rsidRPr="00704CC3">
        <w:rPr>
          <w:sz w:val="16"/>
          <w:szCs w:val="16"/>
        </w:rPr>
        <w:t>DLSL BS</w:t>
      </w:r>
      <w:r w:rsidR="00704CC3" w:rsidRPr="00704CC3">
        <w:rPr>
          <w:sz w:val="16"/>
          <w:szCs w:val="16"/>
        </w:rPr>
        <w:t xml:space="preserve"> </w:t>
      </w:r>
      <w:r w:rsidR="00BA6ED3" w:rsidRPr="00704CC3">
        <w:rPr>
          <w:sz w:val="16"/>
          <w:szCs w:val="16"/>
        </w:rPr>
        <w:t xml:space="preserve">677 EVA, DL119 EVA </w:t>
      </w:r>
      <w:r w:rsidR="00704CC3" w:rsidRPr="00704CC3">
        <w:rPr>
          <w:sz w:val="16"/>
          <w:szCs w:val="16"/>
        </w:rPr>
        <w:t xml:space="preserve">CB R1 and LB R1 and R2 [Collection of Correspondence and Ledger Entries for Evans, </w:t>
      </w:r>
      <w:r w:rsidR="00704CC3" w:rsidRPr="00704CC3">
        <w:rPr>
          <w:sz w:val="16"/>
          <w:szCs w:val="16"/>
        </w:rPr>
        <w:t>Offley &amp; Sealey of Lisbon].</w:t>
      </w:r>
      <w:r w:rsidR="00704CC3">
        <w:rPr>
          <w:sz w:val="18"/>
          <w:szCs w:val="18"/>
        </w:rPr>
        <w:t xml:space="preserve"> </w:t>
      </w:r>
    </w:p>
  </w:footnote>
  <w:footnote w:id="672">
    <w:p w14:paraId="5C8F93B6" w14:textId="5B138536" w:rsidR="00BA6ED3" w:rsidRPr="003320BB" w:rsidRDefault="00BA6ED3">
      <w:pPr>
        <w:pStyle w:val="FootnoteText"/>
        <w:rPr>
          <w:sz w:val="16"/>
          <w:szCs w:val="16"/>
        </w:rPr>
      </w:pPr>
      <w:r w:rsidRPr="003320BB">
        <w:rPr>
          <w:rStyle w:val="FootnoteReference"/>
          <w:sz w:val="16"/>
          <w:szCs w:val="16"/>
        </w:rPr>
        <w:footnoteRef/>
      </w:r>
      <w:r w:rsidRPr="003320BB">
        <w:rPr>
          <w:sz w:val="16"/>
          <w:szCs w:val="16"/>
        </w:rPr>
        <w:t xml:space="preserve"> </w:t>
      </w:r>
      <w:bookmarkStart w:id="211" w:name="_Hlk156650588"/>
      <w:r w:rsidR="0079647C" w:rsidRPr="003320BB">
        <w:rPr>
          <w:sz w:val="16"/>
          <w:szCs w:val="16"/>
        </w:rPr>
        <w:t>JRL, GB 133 MCK/2/2/2</w:t>
      </w:r>
      <w:r w:rsidR="003320BB" w:rsidRPr="003320BB">
        <w:rPr>
          <w:sz w:val="16"/>
          <w:szCs w:val="16"/>
        </w:rPr>
        <w:t xml:space="preserve"> [Letter Sent from McConnel &amp; Kennedy to </w:t>
      </w:r>
      <w:r w:rsidR="002F6832">
        <w:rPr>
          <w:sz w:val="16"/>
          <w:szCs w:val="16"/>
        </w:rPr>
        <w:t>Phillipe Boise of Vienna</w:t>
      </w:r>
      <w:r w:rsidR="003320BB" w:rsidRPr="003320BB">
        <w:rPr>
          <w:sz w:val="16"/>
          <w:szCs w:val="16"/>
        </w:rPr>
        <w:t xml:space="preserve">, </w:t>
      </w:r>
      <w:r w:rsidR="002F6832">
        <w:rPr>
          <w:sz w:val="16"/>
          <w:szCs w:val="16"/>
        </w:rPr>
        <w:t>February</w:t>
      </w:r>
      <w:r w:rsidR="003320BB" w:rsidRPr="003320BB">
        <w:rPr>
          <w:sz w:val="16"/>
          <w:szCs w:val="16"/>
        </w:rPr>
        <w:t xml:space="preserve"> 1799]. </w:t>
      </w:r>
      <w:bookmarkEnd w:id="211"/>
    </w:p>
  </w:footnote>
  <w:footnote w:id="673">
    <w:p w14:paraId="77350363" w14:textId="0369400A" w:rsidR="003320BB" w:rsidRPr="003320BB" w:rsidRDefault="003320BB">
      <w:pPr>
        <w:pStyle w:val="FootnoteText"/>
        <w:rPr>
          <w:sz w:val="16"/>
          <w:szCs w:val="16"/>
        </w:rPr>
      </w:pPr>
      <w:r w:rsidRPr="003320BB">
        <w:rPr>
          <w:rStyle w:val="FootnoteReference"/>
          <w:sz w:val="16"/>
          <w:szCs w:val="16"/>
        </w:rPr>
        <w:footnoteRef/>
      </w:r>
      <w:r w:rsidRPr="003320BB">
        <w:rPr>
          <w:sz w:val="16"/>
          <w:szCs w:val="16"/>
        </w:rPr>
        <w:t xml:space="preserve"> </w:t>
      </w:r>
      <w:bookmarkStart w:id="212" w:name="_Hlk156650630"/>
      <w:r w:rsidRPr="003320BB">
        <w:rPr>
          <w:sz w:val="16"/>
          <w:szCs w:val="16"/>
        </w:rPr>
        <w:t xml:space="preserve">JRL, GB 133 MCK/2/2/2 </w:t>
      </w:r>
      <w:r w:rsidR="002F6832" w:rsidRPr="002F6832">
        <w:rPr>
          <w:sz w:val="16"/>
          <w:szCs w:val="16"/>
        </w:rPr>
        <w:t>[Letter Sent from McConnel &amp; Kennedy to Phillipe Boise of Vienna, February 1799].</w:t>
      </w:r>
    </w:p>
    <w:bookmarkEnd w:id="212"/>
  </w:footnote>
  <w:footnote w:id="674">
    <w:p w14:paraId="589DBE35" w14:textId="6ACEF6DC" w:rsidR="00BA6ED3" w:rsidRPr="002F6832" w:rsidRDefault="00BA6ED3">
      <w:pPr>
        <w:pStyle w:val="FootnoteText"/>
        <w:rPr>
          <w:sz w:val="16"/>
          <w:szCs w:val="16"/>
        </w:rPr>
      </w:pPr>
      <w:r w:rsidRPr="002F6832">
        <w:rPr>
          <w:rStyle w:val="FootnoteReference"/>
          <w:sz w:val="16"/>
          <w:szCs w:val="16"/>
        </w:rPr>
        <w:footnoteRef/>
      </w:r>
      <w:r w:rsidRPr="002F6832">
        <w:rPr>
          <w:sz w:val="16"/>
          <w:szCs w:val="16"/>
        </w:rPr>
        <w:t xml:space="preserve"> </w:t>
      </w:r>
      <w:r w:rsidR="002F6832" w:rsidRPr="002F6832">
        <w:rPr>
          <w:sz w:val="16"/>
          <w:szCs w:val="16"/>
        </w:rPr>
        <w:t>JRL, GB 133 MCK/2/2/2 [Letter Sent from McConnel &amp; Kennedy to Edward Simeon of London, February 1799].</w:t>
      </w:r>
    </w:p>
  </w:footnote>
  <w:footnote w:id="675">
    <w:p w14:paraId="3144A80B" w14:textId="3EACBA06" w:rsidR="00BA6ED3" w:rsidRPr="002F6832" w:rsidRDefault="00BA6ED3">
      <w:pPr>
        <w:pStyle w:val="FootnoteText"/>
        <w:rPr>
          <w:sz w:val="16"/>
          <w:szCs w:val="16"/>
        </w:rPr>
      </w:pPr>
      <w:r w:rsidRPr="002F6832">
        <w:rPr>
          <w:rStyle w:val="FootnoteReference"/>
          <w:sz w:val="16"/>
          <w:szCs w:val="16"/>
        </w:rPr>
        <w:footnoteRef/>
      </w:r>
      <w:r w:rsidRPr="002F6832">
        <w:rPr>
          <w:sz w:val="16"/>
          <w:szCs w:val="16"/>
        </w:rPr>
        <w:t xml:space="preserve"> </w:t>
      </w:r>
      <w:r w:rsidR="00F44EF9" w:rsidRPr="002F6832">
        <w:rPr>
          <w:sz w:val="16"/>
          <w:szCs w:val="16"/>
        </w:rPr>
        <w:t>JRL, GB 133 MCK/2/2/2</w:t>
      </w:r>
      <w:r w:rsidR="002F6832">
        <w:rPr>
          <w:sz w:val="16"/>
          <w:szCs w:val="16"/>
        </w:rPr>
        <w:t xml:space="preserve"> </w:t>
      </w:r>
      <w:r w:rsidR="002F6832" w:rsidRPr="002F6832">
        <w:rPr>
          <w:sz w:val="16"/>
          <w:szCs w:val="16"/>
        </w:rPr>
        <w:t>[Letter Sent from McConnel &amp; Kennedy to Edward Simeon of London, February 1799].</w:t>
      </w:r>
    </w:p>
  </w:footnote>
  <w:footnote w:id="676">
    <w:p w14:paraId="40A1AC94" w14:textId="46492417" w:rsidR="00BA3E59" w:rsidRPr="002F6832" w:rsidRDefault="00BA3E59">
      <w:pPr>
        <w:pStyle w:val="FootnoteText"/>
        <w:rPr>
          <w:sz w:val="16"/>
          <w:szCs w:val="16"/>
        </w:rPr>
      </w:pPr>
      <w:r w:rsidRPr="002F6832">
        <w:rPr>
          <w:rStyle w:val="FootnoteReference"/>
          <w:sz w:val="16"/>
          <w:szCs w:val="16"/>
        </w:rPr>
        <w:footnoteRef/>
      </w:r>
      <w:r w:rsidRPr="002F6832">
        <w:rPr>
          <w:sz w:val="16"/>
          <w:szCs w:val="16"/>
        </w:rPr>
        <w:t xml:space="preserve"> JRL, GB 133 MCK/2/2/3</w:t>
      </w:r>
      <w:r w:rsidR="002F6832" w:rsidRPr="002F6832">
        <w:rPr>
          <w:sz w:val="16"/>
          <w:szCs w:val="16"/>
        </w:rPr>
        <w:t xml:space="preserve"> [Letter Sent from McConnel &amp; Kennedy to Messrs. </w:t>
      </w:r>
      <w:r w:rsidR="002F6832" w:rsidRPr="002F6832">
        <w:rPr>
          <w:sz w:val="16"/>
          <w:szCs w:val="16"/>
        </w:rPr>
        <w:t xml:space="preserve">Schmidtmeyer &amp; Co. of London, 7 July 1807]. </w:t>
      </w:r>
    </w:p>
  </w:footnote>
  <w:footnote w:id="677">
    <w:p w14:paraId="640489F5" w14:textId="483E790C" w:rsidR="002F6832" w:rsidRPr="002F6832" w:rsidRDefault="002F6832">
      <w:pPr>
        <w:pStyle w:val="FootnoteText"/>
        <w:rPr>
          <w:sz w:val="16"/>
          <w:szCs w:val="16"/>
        </w:rPr>
      </w:pPr>
      <w:r w:rsidRPr="002F6832">
        <w:rPr>
          <w:rStyle w:val="FootnoteReference"/>
          <w:sz w:val="16"/>
          <w:szCs w:val="16"/>
        </w:rPr>
        <w:footnoteRef/>
      </w:r>
      <w:r w:rsidRPr="002F6832">
        <w:rPr>
          <w:sz w:val="16"/>
          <w:szCs w:val="16"/>
        </w:rPr>
        <w:t xml:space="preserve"> JRL, GB 133 MCK/2/2/3 [Letter Sent from McConnel &amp; Kennedy to Messrs. </w:t>
      </w:r>
      <w:r w:rsidRPr="002F6832">
        <w:rPr>
          <w:sz w:val="16"/>
          <w:szCs w:val="16"/>
        </w:rPr>
        <w:t>Schmidtmeyer &amp; Co. of London, 7 July 1807].</w:t>
      </w:r>
    </w:p>
  </w:footnote>
  <w:footnote w:id="678">
    <w:p w14:paraId="571D0370" w14:textId="1F1B18B1" w:rsidR="00AC4E9B" w:rsidRPr="002F6832" w:rsidRDefault="00AC4E9B">
      <w:pPr>
        <w:pStyle w:val="FootnoteText"/>
        <w:rPr>
          <w:sz w:val="16"/>
          <w:szCs w:val="16"/>
        </w:rPr>
      </w:pPr>
      <w:r w:rsidRPr="002F6832">
        <w:rPr>
          <w:rStyle w:val="FootnoteReference"/>
          <w:sz w:val="16"/>
          <w:szCs w:val="16"/>
        </w:rPr>
        <w:footnoteRef/>
      </w:r>
      <w:r w:rsidRPr="002F6832">
        <w:rPr>
          <w:sz w:val="16"/>
          <w:szCs w:val="16"/>
        </w:rPr>
        <w:t xml:space="preserve"> </w:t>
      </w:r>
      <w:r w:rsidR="002F6832" w:rsidRPr="002F6832">
        <w:rPr>
          <w:sz w:val="16"/>
          <w:szCs w:val="16"/>
        </w:rPr>
        <w:t xml:space="preserve">JRL, GB 133 MCK/2/2/3 [Letter Sent from McConnel &amp; Kennedy to Messrs. </w:t>
      </w:r>
      <w:r w:rsidR="002F6832" w:rsidRPr="002F6832">
        <w:rPr>
          <w:sz w:val="16"/>
          <w:szCs w:val="16"/>
        </w:rPr>
        <w:t>Schmidtmeyer &amp; Co. of London, 7 July 1807].</w:t>
      </w:r>
    </w:p>
  </w:footnote>
  <w:footnote w:id="679">
    <w:p w14:paraId="4EC8DDE6" w14:textId="27EA456B" w:rsidR="00215DF1" w:rsidRPr="002F6832" w:rsidRDefault="00215DF1">
      <w:pPr>
        <w:pStyle w:val="FootnoteText"/>
        <w:rPr>
          <w:sz w:val="16"/>
          <w:szCs w:val="16"/>
        </w:rPr>
      </w:pPr>
      <w:r w:rsidRPr="002F6832">
        <w:rPr>
          <w:rStyle w:val="FootnoteReference"/>
          <w:sz w:val="16"/>
          <w:szCs w:val="16"/>
        </w:rPr>
        <w:footnoteRef/>
      </w:r>
      <w:r w:rsidRPr="002F6832">
        <w:rPr>
          <w:sz w:val="16"/>
          <w:szCs w:val="16"/>
        </w:rPr>
        <w:t xml:space="preserve"> </w:t>
      </w:r>
      <w:r w:rsidR="006D4F2C" w:rsidRPr="002F6832">
        <w:rPr>
          <w:sz w:val="16"/>
          <w:szCs w:val="16"/>
        </w:rPr>
        <w:t>JRL, GB 133 MCK/2/2/5</w:t>
      </w:r>
      <w:r w:rsidR="002F6832" w:rsidRPr="002F6832">
        <w:rPr>
          <w:sz w:val="16"/>
          <w:szCs w:val="16"/>
        </w:rPr>
        <w:t xml:space="preserve"> [Letter Sent from McConnel &amp; Kennedy to Sheldon, Cass &amp; Co. of London, September 1814]. </w:t>
      </w:r>
    </w:p>
  </w:footnote>
  <w:footnote w:id="680">
    <w:p w14:paraId="26884CD8" w14:textId="2196B055" w:rsidR="00BC0AC5" w:rsidRPr="00A8028D" w:rsidRDefault="00BC0AC5">
      <w:pPr>
        <w:pStyle w:val="FootnoteText"/>
        <w:rPr>
          <w:sz w:val="16"/>
          <w:szCs w:val="16"/>
        </w:rPr>
      </w:pPr>
      <w:r w:rsidRPr="00A8028D">
        <w:rPr>
          <w:rStyle w:val="FootnoteReference"/>
          <w:sz w:val="16"/>
          <w:szCs w:val="16"/>
        </w:rPr>
        <w:footnoteRef/>
      </w:r>
      <w:r w:rsidRPr="00A8028D">
        <w:rPr>
          <w:sz w:val="16"/>
          <w:szCs w:val="16"/>
        </w:rPr>
        <w:t xml:space="preserve"> DLSL, BS 677 EVA, DL119 CB R1 [</w:t>
      </w:r>
      <w:r w:rsidR="00A8028D" w:rsidRPr="00A8028D">
        <w:rPr>
          <w:sz w:val="16"/>
          <w:szCs w:val="16"/>
        </w:rPr>
        <w:t xml:space="preserve">Letter Sent from Thomas Evans to Mr. J. Barclay, Sun Office, Royal Exchange, London regarding Paper Mill that burned down, 3 January 1792]. </w:t>
      </w:r>
    </w:p>
  </w:footnote>
  <w:footnote w:id="681">
    <w:p w14:paraId="3E74237B" w14:textId="7C7E55A3" w:rsidR="00011957" w:rsidRPr="00A8028D" w:rsidRDefault="00011957">
      <w:pPr>
        <w:pStyle w:val="FootnoteText"/>
        <w:rPr>
          <w:sz w:val="16"/>
          <w:szCs w:val="16"/>
        </w:rPr>
      </w:pPr>
      <w:r w:rsidRPr="00A8028D">
        <w:rPr>
          <w:rStyle w:val="FootnoteReference"/>
          <w:sz w:val="16"/>
          <w:szCs w:val="16"/>
        </w:rPr>
        <w:footnoteRef/>
      </w:r>
      <w:r w:rsidRPr="00A8028D">
        <w:rPr>
          <w:sz w:val="16"/>
          <w:szCs w:val="16"/>
        </w:rPr>
        <w:t xml:space="preserve"> </w:t>
      </w:r>
      <w:bookmarkStart w:id="213" w:name="_Hlk156651376"/>
      <w:r w:rsidRPr="00A8028D">
        <w:rPr>
          <w:sz w:val="16"/>
          <w:szCs w:val="16"/>
        </w:rPr>
        <w:t>DLSL</w:t>
      </w:r>
      <w:r w:rsidR="00876511" w:rsidRPr="00A8028D">
        <w:rPr>
          <w:sz w:val="16"/>
          <w:szCs w:val="16"/>
        </w:rPr>
        <w:t>,</w:t>
      </w:r>
      <w:r w:rsidRPr="00A8028D">
        <w:rPr>
          <w:sz w:val="16"/>
          <w:szCs w:val="16"/>
        </w:rPr>
        <w:t xml:space="preserve"> </w:t>
      </w:r>
      <w:r w:rsidR="00D75E31" w:rsidRPr="00A8028D">
        <w:rPr>
          <w:sz w:val="16"/>
          <w:szCs w:val="16"/>
        </w:rPr>
        <w:t>BS</w:t>
      </w:r>
      <w:r w:rsidR="00876511" w:rsidRPr="00A8028D">
        <w:rPr>
          <w:sz w:val="16"/>
          <w:szCs w:val="16"/>
        </w:rPr>
        <w:t xml:space="preserve"> </w:t>
      </w:r>
      <w:r w:rsidR="00D75E31" w:rsidRPr="00A8028D">
        <w:rPr>
          <w:sz w:val="16"/>
          <w:szCs w:val="16"/>
        </w:rPr>
        <w:t>677 EVA, DL119 CB R1</w:t>
      </w:r>
      <w:r w:rsidR="00876511" w:rsidRPr="00A8028D">
        <w:rPr>
          <w:sz w:val="16"/>
          <w:szCs w:val="16"/>
        </w:rPr>
        <w:t xml:space="preserve"> [Letter Sent from Thomas Evans &amp; Sons to Richard Johnson, Millwright of Maidstone, Kent</w:t>
      </w:r>
      <w:r w:rsidR="00A8028D">
        <w:rPr>
          <w:sz w:val="16"/>
          <w:szCs w:val="16"/>
        </w:rPr>
        <w:t>,</w:t>
      </w:r>
      <w:r w:rsidR="00876511" w:rsidRPr="00A8028D">
        <w:rPr>
          <w:sz w:val="16"/>
          <w:szCs w:val="16"/>
        </w:rPr>
        <w:t xml:space="preserve"> </w:t>
      </w:r>
      <w:r w:rsidR="00A8028D">
        <w:rPr>
          <w:sz w:val="16"/>
          <w:szCs w:val="16"/>
        </w:rPr>
        <w:t>26</w:t>
      </w:r>
      <w:r w:rsidR="00876511" w:rsidRPr="00A8028D">
        <w:rPr>
          <w:sz w:val="16"/>
          <w:szCs w:val="16"/>
        </w:rPr>
        <w:t xml:space="preserve"> </w:t>
      </w:r>
      <w:r w:rsidR="00A8028D">
        <w:rPr>
          <w:sz w:val="16"/>
          <w:szCs w:val="16"/>
        </w:rPr>
        <w:t>November</w:t>
      </w:r>
      <w:r w:rsidR="00876511" w:rsidRPr="00A8028D">
        <w:rPr>
          <w:sz w:val="16"/>
          <w:szCs w:val="16"/>
        </w:rPr>
        <w:t xml:space="preserve"> 1791].   </w:t>
      </w:r>
      <w:bookmarkEnd w:id="213"/>
    </w:p>
  </w:footnote>
  <w:footnote w:id="682">
    <w:p w14:paraId="2AE4A176" w14:textId="49B5CA56" w:rsidR="00A8028D" w:rsidRPr="00A8028D" w:rsidRDefault="00A8028D">
      <w:pPr>
        <w:pStyle w:val="FootnoteText"/>
        <w:rPr>
          <w:sz w:val="16"/>
          <w:szCs w:val="16"/>
        </w:rPr>
      </w:pPr>
      <w:r w:rsidRPr="00A8028D">
        <w:rPr>
          <w:rStyle w:val="FootnoteReference"/>
          <w:sz w:val="16"/>
          <w:szCs w:val="16"/>
        </w:rPr>
        <w:footnoteRef/>
      </w:r>
      <w:r w:rsidRPr="00A8028D">
        <w:rPr>
          <w:sz w:val="16"/>
          <w:szCs w:val="16"/>
        </w:rPr>
        <w:t xml:space="preserve"> DLSL, BS 677 EVA, DL119 CB R1 [Letter Sent from Thomas Evans &amp; Sons to Richard Johnson, Millwright of Maidstone, Kent</w:t>
      </w:r>
      <w:r>
        <w:rPr>
          <w:sz w:val="16"/>
          <w:szCs w:val="16"/>
        </w:rPr>
        <w:t>,</w:t>
      </w:r>
      <w:r w:rsidRPr="00A8028D">
        <w:rPr>
          <w:sz w:val="16"/>
          <w:szCs w:val="16"/>
        </w:rPr>
        <w:t xml:space="preserve"> </w:t>
      </w:r>
      <w:r>
        <w:rPr>
          <w:sz w:val="16"/>
          <w:szCs w:val="16"/>
        </w:rPr>
        <w:t>26</w:t>
      </w:r>
      <w:r w:rsidRPr="00A8028D">
        <w:rPr>
          <w:sz w:val="16"/>
          <w:szCs w:val="16"/>
        </w:rPr>
        <w:t xml:space="preserve"> </w:t>
      </w:r>
      <w:r>
        <w:rPr>
          <w:sz w:val="16"/>
          <w:szCs w:val="16"/>
        </w:rPr>
        <w:t>November</w:t>
      </w:r>
      <w:r w:rsidRPr="00A8028D">
        <w:rPr>
          <w:sz w:val="16"/>
          <w:szCs w:val="16"/>
        </w:rPr>
        <w:t xml:space="preserve"> 1791].   </w:t>
      </w:r>
    </w:p>
  </w:footnote>
  <w:footnote w:id="683">
    <w:p w14:paraId="6581EE4F" w14:textId="69A43F6A" w:rsidR="00A8028D" w:rsidRPr="00A8028D" w:rsidRDefault="00A8028D">
      <w:pPr>
        <w:pStyle w:val="FootnoteText"/>
        <w:rPr>
          <w:sz w:val="16"/>
          <w:szCs w:val="16"/>
        </w:rPr>
      </w:pPr>
      <w:r w:rsidRPr="00A8028D">
        <w:rPr>
          <w:rStyle w:val="FootnoteReference"/>
          <w:sz w:val="16"/>
          <w:szCs w:val="16"/>
        </w:rPr>
        <w:footnoteRef/>
      </w:r>
      <w:r w:rsidRPr="00A8028D">
        <w:rPr>
          <w:sz w:val="16"/>
          <w:szCs w:val="16"/>
        </w:rPr>
        <w:t xml:space="preserve"> DLSL, BS 677 EVA, DL119 CB R1 [Letter Sent from Thomas Evans &amp; Sons to Richard Johnson, Millwright of Maidstone, Kent </w:t>
      </w:r>
      <w:r>
        <w:rPr>
          <w:sz w:val="16"/>
          <w:szCs w:val="16"/>
        </w:rPr>
        <w:t>26</w:t>
      </w:r>
      <w:r w:rsidRPr="00A8028D">
        <w:rPr>
          <w:sz w:val="16"/>
          <w:szCs w:val="16"/>
        </w:rPr>
        <w:t xml:space="preserve"> </w:t>
      </w:r>
      <w:r>
        <w:rPr>
          <w:sz w:val="16"/>
          <w:szCs w:val="16"/>
        </w:rPr>
        <w:t>November</w:t>
      </w:r>
      <w:r w:rsidRPr="00A8028D">
        <w:rPr>
          <w:sz w:val="16"/>
          <w:szCs w:val="16"/>
        </w:rPr>
        <w:t xml:space="preserve"> 1791].   </w:t>
      </w:r>
    </w:p>
  </w:footnote>
  <w:footnote w:id="684">
    <w:p w14:paraId="3C0337DD" w14:textId="667165AC" w:rsidR="00A8028D" w:rsidRPr="00A8028D" w:rsidRDefault="00A8028D">
      <w:pPr>
        <w:pStyle w:val="FootnoteText"/>
        <w:rPr>
          <w:sz w:val="16"/>
          <w:szCs w:val="16"/>
        </w:rPr>
      </w:pPr>
      <w:r w:rsidRPr="00A8028D">
        <w:rPr>
          <w:rStyle w:val="FootnoteReference"/>
          <w:sz w:val="16"/>
          <w:szCs w:val="16"/>
        </w:rPr>
        <w:footnoteRef/>
      </w:r>
      <w:r w:rsidRPr="00A8028D">
        <w:rPr>
          <w:sz w:val="16"/>
          <w:szCs w:val="16"/>
        </w:rPr>
        <w:t xml:space="preserve"> DLSL, BS 677 EVA, DL119 CB R1 [Letter Sent from Thomas Evans &amp; Sons to Richard Johnson, Millwright of Maidstone, Kent 10 December 1791].   </w:t>
      </w:r>
    </w:p>
  </w:footnote>
  <w:footnote w:id="685">
    <w:p w14:paraId="3AE4307D" w14:textId="1710922A" w:rsidR="00A8028D" w:rsidRPr="00A8028D" w:rsidRDefault="00A8028D">
      <w:pPr>
        <w:pStyle w:val="FootnoteText"/>
        <w:rPr>
          <w:sz w:val="16"/>
          <w:szCs w:val="16"/>
        </w:rPr>
      </w:pPr>
      <w:r w:rsidRPr="00A8028D">
        <w:rPr>
          <w:rStyle w:val="FootnoteReference"/>
          <w:sz w:val="16"/>
          <w:szCs w:val="16"/>
        </w:rPr>
        <w:footnoteRef/>
      </w:r>
      <w:r w:rsidRPr="00A8028D">
        <w:rPr>
          <w:sz w:val="16"/>
          <w:szCs w:val="16"/>
        </w:rPr>
        <w:t xml:space="preserve"> DLSL, BS 677 EVA, DL119 CB R1 [Letter Sent from Thomas Evans &amp; Sons to Richard Johnson, Millwright of Maidstone, Kent 10 December 1791].   </w:t>
      </w:r>
    </w:p>
  </w:footnote>
  <w:footnote w:id="686">
    <w:p w14:paraId="5E6035FC" w14:textId="3625E8DE" w:rsidR="00A8028D" w:rsidRPr="00A8028D" w:rsidRDefault="00A8028D">
      <w:pPr>
        <w:pStyle w:val="FootnoteText"/>
        <w:rPr>
          <w:sz w:val="16"/>
          <w:szCs w:val="16"/>
        </w:rPr>
      </w:pPr>
      <w:r w:rsidRPr="00A8028D">
        <w:rPr>
          <w:rStyle w:val="FootnoteReference"/>
          <w:sz w:val="16"/>
          <w:szCs w:val="16"/>
        </w:rPr>
        <w:footnoteRef/>
      </w:r>
      <w:r w:rsidRPr="00A8028D">
        <w:rPr>
          <w:sz w:val="16"/>
          <w:szCs w:val="16"/>
        </w:rPr>
        <w:t xml:space="preserve"> </w:t>
      </w:r>
      <w:r>
        <w:rPr>
          <w:sz w:val="16"/>
          <w:szCs w:val="16"/>
        </w:rPr>
        <w:t xml:space="preserve"> </w:t>
      </w:r>
      <w:r w:rsidRPr="00A8028D">
        <w:rPr>
          <w:sz w:val="16"/>
          <w:szCs w:val="16"/>
        </w:rPr>
        <w:t xml:space="preserve">Trivellato </w:t>
      </w:r>
      <w:r w:rsidRPr="00A8028D">
        <w:rPr>
          <w:i/>
          <w:iCs/>
          <w:sz w:val="16"/>
          <w:szCs w:val="16"/>
        </w:rPr>
        <w:t>The Familiarity of Strangers</w:t>
      </w:r>
      <w:r w:rsidRPr="00A8028D">
        <w:rPr>
          <w:sz w:val="16"/>
          <w:szCs w:val="16"/>
        </w:rPr>
        <w:t>, p</w:t>
      </w:r>
      <w:r>
        <w:rPr>
          <w:sz w:val="16"/>
          <w:szCs w:val="16"/>
        </w:rPr>
        <w:t xml:space="preserve">. </w:t>
      </w:r>
      <w:r w:rsidRPr="00A8028D">
        <w:rPr>
          <w:sz w:val="16"/>
          <w:szCs w:val="16"/>
        </w:rPr>
        <w:t xml:space="preserve">20.  </w:t>
      </w:r>
    </w:p>
  </w:footnote>
  <w:footnote w:id="687">
    <w:p w14:paraId="65E587F7" w14:textId="38D5B04B" w:rsidR="00DF3D8C" w:rsidRPr="00014077" w:rsidRDefault="00DF3D8C">
      <w:pPr>
        <w:pStyle w:val="FootnoteText"/>
        <w:rPr>
          <w:sz w:val="18"/>
          <w:szCs w:val="18"/>
        </w:rPr>
      </w:pPr>
      <w:r w:rsidRPr="00A8028D">
        <w:rPr>
          <w:rStyle w:val="FootnoteReference"/>
          <w:sz w:val="16"/>
          <w:szCs w:val="16"/>
        </w:rPr>
        <w:footnoteRef/>
      </w:r>
      <w:r w:rsidRPr="00A8028D">
        <w:rPr>
          <w:sz w:val="16"/>
          <w:szCs w:val="16"/>
        </w:rPr>
        <w:t xml:space="preserve"> </w:t>
      </w:r>
      <w:r w:rsidR="00A8028D">
        <w:rPr>
          <w:sz w:val="16"/>
          <w:szCs w:val="16"/>
        </w:rPr>
        <w:t xml:space="preserve"> </w:t>
      </w:r>
      <w:r w:rsidR="00A8028D" w:rsidRPr="00A8028D">
        <w:rPr>
          <w:i/>
          <w:iCs/>
          <w:sz w:val="16"/>
          <w:szCs w:val="16"/>
        </w:rPr>
        <w:t>Ibid</w:t>
      </w:r>
      <w:r w:rsidR="00A8028D">
        <w:rPr>
          <w:sz w:val="16"/>
          <w:szCs w:val="16"/>
        </w:rPr>
        <w:t>.</w:t>
      </w:r>
      <w:r w:rsidR="0028608D" w:rsidRPr="00A8028D">
        <w:rPr>
          <w:sz w:val="16"/>
          <w:szCs w:val="16"/>
        </w:rPr>
        <w:t>, p</w:t>
      </w:r>
      <w:r w:rsidR="00A8028D">
        <w:rPr>
          <w:sz w:val="16"/>
          <w:szCs w:val="16"/>
        </w:rPr>
        <w:t xml:space="preserve">. </w:t>
      </w:r>
      <w:r w:rsidRPr="00A8028D">
        <w:rPr>
          <w:sz w:val="16"/>
          <w:szCs w:val="16"/>
        </w:rPr>
        <w:t>20.</w:t>
      </w:r>
      <w:r w:rsidRPr="00014077">
        <w:rPr>
          <w:sz w:val="18"/>
          <w:szCs w:val="18"/>
        </w:rPr>
        <w:t xml:space="preserve">  </w:t>
      </w:r>
    </w:p>
  </w:footnote>
  <w:footnote w:id="688">
    <w:p w14:paraId="656C16E7" w14:textId="2C81EF22" w:rsidR="003D1BF2" w:rsidRPr="00BC0AC5" w:rsidRDefault="003D1BF2">
      <w:pPr>
        <w:pStyle w:val="FootnoteText"/>
        <w:rPr>
          <w:sz w:val="16"/>
          <w:szCs w:val="16"/>
        </w:rPr>
      </w:pPr>
      <w:r w:rsidRPr="00BC0AC5">
        <w:rPr>
          <w:rStyle w:val="FootnoteReference"/>
          <w:sz w:val="16"/>
          <w:szCs w:val="16"/>
        </w:rPr>
        <w:footnoteRef/>
      </w:r>
      <w:r w:rsidRPr="00BC0AC5">
        <w:rPr>
          <w:sz w:val="16"/>
          <w:szCs w:val="16"/>
        </w:rPr>
        <w:t xml:space="preserve"> </w:t>
      </w:r>
      <w:r w:rsidR="00093D6C" w:rsidRPr="00BC0AC5">
        <w:rPr>
          <w:sz w:val="16"/>
          <w:szCs w:val="16"/>
        </w:rPr>
        <w:t xml:space="preserve">Avner Greif, ‘Reputation and Coalitions in Medieval Trade: The Evidence on the </w:t>
      </w:r>
      <w:r w:rsidR="00093D6C" w:rsidRPr="00BC0AC5">
        <w:rPr>
          <w:sz w:val="16"/>
          <w:szCs w:val="16"/>
        </w:rPr>
        <w:t xml:space="preserve">Maghribi Traders,’ </w:t>
      </w:r>
      <w:r w:rsidR="00093D6C" w:rsidRPr="00BC0AC5">
        <w:rPr>
          <w:i/>
          <w:iCs/>
          <w:sz w:val="16"/>
          <w:szCs w:val="16"/>
        </w:rPr>
        <w:t xml:space="preserve">Journal </w:t>
      </w:r>
      <w:r w:rsidR="009E467C" w:rsidRPr="00BC0AC5">
        <w:rPr>
          <w:i/>
          <w:iCs/>
          <w:sz w:val="16"/>
          <w:szCs w:val="16"/>
        </w:rPr>
        <w:t>of Economic</w:t>
      </w:r>
      <w:r w:rsidR="00093D6C" w:rsidRPr="00BC0AC5">
        <w:rPr>
          <w:i/>
          <w:iCs/>
          <w:sz w:val="16"/>
          <w:szCs w:val="16"/>
        </w:rPr>
        <w:t xml:space="preserve"> History,</w:t>
      </w:r>
      <w:r w:rsidR="00093D6C" w:rsidRPr="00BC0AC5">
        <w:rPr>
          <w:sz w:val="16"/>
          <w:szCs w:val="16"/>
        </w:rPr>
        <w:t xml:space="preserve"> 49:4 (1989), pp.</w:t>
      </w:r>
      <w:r w:rsidR="00BC0AC5" w:rsidRPr="00BC0AC5">
        <w:rPr>
          <w:sz w:val="16"/>
          <w:szCs w:val="16"/>
        </w:rPr>
        <w:t xml:space="preserve"> 857-882 (p.</w:t>
      </w:r>
      <w:r w:rsidR="00093D6C" w:rsidRPr="00BC0AC5">
        <w:rPr>
          <w:sz w:val="16"/>
          <w:szCs w:val="16"/>
        </w:rPr>
        <w:t xml:space="preserve"> 868</w:t>
      </w:r>
      <w:r w:rsidR="00BC0AC5" w:rsidRPr="00BC0AC5">
        <w:rPr>
          <w:sz w:val="16"/>
          <w:szCs w:val="16"/>
        </w:rPr>
        <w:t>)</w:t>
      </w:r>
      <w:r w:rsidR="00093D6C" w:rsidRPr="00BC0AC5">
        <w:rPr>
          <w:sz w:val="16"/>
          <w:szCs w:val="16"/>
        </w:rPr>
        <w:t>.</w:t>
      </w:r>
    </w:p>
  </w:footnote>
  <w:footnote w:id="689">
    <w:p w14:paraId="6399F303" w14:textId="243F1488" w:rsidR="00953E7A" w:rsidRPr="00A8028D" w:rsidRDefault="00953E7A">
      <w:pPr>
        <w:pStyle w:val="FootnoteText"/>
        <w:rPr>
          <w:sz w:val="16"/>
          <w:szCs w:val="16"/>
        </w:rPr>
      </w:pPr>
      <w:r w:rsidRPr="00A8028D">
        <w:rPr>
          <w:rStyle w:val="FootnoteReference"/>
          <w:sz w:val="16"/>
          <w:szCs w:val="16"/>
        </w:rPr>
        <w:footnoteRef/>
      </w:r>
      <w:r w:rsidRPr="00A8028D">
        <w:rPr>
          <w:sz w:val="16"/>
          <w:szCs w:val="16"/>
        </w:rPr>
        <w:t xml:space="preserve"> </w:t>
      </w:r>
      <w:r w:rsidR="009E467C" w:rsidRPr="00A8028D">
        <w:rPr>
          <w:sz w:val="16"/>
          <w:szCs w:val="16"/>
        </w:rPr>
        <w:t xml:space="preserve">John F. O’Brien, ‘The Character of Credit: Defoe's "Lady Credit," "The Fortunate Mistress", and the Resources of Inconsistency in Early Eighteenth-Century Britain,’ </w:t>
      </w:r>
      <w:r w:rsidR="009E467C" w:rsidRPr="00A8028D">
        <w:rPr>
          <w:i/>
          <w:iCs/>
          <w:sz w:val="16"/>
          <w:szCs w:val="16"/>
        </w:rPr>
        <w:t>ELH</w:t>
      </w:r>
      <w:r w:rsidR="009E467C" w:rsidRPr="00A8028D">
        <w:rPr>
          <w:sz w:val="16"/>
          <w:szCs w:val="16"/>
        </w:rPr>
        <w:t xml:space="preserve">, 63:3, (1996), pp. 603-631.  </w:t>
      </w:r>
    </w:p>
  </w:footnote>
  <w:footnote w:id="690">
    <w:p w14:paraId="5D70D22C" w14:textId="22F95C56" w:rsidR="00994881" w:rsidRPr="00A8028D" w:rsidRDefault="00994881">
      <w:pPr>
        <w:pStyle w:val="FootnoteText"/>
        <w:rPr>
          <w:sz w:val="16"/>
          <w:szCs w:val="16"/>
        </w:rPr>
      </w:pPr>
      <w:r w:rsidRPr="00A8028D">
        <w:rPr>
          <w:rStyle w:val="FootnoteReference"/>
          <w:sz w:val="16"/>
          <w:szCs w:val="16"/>
        </w:rPr>
        <w:footnoteRef/>
      </w:r>
      <w:r w:rsidRPr="00A8028D">
        <w:rPr>
          <w:sz w:val="16"/>
          <w:szCs w:val="16"/>
        </w:rPr>
        <w:t xml:space="preserve"> </w:t>
      </w:r>
      <w:r w:rsidR="00A8028D" w:rsidRPr="00A8028D">
        <w:rPr>
          <w:sz w:val="16"/>
          <w:szCs w:val="16"/>
        </w:rPr>
        <w:t xml:space="preserve">Robert S. Fitton and Alfred P. Wadsworth, </w:t>
      </w:r>
      <w:r w:rsidR="00A8028D" w:rsidRPr="00A8028D">
        <w:rPr>
          <w:i/>
          <w:iCs/>
          <w:sz w:val="16"/>
          <w:szCs w:val="16"/>
        </w:rPr>
        <w:t xml:space="preserve">The </w:t>
      </w:r>
      <w:r w:rsidR="00A8028D" w:rsidRPr="00A8028D">
        <w:rPr>
          <w:i/>
          <w:iCs/>
          <w:sz w:val="16"/>
          <w:szCs w:val="16"/>
        </w:rPr>
        <w:t>Strutts and the Arkwrights, 1758-1830</w:t>
      </w:r>
      <w:r w:rsidR="00A8028D" w:rsidRPr="00A8028D">
        <w:rPr>
          <w:sz w:val="16"/>
          <w:szCs w:val="16"/>
        </w:rPr>
        <w:t xml:space="preserve"> (Manchester: Manchester University Press, 1958), pp. 166-167.</w:t>
      </w:r>
    </w:p>
  </w:footnote>
  <w:footnote w:id="691">
    <w:p w14:paraId="7B03A4F6" w14:textId="14E63608" w:rsidR="00A51414" w:rsidRPr="00A51414" w:rsidRDefault="00A51414">
      <w:pPr>
        <w:pStyle w:val="FootnoteText"/>
        <w:rPr>
          <w:sz w:val="16"/>
          <w:szCs w:val="16"/>
        </w:rPr>
      </w:pPr>
      <w:r w:rsidRPr="00A51414">
        <w:rPr>
          <w:rStyle w:val="FootnoteReference"/>
          <w:sz w:val="16"/>
          <w:szCs w:val="16"/>
        </w:rPr>
        <w:footnoteRef/>
      </w:r>
      <w:r w:rsidRPr="00A51414">
        <w:rPr>
          <w:sz w:val="16"/>
          <w:szCs w:val="16"/>
        </w:rPr>
        <w:t xml:space="preserve"> Fitton and Wadsworth, </w:t>
      </w:r>
      <w:r w:rsidRPr="00A51414">
        <w:rPr>
          <w:i/>
          <w:iCs/>
          <w:sz w:val="16"/>
          <w:szCs w:val="16"/>
        </w:rPr>
        <w:t xml:space="preserve">The </w:t>
      </w:r>
      <w:r w:rsidRPr="00A51414">
        <w:rPr>
          <w:i/>
          <w:iCs/>
          <w:sz w:val="16"/>
          <w:szCs w:val="16"/>
        </w:rPr>
        <w:t>Strutts and the Arkwrights</w:t>
      </w:r>
      <w:r w:rsidRPr="00A51414">
        <w:rPr>
          <w:sz w:val="16"/>
          <w:szCs w:val="16"/>
        </w:rPr>
        <w:t xml:space="preserve">, pp. 166-167. </w:t>
      </w:r>
    </w:p>
  </w:footnote>
  <w:footnote w:id="692">
    <w:p w14:paraId="4AD56691" w14:textId="77777777" w:rsidR="00A51414" w:rsidRPr="00A51414" w:rsidRDefault="00A51414" w:rsidP="00A51414">
      <w:pPr>
        <w:pStyle w:val="FootnoteText"/>
        <w:rPr>
          <w:sz w:val="16"/>
          <w:szCs w:val="16"/>
        </w:rPr>
      </w:pPr>
      <w:r w:rsidRPr="00A51414">
        <w:rPr>
          <w:rStyle w:val="FootnoteReference"/>
          <w:sz w:val="16"/>
          <w:szCs w:val="16"/>
        </w:rPr>
        <w:footnoteRef/>
      </w:r>
      <w:r w:rsidRPr="00A51414">
        <w:rPr>
          <w:sz w:val="16"/>
          <w:szCs w:val="16"/>
        </w:rPr>
        <w:t xml:space="preserve"> Ibid., pp. 166-167. </w:t>
      </w:r>
    </w:p>
  </w:footnote>
  <w:footnote w:id="693">
    <w:p w14:paraId="56EB8F14" w14:textId="37A9CF1B" w:rsidR="00833B52" w:rsidRPr="00833B52" w:rsidRDefault="00833B52" w:rsidP="00833B52">
      <w:pPr>
        <w:pStyle w:val="FootnoteText"/>
        <w:rPr>
          <w:sz w:val="16"/>
          <w:szCs w:val="16"/>
        </w:rPr>
      </w:pPr>
      <w:r w:rsidRPr="00833B52">
        <w:rPr>
          <w:rStyle w:val="FootnoteReference"/>
          <w:sz w:val="16"/>
          <w:szCs w:val="16"/>
        </w:rPr>
        <w:footnoteRef/>
      </w:r>
      <w:r w:rsidRPr="00833B52">
        <w:rPr>
          <w:sz w:val="16"/>
          <w:szCs w:val="16"/>
        </w:rPr>
        <w:t xml:space="preserve"> </w:t>
      </w:r>
      <w:r>
        <w:rPr>
          <w:sz w:val="16"/>
          <w:szCs w:val="16"/>
        </w:rPr>
        <w:t xml:space="preserve">Svan </w:t>
      </w:r>
      <w:r w:rsidRPr="00833B52">
        <w:rPr>
          <w:sz w:val="16"/>
          <w:szCs w:val="16"/>
        </w:rPr>
        <w:t>Beckert, Empire of Cotton: A Global History (New York: Vintage Books, 2015), pp. 136-174.</w:t>
      </w:r>
      <w:r w:rsidRPr="00833B52">
        <w:t xml:space="preserve"> </w:t>
      </w:r>
    </w:p>
  </w:footnote>
  <w:footnote w:id="694">
    <w:p w14:paraId="1CE98ECA" w14:textId="036934EF" w:rsidR="00D81DC3" w:rsidRPr="00D81DC3" w:rsidRDefault="00D81DC3">
      <w:pPr>
        <w:pStyle w:val="FootnoteText"/>
        <w:rPr>
          <w:lang w:val="en-US"/>
        </w:rPr>
      </w:pPr>
      <w:r>
        <w:rPr>
          <w:rStyle w:val="FootnoteReference"/>
        </w:rPr>
        <w:footnoteRef/>
      </w:r>
      <w:r>
        <w:t xml:space="preserve"> </w:t>
      </w:r>
      <w:r w:rsidRPr="00D81DC3">
        <w:rPr>
          <w:sz w:val="16"/>
          <w:szCs w:val="16"/>
        </w:rPr>
        <w:t xml:space="preserve">Mark S. </w:t>
      </w:r>
      <w:r w:rsidRPr="00D81DC3">
        <w:rPr>
          <w:sz w:val="16"/>
          <w:szCs w:val="16"/>
        </w:rPr>
        <w:t xml:space="preserve">Granovetter, ‘The Strength of Weak Ties,’ </w:t>
      </w:r>
      <w:r w:rsidRPr="00D81DC3">
        <w:rPr>
          <w:i/>
          <w:iCs/>
          <w:sz w:val="16"/>
          <w:szCs w:val="16"/>
        </w:rPr>
        <w:t>American Journal of Sociology</w:t>
      </w:r>
      <w:r w:rsidRPr="00D81DC3">
        <w:rPr>
          <w:sz w:val="16"/>
          <w:szCs w:val="16"/>
        </w:rPr>
        <w:t>, 78:6 (1973), pp. 1360-1380.</w:t>
      </w:r>
      <w:r>
        <w:t xml:space="preserve"> </w:t>
      </w:r>
    </w:p>
  </w:footnote>
  <w:footnote w:id="695">
    <w:p w14:paraId="50421014" w14:textId="2BF7F703" w:rsidR="00D81DC3" w:rsidRPr="00D81DC3" w:rsidRDefault="00D81DC3">
      <w:pPr>
        <w:pStyle w:val="FootnoteText"/>
        <w:rPr>
          <w:sz w:val="16"/>
          <w:szCs w:val="16"/>
          <w:lang w:val="en-US"/>
        </w:rPr>
      </w:pPr>
      <w:r w:rsidRPr="00D81DC3">
        <w:rPr>
          <w:rStyle w:val="FootnoteReference"/>
          <w:sz w:val="16"/>
          <w:szCs w:val="16"/>
        </w:rPr>
        <w:footnoteRef/>
      </w:r>
      <w:r w:rsidRPr="00D81DC3">
        <w:rPr>
          <w:sz w:val="16"/>
          <w:szCs w:val="16"/>
        </w:rPr>
        <w:t xml:space="preserve"> David Sunderland, </w:t>
      </w:r>
      <w:r w:rsidRPr="00D81DC3">
        <w:rPr>
          <w:i/>
          <w:iCs/>
          <w:sz w:val="16"/>
          <w:szCs w:val="16"/>
        </w:rPr>
        <w:t>Social Capital, Trust and the Industrial Revolution, 1780-1880</w:t>
      </w:r>
      <w:r w:rsidRPr="00D81DC3">
        <w:rPr>
          <w:sz w:val="16"/>
          <w:szCs w:val="16"/>
        </w:rPr>
        <w:t xml:space="preserve"> (London: Routledge, 2007), pp. 15-33. </w:t>
      </w:r>
    </w:p>
  </w:footnote>
  <w:footnote w:id="696">
    <w:p w14:paraId="3BC5958E" w14:textId="77777777" w:rsidR="0060011B" w:rsidRPr="008130CD" w:rsidRDefault="0060011B" w:rsidP="0060011B">
      <w:pPr>
        <w:pStyle w:val="FootnoteText"/>
        <w:rPr>
          <w:sz w:val="16"/>
          <w:szCs w:val="16"/>
          <w:lang w:val="en-US"/>
        </w:rPr>
      </w:pPr>
      <w:r w:rsidRPr="008130CD">
        <w:rPr>
          <w:rStyle w:val="FootnoteReference"/>
          <w:sz w:val="16"/>
          <w:szCs w:val="16"/>
        </w:rPr>
        <w:footnoteRef/>
      </w:r>
      <w:r w:rsidRPr="008130CD">
        <w:rPr>
          <w:sz w:val="16"/>
          <w:szCs w:val="16"/>
        </w:rPr>
        <w:t xml:space="preserve"> </w:t>
      </w:r>
      <w:r w:rsidRPr="008130CD">
        <w:rPr>
          <w:sz w:val="16"/>
          <w:szCs w:val="16"/>
        </w:rPr>
        <w:t xml:space="preserve">Granovetter, ‘The Strength of Weak Ties,’ </w:t>
      </w:r>
      <w:r w:rsidRPr="008130CD">
        <w:rPr>
          <w:i/>
          <w:iCs/>
          <w:sz w:val="16"/>
          <w:szCs w:val="16"/>
        </w:rPr>
        <w:t>American Journal of Sociology</w:t>
      </w:r>
      <w:r w:rsidRPr="008130CD">
        <w:rPr>
          <w:sz w:val="16"/>
          <w:szCs w:val="16"/>
        </w:rPr>
        <w:t xml:space="preserve">, pp. 1360-1380. </w:t>
      </w:r>
    </w:p>
  </w:footnote>
  <w:footnote w:id="697">
    <w:p w14:paraId="4DC3EC53" w14:textId="77777777" w:rsidR="0060011B" w:rsidRPr="008130CD" w:rsidRDefault="0060011B" w:rsidP="0060011B">
      <w:pPr>
        <w:pStyle w:val="FootnoteText"/>
        <w:rPr>
          <w:sz w:val="16"/>
          <w:szCs w:val="16"/>
          <w:lang w:val="en-US"/>
        </w:rPr>
      </w:pPr>
      <w:r w:rsidRPr="008130CD">
        <w:rPr>
          <w:rStyle w:val="FootnoteReference"/>
          <w:sz w:val="16"/>
          <w:szCs w:val="16"/>
        </w:rPr>
        <w:footnoteRef/>
      </w:r>
      <w:r w:rsidRPr="008130CD">
        <w:rPr>
          <w:sz w:val="16"/>
          <w:szCs w:val="16"/>
        </w:rPr>
        <w:t xml:space="preserve"> </w:t>
      </w:r>
      <w:r w:rsidRPr="008130CD">
        <w:rPr>
          <w:sz w:val="16"/>
          <w:szCs w:val="16"/>
        </w:rPr>
        <w:t xml:space="preserve">Sheryllynne Haggerty, </w:t>
      </w:r>
      <w:r w:rsidRPr="008130CD">
        <w:rPr>
          <w:i/>
          <w:iCs/>
          <w:sz w:val="16"/>
          <w:szCs w:val="16"/>
        </w:rPr>
        <w:t xml:space="preserve">Merely for </w:t>
      </w:r>
      <w:r w:rsidRPr="008130CD">
        <w:rPr>
          <w:i/>
          <w:iCs/>
          <w:sz w:val="16"/>
          <w:szCs w:val="16"/>
        </w:rPr>
        <w:t>Money?: Business Culture in the British Atlantic, 1750-1815</w:t>
      </w:r>
      <w:r w:rsidRPr="008130CD">
        <w:rPr>
          <w:sz w:val="16"/>
          <w:szCs w:val="16"/>
        </w:rPr>
        <w:t xml:space="preserve"> (Liverpool University Press, 2012), pp. 66-97. </w:t>
      </w:r>
    </w:p>
  </w:footnote>
  <w:footnote w:id="698">
    <w:p w14:paraId="10CA9A74" w14:textId="77777777" w:rsidR="008130CD" w:rsidRPr="008130CD" w:rsidRDefault="008130CD" w:rsidP="008130CD">
      <w:pPr>
        <w:pStyle w:val="FootnoteText"/>
        <w:rPr>
          <w:sz w:val="16"/>
          <w:szCs w:val="16"/>
          <w:lang w:val="en-US"/>
        </w:rPr>
      </w:pPr>
      <w:r w:rsidRPr="008130CD">
        <w:rPr>
          <w:rStyle w:val="FootnoteReference"/>
          <w:sz w:val="16"/>
          <w:szCs w:val="16"/>
        </w:rPr>
        <w:footnoteRef/>
      </w:r>
      <w:r w:rsidRPr="008130CD">
        <w:rPr>
          <w:sz w:val="16"/>
          <w:szCs w:val="16"/>
        </w:rPr>
        <w:t xml:space="preserve"> Sunderland, </w:t>
      </w:r>
      <w:r w:rsidRPr="008130CD">
        <w:rPr>
          <w:i/>
          <w:iCs/>
          <w:sz w:val="16"/>
          <w:szCs w:val="16"/>
        </w:rPr>
        <w:t>Social Capital, Trust and the Industrial Revolution</w:t>
      </w:r>
      <w:r w:rsidRPr="008130CD">
        <w:rPr>
          <w:sz w:val="16"/>
          <w:szCs w:val="16"/>
        </w:rPr>
        <w:t xml:space="preserve">, 1780-1880, pp. 68-84. </w:t>
      </w:r>
    </w:p>
  </w:footnote>
  <w:footnote w:id="699">
    <w:p w14:paraId="16E93C0E" w14:textId="21531C64" w:rsidR="009C2238" w:rsidRPr="00DE6A5F" w:rsidRDefault="009C2238">
      <w:pPr>
        <w:pStyle w:val="FootnoteText"/>
        <w:rPr>
          <w:sz w:val="16"/>
          <w:szCs w:val="16"/>
          <w:lang w:val="en-US"/>
        </w:rPr>
      </w:pPr>
      <w:r w:rsidRPr="00DE6A5F">
        <w:rPr>
          <w:rStyle w:val="FootnoteReference"/>
          <w:sz w:val="16"/>
          <w:szCs w:val="16"/>
        </w:rPr>
        <w:footnoteRef/>
      </w:r>
      <w:r w:rsidRPr="00DE6A5F">
        <w:rPr>
          <w:sz w:val="16"/>
          <w:szCs w:val="16"/>
        </w:rPr>
        <w:t xml:space="preserve"> </w:t>
      </w:r>
      <w:r w:rsidR="00DE6A5F" w:rsidRPr="00DE6A5F">
        <w:rPr>
          <w:sz w:val="16"/>
          <w:szCs w:val="16"/>
        </w:rPr>
        <w:t xml:space="preserve">Lucy Newton, ‘Trust and Virtue in English Banking: The Assessment of Borrowers by Bank Managements at the Turn of the Nineteenth Century,’ </w:t>
      </w:r>
      <w:r w:rsidR="00DE6A5F" w:rsidRPr="00DE6A5F">
        <w:rPr>
          <w:i/>
          <w:iCs/>
          <w:sz w:val="16"/>
          <w:szCs w:val="16"/>
        </w:rPr>
        <w:t>Financial History Review</w:t>
      </w:r>
      <w:r w:rsidR="00DE6A5F" w:rsidRPr="00DE6A5F">
        <w:rPr>
          <w:sz w:val="16"/>
          <w:szCs w:val="16"/>
        </w:rPr>
        <w:t>, 7 (2000), pp. 177-199.</w:t>
      </w:r>
    </w:p>
  </w:footnote>
  <w:footnote w:id="700">
    <w:p w14:paraId="141051FE" w14:textId="02509359" w:rsidR="009C2238" w:rsidRPr="00DE6A5F" w:rsidRDefault="009C2238">
      <w:pPr>
        <w:pStyle w:val="FootnoteText"/>
        <w:rPr>
          <w:sz w:val="16"/>
          <w:szCs w:val="16"/>
          <w:lang w:val="en-US"/>
        </w:rPr>
      </w:pPr>
      <w:r w:rsidRPr="00DE6A5F">
        <w:rPr>
          <w:rStyle w:val="FootnoteReference"/>
          <w:sz w:val="16"/>
          <w:szCs w:val="16"/>
        </w:rPr>
        <w:footnoteRef/>
      </w:r>
      <w:r w:rsidRPr="00DE6A5F">
        <w:rPr>
          <w:sz w:val="16"/>
          <w:szCs w:val="16"/>
        </w:rPr>
        <w:t xml:space="preserve"> </w:t>
      </w:r>
      <w:r w:rsidR="00DE6A5F" w:rsidRPr="00DE6A5F">
        <w:rPr>
          <w:sz w:val="16"/>
          <w:szCs w:val="16"/>
        </w:rPr>
        <w:t xml:space="preserve">Granovetter, ‘The Strength of Weak Ties,’ </w:t>
      </w:r>
      <w:r w:rsidR="00DE6A5F" w:rsidRPr="00DE6A5F">
        <w:rPr>
          <w:i/>
          <w:iCs/>
          <w:sz w:val="16"/>
          <w:szCs w:val="16"/>
        </w:rPr>
        <w:t>American Journal of Sociology</w:t>
      </w:r>
      <w:r w:rsidR="00DE6A5F" w:rsidRPr="00DE6A5F">
        <w:rPr>
          <w:sz w:val="16"/>
          <w:szCs w:val="16"/>
        </w:rPr>
        <w:t>, pp. 1360-1380.</w:t>
      </w:r>
    </w:p>
  </w:footnote>
  <w:footnote w:id="701">
    <w:p w14:paraId="2CD4C7A0" w14:textId="749A6D69" w:rsidR="000D3B78" w:rsidRPr="000D3B78" w:rsidRDefault="000D3B78">
      <w:pPr>
        <w:pStyle w:val="FootnoteText"/>
        <w:rPr>
          <w:sz w:val="16"/>
          <w:szCs w:val="16"/>
          <w:lang w:val="en-US"/>
        </w:rPr>
      </w:pPr>
      <w:r w:rsidRPr="000D3B78">
        <w:rPr>
          <w:rStyle w:val="FootnoteReference"/>
          <w:sz w:val="16"/>
          <w:szCs w:val="16"/>
        </w:rPr>
        <w:footnoteRef/>
      </w:r>
      <w:r w:rsidRPr="000D3B78">
        <w:rPr>
          <w:sz w:val="16"/>
          <w:szCs w:val="16"/>
        </w:rPr>
        <w:t xml:space="preserve"> </w:t>
      </w:r>
      <w:r w:rsidRPr="000D3B78">
        <w:rPr>
          <w:sz w:val="16"/>
          <w:szCs w:val="16"/>
        </w:rPr>
        <w:t xml:space="preserve">Stana Nenadic, ‘The Small Family Firm in Victorian Britain,’ </w:t>
      </w:r>
      <w:r w:rsidRPr="000D3B78">
        <w:rPr>
          <w:i/>
          <w:iCs/>
          <w:sz w:val="16"/>
          <w:szCs w:val="16"/>
        </w:rPr>
        <w:t>Business History</w:t>
      </w:r>
      <w:r w:rsidRPr="000D3B78">
        <w:rPr>
          <w:sz w:val="16"/>
          <w:szCs w:val="16"/>
        </w:rPr>
        <w:t>, 35:4 (1993), pp. 86-114 (p.89).</w:t>
      </w:r>
    </w:p>
  </w:footnote>
  <w:footnote w:id="702">
    <w:p w14:paraId="63180425" w14:textId="523DBD51" w:rsidR="000D3B78" w:rsidRPr="000D3B78" w:rsidRDefault="000D3B78">
      <w:pPr>
        <w:pStyle w:val="FootnoteText"/>
        <w:rPr>
          <w:sz w:val="16"/>
          <w:szCs w:val="16"/>
          <w:lang w:val="en-US"/>
        </w:rPr>
      </w:pPr>
      <w:r w:rsidRPr="000D3B78">
        <w:rPr>
          <w:rStyle w:val="FootnoteReference"/>
          <w:sz w:val="16"/>
          <w:szCs w:val="16"/>
        </w:rPr>
        <w:footnoteRef/>
      </w:r>
      <w:r w:rsidRPr="000D3B78">
        <w:rPr>
          <w:sz w:val="16"/>
          <w:szCs w:val="16"/>
        </w:rPr>
        <w:t xml:space="preserve"> Mary B. Rose, </w:t>
      </w:r>
      <w:r w:rsidRPr="000D3B78">
        <w:rPr>
          <w:i/>
          <w:iCs/>
          <w:sz w:val="16"/>
          <w:szCs w:val="16"/>
        </w:rPr>
        <w:t>Firms, Networks, and Business Values</w:t>
      </w:r>
      <w:r w:rsidRPr="000D3B78">
        <w:rPr>
          <w:sz w:val="16"/>
          <w:szCs w:val="16"/>
        </w:rPr>
        <w:t xml:space="preserve"> (Cambridge University Press, 2000), p.59.</w:t>
      </w:r>
    </w:p>
  </w:footnote>
  <w:footnote w:id="703">
    <w:p w14:paraId="29AB9422" w14:textId="6E990923" w:rsidR="0010529E" w:rsidRPr="0010529E" w:rsidRDefault="0010529E">
      <w:pPr>
        <w:pStyle w:val="FootnoteText"/>
        <w:rPr>
          <w:sz w:val="16"/>
          <w:szCs w:val="16"/>
          <w:lang w:val="en-US"/>
        </w:rPr>
      </w:pPr>
      <w:r w:rsidRPr="0010529E">
        <w:rPr>
          <w:rStyle w:val="FootnoteReference"/>
          <w:sz w:val="16"/>
          <w:szCs w:val="16"/>
        </w:rPr>
        <w:footnoteRef/>
      </w:r>
      <w:r w:rsidRPr="0010529E">
        <w:rPr>
          <w:sz w:val="16"/>
          <w:szCs w:val="16"/>
        </w:rPr>
        <w:t xml:space="preserve"> John Tosh, ‘Masculinities in an Industrializing Society: Britain, 1800-1914,’ </w:t>
      </w:r>
      <w:r w:rsidRPr="0010529E">
        <w:rPr>
          <w:i/>
          <w:iCs/>
          <w:sz w:val="16"/>
          <w:szCs w:val="16"/>
        </w:rPr>
        <w:t>Journal of Business Studies</w:t>
      </w:r>
      <w:r w:rsidRPr="0010529E">
        <w:rPr>
          <w:sz w:val="16"/>
          <w:szCs w:val="16"/>
        </w:rPr>
        <w:t xml:space="preserve">, 44:2 (2005), pp. 330-342, Karen Harvey, ‘Men Making Home: Masculinity and Domesticity in Eighteenth-Century Britain,’ </w:t>
      </w:r>
      <w:r w:rsidRPr="0010529E">
        <w:rPr>
          <w:i/>
          <w:iCs/>
          <w:sz w:val="16"/>
          <w:szCs w:val="16"/>
        </w:rPr>
        <w:t>Gender &amp; History</w:t>
      </w:r>
      <w:r w:rsidRPr="0010529E">
        <w:rPr>
          <w:sz w:val="16"/>
          <w:szCs w:val="16"/>
        </w:rPr>
        <w:t xml:space="preserve">, 21:3 (2009), pp. 520-540 and Leonore Davidoff, and Catherine Hall, </w:t>
      </w:r>
      <w:r w:rsidRPr="0010529E">
        <w:rPr>
          <w:i/>
          <w:iCs/>
          <w:sz w:val="16"/>
          <w:szCs w:val="16"/>
        </w:rPr>
        <w:t>Family Fortunes: Men and Women of the English Middle Class 1780-1850</w:t>
      </w:r>
      <w:r w:rsidRPr="0010529E">
        <w:rPr>
          <w:sz w:val="16"/>
          <w:szCs w:val="16"/>
        </w:rPr>
        <w:t xml:space="preserve"> (London: Routledge, 1987).</w:t>
      </w:r>
    </w:p>
  </w:footnote>
  <w:footnote w:id="704">
    <w:p w14:paraId="02D6AA5E" w14:textId="7026D259" w:rsidR="00213E99" w:rsidRPr="00213E99" w:rsidRDefault="00213E99">
      <w:pPr>
        <w:pStyle w:val="FootnoteText"/>
        <w:rPr>
          <w:sz w:val="16"/>
          <w:szCs w:val="16"/>
          <w:lang w:val="en-US"/>
        </w:rPr>
      </w:pPr>
      <w:r w:rsidRPr="00213E99">
        <w:rPr>
          <w:rStyle w:val="FootnoteReference"/>
          <w:sz w:val="16"/>
          <w:szCs w:val="16"/>
        </w:rPr>
        <w:footnoteRef/>
      </w:r>
      <w:r w:rsidRPr="00213E99">
        <w:rPr>
          <w:sz w:val="16"/>
          <w:szCs w:val="16"/>
        </w:rPr>
        <w:t xml:space="preserve"> Sven </w:t>
      </w:r>
      <w:bookmarkStart w:id="219" w:name="_Hlk156750735"/>
      <w:r w:rsidRPr="00213E99">
        <w:rPr>
          <w:sz w:val="16"/>
          <w:szCs w:val="16"/>
        </w:rPr>
        <w:t xml:space="preserve">Beckert, </w:t>
      </w:r>
      <w:r w:rsidRPr="00213E99">
        <w:rPr>
          <w:i/>
          <w:iCs/>
          <w:sz w:val="16"/>
          <w:szCs w:val="16"/>
        </w:rPr>
        <w:t>Empire of Cotton</w:t>
      </w:r>
      <w:bookmarkEnd w:id="219"/>
      <w:r w:rsidRPr="00213E99">
        <w:rPr>
          <w:i/>
          <w:iCs/>
          <w:sz w:val="16"/>
          <w:szCs w:val="16"/>
        </w:rPr>
        <w:t>: A Global History</w:t>
      </w:r>
      <w:r w:rsidRPr="00213E99">
        <w:rPr>
          <w:sz w:val="16"/>
          <w:szCs w:val="16"/>
        </w:rPr>
        <w:t xml:space="preserve"> (New York: Vintage Books, 2014)</w:t>
      </w:r>
      <w:r w:rsidR="0060011B">
        <w:rPr>
          <w:sz w:val="16"/>
          <w:szCs w:val="16"/>
        </w:rPr>
        <w:t>, p141</w:t>
      </w:r>
      <w:r w:rsidRPr="00213E99">
        <w:rPr>
          <w:sz w:val="16"/>
          <w:szCs w:val="16"/>
        </w:rPr>
        <w:t>.</w:t>
      </w:r>
    </w:p>
  </w:footnote>
  <w:footnote w:id="705">
    <w:p w14:paraId="7BC10F77" w14:textId="163C95E5" w:rsidR="0060011B" w:rsidRPr="0060011B" w:rsidRDefault="0060011B" w:rsidP="0060011B">
      <w:pPr>
        <w:pStyle w:val="FootnoteText"/>
        <w:rPr>
          <w:sz w:val="16"/>
          <w:szCs w:val="16"/>
          <w:lang w:val="en-US"/>
        </w:rPr>
      </w:pPr>
      <w:r w:rsidRPr="0060011B">
        <w:rPr>
          <w:rStyle w:val="FootnoteReference"/>
          <w:sz w:val="16"/>
          <w:szCs w:val="16"/>
        </w:rPr>
        <w:footnoteRef/>
      </w:r>
      <w:r w:rsidRPr="0060011B">
        <w:rPr>
          <w:sz w:val="16"/>
          <w:szCs w:val="16"/>
        </w:rPr>
        <w:t xml:space="preserve"> Barbara M. Tucker, </w:t>
      </w:r>
      <w:r w:rsidRPr="0060011B">
        <w:rPr>
          <w:i/>
          <w:iCs/>
          <w:sz w:val="16"/>
          <w:szCs w:val="16"/>
        </w:rPr>
        <w:t>Samuel Slater and the Origins of the American Textile Industry, 1790-1869</w:t>
      </w:r>
      <w:r w:rsidRPr="0060011B">
        <w:rPr>
          <w:sz w:val="16"/>
          <w:szCs w:val="16"/>
        </w:rPr>
        <w:t xml:space="preserve"> (New York: Cornell University Press, 1984), p. 21-22.</w:t>
      </w:r>
      <w:r>
        <w:rPr>
          <w:sz w:val="16"/>
          <w:szCs w:val="16"/>
        </w:rPr>
        <w:t xml:space="preserve">, </w:t>
      </w:r>
      <w:r w:rsidRPr="0060011B">
        <w:rPr>
          <w:sz w:val="16"/>
          <w:szCs w:val="16"/>
        </w:rPr>
        <w:t xml:space="preserve">John L. Hobbs, ‘The </w:t>
      </w:r>
      <w:r w:rsidRPr="0060011B">
        <w:rPr>
          <w:sz w:val="16"/>
          <w:szCs w:val="16"/>
        </w:rPr>
        <w:t xml:space="preserve">Boott and Haden Families and the Founding of Lowell,’ </w:t>
      </w:r>
      <w:r w:rsidRPr="0060011B">
        <w:rPr>
          <w:i/>
          <w:iCs/>
          <w:sz w:val="16"/>
          <w:szCs w:val="16"/>
        </w:rPr>
        <w:t>Derbyshire Archaeological and Natural History Society’s Journal,</w:t>
      </w:r>
      <w:r w:rsidRPr="0060011B">
        <w:rPr>
          <w:sz w:val="16"/>
          <w:szCs w:val="16"/>
        </w:rPr>
        <w:t xml:space="preserve"> 1946, pp. 59-74</w:t>
      </w:r>
      <w:r>
        <w:rPr>
          <w:sz w:val="16"/>
          <w:szCs w:val="16"/>
        </w:rPr>
        <w:t xml:space="preserve">, and </w:t>
      </w:r>
      <w:r w:rsidRPr="0060011B">
        <w:rPr>
          <w:sz w:val="16"/>
          <w:szCs w:val="16"/>
        </w:rPr>
        <w:t>JRL, GB 133 MCK/3/5/1 – MCK/3/5/5 [Receipt and Purchase Books of McConnel &amp; Kennedy].</w:t>
      </w:r>
    </w:p>
  </w:footnote>
  <w:footnote w:id="706">
    <w:p w14:paraId="52AD4559" w14:textId="5C971389" w:rsidR="0060011B" w:rsidRPr="0060011B" w:rsidRDefault="0060011B">
      <w:pPr>
        <w:pStyle w:val="FootnoteText"/>
        <w:rPr>
          <w:lang w:val="de-DE"/>
        </w:rPr>
      </w:pPr>
      <w:r>
        <w:rPr>
          <w:rStyle w:val="FootnoteReference"/>
        </w:rPr>
        <w:footnoteRef/>
      </w:r>
      <w:r w:rsidRPr="0060011B">
        <w:rPr>
          <w:lang w:val="de-DE"/>
        </w:rPr>
        <w:t xml:space="preserve"> </w:t>
      </w:r>
      <w:r w:rsidRPr="0060011B">
        <w:rPr>
          <w:sz w:val="16"/>
          <w:szCs w:val="16"/>
          <w:lang w:val="de-DE"/>
        </w:rPr>
        <w:t xml:space="preserve">Eckhard Bolenz, </w:t>
      </w:r>
      <w:r w:rsidRPr="0060011B">
        <w:rPr>
          <w:i/>
          <w:iCs/>
          <w:sz w:val="16"/>
          <w:szCs w:val="16"/>
          <w:lang w:val="de-DE"/>
        </w:rPr>
        <w:t>Textilfabrik Cromford in Ratingen – Die älteste Fabrik auf dem Kontinent</w:t>
      </w:r>
      <w:r w:rsidRPr="0060011B">
        <w:rPr>
          <w:sz w:val="16"/>
          <w:szCs w:val="16"/>
          <w:lang w:val="de-DE"/>
        </w:rPr>
        <w:t xml:space="preserve">, (München – Berlin:  Deutscher Kunstverlag GmbH, 2002), p. 2.  </w:t>
      </w:r>
    </w:p>
  </w:footnote>
  <w:footnote w:id="707">
    <w:p w14:paraId="77B89A68" w14:textId="57647676" w:rsidR="00C75F3B" w:rsidRPr="00144D9A" w:rsidRDefault="00C75F3B" w:rsidP="00144D9A">
      <w:pPr>
        <w:pStyle w:val="FootnoteText"/>
        <w:rPr>
          <w:sz w:val="16"/>
          <w:szCs w:val="16"/>
        </w:rPr>
      </w:pPr>
      <w:r w:rsidRPr="00144D9A">
        <w:rPr>
          <w:rStyle w:val="FootnoteReference"/>
          <w:sz w:val="16"/>
          <w:szCs w:val="16"/>
        </w:rPr>
        <w:footnoteRef/>
      </w:r>
      <w:r w:rsidR="00144D9A">
        <w:rPr>
          <w:sz w:val="16"/>
          <w:szCs w:val="16"/>
        </w:rPr>
        <w:t>Arts and Humanities Research Council,</w:t>
      </w:r>
      <w:r w:rsidR="00144D9A" w:rsidRPr="00144D9A">
        <w:rPr>
          <w:sz w:val="16"/>
          <w:szCs w:val="16"/>
        </w:rPr>
        <w:t xml:space="preserve"> Global </w:t>
      </w:r>
      <w:r w:rsidR="00144D9A">
        <w:rPr>
          <w:sz w:val="16"/>
          <w:szCs w:val="16"/>
        </w:rPr>
        <w:t xml:space="preserve">Cotton </w:t>
      </w:r>
      <w:r w:rsidR="00144D9A" w:rsidRPr="00144D9A">
        <w:rPr>
          <w:sz w:val="16"/>
          <w:szCs w:val="16"/>
        </w:rPr>
        <w:t xml:space="preserve">Connections </w:t>
      </w:r>
      <w:r w:rsidR="00144D9A">
        <w:rPr>
          <w:sz w:val="16"/>
          <w:szCs w:val="16"/>
        </w:rPr>
        <w:t xml:space="preserve">Project </w:t>
      </w:r>
    </w:p>
  </w:footnote>
  <w:footnote w:id="708">
    <w:p w14:paraId="19259086" w14:textId="597B3003" w:rsidR="00881BEC" w:rsidRPr="001D5749" w:rsidRDefault="00881BEC">
      <w:pPr>
        <w:pStyle w:val="FootnoteText"/>
        <w:rPr>
          <w:sz w:val="16"/>
          <w:szCs w:val="16"/>
          <w:lang w:val="en-US"/>
        </w:rPr>
      </w:pPr>
      <w:r w:rsidRPr="001D5749">
        <w:rPr>
          <w:rStyle w:val="FootnoteReference"/>
          <w:sz w:val="16"/>
          <w:szCs w:val="16"/>
        </w:rPr>
        <w:footnoteRef/>
      </w:r>
      <w:r w:rsidRPr="001D5749">
        <w:rPr>
          <w:sz w:val="16"/>
          <w:szCs w:val="16"/>
        </w:rPr>
        <w:t xml:space="preserve"> Beckert, </w:t>
      </w:r>
      <w:r w:rsidRPr="001D5749">
        <w:rPr>
          <w:i/>
          <w:iCs/>
          <w:sz w:val="16"/>
          <w:szCs w:val="16"/>
        </w:rPr>
        <w:t xml:space="preserve">Empire of Cotton, </w:t>
      </w:r>
      <w:r w:rsidRPr="001D5749">
        <w:rPr>
          <w:sz w:val="16"/>
          <w:szCs w:val="16"/>
        </w:rPr>
        <w:t>Giorgio Riello</w:t>
      </w:r>
      <w:r w:rsidRPr="001D5749">
        <w:rPr>
          <w:i/>
          <w:iCs/>
          <w:sz w:val="16"/>
          <w:szCs w:val="16"/>
        </w:rPr>
        <w:t xml:space="preserve">, Cotton: The Fabric that Made the Modern </w:t>
      </w:r>
      <w:r w:rsidRPr="001D5749">
        <w:rPr>
          <w:sz w:val="16"/>
          <w:szCs w:val="16"/>
        </w:rPr>
        <w:t>World (Cambridge: Cambridge University Press, 2013)</w:t>
      </w:r>
      <w:r w:rsidR="001D5749" w:rsidRPr="001D5749">
        <w:rPr>
          <w:sz w:val="16"/>
          <w:szCs w:val="16"/>
        </w:rPr>
        <w:t xml:space="preserve"> and Lemire, </w:t>
      </w:r>
      <w:r w:rsidR="001D5749" w:rsidRPr="001D5749">
        <w:rPr>
          <w:i/>
          <w:iCs/>
          <w:sz w:val="16"/>
          <w:szCs w:val="16"/>
        </w:rPr>
        <w:t>Cotton</w:t>
      </w:r>
      <w:r w:rsidR="001D5749" w:rsidRPr="001D5749">
        <w:rPr>
          <w:sz w:val="16"/>
          <w:szCs w:val="16"/>
        </w:rPr>
        <w:t xml:space="preserve"> (Oxford: Berg, 2011).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8A527D"/>
    <w:multiLevelType w:val="hybridMultilevel"/>
    <w:tmpl w:val="738A0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D85BA4"/>
    <w:multiLevelType w:val="hybridMultilevel"/>
    <w:tmpl w:val="E97A7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55B45"/>
    <w:multiLevelType w:val="hybridMultilevel"/>
    <w:tmpl w:val="B64ADB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09713E"/>
    <w:multiLevelType w:val="hybridMultilevel"/>
    <w:tmpl w:val="6BC60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153758"/>
    <w:multiLevelType w:val="hybridMultilevel"/>
    <w:tmpl w:val="E93C2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E42213"/>
    <w:multiLevelType w:val="hybridMultilevel"/>
    <w:tmpl w:val="E3CCCA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7C6431"/>
    <w:multiLevelType w:val="hybridMultilevel"/>
    <w:tmpl w:val="0B1E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E53E8D"/>
    <w:multiLevelType w:val="hybridMultilevel"/>
    <w:tmpl w:val="F1002C0E"/>
    <w:lvl w:ilvl="0" w:tplc="502AB7C6">
      <w:start w:val="1"/>
      <w:numFmt w:val="bullet"/>
      <w:lvlText w:val="o"/>
      <w:lvlJc w:val="left"/>
      <w:pPr>
        <w:ind w:left="720" w:hanging="360"/>
      </w:pPr>
      <w:rPr>
        <w:rFonts w:ascii="Courier New" w:hAnsi="Courier New" w:cs="Courier New"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53714D"/>
    <w:multiLevelType w:val="hybridMultilevel"/>
    <w:tmpl w:val="B64ADB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72F1568"/>
    <w:multiLevelType w:val="hybridMultilevel"/>
    <w:tmpl w:val="CB9E15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5256846">
    <w:abstractNumId w:val="0"/>
  </w:num>
  <w:num w:numId="2" w16cid:durableId="466123380">
    <w:abstractNumId w:val="9"/>
  </w:num>
  <w:num w:numId="3" w16cid:durableId="953554481">
    <w:abstractNumId w:val="1"/>
  </w:num>
  <w:num w:numId="4" w16cid:durableId="2005467626">
    <w:abstractNumId w:val="5"/>
  </w:num>
  <w:num w:numId="5" w16cid:durableId="1638604298">
    <w:abstractNumId w:val="3"/>
  </w:num>
  <w:num w:numId="6" w16cid:durableId="673803673">
    <w:abstractNumId w:val="6"/>
  </w:num>
  <w:num w:numId="7" w16cid:durableId="1585528308">
    <w:abstractNumId w:val="8"/>
  </w:num>
  <w:num w:numId="8" w16cid:durableId="702483101">
    <w:abstractNumId w:val="2"/>
  </w:num>
  <w:num w:numId="9" w16cid:durableId="1398632045">
    <w:abstractNumId w:val="4"/>
  </w:num>
  <w:num w:numId="10" w16cid:durableId="8038116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5DF"/>
    <w:rsid w:val="00000B83"/>
    <w:rsid w:val="00003D55"/>
    <w:rsid w:val="00005252"/>
    <w:rsid w:val="0000539F"/>
    <w:rsid w:val="00005B58"/>
    <w:rsid w:val="00005DD4"/>
    <w:rsid w:val="00007FA3"/>
    <w:rsid w:val="00010C4E"/>
    <w:rsid w:val="0001135F"/>
    <w:rsid w:val="00011957"/>
    <w:rsid w:val="00011DED"/>
    <w:rsid w:val="00012115"/>
    <w:rsid w:val="0001273B"/>
    <w:rsid w:val="00012AAF"/>
    <w:rsid w:val="00014077"/>
    <w:rsid w:val="00014426"/>
    <w:rsid w:val="000155B2"/>
    <w:rsid w:val="0001698C"/>
    <w:rsid w:val="00017341"/>
    <w:rsid w:val="00017B9E"/>
    <w:rsid w:val="0002000D"/>
    <w:rsid w:val="00020324"/>
    <w:rsid w:val="000220AA"/>
    <w:rsid w:val="0002293C"/>
    <w:rsid w:val="00022AD2"/>
    <w:rsid w:val="00025101"/>
    <w:rsid w:val="0002598E"/>
    <w:rsid w:val="000263BC"/>
    <w:rsid w:val="00027140"/>
    <w:rsid w:val="000274F7"/>
    <w:rsid w:val="00030DE5"/>
    <w:rsid w:val="00031C95"/>
    <w:rsid w:val="00033893"/>
    <w:rsid w:val="000363FE"/>
    <w:rsid w:val="0004030A"/>
    <w:rsid w:val="00040578"/>
    <w:rsid w:val="00040E2D"/>
    <w:rsid w:val="00042C9A"/>
    <w:rsid w:val="00042E74"/>
    <w:rsid w:val="000436E5"/>
    <w:rsid w:val="00044994"/>
    <w:rsid w:val="000455FA"/>
    <w:rsid w:val="0004595F"/>
    <w:rsid w:val="00046461"/>
    <w:rsid w:val="00046697"/>
    <w:rsid w:val="000468AA"/>
    <w:rsid w:val="00047AB8"/>
    <w:rsid w:val="00051EF5"/>
    <w:rsid w:val="000527E1"/>
    <w:rsid w:val="000532E8"/>
    <w:rsid w:val="000538B9"/>
    <w:rsid w:val="000545BC"/>
    <w:rsid w:val="00055007"/>
    <w:rsid w:val="000550C9"/>
    <w:rsid w:val="00055D36"/>
    <w:rsid w:val="00056A34"/>
    <w:rsid w:val="00056A6D"/>
    <w:rsid w:val="00057272"/>
    <w:rsid w:val="00057A7A"/>
    <w:rsid w:val="00057ADD"/>
    <w:rsid w:val="00057CBF"/>
    <w:rsid w:val="0006044D"/>
    <w:rsid w:val="00061B1F"/>
    <w:rsid w:val="00061BDF"/>
    <w:rsid w:val="0006354D"/>
    <w:rsid w:val="00064817"/>
    <w:rsid w:val="000648E0"/>
    <w:rsid w:val="00065447"/>
    <w:rsid w:val="00065CD2"/>
    <w:rsid w:val="00067294"/>
    <w:rsid w:val="00067E41"/>
    <w:rsid w:val="000706B3"/>
    <w:rsid w:val="000706FA"/>
    <w:rsid w:val="000708A6"/>
    <w:rsid w:val="00071625"/>
    <w:rsid w:val="00071654"/>
    <w:rsid w:val="000718F1"/>
    <w:rsid w:val="000736D0"/>
    <w:rsid w:val="000747BE"/>
    <w:rsid w:val="00074AF1"/>
    <w:rsid w:val="000752E9"/>
    <w:rsid w:val="00075A42"/>
    <w:rsid w:val="00077B1D"/>
    <w:rsid w:val="00077B99"/>
    <w:rsid w:val="00077BDB"/>
    <w:rsid w:val="00077DB5"/>
    <w:rsid w:val="00080734"/>
    <w:rsid w:val="00080A86"/>
    <w:rsid w:val="00081B79"/>
    <w:rsid w:val="00081E11"/>
    <w:rsid w:val="00082529"/>
    <w:rsid w:val="00083039"/>
    <w:rsid w:val="000835B3"/>
    <w:rsid w:val="00084435"/>
    <w:rsid w:val="00084471"/>
    <w:rsid w:val="00085A18"/>
    <w:rsid w:val="00085EE3"/>
    <w:rsid w:val="00086837"/>
    <w:rsid w:val="00087AC3"/>
    <w:rsid w:val="00090216"/>
    <w:rsid w:val="00090271"/>
    <w:rsid w:val="00090840"/>
    <w:rsid w:val="0009126D"/>
    <w:rsid w:val="00091363"/>
    <w:rsid w:val="000917BF"/>
    <w:rsid w:val="00091B3F"/>
    <w:rsid w:val="0009210F"/>
    <w:rsid w:val="00092A8E"/>
    <w:rsid w:val="00093585"/>
    <w:rsid w:val="00093B17"/>
    <w:rsid w:val="00093D6C"/>
    <w:rsid w:val="00093FBD"/>
    <w:rsid w:val="0009444E"/>
    <w:rsid w:val="000947BD"/>
    <w:rsid w:val="000957FA"/>
    <w:rsid w:val="00095DE1"/>
    <w:rsid w:val="00096E77"/>
    <w:rsid w:val="00097665"/>
    <w:rsid w:val="00097AC7"/>
    <w:rsid w:val="000A0307"/>
    <w:rsid w:val="000A1ED7"/>
    <w:rsid w:val="000A2DD0"/>
    <w:rsid w:val="000A3804"/>
    <w:rsid w:val="000A3805"/>
    <w:rsid w:val="000A420C"/>
    <w:rsid w:val="000A484D"/>
    <w:rsid w:val="000A4D1F"/>
    <w:rsid w:val="000A5DAA"/>
    <w:rsid w:val="000A6F16"/>
    <w:rsid w:val="000A6F64"/>
    <w:rsid w:val="000A71AF"/>
    <w:rsid w:val="000A79E6"/>
    <w:rsid w:val="000B1E46"/>
    <w:rsid w:val="000B23AE"/>
    <w:rsid w:val="000B30D5"/>
    <w:rsid w:val="000B4450"/>
    <w:rsid w:val="000B4EC4"/>
    <w:rsid w:val="000B5515"/>
    <w:rsid w:val="000B63C9"/>
    <w:rsid w:val="000B65AE"/>
    <w:rsid w:val="000B6939"/>
    <w:rsid w:val="000B6977"/>
    <w:rsid w:val="000B7981"/>
    <w:rsid w:val="000C11FF"/>
    <w:rsid w:val="000C1D0F"/>
    <w:rsid w:val="000C3B2A"/>
    <w:rsid w:val="000C3EEA"/>
    <w:rsid w:val="000C403A"/>
    <w:rsid w:val="000C4A74"/>
    <w:rsid w:val="000C5B19"/>
    <w:rsid w:val="000C5E8A"/>
    <w:rsid w:val="000C5EAB"/>
    <w:rsid w:val="000C5FB8"/>
    <w:rsid w:val="000C6815"/>
    <w:rsid w:val="000C7468"/>
    <w:rsid w:val="000C79A7"/>
    <w:rsid w:val="000D0D9D"/>
    <w:rsid w:val="000D0FF7"/>
    <w:rsid w:val="000D1F5F"/>
    <w:rsid w:val="000D1F7F"/>
    <w:rsid w:val="000D2086"/>
    <w:rsid w:val="000D2E03"/>
    <w:rsid w:val="000D3B78"/>
    <w:rsid w:val="000D5F42"/>
    <w:rsid w:val="000D65E4"/>
    <w:rsid w:val="000D6E91"/>
    <w:rsid w:val="000D7570"/>
    <w:rsid w:val="000D7958"/>
    <w:rsid w:val="000E020D"/>
    <w:rsid w:val="000E14D8"/>
    <w:rsid w:val="000E1B59"/>
    <w:rsid w:val="000E3B91"/>
    <w:rsid w:val="000E4D19"/>
    <w:rsid w:val="000E5CF5"/>
    <w:rsid w:val="000E5D58"/>
    <w:rsid w:val="000E664E"/>
    <w:rsid w:val="000E684F"/>
    <w:rsid w:val="000E71C0"/>
    <w:rsid w:val="000E7247"/>
    <w:rsid w:val="000E7505"/>
    <w:rsid w:val="000E7B8B"/>
    <w:rsid w:val="000F0A75"/>
    <w:rsid w:val="000F1852"/>
    <w:rsid w:val="000F2F22"/>
    <w:rsid w:val="000F319E"/>
    <w:rsid w:val="000F384C"/>
    <w:rsid w:val="000F4011"/>
    <w:rsid w:val="000F5A90"/>
    <w:rsid w:val="000F5F0E"/>
    <w:rsid w:val="000F5F39"/>
    <w:rsid w:val="000F793C"/>
    <w:rsid w:val="00100A0D"/>
    <w:rsid w:val="00100A7A"/>
    <w:rsid w:val="00101814"/>
    <w:rsid w:val="00101D7F"/>
    <w:rsid w:val="001021B1"/>
    <w:rsid w:val="0010240C"/>
    <w:rsid w:val="001024C9"/>
    <w:rsid w:val="0010255B"/>
    <w:rsid w:val="00103896"/>
    <w:rsid w:val="0010529E"/>
    <w:rsid w:val="00105BB6"/>
    <w:rsid w:val="0010790D"/>
    <w:rsid w:val="00111968"/>
    <w:rsid w:val="001123DF"/>
    <w:rsid w:val="0011290E"/>
    <w:rsid w:val="00112941"/>
    <w:rsid w:val="00112B9A"/>
    <w:rsid w:val="0011359D"/>
    <w:rsid w:val="00113651"/>
    <w:rsid w:val="00114DCB"/>
    <w:rsid w:val="001169F3"/>
    <w:rsid w:val="00116CBD"/>
    <w:rsid w:val="00117D55"/>
    <w:rsid w:val="00117D80"/>
    <w:rsid w:val="001208ED"/>
    <w:rsid w:val="00120916"/>
    <w:rsid w:val="00120F3E"/>
    <w:rsid w:val="0012154E"/>
    <w:rsid w:val="00122FE0"/>
    <w:rsid w:val="001230C5"/>
    <w:rsid w:val="00124A06"/>
    <w:rsid w:val="0012612D"/>
    <w:rsid w:val="0012671D"/>
    <w:rsid w:val="00127BC5"/>
    <w:rsid w:val="00127DFE"/>
    <w:rsid w:val="00127E7C"/>
    <w:rsid w:val="001311B9"/>
    <w:rsid w:val="00131631"/>
    <w:rsid w:val="001319C7"/>
    <w:rsid w:val="001320A6"/>
    <w:rsid w:val="001329A4"/>
    <w:rsid w:val="00133181"/>
    <w:rsid w:val="001336EC"/>
    <w:rsid w:val="00133E25"/>
    <w:rsid w:val="00133FC5"/>
    <w:rsid w:val="001345E2"/>
    <w:rsid w:val="00134B03"/>
    <w:rsid w:val="0013794E"/>
    <w:rsid w:val="001403B9"/>
    <w:rsid w:val="00140CA1"/>
    <w:rsid w:val="001412C8"/>
    <w:rsid w:val="001417E1"/>
    <w:rsid w:val="00142219"/>
    <w:rsid w:val="001431EC"/>
    <w:rsid w:val="0014366C"/>
    <w:rsid w:val="001446CC"/>
    <w:rsid w:val="00144A95"/>
    <w:rsid w:val="00144D9A"/>
    <w:rsid w:val="00145404"/>
    <w:rsid w:val="001459E8"/>
    <w:rsid w:val="00146014"/>
    <w:rsid w:val="00147405"/>
    <w:rsid w:val="00147F4D"/>
    <w:rsid w:val="00150D6E"/>
    <w:rsid w:val="001516FD"/>
    <w:rsid w:val="00152008"/>
    <w:rsid w:val="001540B4"/>
    <w:rsid w:val="00154BFC"/>
    <w:rsid w:val="00154CDA"/>
    <w:rsid w:val="0015599B"/>
    <w:rsid w:val="00155C98"/>
    <w:rsid w:val="001572D3"/>
    <w:rsid w:val="00157BE6"/>
    <w:rsid w:val="00161CF0"/>
    <w:rsid w:val="0016252A"/>
    <w:rsid w:val="00162644"/>
    <w:rsid w:val="00162B7C"/>
    <w:rsid w:val="00163A99"/>
    <w:rsid w:val="001641AD"/>
    <w:rsid w:val="001643E7"/>
    <w:rsid w:val="00164542"/>
    <w:rsid w:val="00165B99"/>
    <w:rsid w:val="00165D45"/>
    <w:rsid w:val="001663E6"/>
    <w:rsid w:val="0016658C"/>
    <w:rsid w:val="001670F5"/>
    <w:rsid w:val="001677F1"/>
    <w:rsid w:val="001702AC"/>
    <w:rsid w:val="00170D85"/>
    <w:rsid w:val="001714D4"/>
    <w:rsid w:val="00171C1B"/>
    <w:rsid w:val="001732CA"/>
    <w:rsid w:val="0017495D"/>
    <w:rsid w:val="00174F8E"/>
    <w:rsid w:val="00175EE3"/>
    <w:rsid w:val="0018080A"/>
    <w:rsid w:val="0018135A"/>
    <w:rsid w:val="00181E4E"/>
    <w:rsid w:val="00182998"/>
    <w:rsid w:val="001848DB"/>
    <w:rsid w:val="00184A4B"/>
    <w:rsid w:val="0018542C"/>
    <w:rsid w:val="00185BD0"/>
    <w:rsid w:val="00187800"/>
    <w:rsid w:val="00190268"/>
    <w:rsid w:val="00192D7F"/>
    <w:rsid w:val="001934D6"/>
    <w:rsid w:val="00193B77"/>
    <w:rsid w:val="00194FAD"/>
    <w:rsid w:val="00194FB9"/>
    <w:rsid w:val="001961E6"/>
    <w:rsid w:val="00197C8B"/>
    <w:rsid w:val="001A0692"/>
    <w:rsid w:val="001A093D"/>
    <w:rsid w:val="001A0AE2"/>
    <w:rsid w:val="001A0D8A"/>
    <w:rsid w:val="001A21BB"/>
    <w:rsid w:val="001A2BD1"/>
    <w:rsid w:val="001A36C6"/>
    <w:rsid w:val="001A5B2B"/>
    <w:rsid w:val="001A5F66"/>
    <w:rsid w:val="001B00BA"/>
    <w:rsid w:val="001B03C4"/>
    <w:rsid w:val="001B0695"/>
    <w:rsid w:val="001B0B00"/>
    <w:rsid w:val="001B1673"/>
    <w:rsid w:val="001B203A"/>
    <w:rsid w:val="001B2EBA"/>
    <w:rsid w:val="001B3B5A"/>
    <w:rsid w:val="001B50FF"/>
    <w:rsid w:val="001B5184"/>
    <w:rsid w:val="001B55A3"/>
    <w:rsid w:val="001B5898"/>
    <w:rsid w:val="001B5964"/>
    <w:rsid w:val="001C003E"/>
    <w:rsid w:val="001C216A"/>
    <w:rsid w:val="001C2CF4"/>
    <w:rsid w:val="001C627A"/>
    <w:rsid w:val="001C7DCE"/>
    <w:rsid w:val="001D0D65"/>
    <w:rsid w:val="001D1329"/>
    <w:rsid w:val="001D17C2"/>
    <w:rsid w:val="001D1F00"/>
    <w:rsid w:val="001D20C3"/>
    <w:rsid w:val="001D3091"/>
    <w:rsid w:val="001D30BD"/>
    <w:rsid w:val="001D40CD"/>
    <w:rsid w:val="001D4F7A"/>
    <w:rsid w:val="001D52DC"/>
    <w:rsid w:val="001D5749"/>
    <w:rsid w:val="001D5B15"/>
    <w:rsid w:val="001D5EAA"/>
    <w:rsid w:val="001D6C3D"/>
    <w:rsid w:val="001D7269"/>
    <w:rsid w:val="001D7986"/>
    <w:rsid w:val="001D7C44"/>
    <w:rsid w:val="001E1D3E"/>
    <w:rsid w:val="001E235F"/>
    <w:rsid w:val="001E25E1"/>
    <w:rsid w:val="001E35D3"/>
    <w:rsid w:val="001E374F"/>
    <w:rsid w:val="001E44E8"/>
    <w:rsid w:val="001E49A1"/>
    <w:rsid w:val="001E51DD"/>
    <w:rsid w:val="001E529A"/>
    <w:rsid w:val="001E5B7B"/>
    <w:rsid w:val="001E5DB2"/>
    <w:rsid w:val="001E6861"/>
    <w:rsid w:val="001E7634"/>
    <w:rsid w:val="001F0332"/>
    <w:rsid w:val="001F18EC"/>
    <w:rsid w:val="001F1EF1"/>
    <w:rsid w:val="001F1F38"/>
    <w:rsid w:val="001F284E"/>
    <w:rsid w:val="001F39D0"/>
    <w:rsid w:val="001F487F"/>
    <w:rsid w:val="001F5B4A"/>
    <w:rsid w:val="001F60D9"/>
    <w:rsid w:val="001F6404"/>
    <w:rsid w:val="001F6555"/>
    <w:rsid w:val="001F667F"/>
    <w:rsid w:val="001F6BC8"/>
    <w:rsid w:val="001F777C"/>
    <w:rsid w:val="001F7912"/>
    <w:rsid w:val="001F7985"/>
    <w:rsid w:val="002042B8"/>
    <w:rsid w:val="00205BA2"/>
    <w:rsid w:val="00205CC1"/>
    <w:rsid w:val="00205E78"/>
    <w:rsid w:val="0020657E"/>
    <w:rsid w:val="00206600"/>
    <w:rsid w:val="00210297"/>
    <w:rsid w:val="002110E2"/>
    <w:rsid w:val="00212853"/>
    <w:rsid w:val="00212B42"/>
    <w:rsid w:val="00213E99"/>
    <w:rsid w:val="00214DE2"/>
    <w:rsid w:val="00214F3B"/>
    <w:rsid w:val="002150D5"/>
    <w:rsid w:val="00215DF1"/>
    <w:rsid w:val="00215F33"/>
    <w:rsid w:val="00216661"/>
    <w:rsid w:val="00216794"/>
    <w:rsid w:val="002169BC"/>
    <w:rsid w:val="002171B1"/>
    <w:rsid w:val="002171BE"/>
    <w:rsid w:val="00217C1E"/>
    <w:rsid w:val="00220556"/>
    <w:rsid w:val="00221163"/>
    <w:rsid w:val="0022161C"/>
    <w:rsid w:val="002229BD"/>
    <w:rsid w:val="00222D07"/>
    <w:rsid w:val="002230AF"/>
    <w:rsid w:val="0022326B"/>
    <w:rsid w:val="00224932"/>
    <w:rsid w:val="00225F42"/>
    <w:rsid w:val="00227336"/>
    <w:rsid w:val="0022788B"/>
    <w:rsid w:val="00227E1D"/>
    <w:rsid w:val="002300DD"/>
    <w:rsid w:val="002315F4"/>
    <w:rsid w:val="00231BE0"/>
    <w:rsid w:val="00231CAF"/>
    <w:rsid w:val="00231E4A"/>
    <w:rsid w:val="002330FE"/>
    <w:rsid w:val="0023430E"/>
    <w:rsid w:val="00234E90"/>
    <w:rsid w:val="0023786D"/>
    <w:rsid w:val="002401E7"/>
    <w:rsid w:val="00241A6C"/>
    <w:rsid w:val="00242283"/>
    <w:rsid w:val="00243C1E"/>
    <w:rsid w:val="002440DE"/>
    <w:rsid w:val="002441E6"/>
    <w:rsid w:val="0024480A"/>
    <w:rsid w:val="00244CFD"/>
    <w:rsid w:val="0024597C"/>
    <w:rsid w:val="00245C0F"/>
    <w:rsid w:val="00246EA5"/>
    <w:rsid w:val="00247820"/>
    <w:rsid w:val="00247D22"/>
    <w:rsid w:val="00251DA3"/>
    <w:rsid w:val="002525AB"/>
    <w:rsid w:val="00252BCD"/>
    <w:rsid w:val="00253004"/>
    <w:rsid w:val="00253BEC"/>
    <w:rsid w:val="00254690"/>
    <w:rsid w:val="00254D81"/>
    <w:rsid w:val="002551D1"/>
    <w:rsid w:val="002573B9"/>
    <w:rsid w:val="00257474"/>
    <w:rsid w:val="002577C3"/>
    <w:rsid w:val="00257A14"/>
    <w:rsid w:val="00260271"/>
    <w:rsid w:val="00261049"/>
    <w:rsid w:val="00261A64"/>
    <w:rsid w:val="00263918"/>
    <w:rsid w:val="00265BAF"/>
    <w:rsid w:val="002668A2"/>
    <w:rsid w:val="00267550"/>
    <w:rsid w:val="00267C56"/>
    <w:rsid w:val="0027063E"/>
    <w:rsid w:val="002714CA"/>
    <w:rsid w:val="00271A21"/>
    <w:rsid w:val="00271EDB"/>
    <w:rsid w:val="00272117"/>
    <w:rsid w:val="002721D6"/>
    <w:rsid w:val="00273281"/>
    <w:rsid w:val="00273812"/>
    <w:rsid w:val="00274118"/>
    <w:rsid w:val="00274707"/>
    <w:rsid w:val="00274E92"/>
    <w:rsid w:val="00274F8E"/>
    <w:rsid w:val="00275153"/>
    <w:rsid w:val="002752F7"/>
    <w:rsid w:val="002754CD"/>
    <w:rsid w:val="0027584F"/>
    <w:rsid w:val="0027659C"/>
    <w:rsid w:val="0027665A"/>
    <w:rsid w:val="00276861"/>
    <w:rsid w:val="00276896"/>
    <w:rsid w:val="00276DED"/>
    <w:rsid w:val="002777D7"/>
    <w:rsid w:val="00280347"/>
    <w:rsid w:val="002805DB"/>
    <w:rsid w:val="002814FF"/>
    <w:rsid w:val="0028180F"/>
    <w:rsid w:val="00281A6B"/>
    <w:rsid w:val="0028411F"/>
    <w:rsid w:val="00285021"/>
    <w:rsid w:val="00285EB3"/>
    <w:rsid w:val="0028608D"/>
    <w:rsid w:val="002867D8"/>
    <w:rsid w:val="002872BA"/>
    <w:rsid w:val="0028790A"/>
    <w:rsid w:val="00287DD9"/>
    <w:rsid w:val="00290D49"/>
    <w:rsid w:val="00290F01"/>
    <w:rsid w:val="002914EA"/>
    <w:rsid w:val="002916BB"/>
    <w:rsid w:val="002922F0"/>
    <w:rsid w:val="002925D1"/>
    <w:rsid w:val="00292A6A"/>
    <w:rsid w:val="0029328A"/>
    <w:rsid w:val="00293E04"/>
    <w:rsid w:val="00294971"/>
    <w:rsid w:val="002949CB"/>
    <w:rsid w:val="00294B1C"/>
    <w:rsid w:val="00294C6C"/>
    <w:rsid w:val="0029539B"/>
    <w:rsid w:val="00296810"/>
    <w:rsid w:val="00296FE4"/>
    <w:rsid w:val="00297ACE"/>
    <w:rsid w:val="00297D76"/>
    <w:rsid w:val="00297D98"/>
    <w:rsid w:val="002A0EEE"/>
    <w:rsid w:val="002A2BC4"/>
    <w:rsid w:val="002A353D"/>
    <w:rsid w:val="002A3E32"/>
    <w:rsid w:val="002A4023"/>
    <w:rsid w:val="002A4659"/>
    <w:rsid w:val="002A5E1D"/>
    <w:rsid w:val="002A69EE"/>
    <w:rsid w:val="002A731F"/>
    <w:rsid w:val="002A7822"/>
    <w:rsid w:val="002A7DD1"/>
    <w:rsid w:val="002B0073"/>
    <w:rsid w:val="002B06E1"/>
    <w:rsid w:val="002B0AEE"/>
    <w:rsid w:val="002B2409"/>
    <w:rsid w:val="002B2560"/>
    <w:rsid w:val="002B4E7B"/>
    <w:rsid w:val="002B5742"/>
    <w:rsid w:val="002B626E"/>
    <w:rsid w:val="002B65C8"/>
    <w:rsid w:val="002C197E"/>
    <w:rsid w:val="002C33EB"/>
    <w:rsid w:val="002C4085"/>
    <w:rsid w:val="002C4615"/>
    <w:rsid w:val="002C52D9"/>
    <w:rsid w:val="002C60C7"/>
    <w:rsid w:val="002C6396"/>
    <w:rsid w:val="002C6E89"/>
    <w:rsid w:val="002D034D"/>
    <w:rsid w:val="002D0794"/>
    <w:rsid w:val="002D0E73"/>
    <w:rsid w:val="002D1E6B"/>
    <w:rsid w:val="002D2166"/>
    <w:rsid w:val="002D218E"/>
    <w:rsid w:val="002D255D"/>
    <w:rsid w:val="002D27EE"/>
    <w:rsid w:val="002D2BDB"/>
    <w:rsid w:val="002D38A2"/>
    <w:rsid w:val="002D3D16"/>
    <w:rsid w:val="002D3DFA"/>
    <w:rsid w:val="002D442D"/>
    <w:rsid w:val="002D4B0A"/>
    <w:rsid w:val="002D57EE"/>
    <w:rsid w:val="002D5D0C"/>
    <w:rsid w:val="002D5DCB"/>
    <w:rsid w:val="002D6074"/>
    <w:rsid w:val="002D63A8"/>
    <w:rsid w:val="002D6FF7"/>
    <w:rsid w:val="002D71AD"/>
    <w:rsid w:val="002D7518"/>
    <w:rsid w:val="002E0DFE"/>
    <w:rsid w:val="002E127A"/>
    <w:rsid w:val="002E2A9E"/>
    <w:rsid w:val="002E33C0"/>
    <w:rsid w:val="002E40BD"/>
    <w:rsid w:val="002E46CA"/>
    <w:rsid w:val="002E60E8"/>
    <w:rsid w:val="002E63FF"/>
    <w:rsid w:val="002F022B"/>
    <w:rsid w:val="002F0261"/>
    <w:rsid w:val="002F0488"/>
    <w:rsid w:val="002F09D1"/>
    <w:rsid w:val="002F0FA2"/>
    <w:rsid w:val="002F1C97"/>
    <w:rsid w:val="002F2C24"/>
    <w:rsid w:val="002F2D2B"/>
    <w:rsid w:val="002F419A"/>
    <w:rsid w:val="002F4D48"/>
    <w:rsid w:val="002F60E0"/>
    <w:rsid w:val="002F6225"/>
    <w:rsid w:val="002F6832"/>
    <w:rsid w:val="002F6FF6"/>
    <w:rsid w:val="002F7633"/>
    <w:rsid w:val="002F7AF8"/>
    <w:rsid w:val="002F7DAE"/>
    <w:rsid w:val="00301CB8"/>
    <w:rsid w:val="00301E2A"/>
    <w:rsid w:val="003027A6"/>
    <w:rsid w:val="00302BFA"/>
    <w:rsid w:val="00303CD3"/>
    <w:rsid w:val="0030400A"/>
    <w:rsid w:val="00304972"/>
    <w:rsid w:val="003049F8"/>
    <w:rsid w:val="00305099"/>
    <w:rsid w:val="00305C4A"/>
    <w:rsid w:val="00305F93"/>
    <w:rsid w:val="00306629"/>
    <w:rsid w:val="00306787"/>
    <w:rsid w:val="003067E2"/>
    <w:rsid w:val="003068FD"/>
    <w:rsid w:val="00307718"/>
    <w:rsid w:val="00307987"/>
    <w:rsid w:val="003105CF"/>
    <w:rsid w:val="00312A75"/>
    <w:rsid w:val="00312AC8"/>
    <w:rsid w:val="0031348E"/>
    <w:rsid w:val="00313A8A"/>
    <w:rsid w:val="003144FB"/>
    <w:rsid w:val="0031476D"/>
    <w:rsid w:val="00315213"/>
    <w:rsid w:val="00315687"/>
    <w:rsid w:val="003160A7"/>
    <w:rsid w:val="00316685"/>
    <w:rsid w:val="00316E24"/>
    <w:rsid w:val="00317013"/>
    <w:rsid w:val="003172B9"/>
    <w:rsid w:val="00320D6D"/>
    <w:rsid w:val="003216C3"/>
    <w:rsid w:val="003219C6"/>
    <w:rsid w:val="00321A97"/>
    <w:rsid w:val="00321C62"/>
    <w:rsid w:val="00322020"/>
    <w:rsid w:val="003221AD"/>
    <w:rsid w:val="0032248D"/>
    <w:rsid w:val="00322A97"/>
    <w:rsid w:val="0032554D"/>
    <w:rsid w:val="00326D82"/>
    <w:rsid w:val="00326FC5"/>
    <w:rsid w:val="00326FF5"/>
    <w:rsid w:val="003272C1"/>
    <w:rsid w:val="00330FB6"/>
    <w:rsid w:val="003313EE"/>
    <w:rsid w:val="003316FF"/>
    <w:rsid w:val="003320BB"/>
    <w:rsid w:val="003342C1"/>
    <w:rsid w:val="00334407"/>
    <w:rsid w:val="00335BB5"/>
    <w:rsid w:val="00335EE0"/>
    <w:rsid w:val="003374D9"/>
    <w:rsid w:val="0033750B"/>
    <w:rsid w:val="00337775"/>
    <w:rsid w:val="00337857"/>
    <w:rsid w:val="00337CF9"/>
    <w:rsid w:val="0034117C"/>
    <w:rsid w:val="0034177C"/>
    <w:rsid w:val="003421DC"/>
    <w:rsid w:val="003429CF"/>
    <w:rsid w:val="00342DF9"/>
    <w:rsid w:val="003435E8"/>
    <w:rsid w:val="003439DA"/>
    <w:rsid w:val="00343BA5"/>
    <w:rsid w:val="00343DB1"/>
    <w:rsid w:val="00346076"/>
    <w:rsid w:val="0034722B"/>
    <w:rsid w:val="00347646"/>
    <w:rsid w:val="00350A0C"/>
    <w:rsid w:val="003514CA"/>
    <w:rsid w:val="003521B3"/>
    <w:rsid w:val="003528CC"/>
    <w:rsid w:val="00353B30"/>
    <w:rsid w:val="00354DDE"/>
    <w:rsid w:val="003558C9"/>
    <w:rsid w:val="00355ED2"/>
    <w:rsid w:val="00356320"/>
    <w:rsid w:val="00357182"/>
    <w:rsid w:val="00357CEA"/>
    <w:rsid w:val="00357DA0"/>
    <w:rsid w:val="003604D3"/>
    <w:rsid w:val="00360EBD"/>
    <w:rsid w:val="003612F8"/>
    <w:rsid w:val="003613A1"/>
    <w:rsid w:val="00362759"/>
    <w:rsid w:val="00362E50"/>
    <w:rsid w:val="00363249"/>
    <w:rsid w:val="00363C93"/>
    <w:rsid w:val="00364220"/>
    <w:rsid w:val="003647CF"/>
    <w:rsid w:val="0036592E"/>
    <w:rsid w:val="00370490"/>
    <w:rsid w:val="003704D1"/>
    <w:rsid w:val="0037080D"/>
    <w:rsid w:val="00372424"/>
    <w:rsid w:val="00372AFB"/>
    <w:rsid w:val="00372BDB"/>
    <w:rsid w:val="00372DAE"/>
    <w:rsid w:val="00373965"/>
    <w:rsid w:val="00374065"/>
    <w:rsid w:val="00375247"/>
    <w:rsid w:val="00375BD1"/>
    <w:rsid w:val="0037619C"/>
    <w:rsid w:val="00377DC9"/>
    <w:rsid w:val="00377FC7"/>
    <w:rsid w:val="003808B2"/>
    <w:rsid w:val="003810D5"/>
    <w:rsid w:val="003816D0"/>
    <w:rsid w:val="00381C21"/>
    <w:rsid w:val="00381CA8"/>
    <w:rsid w:val="0038230A"/>
    <w:rsid w:val="003828CC"/>
    <w:rsid w:val="00383D6A"/>
    <w:rsid w:val="003844D4"/>
    <w:rsid w:val="003850A4"/>
    <w:rsid w:val="003853AE"/>
    <w:rsid w:val="00385957"/>
    <w:rsid w:val="00385A30"/>
    <w:rsid w:val="003864EB"/>
    <w:rsid w:val="00386A89"/>
    <w:rsid w:val="00386CBA"/>
    <w:rsid w:val="00387547"/>
    <w:rsid w:val="00387A32"/>
    <w:rsid w:val="0039047E"/>
    <w:rsid w:val="00390683"/>
    <w:rsid w:val="0039085A"/>
    <w:rsid w:val="00391286"/>
    <w:rsid w:val="003918A2"/>
    <w:rsid w:val="00391E57"/>
    <w:rsid w:val="0039207D"/>
    <w:rsid w:val="00392D02"/>
    <w:rsid w:val="003932E3"/>
    <w:rsid w:val="003938C4"/>
    <w:rsid w:val="00394665"/>
    <w:rsid w:val="00395181"/>
    <w:rsid w:val="003953D5"/>
    <w:rsid w:val="00395AF4"/>
    <w:rsid w:val="00395CC6"/>
    <w:rsid w:val="00395FF2"/>
    <w:rsid w:val="0039675D"/>
    <w:rsid w:val="00396F35"/>
    <w:rsid w:val="00397015"/>
    <w:rsid w:val="00397DCD"/>
    <w:rsid w:val="003A0656"/>
    <w:rsid w:val="003A06BF"/>
    <w:rsid w:val="003A09DD"/>
    <w:rsid w:val="003A09DE"/>
    <w:rsid w:val="003A3250"/>
    <w:rsid w:val="003A4425"/>
    <w:rsid w:val="003A45CB"/>
    <w:rsid w:val="003A4960"/>
    <w:rsid w:val="003A49BE"/>
    <w:rsid w:val="003A4F8B"/>
    <w:rsid w:val="003A5031"/>
    <w:rsid w:val="003A54EE"/>
    <w:rsid w:val="003A5883"/>
    <w:rsid w:val="003A7948"/>
    <w:rsid w:val="003A7BD4"/>
    <w:rsid w:val="003B1893"/>
    <w:rsid w:val="003B1CD5"/>
    <w:rsid w:val="003B214D"/>
    <w:rsid w:val="003B308C"/>
    <w:rsid w:val="003B4A2D"/>
    <w:rsid w:val="003B5398"/>
    <w:rsid w:val="003B6E3B"/>
    <w:rsid w:val="003B747F"/>
    <w:rsid w:val="003B75F4"/>
    <w:rsid w:val="003C0DF5"/>
    <w:rsid w:val="003C137B"/>
    <w:rsid w:val="003C1458"/>
    <w:rsid w:val="003C1FBC"/>
    <w:rsid w:val="003C28FD"/>
    <w:rsid w:val="003C391A"/>
    <w:rsid w:val="003C5F1C"/>
    <w:rsid w:val="003C6614"/>
    <w:rsid w:val="003C6D6F"/>
    <w:rsid w:val="003C7A41"/>
    <w:rsid w:val="003C7DAA"/>
    <w:rsid w:val="003D0617"/>
    <w:rsid w:val="003D0FD1"/>
    <w:rsid w:val="003D110F"/>
    <w:rsid w:val="003D12E7"/>
    <w:rsid w:val="003D1BF2"/>
    <w:rsid w:val="003D25C0"/>
    <w:rsid w:val="003D3FB6"/>
    <w:rsid w:val="003E00FC"/>
    <w:rsid w:val="003E0648"/>
    <w:rsid w:val="003E0F53"/>
    <w:rsid w:val="003E2211"/>
    <w:rsid w:val="003E2BB4"/>
    <w:rsid w:val="003E427D"/>
    <w:rsid w:val="003E4620"/>
    <w:rsid w:val="003E5F3C"/>
    <w:rsid w:val="003E67D0"/>
    <w:rsid w:val="003E69B1"/>
    <w:rsid w:val="003E6C5F"/>
    <w:rsid w:val="003F0580"/>
    <w:rsid w:val="003F2003"/>
    <w:rsid w:val="003F275B"/>
    <w:rsid w:val="003F312F"/>
    <w:rsid w:val="003F43FB"/>
    <w:rsid w:val="003F5E53"/>
    <w:rsid w:val="003F6C6A"/>
    <w:rsid w:val="003F70DF"/>
    <w:rsid w:val="003F7241"/>
    <w:rsid w:val="00400330"/>
    <w:rsid w:val="0040083F"/>
    <w:rsid w:val="0040086B"/>
    <w:rsid w:val="0040106D"/>
    <w:rsid w:val="00401EE4"/>
    <w:rsid w:val="00402394"/>
    <w:rsid w:val="0040392B"/>
    <w:rsid w:val="00403E2E"/>
    <w:rsid w:val="004050BC"/>
    <w:rsid w:val="004051BB"/>
    <w:rsid w:val="00405541"/>
    <w:rsid w:val="004055CC"/>
    <w:rsid w:val="00406685"/>
    <w:rsid w:val="0040741C"/>
    <w:rsid w:val="004077A3"/>
    <w:rsid w:val="004077DC"/>
    <w:rsid w:val="00410A4D"/>
    <w:rsid w:val="004111F7"/>
    <w:rsid w:val="00413063"/>
    <w:rsid w:val="00413D63"/>
    <w:rsid w:val="00414A54"/>
    <w:rsid w:val="00414B5E"/>
    <w:rsid w:val="004155E5"/>
    <w:rsid w:val="00416A49"/>
    <w:rsid w:val="00416B27"/>
    <w:rsid w:val="00416BAD"/>
    <w:rsid w:val="00417C7F"/>
    <w:rsid w:val="004200D3"/>
    <w:rsid w:val="00421676"/>
    <w:rsid w:val="004223A2"/>
    <w:rsid w:val="00422578"/>
    <w:rsid w:val="0042319F"/>
    <w:rsid w:val="00423F0A"/>
    <w:rsid w:val="0042436D"/>
    <w:rsid w:val="00424898"/>
    <w:rsid w:val="00425107"/>
    <w:rsid w:val="00425DB4"/>
    <w:rsid w:val="00426604"/>
    <w:rsid w:val="004269E8"/>
    <w:rsid w:val="00427173"/>
    <w:rsid w:val="00430063"/>
    <w:rsid w:val="00430135"/>
    <w:rsid w:val="00430784"/>
    <w:rsid w:val="00430ADA"/>
    <w:rsid w:val="004313CF"/>
    <w:rsid w:val="00431C9F"/>
    <w:rsid w:val="00432B5E"/>
    <w:rsid w:val="0043469A"/>
    <w:rsid w:val="00435525"/>
    <w:rsid w:val="00437196"/>
    <w:rsid w:val="00440303"/>
    <w:rsid w:val="00441DD7"/>
    <w:rsid w:val="0044212F"/>
    <w:rsid w:val="004424EF"/>
    <w:rsid w:val="0044288F"/>
    <w:rsid w:val="004435CC"/>
    <w:rsid w:val="0044441D"/>
    <w:rsid w:val="004446D4"/>
    <w:rsid w:val="00445D53"/>
    <w:rsid w:val="004467B1"/>
    <w:rsid w:val="004468B6"/>
    <w:rsid w:val="0044706E"/>
    <w:rsid w:val="00447424"/>
    <w:rsid w:val="0044763E"/>
    <w:rsid w:val="004476E8"/>
    <w:rsid w:val="00447D6B"/>
    <w:rsid w:val="004506E3"/>
    <w:rsid w:val="00450772"/>
    <w:rsid w:val="00452771"/>
    <w:rsid w:val="00453AB7"/>
    <w:rsid w:val="00454811"/>
    <w:rsid w:val="004549BE"/>
    <w:rsid w:val="00454D5A"/>
    <w:rsid w:val="00454FEB"/>
    <w:rsid w:val="00455329"/>
    <w:rsid w:val="00455DBA"/>
    <w:rsid w:val="00456936"/>
    <w:rsid w:val="00457162"/>
    <w:rsid w:val="00457431"/>
    <w:rsid w:val="004574A6"/>
    <w:rsid w:val="00461976"/>
    <w:rsid w:val="00461E57"/>
    <w:rsid w:val="00462EEC"/>
    <w:rsid w:val="00464153"/>
    <w:rsid w:val="00465927"/>
    <w:rsid w:val="0046684A"/>
    <w:rsid w:val="00467424"/>
    <w:rsid w:val="00467529"/>
    <w:rsid w:val="0046777D"/>
    <w:rsid w:val="00467B3B"/>
    <w:rsid w:val="0047075A"/>
    <w:rsid w:val="00470BBE"/>
    <w:rsid w:val="00471128"/>
    <w:rsid w:val="00471311"/>
    <w:rsid w:val="004715A3"/>
    <w:rsid w:val="00473971"/>
    <w:rsid w:val="00474555"/>
    <w:rsid w:val="00475525"/>
    <w:rsid w:val="00475B8D"/>
    <w:rsid w:val="00477F54"/>
    <w:rsid w:val="004800F2"/>
    <w:rsid w:val="00480673"/>
    <w:rsid w:val="00480869"/>
    <w:rsid w:val="00480A39"/>
    <w:rsid w:val="00480ADC"/>
    <w:rsid w:val="00480C92"/>
    <w:rsid w:val="00481B97"/>
    <w:rsid w:val="00481D33"/>
    <w:rsid w:val="00482AB0"/>
    <w:rsid w:val="00483977"/>
    <w:rsid w:val="004843DB"/>
    <w:rsid w:val="00486801"/>
    <w:rsid w:val="00491E73"/>
    <w:rsid w:val="00492451"/>
    <w:rsid w:val="00492C4C"/>
    <w:rsid w:val="004938ED"/>
    <w:rsid w:val="0049496C"/>
    <w:rsid w:val="00494EC6"/>
    <w:rsid w:val="00495598"/>
    <w:rsid w:val="004965F2"/>
    <w:rsid w:val="00496E3F"/>
    <w:rsid w:val="00497555"/>
    <w:rsid w:val="00497A1C"/>
    <w:rsid w:val="00497A7F"/>
    <w:rsid w:val="00497B09"/>
    <w:rsid w:val="004A0001"/>
    <w:rsid w:val="004A0CFA"/>
    <w:rsid w:val="004A1784"/>
    <w:rsid w:val="004A216A"/>
    <w:rsid w:val="004A222C"/>
    <w:rsid w:val="004A3C16"/>
    <w:rsid w:val="004A3D5F"/>
    <w:rsid w:val="004A3EBE"/>
    <w:rsid w:val="004A412F"/>
    <w:rsid w:val="004A4EEC"/>
    <w:rsid w:val="004A53AB"/>
    <w:rsid w:val="004A5621"/>
    <w:rsid w:val="004A664F"/>
    <w:rsid w:val="004A6952"/>
    <w:rsid w:val="004A757C"/>
    <w:rsid w:val="004B0223"/>
    <w:rsid w:val="004B0D7E"/>
    <w:rsid w:val="004B0EFC"/>
    <w:rsid w:val="004B147D"/>
    <w:rsid w:val="004B16C6"/>
    <w:rsid w:val="004B1823"/>
    <w:rsid w:val="004B1C19"/>
    <w:rsid w:val="004B1EDD"/>
    <w:rsid w:val="004B27E2"/>
    <w:rsid w:val="004B397D"/>
    <w:rsid w:val="004B3A85"/>
    <w:rsid w:val="004B3E03"/>
    <w:rsid w:val="004B3ED1"/>
    <w:rsid w:val="004B44AA"/>
    <w:rsid w:val="004B44FD"/>
    <w:rsid w:val="004B4696"/>
    <w:rsid w:val="004B4CC7"/>
    <w:rsid w:val="004B50A1"/>
    <w:rsid w:val="004B6BDD"/>
    <w:rsid w:val="004B6DA5"/>
    <w:rsid w:val="004B6EF9"/>
    <w:rsid w:val="004B7CE2"/>
    <w:rsid w:val="004C07AE"/>
    <w:rsid w:val="004C0E26"/>
    <w:rsid w:val="004C1367"/>
    <w:rsid w:val="004C1D27"/>
    <w:rsid w:val="004C206B"/>
    <w:rsid w:val="004C207C"/>
    <w:rsid w:val="004C2271"/>
    <w:rsid w:val="004C2BA3"/>
    <w:rsid w:val="004C318C"/>
    <w:rsid w:val="004C3267"/>
    <w:rsid w:val="004C3F55"/>
    <w:rsid w:val="004C4368"/>
    <w:rsid w:val="004C462A"/>
    <w:rsid w:val="004C5271"/>
    <w:rsid w:val="004C5B1A"/>
    <w:rsid w:val="004C6231"/>
    <w:rsid w:val="004C6965"/>
    <w:rsid w:val="004C720D"/>
    <w:rsid w:val="004C7905"/>
    <w:rsid w:val="004C7DC6"/>
    <w:rsid w:val="004D0B2C"/>
    <w:rsid w:val="004D1330"/>
    <w:rsid w:val="004D1A9E"/>
    <w:rsid w:val="004D1ACC"/>
    <w:rsid w:val="004D1CE0"/>
    <w:rsid w:val="004D344F"/>
    <w:rsid w:val="004D3B3A"/>
    <w:rsid w:val="004D3F4E"/>
    <w:rsid w:val="004D417C"/>
    <w:rsid w:val="004D5BF9"/>
    <w:rsid w:val="004E05D3"/>
    <w:rsid w:val="004E2583"/>
    <w:rsid w:val="004E3118"/>
    <w:rsid w:val="004E350E"/>
    <w:rsid w:val="004E36C1"/>
    <w:rsid w:val="004E3757"/>
    <w:rsid w:val="004E3905"/>
    <w:rsid w:val="004E3BDD"/>
    <w:rsid w:val="004E4CA8"/>
    <w:rsid w:val="004E5FF7"/>
    <w:rsid w:val="004E7014"/>
    <w:rsid w:val="004E772C"/>
    <w:rsid w:val="004F08F2"/>
    <w:rsid w:val="004F0FA8"/>
    <w:rsid w:val="004F20F3"/>
    <w:rsid w:val="004F3736"/>
    <w:rsid w:val="004F406F"/>
    <w:rsid w:val="004F4D7F"/>
    <w:rsid w:val="004F6C0A"/>
    <w:rsid w:val="004F720F"/>
    <w:rsid w:val="004F73F3"/>
    <w:rsid w:val="004F7595"/>
    <w:rsid w:val="004F7DC3"/>
    <w:rsid w:val="00501A3B"/>
    <w:rsid w:val="00502D6C"/>
    <w:rsid w:val="005033E1"/>
    <w:rsid w:val="00503D33"/>
    <w:rsid w:val="00503D3A"/>
    <w:rsid w:val="00503F4A"/>
    <w:rsid w:val="00504758"/>
    <w:rsid w:val="005069FD"/>
    <w:rsid w:val="00507AF9"/>
    <w:rsid w:val="00510048"/>
    <w:rsid w:val="005109BF"/>
    <w:rsid w:val="00510BA7"/>
    <w:rsid w:val="00510CA4"/>
    <w:rsid w:val="00510D46"/>
    <w:rsid w:val="00511045"/>
    <w:rsid w:val="00512103"/>
    <w:rsid w:val="00512688"/>
    <w:rsid w:val="0051303B"/>
    <w:rsid w:val="00514FE4"/>
    <w:rsid w:val="00515856"/>
    <w:rsid w:val="00515CC5"/>
    <w:rsid w:val="005208FD"/>
    <w:rsid w:val="00520C41"/>
    <w:rsid w:val="005218B2"/>
    <w:rsid w:val="0052374A"/>
    <w:rsid w:val="00524194"/>
    <w:rsid w:val="005245D0"/>
    <w:rsid w:val="00525AB9"/>
    <w:rsid w:val="0052642A"/>
    <w:rsid w:val="00526ACB"/>
    <w:rsid w:val="0052738A"/>
    <w:rsid w:val="00527656"/>
    <w:rsid w:val="00527E5A"/>
    <w:rsid w:val="00530264"/>
    <w:rsid w:val="00530795"/>
    <w:rsid w:val="00531934"/>
    <w:rsid w:val="005329EB"/>
    <w:rsid w:val="005330A7"/>
    <w:rsid w:val="00535061"/>
    <w:rsid w:val="005356EA"/>
    <w:rsid w:val="00535ADD"/>
    <w:rsid w:val="00535D42"/>
    <w:rsid w:val="005373D7"/>
    <w:rsid w:val="00540F2B"/>
    <w:rsid w:val="0054106D"/>
    <w:rsid w:val="00541500"/>
    <w:rsid w:val="00543331"/>
    <w:rsid w:val="00543BE5"/>
    <w:rsid w:val="00544783"/>
    <w:rsid w:val="00544D35"/>
    <w:rsid w:val="0054564B"/>
    <w:rsid w:val="005456ED"/>
    <w:rsid w:val="00545E0B"/>
    <w:rsid w:val="00545E69"/>
    <w:rsid w:val="005460FE"/>
    <w:rsid w:val="005462BD"/>
    <w:rsid w:val="005464FB"/>
    <w:rsid w:val="00546AC1"/>
    <w:rsid w:val="00546CE1"/>
    <w:rsid w:val="0055146F"/>
    <w:rsid w:val="00551883"/>
    <w:rsid w:val="00552BA2"/>
    <w:rsid w:val="0055418B"/>
    <w:rsid w:val="005552C1"/>
    <w:rsid w:val="005553DE"/>
    <w:rsid w:val="00555AF9"/>
    <w:rsid w:val="00556AC8"/>
    <w:rsid w:val="00556B38"/>
    <w:rsid w:val="005605D1"/>
    <w:rsid w:val="0056111D"/>
    <w:rsid w:val="00561A72"/>
    <w:rsid w:val="00561D8D"/>
    <w:rsid w:val="00562549"/>
    <w:rsid w:val="00562B29"/>
    <w:rsid w:val="00563F4F"/>
    <w:rsid w:val="00564A97"/>
    <w:rsid w:val="00565A30"/>
    <w:rsid w:val="005672D6"/>
    <w:rsid w:val="0056784F"/>
    <w:rsid w:val="00567D41"/>
    <w:rsid w:val="00570454"/>
    <w:rsid w:val="00570542"/>
    <w:rsid w:val="005708B6"/>
    <w:rsid w:val="00572336"/>
    <w:rsid w:val="005724C0"/>
    <w:rsid w:val="00572CD6"/>
    <w:rsid w:val="00573039"/>
    <w:rsid w:val="005732FF"/>
    <w:rsid w:val="00575452"/>
    <w:rsid w:val="00575B79"/>
    <w:rsid w:val="00575F51"/>
    <w:rsid w:val="00576BC4"/>
    <w:rsid w:val="00576FED"/>
    <w:rsid w:val="005774FF"/>
    <w:rsid w:val="00577D2F"/>
    <w:rsid w:val="0058037A"/>
    <w:rsid w:val="0058047C"/>
    <w:rsid w:val="005815DC"/>
    <w:rsid w:val="0058224E"/>
    <w:rsid w:val="005837DF"/>
    <w:rsid w:val="00583D24"/>
    <w:rsid w:val="00583F1F"/>
    <w:rsid w:val="00586A76"/>
    <w:rsid w:val="00590CB3"/>
    <w:rsid w:val="005912AD"/>
    <w:rsid w:val="00591CB3"/>
    <w:rsid w:val="00594E44"/>
    <w:rsid w:val="0059619E"/>
    <w:rsid w:val="00596D07"/>
    <w:rsid w:val="00597436"/>
    <w:rsid w:val="00597DC5"/>
    <w:rsid w:val="005A05DF"/>
    <w:rsid w:val="005A06B2"/>
    <w:rsid w:val="005A06B7"/>
    <w:rsid w:val="005A0AED"/>
    <w:rsid w:val="005A15A4"/>
    <w:rsid w:val="005A2B1F"/>
    <w:rsid w:val="005A2F45"/>
    <w:rsid w:val="005A3A65"/>
    <w:rsid w:val="005A3E63"/>
    <w:rsid w:val="005A4085"/>
    <w:rsid w:val="005A42FA"/>
    <w:rsid w:val="005A5416"/>
    <w:rsid w:val="005B1292"/>
    <w:rsid w:val="005B338A"/>
    <w:rsid w:val="005B4563"/>
    <w:rsid w:val="005B4EA0"/>
    <w:rsid w:val="005B56E8"/>
    <w:rsid w:val="005B68A3"/>
    <w:rsid w:val="005B71A6"/>
    <w:rsid w:val="005B75C2"/>
    <w:rsid w:val="005B790C"/>
    <w:rsid w:val="005C021B"/>
    <w:rsid w:val="005C0CDE"/>
    <w:rsid w:val="005C1295"/>
    <w:rsid w:val="005C15F7"/>
    <w:rsid w:val="005C16C5"/>
    <w:rsid w:val="005C1BAB"/>
    <w:rsid w:val="005C2FAF"/>
    <w:rsid w:val="005C3A7A"/>
    <w:rsid w:val="005C5D83"/>
    <w:rsid w:val="005C6408"/>
    <w:rsid w:val="005C67CE"/>
    <w:rsid w:val="005C6A5C"/>
    <w:rsid w:val="005C7040"/>
    <w:rsid w:val="005C739D"/>
    <w:rsid w:val="005D0295"/>
    <w:rsid w:val="005D04E0"/>
    <w:rsid w:val="005D11CE"/>
    <w:rsid w:val="005D152A"/>
    <w:rsid w:val="005D1CA6"/>
    <w:rsid w:val="005D3B33"/>
    <w:rsid w:val="005D403A"/>
    <w:rsid w:val="005D473A"/>
    <w:rsid w:val="005D4FAE"/>
    <w:rsid w:val="005D6276"/>
    <w:rsid w:val="005D6FDC"/>
    <w:rsid w:val="005D710E"/>
    <w:rsid w:val="005D7E78"/>
    <w:rsid w:val="005D7F3C"/>
    <w:rsid w:val="005E023B"/>
    <w:rsid w:val="005E10F3"/>
    <w:rsid w:val="005E249B"/>
    <w:rsid w:val="005E29EE"/>
    <w:rsid w:val="005E3373"/>
    <w:rsid w:val="005E364F"/>
    <w:rsid w:val="005E3A47"/>
    <w:rsid w:val="005E4CA8"/>
    <w:rsid w:val="005E4DD8"/>
    <w:rsid w:val="005E4EC8"/>
    <w:rsid w:val="005E50AF"/>
    <w:rsid w:val="005E555D"/>
    <w:rsid w:val="005E6732"/>
    <w:rsid w:val="005E7259"/>
    <w:rsid w:val="005E7584"/>
    <w:rsid w:val="005E79B5"/>
    <w:rsid w:val="005E7B80"/>
    <w:rsid w:val="005E7BE6"/>
    <w:rsid w:val="005F0DA3"/>
    <w:rsid w:val="005F0FCB"/>
    <w:rsid w:val="005F2240"/>
    <w:rsid w:val="005F2880"/>
    <w:rsid w:val="005F3C39"/>
    <w:rsid w:val="005F413D"/>
    <w:rsid w:val="005F5389"/>
    <w:rsid w:val="005F5783"/>
    <w:rsid w:val="005F679D"/>
    <w:rsid w:val="005F6EF6"/>
    <w:rsid w:val="005F7273"/>
    <w:rsid w:val="005F7CA2"/>
    <w:rsid w:val="0060011B"/>
    <w:rsid w:val="00600554"/>
    <w:rsid w:val="006012DA"/>
    <w:rsid w:val="006014DA"/>
    <w:rsid w:val="0060166D"/>
    <w:rsid w:val="0060224D"/>
    <w:rsid w:val="00603387"/>
    <w:rsid w:val="00604BB7"/>
    <w:rsid w:val="00605372"/>
    <w:rsid w:val="00605B6A"/>
    <w:rsid w:val="00605B9A"/>
    <w:rsid w:val="00607EC7"/>
    <w:rsid w:val="00610F2F"/>
    <w:rsid w:val="00611EA6"/>
    <w:rsid w:val="00613EED"/>
    <w:rsid w:val="0061413F"/>
    <w:rsid w:val="00614297"/>
    <w:rsid w:val="00614310"/>
    <w:rsid w:val="006143AC"/>
    <w:rsid w:val="00614A6D"/>
    <w:rsid w:val="00614A96"/>
    <w:rsid w:val="006155D9"/>
    <w:rsid w:val="0061634B"/>
    <w:rsid w:val="006167AF"/>
    <w:rsid w:val="00616CD2"/>
    <w:rsid w:val="00616D39"/>
    <w:rsid w:val="00617D4C"/>
    <w:rsid w:val="006201E9"/>
    <w:rsid w:val="0062045E"/>
    <w:rsid w:val="006220CC"/>
    <w:rsid w:val="0062296A"/>
    <w:rsid w:val="00622B38"/>
    <w:rsid w:val="00622B3F"/>
    <w:rsid w:val="00622DF2"/>
    <w:rsid w:val="00624133"/>
    <w:rsid w:val="006273E4"/>
    <w:rsid w:val="00627A69"/>
    <w:rsid w:val="00627A9B"/>
    <w:rsid w:val="00627ACA"/>
    <w:rsid w:val="00627E42"/>
    <w:rsid w:val="0063004D"/>
    <w:rsid w:val="00630962"/>
    <w:rsid w:val="00630A73"/>
    <w:rsid w:val="00631152"/>
    <w:rsid w:val="00631930"/>
    <w:rsid w:val="00632C36"/>
    <w:rsid w:val="006333F1"/>
    <w:rsid w:val="00634031"/>
    <w:rsid w:val="00634125"/>
    <w:rsid w:val="00634BDC"/>
    <w:rsid w:val="006368DB"/>
    <w:rsid w:val="006373FF"/>
    <w:rsid w:val="00637689"/>
    <w:rsid w:val="0063779F"/>
    <w:rsid w:val="00637CC0"/>
    <w:rsid w:val="00637DAA"/>
    <w:rsid w:val="00640264"/>
    <w:rsid w:val="006402BB"/>
    <w:rsid w:val="00641FF1"/>
    <w:rsid w:val="006424AF"/>
    <w:rsid w:val="00642B26"/>
    <w:rsid w:val="0064503F"/>
    <w:rsid w:val="006456C0"/>
    <w:rsid w:val="00645811"/>
    <w:rsid w:val="00645A63"/>
    <w:rsid w:val="0064758E"/>
    <w:rsid w:val="00650DA4"/>
    <w:rsid w:val="00650E65"/>
    <w:rsid w:val="00651710"/>
    <w:rsid w:val="006518F7"/>
    <w:rsid w:val="006529A4"/>
    <w:rsid w:val="00653253"/>
    <w:rsid w:val="00653711"/>
    <w:rsid w:val="0065373F"/>
    <w:rsid w:val="00654461"/>
    <w:rsid w:val="006549E7"/>
    <w:rsid w:val="00654C9C"/>
    <w:rsid w:val="00655925"/>
    <w:rsid w:val="00655CB6"/>
    <w:rsid w:val="00655EF6"/>
    <w:rsid w:val="00657070"/>
    <w:rsid w:val="0066065A"/>
    <w:rsid w:val="00661843"/>
    <w:rsid w:val="00661F26"/>
    <w:rsid w:val="006629E2"/>
    <w:rsid w:val="0066325B"/>
    <w:rsid w:val="00664337"/>
    <w:rsid w:val="00664A31"/>
    <w:rsid w:val="00664EA8"/>
    <w:rsid w:val="00665430"/>
    <w:rsid w:val="00665455"/>
    <w:rsid w:val="006658FA"/>
    <w:rsid w:val="00665C07"/>
    <w:rsid w:val="00665DD2"/>
    <w:rsid w:val="0066618E"/>
    <w:rsid w:val="006664DC"/>
    <w:rsid w:val="00666C54"/>
    <w:rsid w:val="006675E2"/>
    <w:rsid w:val="006704E2"/>
    <w:rsid w:val="00670929"/>
    <w:rsid w:val="006717AD"/>
    <w:rsid w:val="00672692"/>
    <w:rsid w:val="006736F6"/>
    <w:rsid w:val="00674039"/>
    <w:rsid w:val="006746D7"/>
    <w:rsid w:val="00675B47"/>
    <w:rsid w:val="00676A07"/>
    <w:rsid w:val="00676AB4"/>
    <w:rsid w:val="00681866"/>
    <w:rsid w:val="00682BF2"/>
    <w:rsid w:val="00682E6F"/>
    <w:rsid w:val="006840AB"/>
    <w:rsid w:val="00684640"/>
    <w:rsid w:val="00684A41"/>
    <w:rsid w:val="00684BCE"/>
    <w:rsid w:val="00684F36"/>
    <w:rsid w:val="00685851"/>
    <w:rsid w:val="00685860"/>
    <w:rsid w:val="0068672C"/>
    <w:rsid w:val="006868F1"/>
    <w:rsid w:val="00686BF8"/>
    <w:rsid w:val="006879C6"/>
    <w:rsid w:val="00687D66"/>
    <w:rsid w:val="006908C1"/>
    <w:rsid w:val="0069134A"/>
    <w:rsid w:val="00691AE8"/>
    <w:rsid w:val="00691C5A"/>
    <w:rsid w:val="00691F3D"/>
    <w:rsid w:val="00691F68"/>
    <w:rsid w:val="00692443"/>
    <w:rsid w:val="00692665"/>
    <w:rsid w:val="00692670"/>
    <w:rsid w:val="00693287"/>
    <w:rsid w:val="0069507D"/>
    <w:rsid w:val="006951FC"/>
    <w:rsid w:val="00696639"/>
    <w:rsid w:val="00696EF5"/>
    <w:rsid w:val="00697082"/>
    <w:rsid w:val="00697E4B"/>
    <w:rsid w:val="00697FA0"/>
    <w:rsid w:val="006A038D"/>
    <w:rsid w:val="006A1EBC"/>
    <w:rsid w:val="006A20E3"/>
    <w:rsid w:val="006A2C06"/>
    <w:rsid w:val="006A2EB1"/>
    <w:rsid w:val="006A563A"/>
    <w:rsid w:val="006A6E1F"/>
    <w:rsid w:val="006A76F7"/>
    <w:rsid w:val="006B0DEE"/>
    <w:rsid w:val="006B10A6"/>
    <w:rsid w:val="006B1A9D"/>
    <w:rsid w:val="006B226D"/>
    <w:rsid w:val="006B257A"/>
    <w:rsid w:val="006B3CA5"/>
    <w:rsid w:val="006B3E01"/>
    <w:rsid w:val="006B407B"/>
    <w:rsid w:val="006B5289"/>
    <w:rsid w:val="006B60FA"/>
    <w:rsid w:val="006B7352"/>
    <w:rsid w:val="006C06D8"/>
    <w:rsid w:val="006C0C3D"/>
    <w:rsid w:val="006C1214"/>
    <w:rsid w:val="006C13CB"/>
    <w:rsid w:val="006C19ED"/>
    <w:rsid w:val="006C25F8"/>
    <w:rsid w:val="006C2A1B"/>
    <w:rsid w:val="006C3D9C"/>
    <w:rsid w:val="006C3F7A"/>
    <w:rsid w:val="006C448B"/>
    <w:rsid w:val="006C6BE2"/>
    <w:rsid w:val="006C7307"/>
    <w:rsid w:val="006C79F4"/>
    <w:rsid w:val="006D04C4"/>
    <w:rsid w:val="006D090D"/>
    <w:rsid w:val="006D0A02"/>
    <w:rsid w:val="006D274C"/>
    <w:rsid w:val="006D31AC"/>
    <w:rsid w:val="006D31D6"/>
    <w:rsid w:val="006D36CA"/>
    <w:rsid w:val="006D3DD7"/>
    <w:rsid w:val="006D4F2C"/>
    <w:rsid w:val="006D51CA"/>
    <w:rsid w:val="006D5E6C"/>
    <w:rsid w:val="006D5F35"/>
    <w:rsid w:val="006D6007"/>
    <w:rsid w:val="006D62B0"/>
    <w:rsid w:val="006D6C98"/>
    <w:rsid w:val="006D6E1C"/>
    <w:rsid w:val="006D7284"/>
    <w:rsid w:val="006D7C40"/>
    <w:rsid w:val="006E004E"/>
    <w:rsid w:val="006E02A4"/>
    <w:rsid w:val="006E17B3"/>
    <w:rsid w:val="006E28FE"/>
    <w:rsid w:val="006E2C7C"/>
    <w:rsid w:val="006E2DC9"/>
    <w:rsid w:val="006E322A"/>
    <w:rsid w:val="006E3255"/>
    <w:rsid w:val="006E393A"/>
    <w:rsid w:val="006E5101"/>
    <w:rsid w:val="006E7390"/>
    <w:rsid w:val="006E748F"/>
    <w:rsid w:val="006E7992"/>
    <w:rsid w:val="006F02D1"/>
    <w:rsid w:val="006F0B5C"/>
    <w:rsid w:val="006F1FFB"/>
    <w:rsid w:val="006F29B5"/>
    <w:rsid w:val="006F2B88"/>
    <w:rsid w:val="006F2CE5"/>
    <w:rsid w:val="006F2ECE"/>
    <w:rsid w:val="006F3A62"/>
    <w:rsid w:val="006F3B56"/>
    <w:rsid w:val="006F5098"/>
    <w:rsid w:val="006F74E9"/>
    <w:rsid w:val="006F7A29"/>
    <w:rsid w:val="006F7C27"/>
    <w:rsid w:val="00700376"/>
    <w:rsid w:val="00700C8C"/>
    <w:rsid w:val="00701BA7"/>
    <w:rsid w:val="00702976"/>
    <w:rsid w:val="0070357A"/>
    <w:rsid w:val="007038F8"/>
    <w:rsid w:val="00703A53"/>
    <w:rsid w:val="00704CC3"/>
    <w:rsid w:val="0070687D"/>
    <w:rsid w:val="00707326"/>
    <w:rsid w:val="00710A58"/>
    <w:rsid w:val="00711141"/>
    <w:rsid w:val="00711CDC"/>
    <w:rsid w:val="00711EF2"/>
    <w:rsid w:val="00712598"/>
    <w:rsid w:val="007129AA"/>
    <w:rsid w:val="007131E5"/>
    <w:rsid w:val="00713788"/>
    <w:rsid w:val="00713DCA"/>
    <w:rsid w:val="00713E22"/>
    <w:rsid w:val="007143FD"/>
    <w:rsid w:val="00714CFD"/>
    <w:rsid w:val="00715A44"/>
    <w:rsid w:val="00715B75"/>
    <w:rsid w:val="007171F3"/>
    <w:rsid w:val="007176E6"/>
    <w:rsid w:val="00720361"/>
    <w:rsid w:val="007205B9"/>
    <w:rsid w:val="00720E21"/>
    <w:rsid w:val="00720F2D"/>
    <w:rsid w:val="00723C86"/>
    <w:rsid w:val="00723D43"/>
    <w:rsid w:val="007242D3"/>
    <w:rsid w:val="007244D4"/>
    <w:rsid w:val="0072462B"/>
    <w:rsid w:val="00724B80"/>
    <w:rsid w:val="00726369"/>
    <w:rsid w:val="00727707"/>
    <w:rsid w:val="00727C52"/>
    <w:rsid w:val="007301F5"/>
    <w:rsid w:val="00730677"/>
    <w:rsid w:val="0073236C"/>
    <w:rsid w:val="00732DC4"/>
    <w:rsid w:val="007339B6"/>
    <w:rsid w:val="00736FCF"/>
    <w:rsid w:val="007372E5"/>
    <w:rsid w:val="00740733"/>
    <w:rsid w:val="00740CDB"/>
    <w:rsid w:val="007412A7"/>
    <w:rsid w:val="007414A3"/>
    <w:rsid w:val="007425B2"/>
    <w:rsid w:val="007430D7"/>
    <w:rsid w:val="00744278"/>
    <w:rsid w:val="00744F03"/>
    <w:rsid w:val="00745139"/>
    <w:rsid w:val="00745282"/>
    <w:rsid w:val="007455A7"/>
    <w:rsid w:val="0074678A"/>
    <w:rsid w:val="00747661"/>
    <w:rsid w:val="007478C0"/>
    <w:rsid w:val="00747EE8"/>
    <w:rsid w:val="00747EF0"/>
    <w:rsid w:val="0075088D"/>
    <w:rsid w:val="00750964"/>
    <w:rsid w:val="00751615"/>
    <w:rsid w:val="007535F6"/>
    <w:rsid w:val="00754305"/>
    <w:rsid w:val="00754311"/>
    <w:rsid w:val="00754C0D"/>
    <w:rsid w:val="00755424"/>
    <w:rsid w:val="00756F3A"/>
    <w:rsid w:val="007571AE"/>
    <w:rsid w:val="00760C77"/>
    <w:rsid w:val="00761A51"/>
    <w:rsid w:val="0076205C"/>
    <w:rsid w:val="00762B86"/>
    <w:rsid w:val="0076356B"/>
    <w:rsid w:val="00763CAC"/>
    <w:rsid w:val="00765416"/>
    <w:rsid w:val="00765C8A"/>
    <w:rsid w:val="00767D6F"/>
    <w:rsid w:val="00767EB5"/>
    <w:rsid w:val="007704FA"/>
    <w:rsid w:val="00770558"/>
    <w:rsid w:val="00772D02"/>
    <w:rsid w:val="00772EE3"/>
    <w:rsid w:val="00774483"/>
    <w:rsid w:val="007745C1"/>
    <w:rsid w:val="007748CF"/>
    <w:rsid w:val="0077551B"/>
    <w:rsid w:val="00776855"/>
    <w:rsid w:val="00776F0D"/>
    <w:rsid w:val="00780387"/>
    <w:rsid w:val="00781BC0"/>
    <w:rsid w:val="00781DB7"/>
    <w:rsid w:val="007822D3"/>
    <w:rsid w:val="00783287"/>
    <w:rsid w:val="007839CE"/>
    <w:rsid w:val="00783CCE"/>
    <w:rsid w:val="00783CE1"/>
    <w:rsid w:val="007849A8"/>
    <w:rsid w:val="00785126"/>
    <w:rsid w:val="00785EFB"/>
    <w:rsid w:val="00786328"/>
    <w:rsid w:val="00786981"/>
    <w:rsid w:val="00787470"/>
    <w:rsid w:val="00787B12"/>
    <w:rsid w:val="0079083F"/>
    <w:rsid w:val="00790A5C"/>
    <w:rsid w:val="00790B4D"/>
    <w:rsid w:val="007918AF"/>
    <w:rsid w:val="00791B26"/>
    <w:rsid w:val="0079263C"/>
    <w:rsid w:val="0079476F"/>
    <w:rsid w:val="007957AC"/>
    <w:rsid w:val="0079647C"/>
    <w:rsid w:val="00796990"/>
    <w:rsid w:val="007A1194"/>
    <w:rsid w:val="007A2300"/>
    <w:rsid w:val="007A2331"/>
    <w:rsid w:val="007A23ED"/>
    <w:rsid w:val="007A2BEA"/>
    <w:rsid w:val="007A2CC0"/>
    <w:rsid w:val="007A334E"/>
    <w:rsid w:val="007A3CA3"/>
    <w:rsid w:val="007A49DB"/>
    <w:rsid w:val="007A53B8"/>
    <w:rsid w:val="007A58B3"/>
    <w:rsid w:val="007A5905"/>
    <w:rsid w:val="007A5AF3"/>
    <w:rsid w:val="007A5FAB"/>
    <w:rsid w:val="007A664D"/>
    <w:rsid w:val="007A6AC5"/>
    <w:rsid w:val="007B0185"/>
    <w:rsid w:val="007B175A"/>
    <w:rsid w:val="007B36CC"/>
    <w:rsid w:val="007B3AA7"/>
    <w:rsid w:val="007B44EB"/>
    <w:rsid w:val="007B4C9F"/>
    <w:rsid w:val="007B4F15"/>
    <w:rsid w:val="007B5040"/>
    <w:rsid w:val="007B5F56"/>
    <w:rsid w:val="007B6288"/>
    <w:rsid w:val="007B790C"/>
    <w:rsid w:val="007B7BAA"/>
    <w:rsid w:val="007C075C"/>
    <w:rsid w:val="007C1265"/>
    <w:rsid w:val="007C3E43"/>
    <w:rsid w:val="007C40EC"/>
    <w:rsid w:val="007C537A"/>
    <w:rsid w:val="007C5D72"/>
    <w:rsid w:val="007C5DD5"/>
    <w:rsid w:val="007C5F15"/>
    <w:rsid w:val="007C74B4"/>
    <w:rsid w:val="007C7CC8"/>
    <w:rsid w:val="007D0271"/>
    <w:rsid w:val="007D1044"/>
    <w:rsid w:val="007D1E8B"/>
    <w:rsid w:val="007D1EF8"/>
    <w:rsid w:val="007D2C7F"/>
    <w:rsid w:val="007D465B"/>
    <w:rsid w:val="007D4D51"/>
    <w:rsid w:val="007D4EC8"/>
    <w:rsid w:val="007D4F2B"/>
    <w:rsid w:val="007D51F5"/>
    <w:rsid w:val="007D529B"/>
    <w:rsid w:val="007D5750"/>
    <w:rsid w:val="007D5939"/>
    <w:rsid w:val="007D5DDF"/>
    <w:rsid w:val="007D6C2C"/>
    <w:rsid w:val="007D7160"/>
    <w:rsid w:val="007D7745"/>
    <w:rsid w:val="007E0F3A"/>
    <w:rsid w:val="007E31E6"/>
    <w:rsid w:val="007E328D"/>
    <w:rsid w:val="007E3865"/>
    <w:rsid w:val="007E3F73"/>
    <w:rsid w:val="007E4845"/>
    <w:rsid w:val="007E4C10"/>
    <w:rsid w:val="007E4CE4"/>
    <w:rsid w:val="007E55DF"/>
    <w:rsid w:val="007E5E98"/>
    <w:rsid w:val="007E626B"/>
    <w:rsid w:val="007E6C50"/>
    <w:rsid w:val="007F112E"/>
    <w:rsid w:val="007F2D88"/>
    <w:rsid w:val="007F460D"/>
    <w:rsid w:val="007F5BC1"/>
    <w:rsid w:val="007F72F7"/>
    <w:rsid w:val="007F7503"/>
    <w:rsid w:val="00800AAB"/>
    <w:rsid w:val="00800B41"/>
    <w:rsid w:val="00801949"/>
    <w:rsid w:val="00801A3D"/>
    <w:rsid w:val="00802674"/>
    <w:rsid w:val="00803615"/>
    <w:rsid w:val="008044C0"/>
    <w:rsid w:val="00804BE8"/>
    <w:rsid w:val="008056A0"/>
    <w:rsid w:val="00805C77"/>
    <w:rsid w:val="008068B8"/>
    <w:rsid w:val="00806DFA"/>
    <w:rsid w:val="00810D5E"/>
    <w:rsid w:val="00810EFC"/>
    <w:rsid w:val="00811099"/>
    <w:rsid w:val="00812DEA"/>
    <w:rsid w:val="008130CD"/>
    <w:rsid w:val="00813286"/>
    <w:rsid w:val="0081433D"/>
    <w:rsid w:val="00814422"/>
    <w:rsid w:val="00814607"/>
    <w:rsid w:val="00815398"/>
    <w:rsid w:val="00815DB0"/>
    <w:rsid w:val="008166C2"/>
    <w:rsid w:val="00817B40"/>
    <w:rsid w:val="00817C54"/>
    <w:rsid w:val="00817DF6"/>
    <w:rsid w:val="008200E1"/>
    <w:rsid w:val="00820A36"/>
    <w:rsid w:val="00821C30"/>
    <w:rsid w:val="00821E29"/>
    <w:rsid w:val="008225FD"/>
    <w:rsid w:val="00822B07"/>
    <w:rsid w:val="00822B0E"/>
    <w:rsid w:val="008236B2"/>
    <w:rsid w:val="0082546E"/>
    <w:rsid w:val="008255DA"/>
    <w:rsid w:val="00826E17"/>
    <w:rsid w:val="008270D8"/>
    <w:rsid w:val="00827AFD"/>
    <w:rsid w:val="00827B99"/>
    <w:rsid w:val="00830A6B"/>
    <w:rsid w:val="00831818"/>
    <w:rsid w:val="00833228"/>
    <w:rsid w:val="008339D4"/>
    <w:rsid w:val="00833B52"/>
    <w:rsid w:val="008346FC"/>
    <w:rsid w:val="008352A3"/>
    <w:rsid w:val="008356A1"/>
    <w:rsid w:val="0083610E"/>
    <w:rsid w:val="008363BD"/>
    <w:rsid w:val="008401A7"/>
    <w:rsid w:val="008413E0"/>
    <w:rsid w:val="0084181B"/>
    <w:rsid w:val="00842174"/>
    <w:rsid w:val="0084272B"/>
    <w:rsid w:val="00842BCA"/>
    <w:rsid w:val="0084396A"/>
    <w:rsid w:val="00843E93"/>
    <w:rsid w:val="00843FD1"/>
    <w:rsid w:val="00845BF8"/>
    <w:rsid w:val="008461C9"/>
    <w:rsid w:val="008475F3"/>
    <w:rsid w:val="008508E1"/>
    <w:rsid w:val="0085103C"/>
    <w:rsid w:val="0085152E"/>
    <w:rsid w:val="00851C0F"/>
    <w:rsid w:val="0085205A"/>
    <w:rsid w:val="008522C7"/>
    <w:rsid w:val="008533CE"/>
    <w:rsid w:val="0085384E"/>
    <w:rsid w:val="00853ED6"/>
    <w:rsid w:val="0085514C"/>
    <w:rsid w:val="00855F72"/>
    <w:rsid w:val="008569AF"/>
    <w:rsid w:val="008574E8"/>
    <w:rsid w:val="00857928"/>
    <w:rsid w:val="00857939"/>
    <w:rsid w:val="00860279"/>
    <w:rsid w:val="0086043D"/>
    <w:rsid w:val="00860B14"/>
    <w:rsid w:val="008610DB"/>
    <w:rsid w:val="00861200"/>
    <w:rsid w:val="008619FA"/>
    <w:rsid w:val="00861BC4"/>
    <w:rsid w:val="008627FF"/>
    <w:rsid w:val="00862CA7"/>
    <w:rsid w:val="00862CB0"/>
    <w:rsid w:val="0086301B"/>
    <w:rsid w:val="00863648"/>
    <w:rsid w:val="008639E2"/>
    <w:rsid w:val="00863C42"/>
    <w:rsid w:val="00864E53"/>
    <w:rsid w:val="008657C5"/>
    <w:rsid w:val="008666F7"/>
    <w:rsid w:val="00866B68"/>
    <w:rsid w:val="00866D8E"/>
    <w:rsid w:val="00867B3B"/>
    <w:rsid w:val="00870BBF"/>
    <w:rsid w:val="008711CD"/>
    <w:rsid w:val="0087136F"/>
    <w:rsid w:val="008728F4"/>
    <w:rsid w:val="00872963"/>
    <w:rsid w:val="00872D48"/>
    <w:rsid w:val="0087309E"/>
    <w:rsid w:val="00873662"/>
    <w:rsid w:val="0087383E"/>
    <w:rsid w:val="00873E09"/>
    <w:rsid w:val="00874E1C"/>
    <w:rsid w:val="00875953"/>
    <w:rsid w:val="00876511"/>
    <w:rsid w:val="00880436"/>
    <w:rsid w:val="00880BF3"/>
    <w:rsid w:val="00881BEC"/>
    <w:rsid w:val="00881C63"/>
    <w:rsid w:val="00882268"/>
    <w:rsid w:val="00882321"/>
    <w:rsid w:val="00882C66"/>
    <w:rsid w:val="0088368F"/>
    <w:rsid w:val="0088454D"/>
    <w:rsid w:val="00885377"/>
    <w:rsid w:val="008874A7"/>
    <w:rsid w:val="00887BF6"/>
    <w:rsid w:val="00890288"/>
    <w:rsid w:val="008904F8"/>
    <w:rsid w:val="008930E6"/>
    <w:rsid w:val="00893286"/>
    <w:rsid w:val="00893AFA"/>
    <w:rsid w:val="00893C31"/>
    <w:rsid w:val="00894BCD"/>
    <w:rsid w:val="0089541C"/>
    <w:rsid w:val="00895D81"/>
    <w:rsid w:val="00895E3E"/>
    <w:rsid w:val="00896E19"/>
    <w:rsid w:val="00897C33"/>
    <w:rsid w:val="00897E44"/>
    <w:rsid w:val="008A066D"/>
    <w:rsid w:val="008A0CA4"/>
    <w:rsid w:val="008A14D4"/>
    <w:rsid w:val="008A2E22"/>
    <w:rsid w:val="008A32E2"/>
    <w:rsid w:val="008A459D"/>
    <w:rsid w:val="008A4624"/>
    <w:rsid w:val="008A478B"/>
    <w:rsid w:val="008A4D15"/>
    <w:rsid w:val="008A52D8"/>
    <w:rsid w:val="008A5398"/>
    <w:rsid w:val="008A7BF3"/>
    <w:rsid w:val="008B1FC7"/>
    <w:rsid w:val="008B2320"/>
    <w:rsid w:val="008B23E6"/>
    <w:rsid w:val="008B2EF6"/>
    <w:rsid w:val="008B3716"/>
    <w:rsid w:val="008B4FC4"/>
    <w:rsid w:val="008B4FEA"/>
    <w:rsid w:val="008B56B6"/>
    <w:rsid w:val="008B5790"/>
    <w:rsid w:val="008B6D9C"/>
    <w:rsid w:val="008B6EC9"/>
    <w:rsid w:val="008B77D7"/>
    <w:rsid w:val="008B7D86"/>
    <w:rsid w:val="008B7EAA"/>
    <w:rsid w:val="008C18EF"/>
    <w:rsid w:val="008C1926"/>
    <w:rsid w:val="008C3237"/>
    <w:rsid w:val="008C52F5"/>
    <w:rsid w:val="008C6001"/>
    <w:rsid w:val="008C6272"/>
    <w:rsid w:val="008C651D"/>
    <w:rsid w:val="008C78DA"/>
    <w:rsid w:val="008D1840"/>
    <w:rsid w:val="008D1D8B"/>
    <w:rsid w:val="008D3040"/>
    <w:rsid w:val="008D31F9"/>
    <w:rsid w:val="008D3645"/>
    <w:rsid w:val="008D3C46"/>
    <w:rsid w:val="008D468E"/>
    <w:rsid w:val="008D51C4"/>
    <w:rsid w:val="008D555D"/>
    <w:rsid w:val="008D57C4"/>
    <w:rsid w:val="008D6765"/>
    <w:rsid w:val="008D7062"/>
    <w:rsid w:val="008E00BB"/>
    <w:rsid w:val="008E10D3"/>
    <w:rsid w:val="008E1DD8"/>
    <w:rsid w:val="008E22DB"/>
    <w:rsid w:val="008E2954"/>
    <w:rsid w:val="008E3FCA"/>
    <w:rsid w:val="008E404A"/>
    <w:rsid w:val="008E4625"/>
    <w:rsid w:val="008E4DB8"/>
    <w:rsid w:val="008E4E8F"/>
    <w:rsid w:val="008E5661"/>
    <w:rsid w:val="008E5702"/>
    <w:rsid w:val="008E5D00"/>
    <w:rsid w:val="008E5E31"/>
    <w:rsid w:val="008E6022"/>
    <w:rsid w:val="008E7974"/>
    <w:rsid w:val="008E7A42"/>
    <w:rsid w:val="008F0412"/>
    <w:rsid w:val="008F085D"/>
    <w:rsid w:val="008F1B11"/>
    <w:rsid w:val="008F1D32"/>
    <w:rsid w:val="008F23C4"/>
    <w:rsid w:val="008F28B4"/>
    <w:rsid w:val="008F2A68"/>
    <w:rsid w:val="008F317D"/>
    <w:rsid w:val="008F3A4E"/>
    <w:rsid w:val="008F3C58"/>
    <w:rsid w:val="008F41FF"/>
    <w:rsid w:val="008F52C2"/>
    <w:rsid w:val="008F5C64"/>
    <w:rsid w:val="008F5D97"/>
    <w:rsid w:val="008F6270"/>
    <w:rsid w:val="008F6DF5"/>
    <w:rsid w:val="008F71FC"/>
    <w:rsid w:val="008F777D"/>
    <w:rsid w:val="008F77B2"/>
    <w:rsid w:val="008F7F49"/>
    <w:rsid w:val="00901023"/>
    <w:rsid w:val="00902373"/>
    <w:rsid w:val="009023E4"/>
    <w:rsid w:val="00903C20"/>
    <w:rsid w:val="00903D05"/>
    <w:rsid w:val="00903D1A"/>
    <w:rsid w:val="00905199"/>
    <w:rsid w:val="009058C0"/>
    <w:rsid w:val="009058DD"/>
    <w:rsid w:val="00905B18"/>
    <w:rsid w:val="00905C63"/>
    <w:rsid w:val="00907229"/>
    <w:rsid w:val="009072B5"/>
    <w:rsid w:val="009075B4"/>
    <w:rsid w:val="00907FB5"/>
    <w:rsid w:val="00910086"/>
    <w:rsid w:val="0091025C"/>
    <w:rsid w:val="009106CD"/>
    <w:rsid w:val="009114BB"/>
    <w:rsid w:val="00911A7F"/>
    <w:rsid w:val="00912CC7"/>
    <w:rsid w:val="00912D4A"/>
    <w:rsid w:val="00912D59"/>
    <w:rsid w:val="0091519C"/>
    <w:rsid w:val="00915CA0"/>
    <w:rsid w:val="00916164"/>
    <w:rsid w:val="009174F6"/>
    <w:rsid w:val="009203F0"/>
    <w:rsid w:val="00920420"/>
    <w:rsid w:val="00920AC9"/>
    <w:rsid w:val="00921E6B"/>
    <w:rsid w:val="00921F9B"/>
    <w:rsid w:val="00922442"/>
    <w:rsid w:val="0092282E"/>
    <w:rsid w:val="00922AE3"/>
    <w:rsid w:val="00924211"/>
    <w:rsid w:val="00924465"/>
    <w:rsid w:val="00925A97"/>
    <w:rsid w:val="00926460"/>
    <w:rsid w:val="00927644"/>
    <w:rsid w:val="009278CF"/>
    <w:rsid w:val="00930FBD"/>
    <w:rsid w:val="00931189"/>
    <w:rsid w:val="00931462"/>
    <w:rsid w:val="0093238F"/>
    <w:rsid w:val="0093661F"/>
    <w:rsid w:val="00936705"/>
    <w:rsid w:val="00937453"/>
    <w:rsid w:val="009374AD"/>
    <w:rsid w:val="009415D2"/>
    <w:rsid w:val="00941AA8"/>
    <w:rsid w:val="00943733"/>
    <w:rsid w:val="00943D46"/>
    <w:rsid w:val="009442B4"/>
    <w:rsid w:val="00944FAF"/>
    <w:rsid w:val="00945C92"/>
    <w:rsid w:val="009460F6"/>
    <w:rsid w:val="00946500"/>
    <w:rsid w:val="0095019D"/>
    <w:rsid w:val="00951B65"/>
    <w:rsid w:val="00951E4A"/>
    <w:rsid w:val="0095259E"/>
    <w:rsid w:val="00953D68"/>
    <w:rsid w:val="00953E7A"/>
    <w:rsid w:val="00953FBE"/>
    <w:rsid w:val="0095413B"/>
    <w:rsid w:val="00954B1B"/>
    <w:rsid w:val="009551CD"/>
    <w:rsid w:val="0095678C"/>
    <w:rsid w:val="00957CE0"/>
    <w:rsid w:val="009613C0"/>
    <w:rsid w:val="00961C06"/>
    <w:rsid w:val="00961CC6"/>
    <w:rsid w:val="00962B9F"/>
    <w:rsid w:val="00962D07"/>
    <w:rsid w:val="009650A3"/>
    <w:rsid w:val="00965B71"/>
    <w:rsid w:val="00965EEA"/>
    <w:rsid w:val="009667B9"/>
    <w:rsid w:val="00966CE6"/>
    <w:rsid w:val="00967F73"/>
    <w:rsid w:val="009705DF"/>
    <w:rsid w:val="00971308"/>
    <w:rsid w:val="00971D5E"/>
    <w:rsid w:val="00972437"/>
    <w:rsid w:val="009727B9"/>
    <w:rsid w:val="009729D7"/>
    <w:rsid w:val="00973358"/>
    <w:rsid w:val="00974B82"/>
    <w:rsid w:val="00974D20"/>
    <w:rsid w:val="0097505A"/>
    <w:rsid w:val="00975595"/>
    <w:rsid w:val="00976655"/>
    <w:rsid w:val="00976C4B"/>
    <w:rsid w:val="0097739A"/>
    <w:rsid w:val="0097767C"/>
    <w:rsid w:val="00977BE0"/>
    <w:rsid w:val="00980785"/>
    <w:rsid w:val="00980906"/>
    <w:rsid w:val="00980A9C"/>
    <w:rsid w:val="00982160"/>
    <w:rsid w:val="00982FA3"/>
    <w:rsid w:val="00983ACE"/>
    <w:rsid w:val="00983E47"/>
    <w:rsid w:val="00983FAF"/>
    <w:rsid w:val="00984720"/>
    <w:rsid w:val="00985F7B"/>
    <w:rsid w:val="00986753"/>
    <w:rsid w:val="00991111"/>
    <w:rsid w:val="0099164C"/>
    <w:rsid w:val="00991B86"/>
    <w:rsid w:val="009928CA"/>
    <w:rsid w:val="00994881"/>
    <w:rsid w:val="0099547E"/>
    <w:rsid w:val="009968AF"/>
    <w:rsid w:val="00996A4C"/>
    <w:rsid w:val="00997C69"/>
    <w:rsid w:val="009A0360"/>
    <w:rsid w:val="009A09BF"/>
    <w:rsid w:val="009A0F10"/>
    <w:rsid w:val="009A2272"/>
    <w:rsid w:val="009A2452"/>
    <w:rsid w:val="009A2585"/>
    <w:rsid w:val="009A26DC"/>
    <w:rsid w:val="009A2A3D"/>
    <w:rsid w:val="009A374D"/>
    <w:rsid w:val="009A4AF5"/>
    <w:rsid w:val="009A4DDD"/>
    <w:rsid w:val="009A7059"/>
    <w:rsid w:val="009A7EFD"/>
    <w:rsid w:val="009B04AC"/>
    <w:rsid w:val="009B084E"/>
    <w:rsid w:val="009B1677"/>
    <w:rsid w:val="009B1ABA"/>
    <w:rsid w:val="009B233C"/>
    <w:rsid w:val="009B3374"/>
    <w:rsid w:val="009B338C"/>
    <w:rsid w:val="009B3E44"/>
    <w:rsid w:val="009B4170"/>
    <w:rsid w:val="009B4D79"/>
    <w:rsid w:val="009C02C6"/>
    <w:rsid w:val="009C05E2"/>
    <w:rsid w:val="009C080F"/>
    <w:rsid w:val="009C17FA"/>
    <w:rsid w:val="009C2238"/>
    <w:rsid w:val="009C26AB"/>
    <w:rsid w:val="009C4424"/>
    <w:rsid w:val="009C4BFC"/>
    <w:rsid w:val="009C4C21"/>
    <w:rsid w:val="009C5131"/>
    <w:rsid w:val="009C5321"/>
    <w:rsid w:val="009C59A2"/>
    <w:rsid w:val="009C5EAB"/>
    <w:rsid w:val="009C7AAA"/>
    <w:rsid w:val="009C7FE0"/>
    <w:rsid w:val="009D01C8"/>
    <w:rsid w:val="009D1141"/>
    <w:rsid w:val="009D1F9C"/>
    <w:rsid w:val="009D3F28"/>
    <w:rsid w:val="009D4CCE"/>
    <w:rsid w:val="009D68AA"/>
    <w:rsid w:val="009D6997"/>
    <w:rsid w:val="009D6B8F"/>
    <w:rsid w:val="009D6C6B"/>
    <w:rsid w:val="009D6DB8"/>
    <w:rsid w:val="009D6FAE"/>
    <w:rsid w:val="009D6FF1"/>
    <w:rsid w:val="009D754A"/>
    <w:rsid w:val="009D76F3"/>
    <w:rsid w:val="009E0228"/>
    <w:rsid w:val="009E0E21"/>
    <w:rsid w:val="009E1D14"/>
    <w:rsid w:val="009E2262"/>
    <w:rsid w:val="009E2A02"/>
    <w:rsid w:val="009E2F3C"/>
    <w:rsid w:val="009E3C22"/>
    <w:rsid w:val="009E3FBA"/>
    <w:rsid w:val="009E467C"/>
    <w:rsid w:val="009E60E9"/>
    <w:rsid w:val="009E6332"/>
    <w:rsid w:val="009E68BD"/>
    <w:rsid w:val="009E71CC"/>
    <w:rsid w:val="009F001A"/>
    <w:rsid w:val="009F079C"/>
    <w:rsid w:val="009F0AA9"/>
    <w:rsid w:val="009F0FCC"/>
    <w:rsid w:val="009F16F5"/>
    <w:rsid w:val="009F31B6"/>
    <w:rsid w:val="009F34C1"/>
    <w:rsid w:val="009F5172"/>
    <w:rsid w:val="009F53F4"/>
    <w:rsid w:val="009F5AA0"/>
    <w:rsid w:val="009F5BD6"/>
    <w:rsid w:val="009F5C31"/>
    <w:rsid w:val="009F6473"/>
    <w:rsid w:val="009F6946"/>
    <w:rsid w:val="009F6BEA"/>
    <w:rsid w:val="009F7874"/>
    <w:rsid w:val="009F7885"/>
    <w:rsid w:val="00A001E0"/>
    <w:rsid w:val="00A008AA"/>
    <w:rsid w:val="00A00971"/>
    <w:rsid w:val="00A00EC6"/>
    <w:rsid w:val="00A02759"/>
    <w:rsid w:val="00A03AA4"/>
    <w:rsid w:val="00A042AC"/>
    <w:rsid w:val="00A04FE5"/>
    <w:rsid w:val="00A05CF0"/>
    <w:rsid w:val="00A06B6A"/>
    <w:rsid w:val="00A06FEE"/>
    <w:rsid w:val="00A07651"/>
    <w:rsid w:val="00A103FE"/>
    <w:rsid w:val="00A111FB"/>
    <w:rsid w:val="00A1202D"/>
    <w:rsid w:val="00A133AF"/>
    <w:rsid w:val="00A1445B"/>
    <w:rsid w:val="00A14BF2"/>
    <w:rsid w:val="00A155DF"/>
    <w:rsid w:val="00A16DFD"/>
    <w:rsid w:val="00A16E25"/>
    <w:rsid w:val="00A1728C"/>
    <w:rsid w:val="00A202CF"/>
    <w:rsid w:val="00A213F6"/>
    <w:rsid w:val="00A21470"/>
    <w:rsid w:val="00A21639"/>
    <w:rsid w:val="00A23819"/>
    <w:rsid w:val="00A247CE"/>
    <w:rsid w:val="00A256A8"/>
    <w:rsid w:val="00A26BD3"/>
    <w:rsid w:val="00A32811"/>
    <w:rsid w:val="00A332EA"/>
    <w:rsid w:val="00A3342B"/>
    <w:rsid w:val="00A33B1C"/>
    <w:rsid w:val="00A34489"/>
    <w:rsid w:val="00A36C48"/>
    <w:rsid w:val="00A36F20"/>
    <w:rsid w:val="00A3795F"/>
    <w:rsid w:val="00A40540"/>
    <w:rsid w:val="00A4081C"/>
    <w:rsid w:val="00A408EE"/>
    <w:rsid w:val="00A41A0F"/>
    <w:rsid w:val="00A41C69"/>
    <w:rsid w:val="00A4249A"/>
    <w:rsid w:val="00A42FDD"/>
    <w:rsid w:val="00A438BD"/>
    <w:rsid w:val="00A451CA"/>
    <w:rsid w:val="00A45AC4"/>
    <w:rsid w:val="00A4605E"/>
    <w:rsid w:val="00A47391"/>
    <w:rsid w:val="00A47547"/>
    <w:rsid w:val="00A5054E"/>
    <w:rsid w:val="00A512D4"/>
    <w:rsid w:val="00A51414"/>
    <w:rsid w:val="00A516AB"/>
    <w:rsid w:val="00A51FC1"/>
    <w:rsid w:val="00A52ECC"/>
    <w:rsid w:val="00A530CC"/>
    <w:rsid w:val="00A5371B"/>
    <w:rsid w:val="00A53D34"/>
    <w:rsid w:val="00A5462E"/>
    <w:rsid w:val="00A554B4"/>
    <w:rsid w:val="00A555AA"/>
    <w:rsid w:val="00A55888"/>
    <w:rsid w:val="00A60889"/>
    <w:rsid w:val="00A614CC"/>
    <w:rsid w:val="00A616A6"/>
    <w:rsid w:val="00A61FDA"/>
    <w:rsid w:val="00A62385"/>
    <w:rsid w:val="00A628EE"/>
    <w:rsid w:val="00A62CE6"/>
    <w:rsid w:val="00A62D9F"/>
    <w:rsid w:val="00A638B9"/>
    <w:rsid w:val="00A6428A"/>
    <w:rsid w:val="00A646B2"/>
    <w:rsid w:val="00A65DA9"/>
    <w:rsid w:val="00A67236"/>
    <w:rsid w:val="00A67286"/>
    <w:rsid w:val="00A673B5"/>
    <w:rsid w:val="00A67C4E"/>
    <w:rsid w:val="00A7149C"/>
    <w:rsid w:val="00A73F99"/>
    <w:rsid w:val="00A74466"/>
    <w:rsid w:val="00A746A2"/>
    <w:rsid w:val="00A75871"/>
    <w:rsid w:val="00A75D8E"/>
    <w:rsid w:val="00A763D1"/>
    <w:rsid w:val="00A76C1F"/>
    <w:rsid w:val="00A771EA"/>
    <w:rsid w:val="00A8028D"/>
    <w:rsid w:val="00A802B5"/>
    <w:rsid w:val="00A81565"/>
    <w:rsid w:val="00A8192E"/>
    <w:rsid w:val="00A83881"/>
    <w:rsid w:val="00A8554D"/>
    <w:rsid w:val="00A8556E"/>
    <w:rsid w:val="00A85BD1"/>
    <w:rsid w:val="00A85BFE"/>
    <w:rsid w:val="00A865AE"/>
    <w:rsid w:val="00A86C5F"/>
    <w:rsid w:val="00A87098"/>
    <w:rsid w:val="00A87342"/>
    <w:rsid w:val="00A874DB"/>
    <w:rsid w:val="00A879F8"/>
    <w:rsid w:val="00A87C50"/>
    <w:rsid w:val="00A91452"/>
    <w:rsid w:val="00A92A15"/>
    <w:rsid w:val="00A931BF"/>
    <w:rsid w:val="00A949E9"/>
    <w:rsid w:val="00A969BE"/>
    <w:rsid w:val="00A969E3"/>
    <w:rsid w:val="00A96C1D"/>
    <w:rsid w:val="00A96C3F"/>
    <w:rsid w:val="00A97C39"/>
    <w:rsid w:val="00AA22DF"/>
    <w:rsid w:val="00AA2A48"/>
    <w:rsid w:val="00AA3778"/>
    <w:rsid w:val="00AA44F1"/>
    <w:rsid w:val="00AA45DC"/>
    <w:rsid w:val="00AA486D"/>
    <w:rsid w:val="00AA4922"/>
    <w:rsid w:val="00AA49B0"/>
    <w:rsid w:val="00AA4BE6"/>
    <w:rsid w:val="00AA4C4D"/>
    <w:rsid w:val="00AA5292"/>
    <w:rsid w:val="00AA5903"/>
    <w:rsid w:val="00AA5CD6"/>
    <w:rsid w:val="00AA602D"/>
    <w:rsid w:val="00AA7311"/>
    <w:rsid w:val="00AA7E27"/>
    <w:rsid w:val="00AB01B8"/>
    <w:rsid w:val="00AB0AF0"/>
    <w:rsid w:val="00AB141C"/>
    <w:rsid w:val="00AB17D0"/>
    <w:rsid w:val="00AB237A"/>
    <w:rsid w:val="00AB24FB"/>
    <w:rsid w:val="00AB31C5"/>
    <w:rsid w:val="00AB3716"/>
    <w:rsid w:val="00AB3975"/>
    <w:rsid w:val="00AB3BD4"/>
    <w:rsid w:val="00AB4B85"/>
    <w:rsid w:val="00AB67A9"/>
    <w:rsid w:val="00AB68D3"/>
    <w:rsid w:val="00AC129B"/>
    <w:rsid w:val="00AC1662"/>
    <w:rsid w:val="00AC1B02"/>
    <w:rsid w:val="00AC22A7"/>
    <w:rsid w:val="00AC231A"/>
    <w:rsid w:val="00AC2A0E"/>
    <w:rsid w:val="00AC374C"/>
    <w:rsid w:val="00AC3F87"/>
    <w:rsid w:val="00AC45B3"/>
    <w:rsid w:val="00AC4E9B"/>
    <w:rsid w:val="00AC5156"/>
    <w:rsid w:val="00AC53AB"/>
    <w:rsid w:val="00AC56D5"/>
    <w:rsid w:val="00AC5B45"/>
    <w:rsid w:val="00AC61DF"/>
    <w:rsid w:val="00AC6627"/>
    <w:rsid w:val="00AC7071"/>
    <w:rsid w:val="00AC76AE"/>
    <w:rsid w:val="00AC78B2"/>
    <w:rsid w:val="00AC7DD5"/>
    <w:rsid w:val="00AD10B3"/>
    <w:rsid w:val="00AD13D2"/>
    <w:rsid w:val="00AD17F6"/>
    <w:rsid w:val="00AD1BC4"/>
    <w:rsid w:val="00AD2970"/>
    <w:rsid w:val="00AD4214"/>
    <w:rsid w:val="00AD4341"/>
    <w:rsid w:val="00AD53BE"/>
    <w:rsid w:val="00AD66AC"/>
    <w:rsid w:val="00AD66CB"/>
    <w:rsid w:val="00AD6801"/>
    <w:rsid w:val="00AD6AE6"/>
    <w:rsid w:val="00AD74D1"/>
    <w:rsid w:val="00AD7B1B"/>
    <w:rsid w:val="00AE06D5"/>
    <w:rsid w:val="00AE10A9"/>
    <w:rsid w:val="00AE3DCC"/>
    <w:rsid w:val="00AE3F55"/>
    <w:rsid w:val="00AE4288"/>
    <w:rsid w:val="00AE4754"/>
    <w:rsid w:val="00AE4A63"/>
    <w:rsid w:val="00AE4E73"/>
    <w:rsid w:val="00AE5219"/>
    <w:rsid w:val="00AE5801"/>
    <w:rsid w:val="00AE5812"/>
    <w:rsid w:val="00AE6ACF"/>
    <w:rsid w:val="00AE74A4"/>
    <w:rsid w:val="00AF0FD2"/>
    <w:rsid w:val="00AF15AB"/>
    <w:rsid w:val="00AF16CA"/>
    <w:rsid w:val="00AF1D86"/>
    <w:rsid w:val="00AF2AE4"/>
    <w:rsid w:val="00AF3362"/>
    <w:rsid w:val="00AF69FF"/>
    <w:rsid w:val="00AF735A"/>
    <w:rsid w:val="00AF7DF2"/>
    <w:rsid w:val="00B007EE"/>
    <w:rsid w:val="00B02079"/>
    <w:rsid w:val="00B0242E"/>
    <w:rsid w:val="00B02BA6"/>
    <w:rsid w:val="00B03878"/>
    <w:rsid w:val="00B03A11"/>
    <w:rsid w:val="00B03E64"/>
    <w:rsid w:val="00B042A0"/>
    <w:rsid w:val="00B044D5"/>
    <w:rsid w:val="00B04611"/>
    <w:rsid w:val="00B048F2"/>
    <w:rsid w:val="00B05663"/>
    <w:rsid w:val="00B05966"/>
    <w:rsid w:val="00B06324"/>
    <w:rsid w:val="00B06786"/>
    <w:rsid w:val="00B06BDA"/>
    <w:rsid w:val="00B06D1B"/>
    <w:rsid w:val="00B11C84"/>
    <w:rsid w:val="00B11CB8"/>
    <w:rsid w:val="00B123FF"/>
    <w:rsid w:val="00B128DB"/>
    <w:rsid w:val="00B13564"/>
    <w:rsid w:val="00B14A62"/>
    <w:rsid w:val="00B15017"/>
    <w:rsid w:val="00B1569D"/>
    <w:rsid w:val="00B15AC0"/>
    <w:rsid w:val="00B15E9B"/>
    <w:rsid w:val="00B1663E"/>
    <w:rsid w:val="00B173A2"/>
    <w:rsid w:val="00B17947"/>
    <w:rsid w:val="00B2128E"/>
    <w:rsid w:val="00B224C5"/>
    <w:rsid w:val="00B224C7"/>
    <w:rsid w:val="00B234E4"/>
    <w:rsid w:val="00B241F1"/>
    <w:rsid w:val="00B25BE3"/>
    <w:rsid w:val="00B25D8B"/>
    <w:rsid w:val="00B264E6"/>
    <w:rsid w:val="00B273B5"/>
    <w:rsid w:val="00B27AD9"/>
    <w:rsid w:val="00B303F5"/>
    <w:rsid w:val="00B3317C"/>
    <w:rsid w:val="00B33386"/>
    <w:rsid w:val="00B362EE"/>
    <w:rsid w:val="00B36463"/>
    <w:rsid w:val="00B41932"/>
    <w:rsid w:val="00B41C41"/>
    <w:rsid w:val="00B45889"/>
    <w:rsid w:val="00B45F2B"/>
    <w:rsid w:val="00B51BD7"/>
    <w:rsid w:val="00B52F61"/>
    <w:rsid w:val="00B535EF"/>
    <w:rsid w:val="00B53EC0"/>
    <w:rsid w:val="00B548EE"/>
    <w:rsid w:val="00B55383"/>
    <w:rsid w:val="00B56800"/>
    <w:rsid w:val="00B57129"/>
    <w:rsid w:val="00B6033B"/>
    <w:rsid w:val="00B6116A"/>
    <w:rsid w:val="00B615C4"/>
    <w:rsid w:val="00B625C7"/>
    <w:rsid w:val="00B62A55"/>
    <w:rsid w:val="00B62A60"/>
    <w:rsid w:val="00B62CEA"/>
    <w:rsid w:val="00B643DD"/>
    <w:rsid w:val="00B64470"/>
    <w:rsid w:val="00B65837"/>
    <w:rsid w:val="00B66721"/>
    <w:rsid w:val="00B66E76"/>
    <w:rsid w:val="00B70C7E"/>
    <w:rsid w:val="00B7321E"/>
    <w:rsid w:val="00B734A2"/>
    <w:rsid w:val="00B735A8"/>
    <w:rsid w:val="00B7417A"/>
    <w:rsid w:val="00B758BE"/>
    <w:rsid w:val="00B75EB1"/>
    <w:rsid w:val="00B76591"/>
    <w:rsid w:val="00B76A46"/>
    <w:rsid w:val="00B771FE"/>
    <w:rsid w:val="00B777A7"/>
    <w:rsid w:val="00B77953"/>
    <w:rsid w:val="00B808CF"/>
    <w:rsid w:val="00B90BE1"/>
    <w:rsid w:val="00B91131"/>
    <w:rsid w:val="00B91672"/>
    <w:rsid w:val="00B923AC"/>
    <w:rsid w:val="00B92A6F"/>
    <w:rsid w:val="00B93B65"/>
    <w:rsid w:val="00B947F3"/>
    <w:rsid w:val="00B94837"/>
    <w:rsid w:val="00B951F9"/>
    <w:rsid w:val="00B9542C"/>
    <w:rsid w:val="00B959A3"/>
    <w:rsid w:val="00B959BA"/>
    <w:rsid w:val="00B95C73"/>
    <w:rsid w:val="00B9691C"/>
    <w:rsid w:val="00B96A9B"/>
    <w:rsid w:val="00BA0907"/>
    <w:rsid w:val="00BA0F9F"/>
    <w:rsid w:val="00BA1E1F"/>
    <w:rsid w:val="00BA2E7D"/>
    <w:rsid w:val="00BA357A"/>
    <w:rsid w:val="00BA3A4F"/>
    <w:rsid w:val="00BA3E59"/>
    <w:rsid w:val="00BA46EF"/>
    <w:rsid w:val="00BA556A"/>
    <w:rsid w:val="00BA5CC7"/>
    <w:rsid w:val="00BA6ED3"/>
    <w:rsid w:val="00BA7091"/>
    <w:rsid w:val="00BA7F45"/>
    <w:rsid w:val="00BB096C"/>
    <w:rsid w:val="00BB1267"/>
    <w:rsid w:val="00BB1C1B"/>
    <w:rsid w:val="00BB1E1F"/>
    <w:rsid w:val="00BB4785"/>
    <w:rsid w:val="00BB579A"/>
    <w:rsid w:val="00BB61C2"/>
    <w:rsid w:val="00BB6429"/>
    <w:rsid w:val="00BB6A3B"/>
    <w:rsid w:val="00BC0AB9"/>
    <w:rsid w:val="00BC0AC5"/>
    <w:rsid w:val="00BC1609"/>
    <w:rsid w:val="00BC1D77"/>
    <w:rsid w:val="00BC22B1"/>
    <w:rsid w:val="00BC2858"/>
    <w:rsid w:val="00BC352D"/>
    <w:rsid w:val="00BC5331"/>
    <w:rsid w:val="00BC5D28"/>
    <w:rsid w:val="00BC6025"/>
    <w:rsid w:val="00BC714E"/>
    <w:rsid w:val="00BD03EA"/>
    <w:rsid w:val="00BD09D0"/>
    <w:rsid w:val="00BD1F17"/>
    <w:rsid w:val="00BD204C"/>
    <w:rsid w:val="00BD2146"/>
    <w:rsid w:val="00BD295C"/>
    <w:rsid w:val="00BD2E21"/>
    <w:rsid w:val="00BD3370"/>
    <w:rsid w:val="00BD36E6"/>
    <w:rsid w:val="00BD53ED"/>
    <w:rsid w:val="00BD59A8"/>
    <w:rsid w:val="00BD62B6"/>
    <w:rsid w:val="00BD7522"/>
    <w:rsid w:val="00BE0002"/>
    <w:rsid w:val="00BE086E"/>
    <w:rsid w:val="00BE114D"/>
    <w:rsid w:val="00BE1D4D"/>
    <w:rsid w:val="00BE1D91"/>
    <w:rsid w:val="00BE33FD"/>
    <w:rsid w:val="00BE5009"/>
    <w:rsid w:val="00BE52E6"/>
    <w:rsid w:val="00BE5454"/>
    <w:rsid w:val="00BE567B"/>
    <w:rsid w:val="00BE5EFC"/>
    <w:rsid w:val="00BE61FB"/>
    <w:rsid w:val="00BE6952"/>
    <w:rsid w:val="00BE71D3"/>
    <w:rsid w:val="00BF0547"/>
    <w:rsid w:val="00BF0EEB"/>
    <w:rsid w:val="00BF0FDE"/>
    <w:rsid w:val="00BF1242"/>
    <w:rsid w:val="00BF190C"/>
    <w:rsid w:val="00BF25B6"/>
    <w:rsid w:val="00BF2CB4"/>
    <w:rsid w:val="00BF35F3"/>
    <w:rsid w:val="00BF3816"/>
    <w:rsid w:val="00BF4FC7"/>
    <w:rsid w:val="00BF5406"/>
    <w:rsid w:val="00BF708E"/>
    <w:rsid w:val="00BF7314"/>
    <w:rsid w:val="00BF744F"/>
    <w:rsid w:val="00BF7B97"/>
    <w:rsid w:val="00BF7C57"/>
    <w:rsid w:val="00C009FE"/>
    <w:rsid w:val="00C0121F"/>
    <w:rsid w:val="00C015DF"/>
    <w:rsid w:val="00C01A43"/>
    <w:rsid w:val="00C02BB4"/>
    <w:rsid w:val="00C040B6"/>
    <w:rsid w:val="00C04529"/>
    <w:rsid w:val="00C045C1"/>
    <w:rsid w:val="00C05090"/>
    <w:rsid w:val="00C053E5"/>
    <w:rsid w:val="00C06212"/>
    <w:rsid w:val="00C0678D"/>
    <w:rsid w:val="00C0681E"/>
    <w:rsid w:val="00C0682E"/>
    <w:rsid w:val="00C06E74"/>
    <w:rsid w:val="00C07AA6"/>
    <w:rsid w:val="00C07AE1"/>
    <w:rsid w:val="00C07DC0"/>
    <w:rsid w:val="00C10929"/>
    <w:rsid w:val="00C1096D"/>
    <w:rsid w:val="00C117B7"/>
    <w:rsid w:val="00C12704"/>
    <w:rsid w:val="00C12A2B"/>
    <w:rsid w:val="00C12E7B"/>
    <w:rsid w:val="00C153E7"/>
    <w:rsid w:val="00C1573F"/>
    <w:rsid w:val="00C15CF9"/>
    <w:rsid w:val="00C20F15"/>
    <w:rsid w:val="00C214C6"/>
    <w:rsid w:val="00C215D2"/>
    <w:rsid w:val="00C2178C"/>
    <w:rsid w:val="00C219F4"/>
    <w:rsid w:val="00C21C65"/>
    <w:rsid w:val="00C21E68"/>
    <w:rsid w:val="00C23282"/>
    <w:rsid w:val="00C234CE"/>
    <w:rsid w:val="00C245E4"/>
    <w:rsid w:val="00C26ABD"/>
    <w:rsid w:val="00C2742C"/>
    <w:rsid w:val="00C3096D"/>
    <w:rsid w:val="00C30CEC"/>
    <w:rsid w:val="00C31AC5"/>
    <w:rsid w:val="00C32265"/>
    <w:rsid w:val="00C3409A"/>
    <w:rsid w:val="00C346A1"/>
    <w:rsid w:val="00C34AE6"/>
    <w:rsid w:val="00C34C19"/>
    <w:rsid w:val="00C35294"/>
    <w:rsid w:val="00C36992"/>
    <w:rsid w:val="00C36E3F"/>
    <w:rsid w:val="00C37022"/>
    <w:rsid w:val="00C4074A"/>
    <w:rsid w:val="00C40D6A"/>
    <w:rsid w:val="00C42284"/>
    <w:rsid w:val="00C427C4"/>
    <w:rsid w:val="00C43955"/>
    <w:rsid w:val="00C45E4C"/>
    <w:rsid w:val="00C4694F"/>
    <w:rsid w:val="00C471A0"/>
    <w:rsid w:val="00C4723E"/>
    <w:rsid w:val="00C4773F"/>
    <w:rsid w:val="00C47B33"/>
    <w:rsid w:val="00C50196"/>
    <w:rsid w:val="00C50771"/>
    <w:rsid w:val="00C5149C"/>
    <w:rsid w:val="00C520FF"/>
    <w:rsid w:val="00C527C2"/>
    <w:rsid w:val="00C52ACE"/>
    <w:rsid w:val="00C52DB5"/>
    <w:rsid w:val="00C538E2"/>
    <w:rsid w:val="00C53F38"/>
    <w:rsid w:val="00C54497"/>
    <w:rsid w:val="00C548E5"/>
    <w:rsid w:val="00C5573F"/>
    <w:rsid w:val="00C55F06"/>
    <w:rsid w:val="00C576C6"/>
    <w:rsid w:val="00C60234"/>
    <w:rsid w:val="00C612E8"/>
    <w:rsid w:val="00C626DE"/>
    <w:rsid w:val="00C62FE1"/>
    <w:rsid w:val="00C637D7"/>
    <w:rsid w:val="00C6410E"/>
    <w:rsid w:val="00C653EA"/>
    <w:rsid w:val="00C655D5"/>
    <w:rsid w:val="00C6683A"/>
    <w:rsid w:val="00C67FCC"/>
    <w:rsid w:val="00C703B6"/>
    <w:rsid w:val="00C70B21"/>
    <w:rsid w:val="00C717C4"/>
    <w:rsid w:val="00C7214B"/>
    <w:rsid w:val="00C72F91"/>
    <w:rsid w:val="00C737D7"/>
    <w:rsid w:val="00C7574B"/>
    <w:rsid w:val="00C75F3B"/>
    <w:rsid w:val="00C7623A"/>
    <w:rsid w:val="00C767C5"/>
    <w:rsid w:val="00C77306"/>
    <w:rsid w:val="00C80BC9"/>
    <w:rsid w:val="00C8131B"/>
    <w:rsid w:val="00C81428"/>
    <w:rsid w:val="00C81B91"/>
    <w:rsid w:val="00C839BA"/>
    <w:rsid w:val="00C83A3C"/>
    <w:rsid w:val="00C84505"/>
    <w:rsid w:val="00C847F8"/>
    <w:rsid w:val="00C84D65"/>
    <w:rsid w:val="00C86B2D"/>
    <w:rsid w:val="00C86CFF"/>
    <w:rsid w:val="00C90361"/>
    <w:rsid w:val="00C9054B"/>
    <w:rsid w:val="00C909A9"/>
    <w:rsid w:val="00C90DAE"/>
    <w:rsid w:val="00C915E8"/>
    <w:rsid w:val="00C91AF5"/>
    <w:rsid w:val="00C92F8E"/>
    <w:rsid w:val="00C95591"/>
    <w:rsid w:val="00C95BCF"/>
    <w:rsid w:val="00C964D2"/>
    <w:rsid w:val="00C96B2A"/>
    <w:rsid w:val="00CA0089"/>
    <w:rsid w:val="00CA175B"/>
    <w:rsid w:val="00CA1814"/>
    <w:rsid w:val="00CA18DD"/>
    <w:rsid w:val="00CA2575"/>
    <w:rsid w:val="00CA2C5A"/>
    <w:rsid w:val="00CA33E6"/>
    <w:rsid w:val="00CA37C5"/>
    <w:rsid w:val="00CA3A9E"/>
    <w:rsid w:val="00CA3B8D"/>
    <w:rsid w:val="00CA3EDA"/>
    <w:rsid w:val="00CA4596"/>
    <w:rsid w:val="00CA6AF3"/>
    <w:rsid w:val="00CA745C"/>
    <w:rsid w:val="00CB0498"/>
    <w:rsid w:val="00CB1C36"/>
    <w:rsid w:val="00CB1E72"/>
    <w:rsid w:val="00CB20FD"/>
    <w:rsid w:val="00CB2513"/>
    <w:rsid w:val="00CB2A4F"/>
    <w:rsid w:val="00CB327B"/>
    <w:rsid w:val="00CB4769"/>
    <w:rsid w:val="00CB514C"/>
    <w:rsid w:val="00CB58F1"/>
    <w:rsid w:val="00CB65DF"/>
    <w:rsid w:val="00CB6C4C"/>
    <w:rsid w:val="00CB6E2B"/>
    <w:rsid w:val="00CB7157"/>
    <w:rsid w:val="00CB7321"/>
    <w:rsid w:val="00CB7579"/>
    <w:rsid w:val="00CC05B3"/>
    <w:rsid w:val="00CC1823"/>
    <w:rsid w:val="00CC3024"/>
    <w:rsid w:val="00CC33A4"/>
    <w:rsid w:val="00CC3AA0"/>
    <w:rsid w:val="00CC61C9"/>
    <w:rsid w:val="00CC6758"/>
    <w:rsid w:val="00CC71ED"/>
    <w:rsid w:val="00CC73F5"/>
    <w:rsid w:val="00CC7E03"/>
    <w:rsid w:val="00CC7F8D"/>
    <w:rsid w:val="00CD0B81"/>
    <w:rsid w:val="00CD182E"/>
    <w:rsid w:val="00CD1D60"/>
    <w:rsid w:val="00CD3359"/>
    <w:rsid w:val="00CD348E"/>
    <w:rsid w:val="00CD3F6F"/>
    <w:rsid w:val="00CD6254"/>
    <w:rsid w:val="00CD69AF"/>
    <w:rsid w:val="00CD6F8B"/>
    <w:rsid w:val="00CE04CE"/>
    <w:rsid w:val="00CE1C84"/>
    <w:rsid w:val="00CE2921"/>
    <w:rsid w:val="00CE351F"/>
    <w:rsid w:val="00CE361C"/>
    <w:rsid w:val="00CE40BA"/>
    <w:rsid w:val="00CE4BAC"/>
    <w:rsid w:val="00CE574D"/>
    <w:rsid w:val="00CE7DE2"/>
    <w:rsid w:val="00CE7E06"/>
    <w:rsid w:val="00CF0A1C"/>
    <w:rsid w:val="00CF1B7B"/>
    <w:rsid w:val="00CF1ED7"/>
    <w:rsid w:val="00CF33F6"/>
    <w:rsid w:val="00CF4C59"/>
    <w:rsid w:val="00D019BD"/>
    <w:rsid w:val="00D03159"/>
    <w:rsid w:val="00D038EF"/>
    <w:rsid w:val="00D03C03"/>
    <w:rsid w:val="00D03DAB"/>
    <w:rsid w:val="00D03F02"/>
    <w:rsid w:val="00D04677"/>
    <w:rsid w:val="00D047DF"/>
    <w:rsid w:val="00D04FCA"/>
    <w:rsid w:val="00D052C2"/>
    <w:rsid w:val="00D06329"/>
    <w:rsid w:val="00D069C2"/>
    <w:rsid w:val="00D1097E"/>
    <w:rsid w:val="00D109CC"/>
    <w:rsid w:val="00D11016"/>
    <w:rsid w:val="00D11101"/>
    <w:rsid w:val="00D11348"/>
    <w:rsid w:val="00D11488"/>
    <w:rsid w:val="00D1179B"/>
    <w:rsid w:val="00D11A1A"/>
    <w:rsid w:val="00D11FC0"/>
    <w:rsid w:val="00D130C3"/>
    <w:rsid w:val="00D13375"/>
    <w:rsid w:val="00D1348F"/>
    <w:rsid w:val="00D13F64"/>
    <w:rsid w:val="00D14885"/>
    <w:rsid w:val="00D15EA7"/>
    <w:rsid w:val="00D16F56"/>
    <w:rsid w:val="00D17583"/>
    <w:rsid w:val="00D17FF9"/>
    <w:rsid w:val="00D205A9"/>
    <w:rsid w:val="00D2171C"/>
    <w:rsid w:val="00D220B1"/>
    <w:rsid w:val="00D23CFC"/>
    <w:rsid w:val="00D242D9"/>
    <w:rsid w:val="00D247A3"/>
    <w:rsid w:val="00D24AD1"/>
    <w:rsid w:val="00D25DEF"/>
    <w:rsid w:val="00D2663D"/>
    <w:rsid w:val="00D2785D"/>
    <w:rsid w:val="00D30A04"/>
    <w:rsid w:val="00D31007"/>
    <w:rsid w:val="00D311CB"/>
    <w:rsid w:val="00D31B50"/>
    <w:rsid w:val="00D31E18"/>
    <w:rsid w:val="00D33163"/>
    <w:rsid w:val="00D33D38"/>
    <w:rsid w:val="00D342A4"/>
    <w:rsid w:val="00D349C5"/>
    <w:rsid w:val="00D361D2"/>
    <w:rsid w:val="00D415E5"/>
    <w:rsid w:val="00D42270"/>
    <w:rsid w:val="00D432EA"/>
    <w:rsid w:val="00D43441"/>
    <w:rsid w:val="00D44030"/>
    <w:rsid w:val="00D44678"/>
    <w:rsid w:val="00D45C7A"/>
    <w:rsid w:val="00D46041"/>
    <w:rsid w:val="00D46563"/>
    <w:rsid w:val="00D467B3"/>
    <w:rsid w:val="00D46ABE"/>
    <w:rsid w:val="00D47693"/>
    <w:rsid w:val="00D4783D"/>
    <w:rsid w:val="00D478AB"/>
    <w:rsid w:val="00D51B56"/>
    <w:rsid w:val="00D5426B"/>
    <w:rsid w:val="00D54CEC"/>
    <w:rsid w:val="00D54E91"/>
    <w:rsid w:val="00D55870"/>
    <w:rsid w:val="00D55CFC"/>
    <w:rsid w:val="00D56166"/>
    <w:rsid w:val="00D566A5"/>
    <w:rsid w:val="00D56B87"/>
    <w:rsid w:val="00D56F57"/>
    <w:rsid w:val="00D571F6"/>
    <w:rsid w:val="00D5773D"/>
    <w:rsid w:val="00D6161F"/>
    <w:rsid w:val="00D626AE"/>
    <w:rsid w:val="00D62C67"/>
    <w:rsid w:val="00D63246"/>
    <w:rsid w:val="00D633FF"/>
    <w:rsid w:val="00D64CE1"/>
    <w:rsid w:val="00D652EC"/>
    <w:rsid w:val="00D65390"/>
    <w:rsid w:val="00D67965"/>
    <w:rsid w:val="00D707A7"/>
    <w:rsid w:val="00D70C10"/>
    <w:rsid w:val="00D71C17"/>
    <w:rsid w:val="00D71EBF"/>
    <w:rsid w:val="00D72A9A"/>
    <w:rsid w:val="00D72B14"/>
    <w:rsid w:val="00D7342C"/>
    <w:rsid w:val="00D73A6F"/>
    <w:rsid w:val="00D73B14"/>
    <w:rsid w:val="00D7529F"/>
    <w:rsid w:val="00D75E31"/>
    <w:rsid w:val="00D76284"/>
    <w:rsid w:val="00D76296"/>
    <w:rsid w:val="00D773AA"/>
    <w:rsid w:val="00D814A5"/>
    <w:rsid w:val="00D8164F"/>
    <w:rsid w:val="00D81DC3"/>
    <w:rsid w:val="00D82B6D"/>
    <w:rsid w:val="00D82D5A"/>
    <w:rsid w:val="00D84059"/>
    <w:rsid w:val="00D84C7B"/>
    <w:rsid w:val="00D8672A"/>
    <w:rsid w:val="00D878CF"/>
    <w:rsid w:val="00D90CFF"/>
    <w:rsid w:val="00D90ED7"/>
    <w:rsid w:val="00D9155F"/>
    <w:rsid w:val="00D92877"/>
    <w:rsid w:val="00D92BFE"/>
    <w:rsid w:val="00D933E6"/>
    <w:rsid w:val="00D94168"/>
    <w:rsid w:val="00D944D1"/>
    <w:rsid w:val="00D94C3C"/>
    <w:rsid w:val="00D94C80"/>
    <w:rsid w:val="00D951DA"/>
    <w:rsid w:val="00D95FD1"/>
    <w:rsid w:val="00D964BA"/>
    <w:rsid w:val="00D97A61"/>
    <w:rsid w:val="00DA06E6"/>
    <w:rsid w:val="00DA0E5F"/>
    <w:rsid w:val="00DA17DB"/>
    <w:rsid w:val="00DA1942"/>
    <w:rsid w:val="00DA20CF"/>
    <w:rsid w:val="00DA2C30"/>
    <w:rsid w:val="00DA2EC1"/>
    <w:rsid w:val="00DA310E"/>
    <w:rsid w:val="00DA4D0F"/>
    <w:rsid w:val="00DA577C"/>
    <w:rsid w:val="00DA68E0"/>
    <w:rsid w:val="00DA6B56"/>
    <w:rsid w:val="00DB1178"/>
    <w:rsid w:val="00DB244B"/>
    <w:rsid w:val="00DB2894"/>
    <w:rsid w:val="00DB3D76"/>
    <w:rsid w:val="00DB4006"/>
    <w:rsid w:val="00DB4091"/>
    <w:rsid w:val="00DB4A4E"/>
    <w:rsid w:val="00DB4C85"/>
    <w:rsid w:val="00DB597A"/>
    <w:rsid w:val="00DB6887"/>
    <w:rsid w:val="00DB6EC5"/>
    <w:rsid w:val="00DB77B6"/>
    <w:rsid w:val="00DB7F22"/>
    <w:rsid w:val="00DC0095"/>
    <w:rsid w:val="00DC0A08"/>
    <w:rsid w:val="00DC0A76"/>
    <w:rsid w:val="00DC1D8B"/>
    <w:rsid w:val="00DC2050"/>
    <w:rsid w:val="00DC44AE"/>
    <w:rsid w:val="00DC499B"/>
    <w:rsid w:val="00DC6B9F"/>
    <w:rsid w:val="00DC6CB5"/>
    <w:rsid w:val="00DC6D0D"/>
    <w:rsid w:val="00DD017A"/>
    <w:rsid w:val="00DD0834"/>
    <w:rsid w:val="00DD0C21"/>
    <w:rsid w:val="00DD1CD2"/>
    <w:rsid w:val="00DD1ECA"/>
    <w:rsid w:val="00DD2272"/>
    <w:rsid w:val="00DD229B"/>
    <w:rsid w:val="00DD2457"/>
    <w:rsid w:val="00DD27D0"/>
    <w:rsid w:val="00DD2866"/>
    <w:rsid w:val="00DD3AF4"/>
    <w:rsid w:val="00DD4A97"/>
    <w:rsid w:val="00DD5593"/>
    <w:rsid w:val="00DD6B8E"/>
    <w:rsid w:val="00DD7905"/>
    <w:rsid w:val="00DE0413"/>
    <w:rsid w:val="00DE0544"/>
    <w:rsid w:val="00DE0FE8"/>
    <w:rsid w:val="00DE1246"/>
    <w:rsid w:val="00DE1A31"/>
    <w:rsid w:val="00DE21C2"/>
    <w:rsid w:val="00DE2357"/>
    <w:rsid w:val="00DE38E8"/>
    <w:rsid w:val="00DE4721"/>
    <w:rsid w:val="00DE55EE"/>
    <w:rsid w:val="00DE5EC0"/>
    <w:rsid w:val="00DE5EE2"/>
    <w:rsid w:val="00DE6A5F"/>
    <w:rsid w:val="00DE6AD4"/>
    <w:rsid w:val="00DE7ADC"/>
    <w:rsid w:val="00DF1CBE"/>
    <w:rsid w:val="00DF23BB"/>
    <w:rsid w:val="00DF3862"/>
    <w:rsid w:val="00DF3D8C"/>
    <w:rsid w:val="00DF4483"/>
    <w:rsid w:val="00DF50E2"/>
    <w:rsid w:val="00DF66EA"/>
    <w:rsid w:val="00E01356"/>
    <w:rsid w:val="00E015DC"/>
    <w:rsid w:val="00E026CF"/>
    <w:rsid w:val="00E03C01"/>
    <w:rsid w:val="00E03DAE"/>
    <w:rsid w:val="00E04B31"/>
    <w:rsid w:val="00E05D05"/>
    <w:rsid w:val="00E06136"/>
    <w:rsid w:val="00E065FE"/>
    <w:rsid w:val="00E0678C"/>
    <w:rsid w:val="00E07EAE"/>
    <w:rsid w:val="00E101D5"/>
    <w:rsid w:val="00E109F6"/>
    <w:rsid w:val="00E14A17"/>
    <w:rsid w:val="00E14D05"/>
    <w:rsid w:val="00E174A9"/>
    <w:rsid w:val="00E21846"/>
    <w:rsid w:val="00E21C04"/>
    <w:rsid w:val="00E21CFA"/>
    <w:rsid w:val="00E21F6B"/>
    <w:rsid w:val="00E22A9A"/>
    <w:rsid w:val="00E22D4B"/>
    <w:rsid w:val="00E23BE1"/>
    <w:rsid w:val="00E244E1"/>
    <w:rsid w:val="00E24629"/>
    <w:rsid w:val="00E2467F"/>
    <w:rsid w:val="00E2501E"/>
    <w:rsid w:val="00E260B4"/>
    <w:rsid w:val="00E264B0"/>
    <w:rsid w:val="00E26704"/>
    <w:rsid w:val="00E26829"/>
    <w:rsid w:val="00E26D74"/>
    <w:rsid w:val="00E31DD7"/>
    <w:rsid w:val="00E34BFE"/>
    <w:rsid w:val="00E35531"/>
    <w:rsid w:val="00E36585"/>
    <w:rsid w:val="00E36DB4"/>
    <w:rsid w:val="00E37065"/>
    <w:rsid w:val="00E371E2"/>
    <w:rsid w:val="00E4084E"/>
    <w:rsid w:val="00E40DAC"/>
    <w:rsid w:val="00E41C67"/>
    <w:rsid w:val="00E42882"/>
    <w:rsid w:val="00E44575"/>
    <w:rsid w:val="00E44786"/>
    <w:rsid w:val="00E45062"/>
    <w:rsid w:val="00E454E9"/>
    <w:rsid w:val="00E45D30"/>
    <w:rsid w:val="00E461F8"/>
    <w:rsid w:val="00E46920"/>
    <w:rsid w:val="00E47418"/>
    <w:rsid w:val="00E502DA"/>
    <w:rsid w:val="00E507D0"/>
    <w:rsid w:val="00E513CB"/>
    <w:rsid w:val="00E51E97"/>
    <w:rsid w:val="00E54332"/>
    <w:rsid w:val="00E543B8"/>
    <w:rsid w:val="00E54B1A"/>
    <w:rsid w:val="00E55D58"/>
    <w:rsid w:val="00E55EBE"/>
    <w:rsid w:val="00E5749F"/>
    <w:rsid w:val="00E6216A"/>
    <w:rsid w:val="00E623AF"/>
    <w:rsid w:val="00E627A5"/>
    <w:rsid w:val="00E62E5B"/>
    <w:rsid w:val="00E6445A"/>
    <w:rsid w:val="00E645A2"/>
    <w:rsid w:val="00E656A5"/>
    <w:rsid w:val="00E66310"/>
    <w:rsid w:val="00E6688C"/>
    <w:rsid w:val="00E66A27"/>
    <w:rsid w:val="00E70D63"/>
    <w:rsid w:val="00E70E62"/>
    <w:rsid w:val="00E72305"/>
    <w:rsid w:val="00E72CFF"/>
    <w:rsid w:val="00E72F22"/>
    <w:rsid w:val="00E73C9A"/>
    <w:rsid w:val="00E74F6E"/>
    <w:rsid w:val="00E75667"/>
    <w:rsid w:val="00E75C3B"/>
    <w:rsid w:val="00E76D9E"/>
    <w:rsid w:val="00E77321"/>
    <w:rsid w:val="00E80BCD"/>
    <w:rsid w:val="00E8119D"/>
    <w:rsid w:val="00E824CD"/>
    <w:rsid w:val="00E82926"/>
    <w:rsid w:val="00E82C51"/>
    <w:rsid w:val="00E831E6"/>
    <w:rsid w:val="00E861B0"/>
    <w:rsid w:val="00E86726"/>
    <w:rsid w:val="00E86EE2"/>
    <w:rsid w:val="00E875D9"/>
    <w:rsid w:val="00E87D78"/>
    <w:rsid w:val="00E901ED"/>
    <w:rsid w:val="00E902E6"/>
    <w:rsid w:val="00E906FA"/>
    <w:rsid w:val="00E9084C"/>
    <w:rsid w:val="00E915C3"/>
    <w:rsid w:val="00E920F4"/>
    <w:rsid w:val="00E92C8D"/>
    <w:rsid w:val="00E9429F"/>
    <w:rsid w:val="00E94A73"/>
    <w:rsid w:val="00E94C54"/>
    <w:rsid w:val="00E952F3"/>
    <w:rsid w:val="00E95450"/>
    <w:rsid w:val="00E97318"/>
    <w:rsid w:val="00EA016A"/>
    <w:rsid w:val="00EA01F1"/>
    <w:rsid w:val="00EA199A"/>
    <w:rsid w:val="00EA1BD5"/>
    <w:rsid w:val="00EA2A01"/>
    <w:rsid w:val="00EA4024"/>
    <w:rsid w:val="00EA4903"/>
    <w:rsid w:val="00EA5292"/>
    <w:rsid w:val="00EA5836"/>
    <w:rsid w:val="00EA5B11"/>
    <w:rsid w:val="00EA5E3C"/>
    <w:rsid w:val="00EA63A3"/>
    <w:rsid w:val="00EA73FA"/>
    <w:rsid w:val="00EB132B"/>
    <w:rsid w:val="00EB15E0"/>
    <w:rsid w:val="00EB1745"/>
    <w:rsid w:val="00EB2506"/>
    <w:rsid w:val="00EB2B63"/>
    <w:rsid w:val="00EB2C5B"/>
    <w:rsid w:val="00EB41AA"/>
    <w:rsid w:val="00EB47D7"/>
    <w:rsid w:val="00EB482B"/>
    <w:rsid w:val="00EB6273"/>
    <w:rsid w:val="00EB6575"/>
    <w:rsid w:val="00EB7B11"/>
    <w:rsid w:val="00EC006C"/>
    <w:rsid w:val="00EC28C1"/>
    <w:rsid w:val="00EC4160"/>
    <w:rsid w:val="00EC503A"/>
    <w:rsid w:val="00EC512C"/>
    <w:rsid w:val="00EC579B"/>
    <w:rsid w:val="00EC74B4"/>
    <w:rsid w:val="00ED0C2E"/>
    <w:rsid w:val="00ED0D69"/>
    <w:rsid w:val="00ED12C1"/>
    <w:rsid w:val="00ED1ADC"/>
    <w:rsid w:val="00ED2991"/>
    <w:rsid w:val="00ED3EAA"/>
    <w:rsid w:val="00ED4026"/>
    <w:rsid w:val="00ED4BB9"/>
    <w:rsid w:val="00ED5449"/>
    <w:rsid w:val="00ED5D37"/>
    <w:rsid w:val="00ED6B6D"/>
    <w:rsid w:val="00ED7359"/>
    <w:rsid w:val="00ED7B40"/>
    <w:rsid w:val="00EE05F9"/>
    <w:rsid w:val="00EE1338"/>
    <w:rsid w:val="00EE19DE"/>
    <w:rsid w:val="00EE217A"/>
    <w:rsid w:val="00EE3465"/>
    <w:rsid w:val="00EE408F"/>
    <w:rsid w:val="00EE43A6"/>
    <w:rsid w:val="00EE622F"/>
    <w:rsid w:val="00EE68B7"/>
    <w:rsid w:val="00EE68E4"/>
    <w:rsid w:val="00EE724A"/>
    <w:rsid w:val="00EE7B40"/>
    <w:rsid w:val="00EE7E83"/>
    <w:rsid w:val="00EF052F"/>
    <w:rsid w:val="00EF0727"/>
    <w:rsid w:val="00EF0E1A"/>
    <w:rsid w:val="00EF1068"/>
    <w:rsid w:val="00EF1477"/>
    <w:rsid w:val="00EF22F4"/>
    <w:rsid w:val="00EF22F8"/>
    <w:rsid w:val="00EF380F"/>
    <w:rsid w:val="00EF42D9"/>
    <w:rsid w:val="00EF485C"/>
    <w:rsid w:val="00EF48E8"/>
    <w:rsid w:val="00EF4B71"/>
    <w:rsid w:val="00EF7195"/>
    <w:rsid w:val="00F0275D"/>
    <w:rsid w:val="00F02B9A"/>
    <w:rsid w:val="00F04C20"/>
    <w:rsid w:val="00F056E0"/>
    <w:rsid w:val="00F076D0"/>
    <w:rsid w:val="00F0794F"/>
    <w:rsid w:val="00F1091C"/>
    <w:rsid w:val="00F125C3"/>
    <w:rsid w:val="00F1265A"/>
    <w:rsid w:val="00F12A9F"/>
    <w:rsid w:val="00F13C44"/>
    <w:rsid w:val="00F13FFE"/>
    <w:rsid w:val="00F14745"/>
    <w:rsid w:val="00F15833"/>
    <w:rsid w:val="00F15A9B"/>
    <w:rsid w:val="00F16389"/>
    <w:rsid w:val="00F16B5B"/>
    <w:rsid w:val="00F17A5C"/>
    <w:rsid w:val="00F17FB0"/>
    <w:rsid w:val="00F2053C"/>
    <w:rsid w:val="00F21149"/>
    <w:rsid w:val="00F2194D"/>
    <w:rsid w:val="00F21DF4"/>
    <w:rsid w:val="00F222CE"/>
    <w:rsid w:val="00F2395F"/>
    <w:rsid w:val="00F239C9"/>
    <w:rsid w:val="00F23A37"/>
    <w:rsid w:val="00F23C78"/>
    <w:rsid w:val="00F2522B"/>
    <w:rsid w:val="00F25B79"/>
    <w:rsid w:val="00F25BD3"/>
    <w:rsid w:val="00F26263"/>
    <w:rsid w:val="00F277C3"/>
    <w:rsid w:val="00F27A02"/>
    <w:rsid w:val="00F27E85"/>
    <w:rsid w:val="00F30737"/>
    <w:rsid w:val="00F30CF7"/>
    <w:rsid w:val="00F30CFF"/>
    <w:rsid w:val="00F31D87"/>
    <w:rsid w:val="00F32502"/>
    <w:rsid w:val="00F32CC8"/>
    <w:rsid w:val="00F33992"/>
    <w:rsid w:val="00F3485B"/>
    <w:rsid w:val="00F35440"/>
    <w:rsid w:val="00F35813"/>
    <w:rsid w:val="00F36DAD"/>
    <w:rsid w:val="00F37B07"/>
    <w:rsid w:val="00F37E5B"/>
    <w:rsid w:val="00F37F63"/>
    <w:rsid w:val="00F40A40"/>
    <w:rsid w:val="00F414E1"/>
    <w:rsid w:val="00F41AEC"/>
    <w:rsid w:val="00F42653"/>
    <w:rsid w:val="00F42ACE"/>
    <w:rsid w:val="00F42E67"/>
    <w:rsid w:val="00F43410"/>
    <w:rsid w:val="00F434A4"/>
    <w:rsid w:val="00F43C8E"/>
    <w:rsid w:val="00F44EF9"/>
    <w:rsid w:val="00F45634"/>
    <w:rsid w:val="00F45B16"/>
    <w:rsid w:val="00F45B85"/>
    <w:rsid w:val="00F45E1D"/>
    <w:rsid w:val="00F46478"/>
    <w:rsid w:val="00F4681A"/>
    <w:rsid w:val="00F46CAB"/>
    <w:rsid w:val="00F46F94"/>
    <w:rsid w:val="00F4754F"/>
    <w:rsid w:val="00F475FB"/>
    <w:rsid w:val="00F4768A"/>
    <w:rsid w:val="00F50A2A"/>
    <w:rsid w:val="00F51461"/>
    <w:rsid w:val="00F52666"/>
    <w:rsid w:val="00F542F4"/>
    <w:rsid w:val="00F54BBB"/>
    <w:rsid w:val="00F553D5"/>
    <w:rsid w:val="00F5580B"/>
    <w:rsid w:val="00F55828"/>
    <w:rsid w:val="00F56462"/>
    <w:rsid w:val="00F568DC"/>
    <w:rsid w:val="00F603FE"/>
    <w:rsid w:val="00F606DC"/>
    <w:rsid w:val="00F62B97"/>
    <w:rsid w:val="00F630BF"/>
    <w:rsid w:val="00F63FFE"/>
    <w:rsid w:val="00F6466E"/>
    <w:rsid w:val="00F6509F"/>
    <w:rsid w:val="00F655A0"/>
    <w:rsid w:val="00F66705"/>
    <w:rsid w:val="00F66B05"/>
    <w:rsid w:val="00F66DAC"/>
    <w:rsid w:val="00F724D5"/>
    <w:rsid w:val="00F72F76"/>
    <w:rsid w:val="00F734DC"/>
    <w:rsid w:val="00F73AA1"/>
    <w:rsid w:val="00F73BE4"/>
    <w:rsid w:val="00F73FBC"/>
    <w:rsid w:val="00F77A59"/>
    <w:rsid w:val="00F77E70"/>
    <w:rsid w:val="00F80049"/>
    <w:rsid w:val="00F818AA"/>
    <w:rsid w:val="00F81A43"/>
    <w:rsid w:val="00F825E2"/>
    <w:rsid w:val="00F82AD0"/>
    <w:rsid w:val="00F8331A"/>
    <w:rsid w:val="00F84249"/>
    <w:rsid w:val="00F85560"/>
    <w:rsid w:val="00F85C08"/>
    <w:rsid w:val="00F85C56"/>
    <w:rsid w:val="00F869BD"/>
    <w:rsid w:val="00F86A2C"/>
    <w:rsid w:val="00F86AEC"/>
    <w:rsid w:val="00F86EB5"/>
    <w:rsid w:val="00F87220"/>
    <w:rsid w:val="00F8797C"/>
    <w:rsid w:val="00F87AE3"/>
    <w:rsid w:val="00F90BAD"/>
    <w:rsid w:val="00F9139A"/>
    <w:rsid w:val="00F91D8E"/>
    <w:rsid w:val="00F9226A"/>
    <w:rsid w:val="00F92D33"/>
    <w:rsid w:val="00F93023"/>
    <w:rsid w:val="00F9479D"/>
    <w:rsid w:val="00F964AF"/>
    <w:rsid w:val="00FA0B2E"/>
    <w:rsid w:val="00FA1421"/>
    <w:rsid w:val="00FA2474"/>
    <w:rsid w:val="00FA24EE"/>
    <w:rsid w:val="00FA2AB4"/>
    <w:rsid w:val="00FA43CE"/>
    <w:rsid w:val="00FA447E"/>
    <w:rsid w:val="00FA45A2"/>
    <w:rsid w:val="00FA5625"/>
    <w:rsid w:val="00FB005A"/>
    <w:rsid w:val="00FB06BE"/>
    <w:rsid w:val="00FB2D97"/>
    <w:rsid w:val="00FB2E86"/>
    <w:rsid w:val="00FB3499"/>
    <w:rsid w:val="00FB3657"/>
    <w:rsid w:val="00FB4049"/>
    <w:rsid w:val="00FB4E20"/>
    <w:rsid w:val="00FB4F19"/>
    <w:rsid w:val="00FB55E8"/>
    <w:rsid w:val="00FB5999"/>
    <w:rsid w:val="00FB5A27"/>
    <w:rsid w:val="00FB5B71"/>
    <w:rsid w:val="00FB6185"/>
    <w:rsid w:val="00FB6642"/>
    <w:rsid w:val="00FB6C58"/>
    <w:rsid w:val="00FC009D"/>
    <w:rsid w:val="00FC011E"/>
    <w:rsid w:val="00FC10B7"/>
    <w:rsid w:val="00FC1B38"/>
    <w:rsid w:val="00FC1B9F"/>
    <w:rsid w:val="00FC1C57"/>
    <w:rsid w:val="00FC1D15"/>
    <w:rsid w:val="00FC22BF"/>
    <w:rsid w:val="00FC2FF9"/>
    <w:rsid w:val="00FC34E6"/>
    <w:rsid w:val="00FC3738"/>
    <w:rsid w:val="00FC47E1"/>
    <w:rsid w:val="00FC528B"/>
    <w:rsid w:val="00FC56B4"/>
    <w:rsid w:val="00FC58B8"/>
    <w:rsid w:val="00FC5D85"/>
    <w:rsid w:val="00FC7308"/>
    <w:rsid w:val="00FC7796"/>
    <w:rsid w:val="00FC7FB4"/>
    <w:rsid w:val="00FD02FB"/>
    <w:rsid w:val="00FD0505"/>
    <w:rsid w:val="00FD0B4D"/>
    <w:rsid w:val="00FD0D63"/>
    <w:rsid w:val="00FD0F08"/>
    <w:rsid w:val="00FD1AB3"/>
    <w:rsid w:val="00FD20CB"/>
    <w:rsid w:val="00FD258C"/>
    <w:rsid w:val="00FD2847"/>
    <w:rsid w:val="00FD2A3C"/>
    <w:rsid w:val="00FD2C9F"/>
    <w:rsid w:val="00FD3BDD"/>
    <w:rsid w:val="00FD3CFC"/>
    <w:rsid w:val="00FD467D"/>
    <w:rsid w:val="00FD5225"/>
    <w:rsid w:val="00FD54A2"/>
    <w:rsid w:val="00FD554E"/>
    <w:rsid w:val="00FD576E"/>
    <w:rsid w:val="00FD6A8D"/>
    <w:rsid w:val="00FD6D1E"/>
    <w:rsid w:val="00FD7D00"/>
    <w:rsid w:val="00FE0042"/>
    <w:rsid w:val="00FE0C4F"/>
    <w:rsid w:val="00FE11E6"/>
    <w:rsid w:val="00FE152C"/>
    <w:rsid w:val="00FE1B70"/>
    <w:rsid w:val="00FE3197"/>
    <w:rsid w:val="00FE3719"/>
    <w:rsid w:val="00FE3A35"/>
    <w:rsid w:val="00FE407D"/>
    <w:rsid w:val="00FE4A09"/>
    <w:rsid w:val="00FE604A"/>
    <w:rsid w:val="00FE6B56"/>
    <w:rsid w:val="00FE6F13"/>
    <w:rsid w:val="00FE7262"/>
    <w:rsid w:val="00FE7642"/>
    <w:rsid w:val="00FE7B3C"/>
    <w:rsid w:val="00FF00DC"/>
    <w:rsid w:val="00FF03BE"/>
    <w:rsid w:val="00FF0BE1"/>
    <w:rsid w:val="00FF3199"/>
    <w:rsid w:val="00FF4788"/>
    <w:rsid w:val="00FF4D68"/>
    <w:rsid w:val="00FF657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2CED1"/>
  <w15:docId w15:val="{CC0B6B9A-6441-46AD-A218-C15828D8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5DF"/>
  </w:style>
  <w:style w:type="paragraph" w:styleId="Heading1">
    <w:name w:val="heading 1"/>
    <w:basedOn w:val="Normal"/>
    <w:next w:val="Normal"/>
    <w:link w:val="Heading1Char"/>
    <w:uiPriority w:val="9"/>
    <w:qFormat/>
    <w:rsid w:val="00BF70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F70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93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5DF"/>
    <w:pPr>
      <w:ind w:left="720"/>
      <w:contextualSpacing/>
    </w:pPr>
  </w:style>
  <w:style w:type="paragraph" w:styleId="FootnoteText">
    <w:name w:val="footnote text"/>
    <w:basedOn w:val="Normal"/>
    <w:link w:val="FootnoteTextChar"/>
    <w:uiPriority w:val="99"/>
    <w:unhideWhenUsed/>
    <w:rsid w:val="005A05DF"/>
    <w:pPr>
      <w:spacing w:after="0" w:line="240" w:lineRule="auto"/>
    </w:pPr>
    <w:rPr>
      <w:sz w:val="20"/>
      <w:szCs w:val="20"/>
    </w:rPr>
  </w:style>
  <w:style w:type="character" w:customStyle="1" w:styleId="FootnoteTextChar">
    <w:name w:val="Footnote Text Char"/>
    <w:basedOn w:val="DefaultParagraphFont"/>
    <w:link w:val="FootnoteText"/>
    <w:uiPriority w:val="99"/>
    <w:rsid w:val="005A05DF"/>
    <w:rPr>
      <w:sz w:val="20"/>
      <w:szCs w:val="20"/>
    </w:rPr>
  </w:style>
  <w:style w:type="character" w:styleId="FootnoteReference">
    <w:name w:val="footnote reference"/>
    <w:basedOn w:val="DefaultParagraphFont"/>
    <w:uiPriority w:val="99"/>
    <w:semiHidden/>
    <w:unhideWhenUsed/>
    <w:rsid w:val="005A05DF"/>
    <w:rPr>
      <w:vertAlign w:val="superscript"/>
    </w:rPr>
  </w:style>
  <w:style w:type="paragraph" w:styleId="NoSpacing">
    <w:name w:val="No Spacing"/>
    <w:uiPriority w:val="1"/>
    <w:qFormat/>
    <w:rsid w:val="005A05DF"/>
    <w:pPr>
      <w:spacing w:after="0" w:line="240" w:lineRule="auto"/>
    </w:pPr>
  </w:style>
  <w:style w:type="paragraph" w:styleId="Header">
    <w:name w:val="header"/>
    <w:basedOn w:val="Normal"/>
    <w:link w:val="HeaderChar"/>
    <w:uiPriority w:val="99"/>
    <w:unhideWhenUsed/>
    <w:rsid w:val="005A0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05DF"/>
  </w:style>
  <w:style w:type="paragraph" w:styleId="Footer">
    <w:name w:val="footer"/>
    <w:basedOn w:val="Normal"/>
    <w:link w:val="FooterChar"/>
    <w:uiPriority w:val="99"/>
    <w:unhideWhenUsed/>
    <w:rsid w:val="005A0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05DF"/>
  </w:style>
  <w:style w:type="character" w:styleId="Hyperlink">
    <w:name w:val="Hyperlink"/>
    <w:basedOn w:val="DefaultParagraphFont"/>
    <w:uiPriority w:val="99"/>
    <w:unhideWhenUsed/>
    <w:rsid w:val="005A05DF"/>
    <w:rPr>
      <w:color w:val="0000FF"/>
      <w:u w:val="single"/>
    </w:rPr>
  </w:style>
  <w:style w:type="table" w:styleId="TableGrid">
    <w:name w:val="Table Grid"/>
    <w:basedOn w:val="TableNormal"/>
    <w:uiPriority w:val="39"/>
    <w:rsid w:val="005A0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A05DF"/>
    <w:rPr>
      <w:color w:val="605E5C"/>
      <w:shd w:val="clear" w:color="auto" w:fill="E1DFDD"/>
    </w:rPr>
  </w:style>
  <w:style w:type="character" w:styleId="FollowedHyperlink">
    <w:name w:val="FollowedHyperlink"/>
    <w:basedOn w:val="DefaultParagraphFont"/>
    <w:uiPriority w:val="99"/>
    <w:semiHidden/>
    <w:unhideWhenUsed/>
    <w:rsid w:val="005A05DF"/>
    <w:rPr>
      <w:color w:val="954F72" w:themeColor="followedHyperlink"/>
      <w:u w:val="single"/>
    </w:rPr>
  </w:style>
  <w:style w:type="paragraph" w:styleId="NormalWeb">
    <w:name w:val="Normal (Web)"/>
    <w:basedOn w:val="Normal"/>
    <w:uiPriority w:val="99"/>
    <w:unhideWhenUsed/>
    <w:rsid w:val="00B06D1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LineNumber">
    <w:name w:val="line number"/>
    <w:basedOn w:val="DefaultParagraphFont"/>
    <w:uiPriority w:val="99"/>
    <w:semiHidden/>
    <w:unhideWhenUsed/>
    <w:rsid w:val="00870BBF"/>
  </w:style>
  <w:style w:type="character" w:customStyle="1" w:styleId="Heading1Char">
    <w:name w:val="Heading 1 Char"/>
    <w:basedOn w:val="DefaultParagraphFont"/>
    <w:link w:val="Heading1"/>
    <w:uiPriority w:val="9"/>
    <w:rsid w:val="00BF708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F708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934D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F52666"/>
    <w:pPr>
      <w:outlineLvl w:val="9"/>
    </w:pPr>
    <w:rPr>
      <w:kern w:val="0"/>
      <w:lang w:val="en-US"/>
      <w14:ligatures w14:val="none"/>
    </w:rPr>
  </w:style>
  <w:style w:type="paragraph" w:styleId="TOC1">
    <w:name w:val="toc 1"/>
    <w:basedOn w:val="Normal"/>
    <w:next w:val="Normal"/>
    <w:autoRedefine/>
    <w:uiPriority w:val="39"/>
    <w:unhideWhenUsed/>
    <w:rsid w:val="00F52666"/>
    <w:pPr>
      <w:tabs>
        <w:tab w:val="right" w:leader="dot" w:pos="9016"/>
      </w:tabs>
      <w:spacing w:after="100"/>
    </w:pPr>
    <w:rPr>
      <w:rFonts w:cstheme="minorHAnsi"/>
      <w:b/>
      <w:bCs/>
      <w:noProof/>
    </w:rPr>
  </w:style>
  <w:style w:type="paragraph" w:styleId="TOC2">
    <w:name w:val="toc 2"/>
    <w:basedOn w:val="Normal"/>
    <w:next w:val="Normal"/>
    <w:autoRedefine/>
    <w:uiPriority w:val="39"/>
    <w:unhideWhenUsed/>
    <w:rsid w:val="00F5266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650883">
      <w:bodyDiv w:val="1"/>
      <w:marLeft w:val="0"/>
      <w:marRight w:val="0"/>
      <w:marTop w:val="0"/>
      <w:marBottom w:val="0"/>
      <w:divBdr>
        <w:top w:val="none" w:sz="0" w:space="0" w:color="auto"/>
        <w:left w:val="none" w:sz="0" w:space="0" w:color="auto"/>
        <w:bottom w:val="none" w:sz="0" w:space="0" w:color="auto"/>
        <w:right w:val="none" w:sz="0" w:space="0" w:color="auto"/>
      </w:divBdr>
    </w:div>
    <w:div w:id="106505382">
      <w:bodyDiv w:val="1"/>
      <w:marLeft w:val="0"/>
      <w:marRight w:val="0"/>
      <w:marTop w:val="0"/>
      <w:marBottom w:val="0"/>
      <w:divBdr>
        <w:top w:val="none" w:sz="0" w:space="0" w:color="auto"/>
        <w:left w:val="none" w:sz="0" w:space="0" w:color="auto"/>
        <w:bottom w:val="none" w:sz="0" w:space="0" w:color="auto"/>
        <w:right w:val="none" w:sz="0" w:space="0" w:color="auto"/>
      </w:divBdr>
    </w:div>
    <w:div w:id="164325874">
      <w:bodyDiv w:val="1"/>
      <w:marLeft w:val="0"/>
      <w:marRight w:val="0"/>
      <w:marTop w:val="0"/>
      <w:marBottom w:val="0"/>
      <w:divBdr>
        <w:top w:val="none" w:sz="0" w:space="0" w:color="auto"/>
        <w:left w:val="none" w:sz="0" w:space="0" w:color="auto"/>
        <w:bottom w:val="none" w:sz="0" w:space="0" w:color="auto"/>
        <w:right w:val="none" w:sz="0" w:space="0" w:color="auto"/>
      </w:divBdr>
    </w:div>
    <w:div w:id="606737743">
      <w:bodyDiv w:val="1"/>
      <w:marLeft w:val="0"/>
      <w:marRight w:val="0"/>
      <w:marTop w:val="0"/>
      <w:marBottom w:val="0"/>
      <w:divBdr>
        <w:top w:val="none" w:sz="0" w:space="0" w:color="auto"/>
        <w:left w:val="none" w:sz="0" w:space="0" w:color="auto"/>
        <w:bottom w:val="none" w:sz="0" w:space="0" w:color="auto"/>
        <w:right w:val="none" w:sz="0" w:space="0" w:color="auto"/>
      </w:divBdr>
    </w:div>
    <w:div w:id="730419211">
      <w:bodyDiv w:val="1"/>
      <w:marLeft w:val="0"/>
      <w:marRight w:val="0"/>
      <w:marTop w:val="0"/>
      <w:marBottom w:val="0"/>
      <w:divBdr>
        <w:top w:val="none" w:sz="0" w:space="0" w:color="auto"/>
        <w:left w:val="none" w:sz="0" w:space="0" w:color="auto"/>
        <w:bottom w:val="none" w:sz="0" w:space="0" w:color="auto"/>
        <w:right w:val="none" w:sz="0" w:space="0" w:color="auto"/>
      </w:divBdr>
    </w:div>
    <w:div w:id="789780389">
      <w:bodyDiv w:val="1"/>
      <w:marLeft w:val="0"/>
      <w:marRight w:val="0"/>
      <w:marTop w:val="0"/>
      <w:marBottom w:val="0"/>
      <w:divBdr>
        <w:top w:val="none" w:sz="0" w:space="0" w:color="auto"/>
        <w:left w:val="none" w:sz="0" w:space="0" w:color="auto"/>
        <w:bottom w:val="none" w:sz="0" w:space="0" w:color="auto"/>
        <w:right w:val="none" w:sz="0" w:space="0" w:color="auto"/>
      </w:divBdr>
    </w:div>
    <w:div w:id="982393389">
      <w:bodyDiv w:val="1"/>
      <w:marLeft w:val="0"/>
      <w:marRight w:val="0"/>
      <w:marTop w:val="0"/>
      <w:marBottom w:val="0"/>
      <w:divBdr>
        <w:top w:val="none" w:sz="0" w:space="0" w:color="auto"/>
        <w:left w:val="none" w:sz="0" w:space="0" w:color="auto"/>
        <w:bottom w:val="none" w:sz="0" w:space="0" w:color="auto"/>
        <w:right w:val="none" w:sz="0" w:space="0" w:color="auto"/>
      </w:divBdr>
    </w:div>
    <w:div w:id="1497770280">
      <w:bodyDiv w:val="1"/>
      <w:marLeft w:val="0"/>
      <w:marRight w:val="0"/>
      <w:marTop w:val="0"/>
      <w:marBottom w:val="0"/>
      <w:divBdr>
        <w:top w:val="none" w:sz="0" w:space="0" w:color="auto"/>
        <w:left w:val="none" w:sz="0" w:space="0" w:color="auto"/>
        <w:bottom w:val="none" w:sz="0" w:space="0" w:color="auto"/>
        <w:right w:val="none" w:sz="0" w:space="0" w:color="auto"/>
      </w:divBdr>
    </w:div>
    <w:div w:id="1838497593">
      <w:bodyDiv w:val="1"/>
      <w:marLeft w:val="0"/>
      <w:marRight w:val="0"/>
      <w:marTop w:val="0"/>
      <w:marBottom w:val="0"/>
      <w:divBdr>
        <w:top w:val="none" w:sz="0" w:space="0" w:color="auto"/>
        <w:left w:val="none" w:sz="0" w:space="0" w:color="auto"/>
        <w:bottom w:val="none" w:sz="0" w:space="0" w:color="auto"/>
        <w:right w:val="none" w:sz="0" w:space="0" w:color="auto"/>
      </w:divBdr>
    </w:div>
    <w:div w:id="19959841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prints.whiterose.ac.uk/93988/1/Norms%20of%20Trust%20v2_2.pdf"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books.google.co.uk/books?hl=en&amp;lr=&amp;id=r_s9AAAAcAAJ&amp;oi=fnd&amp;pg=PR9&amp;dq=sixteenth+report+of+the+directors+of+the+african+institutions&amp;ots=JJtYds9g8r&amp;sig=OLPIXWIlKrWPWRsrj9ybVQMioZk"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books.google.co.uk/books?hl=en&amp;lr=&amp;id=_xZWDwAAQBAJ&amp;oi=fnd&amp;pg=PT9&amp;dq=Sociology+of+Economic+Life,+ed.+by+Mark+Granovetter&amp;ots=mKDwK0Pbl3&amp;sig=ptf-End5puhznmQ9Ngru0zHOEMI"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s://www.ancestry.co.uk/" TargetMode="External"/><Relationship Id="rId18" Type="http://schemas.openxmlformats.org/officeDocument/2006/relationships/hyperlink" Target="http://www.oldcestrefeldians.org.uk/History.html" TargetMode="External"/><Relationship Id="rId26" Type="http://schemas.openxmlformats.org/officeDocument/2006/relationships/hyperlink" Target="https://www.ancestry.co.uk/" TargetMode="External"/><Relationship Id="rId39" Type="http://schemas.openxmlformats.org/officeDocument/2006/relationships/hyperlink" Target="https://www.parliament.uk/about/living-heritage/transformingsociety/tradeindustry/slavetrade/from-the-parliamentary-collections/the-british-slave-trade/petition-in-support-of-the-foreign-slave-trade-abolition-bill-page/" TargetMode="External"/><Relationship Id="rId21" Type="http://schemas.openxmlformats.org/officeDocument/2006/relationships/hyperlink" Target="https://www.ancestry.co.uk/" TargetMode="External"/><Relationship Id="rId34" Type="http://schemas.openxmlformats.org/officeDocument/2006/relationships/hyperlink" Target="https://www.historyofparliamentonline.org/volume/1820-1832/member/evans-william-1788-1856" TargetMode="External"/><Relationship Id="rId42" Type="http://schemas.openxmlformats.org/officeDocument/2006/relationships/hyperlink" Target="https://www.ancestry.co.uk/" TargetMode="External"/><Relationship Id="rId47" Type="http://schemas.openxmlformats.org/officeDocument/2006/relationships/hyperlink" Target="https://newsday.co.tt/2021/03/31/joseph-robleys-journey-to-wealth-and-power-in-tobago/" TargetMode="External"/><Relationship Id="rId50" Type="http://schemas.openxmlformats.org/officeDocument/2006/relationships/hyperlink" Target="https://www.ucl.ac.uk/lbs/person/view/-84757287" TargetMode="External"/><Relationship Id="rId55" Type="http://schemas.openxmlformats.org/officeDocument/2006/relationships/hyperlink" Target="https://www.ancestry.co.uk/" TargetMode="External"/><Relationship Id="rId7" Type="http://schemas.openxmlformats.org/officeDocument/2006/relationships/hyperlink" Target="https://www.ancestry.co.uk/" TargetMode="External"/><Relationship Id="rId2" Type="http://schemas.openxmlformats.org/officeDocument/2006/relationships/hyperlink" Target="https://www.ancestry.co.uk/" TargetMode="External"/><Relationship Id="rId16" Type="http://schemas.openxmlformats.org/officeDocument/2006/relationships/hyperlink" Target="https://www.nationalarchives.gov.uk/currency-converter/" TargetMode="External"/><Relationship Id="rId29" Type="http://schemas.openxmlformats.org/officeDocument/2006/relationships/hyperlink" Target="https://www.ancestry.co.uk/" TargetMode="External"/><Relationship Id="rId11" Type="http://schemas.openxmlformats.org/officeDocument/2006/relationships/hyperlink" Target="https://www.ancestry.co.uk/" TargetMode="External"/><Relationship Id="rId24" Type="http://schemas.openxmlformats.org/officeDocument/2006/relationships/hyperlink" Target="https://www.ancestry.co.uk/" TargetMode="External"/><Relationship Id="rId32" Type="http://schemas.openxmlformats.org/officeDocument/2006/relationships/hyperlink" Target="https://www.legislation.gov.uk/ukpga/Vict/34-35/26/contents" TargetMode="External"/><Relationship Id="rId37" Type="http://schemas.openxmlformats.org/officeDocument/2006/relationships/hyperlink" Target="https://www.parliament.uk/about/living-heritage/transformingsociety/tradeindustry/slavetrade/from-the-parliamentary-collections/the-british-slave-trade/petition-in-support-of-the-foreign-slave-trade-abolition-bill-page/" TargetMode="External"/><Relationship Id="rId40" Type="http://schemas.openxmlformats.org/officeDocument/2006/relationships/hyperlink" Target="https://www.ancestry.co.uk/" TargetMode="External"/><Relationship Id="rId45" Type="http://schemas.openxmlformats.org/officeDocument/2006/relationships/hyperlink" Target="https://newsday.co.tt/2021/03/31/joseph-robleys-journey-to-wealth-and-power-in-tobago/" TargetMode="External"/><Relationship Id="rId53" Type="http://schemas.openxmlformats.org/officeDocument/2006/relationships/hyperlink" Target="https://www.historyofparliamentonline.org/volume/1790-1820/member/baillie-evan-1741-1835" TargetMode="External"/><Relationship Id="rId5" Type="http://schemas.openxmlformats.org/officeDocument/2006/relationships/hyperlink" Target="https://www.ancestry.co.uk/" TargetMode="External"/><Relationship Id="rId10" Type="http://schemas.openxmlformats.org/officeDocument/2006/relationships/hyperlink" Target="https://www.ancestry.co.uk/" TargetMode="External"/><Relationship Id="rId19" Type="http://schemas.openxmlformats.org/officeDocument/2006/relationships/hyperlink" Target="http://www.oldcestrefeldians.org.uk/images/A%20Tribute%20to%20Excellence.pdf" TargetMode="External"/><Relationship Id="rId31" Type="http://schemas.openxmlformats.org/officeDocument/2006/relationships/hyperlink" Target="https://babel.hathitrust.org/cgi/pt?id=uc1.%24b333360&amp;view=1up&amp;seq=583" TargetMode="External"/><Relationship Id="rId44" Type="http://schemas.openxmlformats.org/officeDocument/2006/relationships/hyperlink" Target="https://www.robley.org.uk/jrstoke.html" TargetMode="External"/><Relationship Id="rId52" Type="http://schemas.openxmlformats.org/officeDocument/2006/relationships/hyperlink" Target="https://www.ucl.ac.uk/lbs/person/view/2146633538" TargetMode="External"/><Relationship Id="rId4" Type="http://schemas.openxmlformats.org/officeDocument/2006/relationships/hyperlink" Target="https://www.ancestry.co.uk/" TargetMode="External"/><Relationship Id="rId9" Type="http://schemas.openxmlformats.org/officeDocument/2006/relationships/hyperlink" Target="https://www.ancestry.co.uk/" TargetMode="External"/><Relationship Id="rId14" Type="http://schemas.openxmlformats.org/officeDocument/2006/relationships/hyperlink" Target="https://www.ancestry.co.uk/" TargetMode="External"/><Relationship Id="rId22" Type="http://schemas.openxmlformats.org/officeDocument/2006/relationships/hyperlink" Target="https://www.ancestry.co.uk/" TargetMode="External"/><Relationship Id="rId27" Type="http://schemas.openxmlformats.org/officeDocument/2006/relationships/hyperlink" Target="https://www.ancestry.co.uk/" TargetMode="External"/><Relationship Id="rId30" Type="http://schemas.openxmlformats.org/officeDocument/2006/relationships/hyperlink" Target="https://www.ancestry.co.uk/" TargetMode="External"/><Relationship Id="rId35" Type="http://schemas.openxmlformats.org/officeDocument/2006/relationships/hyperlink" Target="https://www.library.manchester.ac.uk/rylands/" TargetMode="External"/><Relationship Id="rId43" Type="http://schemas.openxmlformats.org/officeDocument/2006/relationships/hyperlink" Target="https://www.ancestry.co.uk/" TargetMode="External"/><Relationship Id="rId48" Type="http://schemas.openxmlformats.org/officeDocument/2006/relationships/hyperlink" Target="https://www.robley.org.uk/jrstoke.html" TargetMode="External"/><Relationship Id="rId8" Type="http://schemas.openxmlformats.org/officeDocument/2006/relationships/hyperlink" Target="https://www.gracesguide.co.uk" TargetMode="External"/><Relationship Id="rId51" Type="http://schemas.openxmlformats.org/officeDocument/2006/relationships/hyperlink" Target="https://www.ucl.ac.uk/lbs/person/view/-84757287" TargetMode="External"/><Relationship Id="rId3" Type="http://schemas.openxmlformats.org/officeDocument/2006/relationships/hyperlink" Target="https://www.ancestry.co.uk/" TargetMode="External"/><Relationship Id="rId12" Type="http://schemas.openxmlformats.org/officeDocument/2006/relationships/hyperlink" Target="https://www.ancestry.co.uk/" TargetMode="External"/><Relationship Id="rId17" Type="http://schemas.openxmlformats.org/officeDocument/2006/relationships/hyperlink" Target="https://www.ancestry.co.uk/" TargetMode="External"/><Relationship Id="rId25" Type="http://schemas.openxmlformats.org/officeDocument/2006/relationships/hyperlink" Target="https://www.ancestry.co.uk/" TargetMode="External"/><Relationship Id="rId33" Type="http://schemas.openxmlformats.org/officeDocument/2006/relationships/hyperlink" Target="https://www.ancestry.co.uk/" TargetMode="External"/><Relationship Id="rId38" Type="http://schemas.openxmlformats.org/officeDocument/2006/relationships/hyperlink" Target="https://www.parliament.uk/about/living-heritage/transformingsociety/tradeindustry/slavetrade/from-the-parliamentary-collections/the-british-slave-trade/petition-against-the-foreign-slave-trade-abolition-bill-page-1/" TargetMode="External"/><Relationship Id="rId46" Type="http://schemas.openxmlformats.org/officeDocument/2006/relationships/hyperlink" Target="https://newsday.co.tt/2021/03/31/joseph-robleys-journey-to-wealth-and-power-in-tobago/" TargetMode="External"/><Relationship Id="rId20" Type="http://schemas.openxmlformats.org/officeDocument/2006/relationships/hyperlink" Target="https://www.ancestry.co.uk/" TargetMode="External"/><Relationship Id="rId41" Type="http://schemas.openxmlformats.org/officeDocument/2006/relationships/hyperlink" Target="https://www.theguardian.com/news/ng-interactive/2023/apr/03/cotton-capital-how-slavery-made-manchester-the-worlds-first-industrial-city" TargetMode="External"/><Relationship Id="rId54" Type="http://schemas.openxmlformats.org/officeDocument/2006/relationships/hyperlink" Target="https://www.ucl.ac.uk/lbs/person/view/2146633538" TargetMode="External"/><Relationship Id="rId1" Type="http://schemas.openxmlformats.org/officeDocument/2006/relationships/hyperlink" Target="https://www.ancestry.co.uk/" TargetMode="External"/><Relationship Id="rId6" Type="http://schemas.openxmlformats.org/officeDocument/2006/relationships/hyperlink" Target="https://www.ancestry.co.uk/" TargetMode="External"/><Relationship Id="rId15" Type="http://schemas.openxmlformats.org/officeDocument/2006/relationships/hyperlink" Target="https://www.findmypast.co.uk/" TargetMode="External"/><Relationship Id="rId23" Type="http://schemas.openxmlformats.org/officeDocument/2006/relationships/hyperlink" Target="https://www.ancestry.co.uk/" TargetMode="External"/><Relationship Id="rId28" Type="http://schemas.openxmlformats.org/officeDocument/2006/relationships/hyperlink" Target="https://www.ancestry.co.uk/" TargetMode="External"/><Relationship Id="rId36" Type="http://schemas.openxmlformats.org/officeDocument/2006/relationships/hyperlink" Target="https://www.archiveshub.jisc.ac.uk/data/gb133-mck" TargetMode="External"/><Relationship Id="rId49" Type="http://schemas.openxmlformats.org/officeDocument/2006/relationships/hyperlink" Target="https://www.ucl.ac.uk/lbs/person/view/-847572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D09BF-79FF-488B-8DE7-AF7305933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178</Pages>
  <Words>87536</Words>
  <Characters>488000</Characters>
  <Application>Microsoft Office Word</Application>
  <DocSecurity>0</DocSecurity>
  <Lines>6700</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Everitt</dc:creator>
  <cp:keywords/>
  <dc:description/>
  <cp:lastModifiedBy>Katherine Everitt</cp:lastModifiedBy>
  <cp:revision>7</cp:revision>
  <cp:lastPrinted>2024-06-26T09:37:00Z</cp:lastPrinted>
  <dcterms:created xsi:type="dcterms:W3CDTF">2024-07-02T13:47:00Z</dcterms:created>
  <dcterms:modified xsi:type="dcterms:W3CDTF">2024-09-09T08:09:00Z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b0675beb-f516-4250-a642-baf7ecbc5ff2</vt:lpwstr>
  </property>
</Properties>
</file>