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90806F" w14:textId="76043B68" w:rsidR="009B5EC4" w:rsidRDefault="00A76764" w:rsidP="002F7336">
      <w:pPr>
        <w:rPr>
          <w:b/>
          <w:bCs/>
          <w:sz w:val="44"/>
          <w:szCs w:val="44"/>
        </w:rPr>
      </w:pPr>
      <w:bookmarkStart w:id="0" w:name="_Hlk33006005"/>
      <w:r>
        <w:rPr>
          <w:noProof/>
          <w:lang w:eastAsia="zh-CN"/>
        </w:rPr>
        <w:drawing>
          <wp:anchor distT="0" distB="0" distL="114300" distR="114300" simplePos="0" relativeHeight="251659264" behindDoc="0" locked="0" layoutInCell="1" allowOverlap="1" wp14:anchorId="1B67F088" wp14:editId="7D834CAC">
            <wp:simplePos x="0" y="0"/>
            <wp:positionH relativeFrom="margin">
              <wp:posOffset>3902710</wp:posOffset>
            </wp:positionH>
            <wp:positionV relativeFrom="paragraph">
              <wp:posOffset>466725</wp:posOffset>
            </wp:positionV>
            <wp:extent cx="1821815" cy="682625"/>
            <wp:effectExtent l="0" t="0" r="6985" b="317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821815" cy="682625"/>
                    </a:xfrm>
                    <a:prstGeom prst="rect">
                      <a:avLst/>
                    </a:prstGeom>
                  </pic:spPr>
                </pic:pic>
              </a:graphicData>
            </a:graphic>
          </wp:anchor>
        </w:drawing>
      </w:r>
      <w:r>
        <w:rPr>
          <w:noProof/>
          <w:lang w:eastAsia="zh-CN"/>
        </w:rPr>
        <w:drawing>
          <wp:anchor distT="0" distB="0" distL="114300" distR="114300" simplePos="0" relativeHeight="251660288" behindDoc="0" locked="0" layoutInCell="1" allowOverlap="1" wp14:anchorId="31215653" wp14:editId="66F98119">
            <wp:simplePos x="0" y="0"/>
            <wp:positionH relativeFrom="margin">
              <wp:posOffset>0</wp:posOffset>
            </wp:positionH>
            <wp:positionV relativeFrom="paragraph">
              <wp:posOffset>466725</wp:posOffset>
            </wp:positionV>
            <wp:extent cx="1463040" cy="713105"/>
            <wp:effectExtent l="0" t="0" r="381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3040" cy="713105"/>
                    </a:xfrm>
                    <a:prstGeom prst="rect">
                      <a:avLst/>
                    </a:prstGeom>
                  </pic:spPr>
                </pic:pic>
              </a:graphicData>
            </a:graphic>
          </wp:anchor>
        </w:drawing>
      </w:r>
    </w:p>
    <w:p w14:paraId="3A9C0B39" w14:textId="77777777" w:rsidR="009B5EC4" w:rsidRDefault="009B5EC4" w:rsidP="002F7336"/>
    <w:p w14:paraId="7AAB2C27" w14:textId="77777777" w:rsidR="00E85DE6" w:rsidRPr="0063677B" w:rsidRDefault="00E85DE6" w:rsidP="002F7336"/>
    <w:p w14:paraId="1D9C7F99" w14:textId="77777777" w:rsidR="00BA1A68" w:rsidRDefault="00BA1A68" w:rsidP="00BA1A68">
      <w:pPr>
        <w:jc w:val="center"/>
        <w:rPr>
          <w:sz w:val="36"/>
          <w:szCs w:val="36"/>
        </w:rPr>
      </w:pPr>
    </w:p>
    <w:p w14:paraId="4542FB33" w14:textId="1F265BCD" w:rsidR="00EE4E2D" w:rsidRPr="00BA1A68" w:rsidRDefault="00EE4E2D" w:rsidP="00BA1A68">
      <w:pPr>
        <w:pStyle w:val="Title"/>
      </w:pPr>
      <w:r w:rsidRPr="00BA1A68">
        <w:t>Towards Circular Supply Chains: drivers and mechanisms to support the transition</w:t>
      </w:r>
    </w:p>
    <w:p w14:paraId="2815E94D" w14:textId="15EA4329" w:rsidR="00A76764" w:rsidRPr="00BA1A68" w:rsidRDefault="003961B5" w:rsidP="00BA1A68">
      <w:pPr>
        <w:jc w:val="center"/>
        <w:rPr>
          <w:rStyle w:val="SubtleEmphasis"/>
        </w:rPr>
      </w:pPr>
      <w:r>
        <w:rPr>
          <w:rStyle w:val="SubtleEmphasis"/>
        </w:rPr>
        <w:t>Examining the roles</w:t>
      </w:r>
      <w:r w:rsidR="00EE4E2D" w:rsidRPr="00BA1A68">
        <w:rPr>
          <w:rStyle w:val="SubtleEmphasis"/>
        </w:rPr>
        <w:t xml:space="preserve"> of institutional pressures and of supply chain integration on the adoption of Circular Economy practices in supply chains</w:t>
      </w:r>
    </w:p>
    <w:p w14:paraId="1AB05B73" w14:textId="77777777" w:rsidR="00A76764" w:rsidRPr="00BA1A68" w:rsidRDefault="00A76764" w:rsidP="00BA1A68">
      <w:pPr>
        <w:pStyle w:val="Authors"/>
      </w:pPr>
      <w:r w:rsidRPr="00BA1A68">
        <w:t>Tommaso Calzolari</w:t>
      </w:r>
    </w:p>
    <w:p w14:paraId="7AB118ED" w14:textId="77777777" w:rsidR="00A76764" w:rsidRPr="00BA1A68" w:rsidRDefault="00A76764" w:rsidP="00BA1A68">
      <w:pPr>
        <w:pStyle w:val="Authors"/>
      </w:pPr>
      <w:r w:rsidRPr="00BA1A68">
        <w:t>(</w:t>
      </w:r>
      <w:proofErr w:type="spellStart"/>
      <w:r w:rsidRPr="00BA1A68">
        <w:t>UCard</w:t>
      </w:r>
      <w:proofErr w:type="spellEnd"/>
      <w:r w:rsidRPr="00BA1A68">
        <w:t xml:space="preserve"> No: 001719563)</w:t>
      </w:r>
    </w:p>
    <w:p w14:paraId="7716273E" w14:textId="77777777" w:rsidR="00A76764" w:rsidRPr="000564C8" w:rsidRDefault="00A76764" w:rsidP="00BA1A68">
      <w:pPr>
        <w:jc w:val="center"/>
        <w:rPr>
          <w:lang w:val="en-US"/>
        </w:rPr>
      </w:pPr>
      <w:r w:rsidRPr="000564C8">
        <w:rPr>
          <w:lang w:val="en-US"/>
        </w:rPr>
        <w:t>OMDS Division</w:t>
      </w:r>
    </w:p>
    <w:p w14:paraId="27EC6C23" w14:textId="77777777" w:rsidR="00A76764" w:rsidRDefault="00A76764" w:rsidP="00BA1A68">
      <w:pPr>
        <w:jc w:val="center"/>
        <w:rPr>
          <w:lang w:val="en-US"/>
        </w:rPr>
      </w:pPr>
      <w:r w:rsidRPr="000564C8">
        <w:rPr>
          <w:lang w:val="en-US"/>
        </w:rPr>
        <w:t>Sheffield University Management School</w:t>
      </w:r>
    </w:p>
    <w:p w14:paraId="33FD42DF" w14:textId="77777777" w:rsidR="00A76764" w:rsidRDefault="00A76764" w:rsidP="002F7336">
      <w:pPr>
        <w:rPr>
          <w:lang w:val="en-US"/>
        </w:rPr>
      </w:pPr>
    </w:p>
    <w:p w14:paraId="15FB3BC8" w14:textId="77777777" w:rsidR="00A76764" w:rsidRDefault="00A76764" w:rsidP="002F7336">
      <w:pPr>
        <w:rPr>
          <w:lang w:val="en-US"/>
        </w:rPr>
      </w:pPr>
    </w:p>
    <w:p w14:paraId="6231282B" w14:textId="77777777" w:rsidR="00A76764" w:rsidRPr="00795B97" w:rsidRDefault="00A76764" w:rsidP="00BA1A68">
      <w:pPr>
        <w:jc w:val="center"/>
        <w:rPr>
          <w:lang w:val="en-US"/>
        </w:rPr>
      </w:pPr>
      <w:r w:rsidRPr="00795B97">
        <w:rPr>
          <w:lang w:val="en-US"/>
        </w:rPr>
        <w:t>Supervisors:</w:t>
      </w:r>
    </w:p>
    <w:p w14:paraId="12DEE286" w14:textId="77777777" w:rsidR="00A76764" w:rsidRPr="00795B97" w:rsidRDefault="00A76764" w:rsidP="00BA1A68">
      <w:pPr>
        <w:jc w:val="center"/>
        <w:rPr>
          <w:lang w:val="en-US"/>
        </w:rPr>
      </w:pPr>
      <w:r>
        <w:rPr>
          <w:lang w:val="en-US"/>
        </w:rPr>
        <w:t>P</w:t>
      </w:r>
      <w:r w:rsidRPr="00795B97">
        <w:rPr>
          <w:lang w:val="en-US"/>
        </w:rPr>
        <w:t>r</w:t>
      </w:r>
      <w:r>
        <w:rPr>
          <w:lang w:val="en-US"/>
        </w:rPr>
        <w:t>of</w:t>
      </w:r>
      <w:r w:rsidRPr="00795B97">
        <w:rPr>
          <w:lang w:val="en-US"/>
        </w:rPr>
        <w:t>. Andrea Genovese</w:t>
      </w:r>
    </w:p>
    <w:p w14:paraId="0BA4ED8C" w14:textId="77777777" w:rsidR="00A76764" w:rsidRDefault="00A76764" w:rsidP="00BA1A68">
      <w:pPr>
        <w:jc w:val="center"/>
        <w:rPr>
          <w:lang w:val="en-US"/>
        </w:rPr>
      </w:pPr>
      <w:r w:rsidRPr="00795B97">
        <w:rPr>
          <w:lang w:val="en-US"/>
        </w:rPr>
        <w:t>Dr. Andrew Brint</w:t>
      </w:r>
    </w:p>
    <w:p w14:paraId="5139D68B" w14:textId="77777777" w:rsidR="00A76764" w:rsidRDefault="00A76764" w:rsidP="00BA1A68">
      <w:pPr>
        <w:jc w:val="center"/>
        <w:rPr>
          <w:lang w:val="en-US"/>
        </w:rPr>
      </w:pPr>
    </w:p>
    <w:p w14:paraId="32E885A9" w14:textId="77777777" w:rsidR="00A76764" w:rsidRDefault="00A76764" w:rsidP="00BA1A68">
      <w:pPr>
        <w:jc w:val="center"/>
        <w:rPr>
          <w:lang w:val="en-US"/>
        </w:rPr>
      </w:pPr>
    </w:p>
    <w:p w14:paraId="1D5C8534" w14:textId="73440881" w:rsidR="00A76764" w:rsidRPr="00795B97" w:rsidRDefault="00F96CED" w:rsidP="00BA1A68">
      <w:pPr>
        <w:jc w:val="center"/>
        <w:rPr>
          <w:b/>
          <w:bCs/>
          <w:lang w:val="en-US"/>
        </w:rPr>
      </w:pPr>
      <w:r>
        <w:rPr>
          <w:lang w:val="en-US"/>
        </w:rPr>
        <w:t>1</w:t>
      </w:r>
      <w:r w:rsidRPr="00F96CED">
        <w:rPr>
          <w:vertAlign w:val="superscript"/>
          <w:lang w:val="en-US"/>
        </w:rPr>
        <w:t>st</w:t>
      </w:r>
      <w:r>
        <w:rPr>
          <w:lang w:val="en-US"/>
        </w:rPr>
        <w:t xml:space="preserve"> </w:t>
      </w:r>
      <w:r w:rsidR="00BB0D6F">
        <w:rPr>
          <w:lang w:val="en-US"/>
        </w:rPr>
        <w:t>February 2024</w:t>
      </w:r>
    </w:p>
    <w:p w14:paraId="16919AA0" w14:textId="77777777" w:rsidR="00A76764" w:rsidRDefault="00A76764" w:rsidP="002F7336">
      <w:pPr>
        <w:rPr>
          <w:lang w:val="en-US"/>
        </w:rPr>
      </w:pPr>
    </w:p>
    <w:p w14:paraId="05B88DAA" w14:textId="0C1E2158" w:rsidR="00A774DB" w:rsidRDefault="00F5312B" w:rsidP="002F7336">
      <w:r>
        <w:tab/>
      </w:r>
    </w:p>
    <w:p w14:paraId="7AF1F6C5" w14:textId="7C005B60" w:rsidR="00A774DB" w:rsidRDefault="00A774DB" w:rsidP="002F7336">
      <w:r>
        <w:br w:type="page"/>
      </w:r>
    </w:p>
    <w:p w14:paraId="5F70F970" w14:textId="4EF86D16" w:rsidR="00F5312B" w:rsidRDefault="00A774DB" w:rsidP="00C528D7">
      <w:pPr>
        <w:pStyle w:val="Heading1"/>
        <w:numPr>
          <w:ilvl w:val="0"/>
          <w:numId w:val="0"/>
        </w:numPr>
      </w:pPr>
      <w:bookmarkStart w:id="1" w:name="_Toc157759470"/>
      <w:r>
        <w:lastRenderedPageBreak/>
        <w:t>Research Dissemination</w:t>
      </w:r>
      <w:bookmarkEnd w:id="1"/>
    </w:p>
    <w:p w14:paraId="7B8CC42E" w14:textId="624F22E0" w:rsidR="00A774DB" w:rsidRDefault="00A774DB" w:rsidP="002F7336"/>
    <w:p w14:paraId="10F9E97C" w14:textId="7F1B0E6C" w:rsidR="00A774DB" w:rsidRPr="00BA1A68" w:rsidRDefault="00A774DB" w:rsidP="002F7336">
      <w:pPr>
        <w:rPr>
          <w:b/>
          <w:bCs/>
        </w:rPr>
      </w:pPr>
      <w:r w:rsidRPr="00BA1A68">
        <w:rPr>
          <w:b/>
          <w:bCs/>
        </w:rPr>
        <w:t xml:space="preserve">Journal </w:t>
      </w:r>
      <w:r w:rsidR="00530F38" w:rsidRPr="00BA1A68">
        <w:rPr>
          <w:b/>
          <w:bCs/>
        </w:rPr>
        <w:t>A</w:t>
      </w:r>
      <w:r w:rsidRPr="00BA1A68">
        <w:rPr>
          <w:b/>
          <w:bCs/>
        </w:rPr>
        <w:t xml:space="preserve">rticles </w:t>
      </w:r>
    </w:p>
    <w:p w14:paraId="1800036B" w14:textId="77777777" w:rsidR="00530F38" w:rsidRDefault="00A774DB" w:rsidP="0081080C">
      <w:pPr>
        <w:pStyle w:val="ListParagraph"/>
        <w:numPr>
          <w:ilvl w:val="0"/>
          <w:numId w:val="13"/>
        </w:numPr>
      </w:pPr>
      <w:r w:rsidRPr="00530F38">
        <w:rPr>
          <w:lang w:val="it-IT"/>
        </w:rPr>
        <w:t xml:space="preserve">Calzolari, T., Genovese, A., &amp; Brint, A. (2021). </w:t>
      </w:r>
      <w:r w:rsidRPr="00A774DB">
        <w:t>The adoption of circular economy practices in supply chains–An assessment of European Multi-National Enterprises. </w:t>
      </w:r>
      <w:r w:rsidRPr="00530F38">
        <w:rPr>
          <w:i/>
          <w:iCs/>
        </w:rPr>
        <w:t>Journal of Cleaner Production</w:t>
      </w:r>
      <w:r w:rsidRPr="00A774DB">
        <w:t>, </w:t>
      </w:r>
      <w:r w:rsidRPr="00530F38">
        <w:rPr>
          <w:i/>
          <w:iCs/>
        </w:rPr>
        <w:t>312</w:t>
      </w:r>
      <w:r w:rsidRPr="00A774DB">
        <w:t>, 127616.</w:t>
      </w:r>
    </w:p>
    <w:p w14:paraId="44C74546" w14:textId="77777777" w:rsidR="00530F38" w:rsidRDefault="00530F38" w:rsidP="0081080C">
      <w:pPr>
        <w:pStyle w:val="ListParagraph"/>
        <w:numPr>
          <w:ilvl w:val="0"/>
          <w:numId w:val="13"/>
        </w:numPr>
      </w:pPr>
      <w:r w:rsidRPr="00530F38">
        <w:rPr>
          <w:lang w:val="it-IT"/>
        </w:rPr>
        <w:t xml:space="preserve">Calzolari, T., Genovese, A., &amp; Brint, A. (2022). </w:t>
      </w:r>
      <w:r w:rsidRPr="00530F38">
        <w:t>Circular Economy indicators for supply chains: A systematic literature review. </w:t>
      </w:r>
      <w:r w:rsidRPr="00530F38">
        <w:rPr>
          <w:i/>
          <w:iCs/>
        </w:rPr>
        <w:t>Environmental and Sustainability Indicators</w:t>
      </w:r>
      <w:r w:rsidRPr="00530F38">
        <w:t>, </w:t>
      </w:r>
      <w:r w:rsidRPr="00530F38">
        <w:rPr>
          <w:i/>
          <w:iCs/>
        </w:rPr>
        <w:t>13</w:t>
      </w:r>
      <w:r w:rsidRPr="00530F38">
        <w:t>, 100160.</w:t>
      </w:r>
    </w:p>
    <w:p w14:paraId="3C8B4F00" w14:textId="77777777" w:rsidR="00BB0D6F" w:rsidRPr="00BB0D6F" w:rsidRDefault="00530F38" w:rsidP="00BB0D6F">
      <w:pPr>
        <w:pStyle w:val="ListParagraph"/>
        <w:numPr>
          <w:ilvl w:val="0"/>
          <w:numId w:val="13"/>
        </w:numPr>
        <w:rPr>
          <w:i/>
          <w:iCs/>
        </w:rPr>
      </w:pPr>
      <w:r w:rsidRPr="00530F38">
        <w:t>Bimpizas-Pinis, M., Calzolari, T., &amp; Genovese, A. (2022). Exploring the transition towards circular supply chains through the arcs of integration. </w:t>
      </w:r>
      <w:r w:rsidRPr="00530F38">
        <w:rPr>
          <w:i/>
          <w:iCs/>
        </w:rPr>
        <w:t>International Journal of Production Economics</w:t>
      </w:r>
      <w:r w:rsidRPr="00530F38">
        <w:t>, </w:t>
      </w:r>
      <w:r w:rsidRPr="00530F38">
        <w:rPr>
          <w:i/>
          <w:iCs/>
        </w:rPr>
        <w:t>250</w:t>
      </w:r>
      <w:r w:rsidRPr="00530F38">
        <w:t>, 108666.</w:t>
      </w:r>
    </w:p>
    <w:p w14:paraId="4C25329C" w14:textId="2889E9A2" w:rsidR="00BB0D6F" w:rsidRPr="00BB0D6F" w:rsidRDefault="00BB0D6F" w:rsidP="00BB0D6F">
      <w:pPr>
        <w:pStyle w:val="ListParagraph"/>
        <w:numPr>
          <w:ilvl w:val="0"/>
          <w:numId w:val="13"/>
        </w:numPr>
        <w:rPr>
          <w:i/>
          <w:iCs/>
        </w:rPr>
      </w:pPr>
      <w:r w:rsidRPr="00BB0D6F">
        <w:t>Calzolari, T., Bimpizas-Pinis, M., Genovese, A., &amp; Brint, A. (2023). Understanding the relationship between institutional pressures, supply chain integration and the adoption of circular economy practices. Journal of Cleaner Production, 432, 139686.</w:t>
      </w:r>
    </w:p>
    <w:p w14:paraId="4DD4C624" w14:textId="0A93D9E1" w:rsidR="00BB0D6F" w:rsidRPr="00BB0D6F" w:rsidRDefault="00BB0D6F" w:rsidP="00BB0D6F">
      <w:pPr>
        <w:pStyle w:val="ListParagraph"/>
        <w:numPr>
          <w:ilvl w:val="0"/>
          <w:numId w:val="13"/>
        </w:numPr>
        <w:rPr>
          <w:i/>
          <w:iCs/>
        </w:rPr>
      </w:pPr>
      <w:r w:rsidRPr="00BB0D6F">
        <w:t>Calzolari, T., Brint, A.</w:t>
      </w:r>
      <w:r>
        <w:t>, Seuring, S.</w:t>
      </w:r>
      <w:r w:rsidRPr="00BB0D6F">
        <w:t>, Genovese, A.</w:t>
      </w:r>
      <w:r>
        <w:t xml:space="preserve"> (submitted in October 2023) </w:t>
      </w:r>
      <w:r w:rsidRPr="00BB0D6F">
        <w:t>An Investigation into the Relationship among Institutional Pressures, Supply Chain Integration and the Adoption of Circular Economy Practices</w:t>
      </w:r>
      <w:r>
        <w:t xml:space="preserve">. </w:t>
      </w:r>
      <w:r w:rsidRPr="00BB0D6F">
        <w:rPr>
          <w:i/>
          <w:iCs/>
        </w:rPr>
        <w:t>International Journal of Operations and Production Management</w:t>
      </w:r>
    </w:p>
    <w:p w14:paraId="066F5358" w14:textId="742BB755" w:rsidR="00530F38" w:rsidRPr="00BA1A68" w:rsidRDefault="00530F38" w:rsidP="002F7336">
      <w:pPr>
        <w:rPr>
          <w:b/>
          <w:bCs/>
          <w:lang w:val="it-IT"/>
        </w:rPr>
      </w:pPr>
      <w:r w:rsidRPr="00BA1A68">
        <w:rPr>
          <w:b/>
          <w:bCs/>
          <w:lang w:val="it-IT"/>
        </w:rPr>
        <w:t>Conference Presentations and Proceedings</w:t>
      </w:r>
    </w:p>
    <w:p w14:paraId="6C6A7476" w14:textId="77777777" w:rsidR="00530F38" w:rsidRDefault="00530F38" w:rsidP="0081080C">
      <w:pPr>
        <w:pStyle w:val="ListParagraph"/>
        <w:numPr>
          <w:ilvl w:val="0"/>
          <w:numId w:val="14"/>
        </w:numPr>
      </w:pPr>
      <w:r w:rsidRPr="00530F38">
        <w:rPr>
          <w:lang w:val="it-IT"/>
        </w:rPr>
        <w:t xml:space="preserve">Calzolari, T., Genovese, A., Brint A. (2021). </w:t>
      </w:r>
      <w:r w:rsidRPr="00530F38">
        <w:t>Measuring the effect of institutional pressure and of supply chain integration on the adoption of Circular Economy practices. CERCIS Annual Workshop, Ferrara (Italy)</w:t>
      </w:r>
    </w:p>
    <w:p w14:paraId="5967CACD" w14:textId="77777777" w:rsidR="00530F38" w:rsidRDefault="00530F38" w:rsidP="0081080C">
      <w:pPr>
        <w:pStyle w:val="ListParagraph"/>
        <w:numPr>
          <w:ilvl w:val="0"/>
          <w:numId w:val="14"/>
        </w:numPr>
      </w:pPr>
      <w:r w:rsidRPr="00530F38">
        <w:rPr>
          <w:lang w:val="it-IT"/>
        </w:rPr>
        <w:t xml:space="preserve">Calzolari, T., Genovese, A., Brint A. (2021). </w:t>
      </w:r>
      <w:r w:rsidRPr="00530F38">
        <w:t>Measuring the effect of institutional pressure and of supply chain integration on the adoption of Circular Economy practices. 20th Roundtable of Sustainable Consumption and Production, Graz (Austria)</w:t>
      </w:r>
    </w:p>
    <w:p w14:paraId="7FB5FA40" w14:textId="77777777" w:rsidR="00530F38" w:rsidRDefault="00530F38" w:rsidP="0081080C">
      <w:pPr>
        <w:pStyle w:val="ListParagraph"/>
        <w:numPr>
          <w:ilvl w:val="0"/>
          <w:numId w:val="14"/>
        </w:numPr>
      </w:pPr>
      <w:r w:rsidRPr="00530F38">
        <w:rPr>
          <w:lang w:val="it-IT"/>
        </w:rPr>
        <w:t xml:space="preserve">Mahmoum Gonbadi, A., Calzolari, T., A Genovese  (2021). </w:t>
      </w:r>
      <w:r w:rsidRPr="00530F38">
        <w:t>Circular economy practices adoption in the white goods industry in Europe: review of the state-of-the-practice. Proceedings of the International Conference on Resource Sustainability (</w:t>
      </w:r>
      <w:proofErr w:type="spellStart"/>
      <w:r w:rsidRPr="00530F38">
        <w:t>icRS</w:t>
      </w:r>
      <w:proofErr w:type="spellEnd"/>
      <w:r w:rsidRPr="00530F38">
        <w:t xml:space="preserve"> 2021)</w:t>
      </w:r>
    </w:p>
    <w:p w14:paraId="1A5C7942" w14:textId="77777777" w:rsidR="00530F38" w:rsidRDefault="00530F38" w:rsidP="0081080C">
      <w:pPr>
        <w:pStyle w:val="ListParagraph"/>
        <w:numPr>
          <w:ilvl w:val="0"/>
          <w:numId w:val="14"/>
        </w:numPr>
      </w:pPr>
      <w:r w:rsidRPr="00530F38">
        <w:rPr>
          <w:lang w:val="it-IT"/>
        </w:rPr>
        <w:t xml:space="preserve">Calzolari, T., Genovese, A., Brint A. (2020). </w:t>
      </w:r>
      <w:r w:rsidRPr="00530F38">
        <w:t>The Implementation of Circular Economy practices in European Multi-National Enterprises: A Preliminary Review. Twenty-first International Working Seminar on Production Economics, Innsbruck (Austria)</w:t>
      </w:r>
    </w:p>
    <w:p w14:paraId="31A3A49F" w14:textId="77777777" w:rsidR="00530F38" w:rsidRDefault="00530F38" w:rsidP="0081080C">
      <w:pPr>
        <w:pStyle w:val="ListParagraph"/>
        <w:numPr>
          <w:ilvl w:val="0"/>
          <w:numId w:val="14"/>
        </w:numPr>
      </w:pPr>
      <w:r w:rsidRPr="00530F38">
        <w:rPr>
          <w:lang w:val="it-IT"/>
        </w:rPr>
        <w:lastRenderedPageBreak/>
        <w:t xml:space="preserve">Calzolari, T., Genovese, A., Brint A. (2019). </w:t>
      </w:r>
      <w:r w:rsidRPr="00530F38">
        <w:t xml:space="preserve">Circular Economy Indicators for Supply Chains: A Systematic Literature Review. 8th International Workshop – Advances in Cleaner Production, </w:t>
      </w:r>
      <w:proofErr w:type="spellStart"/>
      <w:r w:rsidRPr="00530F38">
        <w:t>Sanya</w:t>
      </w:r>
      <w:proofErr w:type="spellEnd"/>
      <w:r w:rsidRPr="00530F38">
        <w:t xml:space="preserve"> (China).</w:t>
      </w:r>
    </w:p>
    <w:p w14:paraId="5F3C8FFB" w14:textId="77777777" w:rsidR="00530F38" w:rsidRDefault="00530F38" w:rsidP="0081080C">
      <w:pPr>
        <w:pStyle w:val="ListParagraph"/>
        <w:numPr>
          <w:ilvl w:val="0"/>
          <w:numId w:val="14"/>
        </w:numPr>
      </w:pPr>
      <w:r w:rsidRPr="00530F38">
        <w:rPr>
          <w:lang w:val="it-IT"/>
        </w:rPr>
        <w:t xml:space="preserve">Calzolari, T., Genovese, A., Brint A. (2019). </w:t>
      </w:r>
      <w:r w:rsidRPr="00530F38">
        <w:t>Circular Economy Indicators for Supply Chains: A Systematic Literature Review. OR61 Conference, Canterbury (UK).</w:t>
      </w:r>
    </w:p>
    <w:p w14:paraId="78F0A970" w14:textId="77777777" w:rsidR="00530F38" w:rsidRDefault="00530F38" w:rsidP="0081080C">
      <w:pPr>
        <w:pStyle w:val="ListParagraph"/>
        <w:numPr>
          <w:ilvl w:val="0"/>
          <w:numId w:val="14"/>
        </w:numPr>
      </w:pPr>
      <w:r w:rsidRPr="00530F38">
        <w:rPr>
          <w:lang w:val="it-IT"/>
        </w:rPr>
        <w:t xml:space="preserve">Calzolari, T., Genovese, A., Brint A. (2019). </w:t>
      </w:r>
      <w:r w:rsidRPr="00530F38">
        <w:t xml:space="preserve">The Implementation of Circular Economy practices in European Multi-National Enterprises: A Preliminary Review. </w:t>
      </w:r>
      <w:proofErr w:type="spellStart"/>
      <w:r w:rsidRPr="00530F38">
        <w:t>AiIG</w:t>
      </w:r>
      <w:proofErr w:type="spellEnd"/>
      <w:r w:rsidRPr="00530F38">
        <w:t xml:space="preserve"> 2019 Conference, Turin (Italy)</w:t>
      </w:r>
    </w:p>
    <w:p w14:paraId="7CF7333D" w14:textId="43A12C9E" w:rsidR="00530F38" w:rsidRDefault="00530F38" w:rsidP="0081080C">
      <w:pPr>
        <w:pStyle w:val="ListParagraph"/>
        <w:numPr>
          <w:ilvl w:val="0"/>
          <w:numId w:val="14"/>
        </w:numPr>
      </w:pPr>
      <w:r w:rsidRPr="00530F38">
        <w:rPr>
          <w:lang w:val="it-IT"/>
        </w:rPr>
        <w:t xml:space="preserve">Calzolari, T., Genovese, A., Brint A. (2019). </w:t>
      </w:r>
      <w:r w:rsidRPr="00530F38">
        <w:t>The Implementation of Circular Economy practices in European Multi-National Enterprises: A Preliminary Review. Workshop “Innovation and sustainable growth: is the circular economy a disruptive model?”, Milan (Italy)</w:t>
      </w:r>
    </w:p>
    <w:p w14:paraId="43392976" w14:textId="77777777" w:rsidR="00530F38" w:rsidRPr="00530F38" w:rsidRDefault="00530F38" w:rsidP="0081080C">
      <w:pPr>
        <w:pStyle w:val="ListParagraph"/>
        <w:numPr>
          <w:ilvl w:val="0"/>
          <w:numId w:val="14"/>
        </w:numPr>
      </w:pPr>
      <w:r w:rsidRPr="00530F38">
        <w:rPr>
          <w:lang w:val="it-IT"/>
        </w:rPr>
        <w:t xml:space="preserve">Calzolari, T., Genovese, A., Brint A. (2021). </w:t>
      </w:r>
      <w:r>
        <w:t>Measuring the effect of institutional pressure and of supply chain integration on the adoption of Circular Economy practices. 20th Roundtable of Sustainable Consumption and Production, Graz, Austria</w:t>
      </w:r>
    </w:p>
    <w:p w14:paraId="0F5C0D04" w14:textId="77777777" w:rsidR="00530F38" w:rsidRDefault="00530F38" w:rsidP="0081080C">
      <w:pPr>
        <w:pStyle w:val="ListParagraph"/>
        <w:numPr>
          <w:ilvl w:val="0"/>
          <w:numId w:val="14"/>
        </w:numPr>
      </w:pPr>
      <w:r w:rsidRPr="00530F38">
        <w:rPr>
          <w:lang w:val="it-IT"/>
        </w:rPr>
        <w:t xml:space="preserve">Calzolari, T., Genovese, A., Brint A. (2021). </w:t>
      </w:r>
      <w:r>
        <w:t>Measuring the effect of institutional pressure and of supply chain integration on the adoption of Circular Economy practices. CERCIS Annual Workshop, Ferrara, Italy</w:t>
      </w:r>
    </w:p>
    <w:p w14:paraId="0EC1E9C6" w14:textId="20F59B16" w:rsidR="00530F38" w:rsidRDefault="00530F38" w:rsidP="0081080C">
      <w:pPr>
        <w:pStyle w:val="ListParagraph"/>
        <w:numPr>
          <w:ilvl w:val="0"/>
          <w:numId w:val="14"/>
        </w:numPr>
      </w:pPr>
      <w:r w:rsidRPr="00530F38">
        <w:rPr>
          <w:lang w:val="it-IT"/>
        </w:rPr>
        <w:t xml:space="preserve">Calzolari, T., Genovese, A., Brint A. (2022). </w:t>
      </w:r>
      <w:r>
        <w:t>Measuring the effect of institutional pressure and of supply chain integration on the adoption of Circular Economy practices. IPSERA, Jönköping, Sweden</w:t>
      </w:r>
    </w:p>
    <w:p w14:paraId="094B5763" w14:textId="5184C3EE" w:rsidR="00530F38" w:rsidRDefault="00530F38" w:rsidP="0081080C">
      <w:pPr>
        <w:pStyle w:val="ListParagraph"/>
        <w:numPr>
          <w:ilvl w:val="0"/>
          <w:numId w:val="14"/>
        </w:numPr>
      </w:pPr>
      <w:r w:rsidRPr="00530F38">
        <w:rPr>
          <w:lang w:val="it-IT"/>
        </w:rPr>
        <w:t xml:space="preserve">Calzolari, T., Genovese, A., Brint A. (2023). </w:t>
      </w:r>
      <w:r>
        <w:t>An Investigation into the Relationship among Institutional Pressures, Supply Chain Integration and the Adoption of Circular Economy. IPSERA, Barcelona, Spain</w:t>
      </w:r>
    </w:p>
    <w:p w14:paraId="6FE8FA59" w14:textId="3F7B2827" w:rsidR="0038201F" w:rsidRDefault="0038201F" w:rsidP="007C0582">
      <w:pPr>
        <w:rPr>
          <w:b/>
          <w:bCs/>
          <w:lang w:val="it-IT"/>
        </w:rPr>
      </w:pPr>
      <w:r w:rsidRPr="0038201F">
        <w:rPr>
          <w:b/>
          <w:bCs/>
          <w:lang w:val="it-IT"/>
        </w:rPr>
        <w:t>Other</w:t>
      </w:r>
      <w:r w:rsidR="00BD7B75">
        <w:rPr>
          <w:b/>
          <w:bCs/>
          <w:lang w:val="it-IT"/>
        </w:rPr>
        <w:t>s</w:t>
      </w:r>
      <w:r w:rsidRPr="0038201F">
        <w:rPr>
          <w:b/>
          <w:bCs/>
          <w:lang w:val="it-IT"/>
        </w:rPr>
        <w:t xml:space="preserve"> </w:t>
      </w:r>
    </w:p>
    <w:p w14:paraId="7225850D" w14:textId="77777777" w:rsidR="0038201F" w:rsidRDefault="007C0582" w:rsidP="007C0582">
      <w:r>
        <w:t>Blog post</w:t>
      </w:r>
      <w:r w:rsidR="0038201F">
        <w:t>s</w:t>
      </w:r>
      <w:r>
        <w:t xml:space="preserve"> </w:t>
      </w:r>
    </w:p>
    <w:p w14:paraId="49694EBF" w14:textId="324EFCFB" w:rsidR="00947F87" w:rsidRDefault="0038201F" w:rsidP="00947F87">
      <w:r>
        <w:t>“</w:t>
      </w:r>
      <w:r w:rsidR="007C0582">
        <w:t>Circular Economy and the UK General Election</w:t>
      </w:r>
      <w:r>
        <w:t>”, 12 December 2019,</w:t>
      </w:r>
      <w:r w:rsidR="007C0582">
        <w:t xml:space="preserve"> available at </w:t>
      </w:r>
      <w:hyperlink r:id="rId10" w:history="1">
        <w:r w:rsidR="00947F87" w:rsidRPr="00B827EC">
          <w:rPr>
            <w:rStyle w:val="Hyperlink"/>
          </w:rPr>
          <w:t>http://www.retrace-itn.eu/2019/12/09/circular-economy-and-the-uk-general-election/</w:t>
        </w:r>
      </w:hyperlink>
    </w:p>
    <w:p w14:paraId="0A907177" w14:textId="7BC89DDC" w:rsidR="007C0582" w:rsidRDefault="0038201F" w:rsidP="00947F87">
      <w:r>
        <w:t>“</w:t>
      </w:r>
      <w:r w:rsidR="007C0582">
        <w:t>Globalised world: A reality after COVID-19?</w:t>
      </w:r>
      <w:proofErr w:type="gramStart"/>
      <w:r>
        <w:t>”,</w:t>
      </w:r>
      <w:proofErr w:type="gramEnd"/>
      <w:r>
        <w:t xml:space="preserve"> 24 April 2020,</w:t>
      </w:r>
      <w:r w:rsidR="007C0582">
        <w:t xml:space="preserve"> available at </w:t>
      </w:r>
      <w:hyperlink r:id="rId11" w:history="1">
        <w:r w:rsidR="00947F87" w:rsidRPr="00B827EC">
          <w:rPr>
            <w:rStyle w:val="Hyperlink"/>
          </w:rPr>
          <w:t>http://www.retrace-itn.eu/2020/04/24/globalised-world-a-reality-after-covid-19/</w:t>
        </w:r>
      </w:hyperlink>
      <w:r w:rsidR="007C0582">
        <w:t>; co-author: Mécia Miguel</w:t>
      </w:r>
    </w:p>
    <w:p w14:paraId="3AD023A9" w14:textId="1D0377B2" w:rsidR="00947F87" w:rsidRDefault="00947F87" w:rsidP="0038201F">
      <w:r>
        <w:t>“</w:t>
      </w:r>
      <w:r w:rsidRPr="00947F87">
        <w:t>The environment in the Constitution: from principles to formal rules</w:t>
      </w:r>
      <w:r>
        <w:t xml:space="preserve">”, 23 February 2022, available at </w:t>
      </w:r>
      <w:hyperlink r:id="rId12" w:history="1">
        <w:r w:rsidRPr="00B827EC">
          <w:rPr>
            <w:rStyle w:val="Hyperlink"/>
          </w:rPr>
          <w:t>http://www.retrace-itn.eu/2022/02/23/the-environment-in-the-constitution-from-principles-to-formal-rules/</w:t>
        </w:r>
      </w:hyperlink>
    </w:p>
    <w:p w14:paraId="5A63A8CB" w14:textId="649DACD1" w:rsidR="00947F87" w:rsidRDefault="00BD7B75" w:rsidP="0038201F">
      <w:r>
        <w:lastRenderedPageBreak/>
        <w:t xml:space="preserve">Podcast </w:t>
      </w:r>
    </w:p>
    <w:p w14:paraId="0FFBB9E7" w14:textId="16E681BE" w:rsidR="007542A2" w:rsidRDefault="00BD7B75" w:rsidP="00BD7B75">
      <w:pPr>
        <w:rPr>
          <w:rStyle w:val="Hyperlink"/>
        </w:rPr>
      </w:pPr>
      <w:proofErr w:type="spellStart"/>
      <w:r w:rsidRPr="00BD7B75">
        <w:t>TiiQu</w:t>
      </w:r>
      <w:proofErr w:type="spellEnd"/>
      <w:r w:rsidRPr="00BD7B75">
        <w:t xml:space="preserve"> Talks | </w:t>
      </w:r>
      <w:r>
        <w:t>“</w:t>
      </w:r>
      <w:r w:rsidRPr="00BD7B75">
        <w:t>Circular Economy: skills and ethics for a new normality</w:t>
      </w:r>
      <w:r>
        <w:t>”,</w:t>
      </w:r>
      <w:r w:rsidRPr="00BD7B75">
        <w:t xml:space="preserve"> </w:t>
      </w:r>
      <w:r>
        <w:t xml:space="preserve">available at: </w:t>
      </w:r>
      <w:hyperlink r:id="rId13" w:history="1">
        <w:r w:rsidRPr="00E303F0">
          <w:rPr>
            <w:rStyle w:val="Hyperlink"/>
          </w:rPr>
          <w:t>https://www.youtube.com/watch?v=d8XcG8dJ_RE&amp;t=3092s</w:t>
        </w:r>
      </w:hyperlink>
    </w:p>
    <w:p w14:paraId="240C1B42" w14:textId="77777777" w:rsidR="007542A2" w:rsidRDefault="007542A2">
      <w:pPr>
        <w:spacing w:line="259" w:lineRule="auto"/>
        <w:jc w:val="left"/>
        <w:rPr>
          <w:rStyle w:val="Hyperlink"/>
        </w:rPr>
      </w:pPr>
      <w:r>
        <w:rPr>
          <w:rStyle w:val="Hyperlink"/>
        </w:rPr>
        <w:br w:type="page"/>
      </w:r>
    </w:p>
    <w:p w14:paraId="1714E01D" w14:textId="77777777" w:rsidR="00BD7B75" w:rsidRDefault="00BD7B75" w:rsidP="00BD7B75"/>
    <w:p w14:paraId="3E721010" w14:textId="6C3D2C1E" w:rsidR="007542A2" w:rsidRDefault="007542A2" w:rsidP="007542A2">
      <w:pPr>
        <w:pStyle w:val="Heading1"/>
        <w:numPr>
          <w:ilvl w:val="0"/>
          <w:numId w:val="0"/>
        </w:numPr>
      </w:pPr>
      <w:bookmarkStart w:id="2" w:name="_Toc157759471"/>
      <w:r>
        <w:t>Acknowledgement</w:t>
      </w:r>
      <w:r w:rsidR="004F3624">
        <w:t>s</w:t>
      </w:r>
      <w:bookmarkEnd w:id="2"/>
    </w:p>
    <w:p w14:paraId="1208C38E" w14:textId="5CB66A9F" w:rsidR="007542A2" w:rsidRPr="00530F38" w:rsidRDefault="007542A2" w:rsidP="004A5D71">
      <w:pPr>
        <w:sectPr w:rsidR="007542A2" w:rsidRPr="00530F38" w:rsidSect="00DB35FC">
          <w:headerReference w:type="even" r:id="rId14"/>
          <w:footerReference w:type="even" r:id="rId15"/>
          <w:footerReference w:type="default" r:id="rId16"/>
          <w:type w:val="continuous"/>
          <w:pgSz w:w="11906" w:h="16838" w:code="9"/>
          <w:pgMar w:top="1418" w:right="1418" w:bottom="1372" w:left="1418" w:header="709" w:footer="318" w:gutter="0"/>
          <w:pgNumType w:fmt="lowerRoman"/>
          <w:cols w:space="708"/>
          <w:titlePg/>
          <w:docGrid w:linePitch="360"/>
        </w:sectPr>
      </w:pPr>
      <w:r>
        <w:t xml:space="preserve">Most of my praises go to my </w:t>
      </w:r>
      <w:r w:rsidR="00B1686D">
        <w:t xml:space="preserve">closest </w:t>
      </w:r>
      <w:r>
        <w:t xml:space="preserve">friends, Peppe, Ricca, Juan, Faris, and </w:t>
      </w:r>
      <w:r w:rsidR="00212407">
        <w:t>Mécia</w:t>
      </w:r>
      <w:r>
        <w:t>. Thanks for making this path exciting</w:t>
      </w:r>
      <w:r w:rsidR="00C55010">
        <w:t xml:space="preserve"> and rich of great experiences</w:t>
      </w:r>
      <w:r>
        <w:t xml:space="preserve">. Thanks to my family too, my parents, my brothers and sister, my grandma and my grandpa. </w:t>
      </w:r>
      <w:r w:rsidR="001B6CFB">
        <w:t xml:space="preserve">Your support </w:t>
      </w:r>
      <w:r w:rsidR="004F3624">
        <w:t xml:space="preserve">from far away </w:t>
      </w:r>
      <w:r w:rsidR="001B6CFB">
        <w:t>and love</w:t>
      </w:r>
      <w:r w:rsidR="004F3624">
        <w:t xml:space="preserve"> means a lot to me and</w:t>
      </w:r>
      <w:r w:rsidR="001B6CFB">
        <w:t xml:space="preserve"> </w:t>
      </w:r>
      <w:r w:rsidR="008074DC">
        <w:t xml:space="preserve">gave </w:t>
      </w:r>
      <w:r w:rsidR="001B6CFB">
        <w:t>me a lot of stability.</w:t>
      </w:r>
      <w:r>
        <w:t xml:space="preserve"> </w:t>
      </w:r>
      <w:r w:rsidR="008074DC">
        <w:t>Thanks to my s</w:t>
      </w:r>
      <w:r>
        <w:t xml:space="preserve">upervisors, </w:t>
      </w:r>
      <w:r w:rsidR="00212407">
        <w:t xml:space="preserve">Andrea and Andrew, </w:t>
      </w:r>
      <w:r>
        <w:t xml:space="preserve">for the </w:t>
      </w:r>
      <w:r w:rsidR="00212407">
        <w:t xml:space="preserve">constant and generous </w:t>
      </w:r>
      <w:r>
        <w:t xml:space="preserve">support and knowledge. Thanks to my </w:t>
      </w:r>
      <w:r w:rsidR="008074DC">
        <w:t>c</w:t>
      </w:r>
      <w:r>
        <w:t xml:space="preserve">olleagues </w:t>
      </w:r>
      <w:r w:rsidR="004F3624">
        <w:t>–</w:t>
      </w:r>
      <w:r>
        <w:t xml:space="preserve"> </w:t>
      </w:r>
      <w:r w:rsidR="004F3624">
        <w:t xml:space="preserve">in particular to </w:t>
      </w:r>
      <w:r>
        <w:t>Azar, Akis,</w:t>
      </w:r>
      <w:r w:rsidR="00C55010">
        <w:t xml:space="preserve"> and</w:t>
      </w:r>
      <w:r>
        <w:t xml:space="preserve"> Ben - for enlightening the</w:t>
      </w:r>
      <w:r w:rsidR="00B1686D">
        <w:t xml:space="preserve"> daily</w:t>
      </w:r>
      <w:r>
        <w:t xml:space="preserve"> life in the office. </w:t>
      </w:r>
      <w:r w:rsidR="007C6B10">
        <w:t xml:space="preserve"> Finally thanks to the </w:t>
      </w:r>
    </w:p>
    <w:sdt>
      <w:sdtPr>
        <w:rPr>
          <w:rFonts w:eastAsia="Calibri" w:cstheme="minorBidi"/>
          <w:b w:val="0"/>
          <w:bCs/>
          <w:sz w:val="22"/>
          <w:szCs w:val="22"/>
          <w:lang w:val="en-GB" w:eastAsia="en-GB"/>
        </w:rPr>
        <w:id w:val="-153064582"/>
        <w:docPartObj>
          <w:docPartGallery w:val="Table of Contents"/>
          <w:docPartUnique/>
        </w:docPartObj>
      </w:sdtPr>
      <w:sdtEndPr>
        <w:rPr>
          <w:rFonts w:eastAsiaTheme="minorHAnsi"/>
          <w:bCs w:val="0"/>
          <w:noProof/>
          <w:sz w:val="24"/>
          <w:szCs w:val="24"/>
        </w:rPr>
      </w:sdtEndPr>
      <w:sdtContent>
        <w:p w14:paraId="7A206426" w14:textId="77777777" w:rsidR="00E85DE6" w:rsidRPr="00C41D54" w:rsidRDefault="00E85DE6" w:rsidP="00C528D7">
          <w:pPr>
            <w:pStyle w:val="TOCHeading"/>
          </w:pPr>
          <w:r w:rsidRPr="00C41D54">
            <w:t>Table of Contents</w:t>
          </w:r>
        </w:p>
        <w:p w14:paraId="46B69A32" w14:textId="3BFB69ED" w:rsidR="00C55010" w:rsidRDefault="00E85DE6">
          <w:pPr>
            <w:pStyle w:val="TOC1"/>
            <w:rPr>
              <w:rFonts w:asciiTheme="minorHAnsi" w:eastAsiaTheme="minorEastAsia" w:hAnsiTheme="minorHAnsi" w:cstheme="minorBidi"/>
              <w:b w:val="0"/>
              <w:bCs w:val="0"/>
              <w:i w:val="0"/>
              <w:iCs w:val="0"/>
              <w:noProof/>
              <w:sz w:val="22"/>
              <w:szCs w:val="22"/>
              <w:lang w:eastAsia="zh-CN"/>
            </w:rPr>
          </w:pPr>
          <w:r w:rsidRPr="00273A06">
            <w:fldChar w:fldCharType="begin"/>
          </w:r>
          <w:r w:rsidRPr="00273A06">
            <w:instrText xml:space="preserve"> TOC \o "1-3" \h \z \u </w:instrText>
          </w:r>
          <w:r w:rsidRPr="00273A06">
            <w:fldChar w:fldCharType="separate"/>
          </w:r>
          <w:hyperlink w:anchor="_Toc157759470" w:history="1">
            <w:r w:rsidR="00C55010" w:rsidRPr="007C6D83">
              <w:rPr>
                <w:rStyle w:val="Hyperlink"/>
                <w:noProof/>
              </w:rPr>
              <w:t>Research Dissemination</w:t>
            </w:r>
            <w:r w:rsidR="00C55010">
              <w:rPr>
                <w:noProof/>
                <w:webHidden/>
              </w:rPr>
              <w:tab/>
            </w:r>
            <w:r w:rsidR="00C55010">
              <w:rPr>
                <w:noProof/>
                <w:webHidden/>
              </w:rPr>
              <w:fldChar w:fldCharType="begin"/>
            </w:r>
            <w:r w:rsidR="00C55010">
              <w:rPr>
                <w:noProof/>
                <w:webHidden/>
              </w:rPr>
              <w:instrText xml:space="preserve"> PAGEREF _Toc157759470 \h </w:instrText>
            </w:r>
            <w:r w:rsidR="00C55010">
              <w:rPr>
                <w:noProof/>
                <w:webHidden/>
              </w:rPr>
            </w:r>
            <w:r w:rsidR="00C55010">
              <w:rPr>
                <w:noProof/>
                <w:webHidden/>
              </w:rPr>
              <w:fldChar w:fldCharType="separate"/>
            </w:r>
            <w:r w:rsidR="00C55010">
              <w:rPr>
                <w:noProof/>
                <w:webHidden/>
              </w:rPr>
              <w:t>ii</w:t>
            </w:r>
            <w:r w:rsidR="00C55010">
              <w:rPr>
                <w:noProof/>
                <w:webHidden/>
              </w:rPr>
              <w:fldChar w:fldCharType="end"/>
            </w:r>
          </w:hyperlink>
        </w:p>
        <w:p w14:paraId="664656D0" w14:textId="2B7AA365" w:rsidR="00C55010" w:rsidRDefault="00C80BFD">
          <w:pPr>
            <w:pStyle w:val="TOC1"/>
            <w:rPr>
              <w:rFonts w:asciiTheme="minorHAnsi" w:eastAsiaTheme="minorEastAsia" w:hAnsiTheme="minorHAnsi" w:cstheme="minorBidi"/>
              <w:b w:val="0"/>
              <w:bCs w:val="0"/>
              <w:i w:val="0"/>
              <w:iCs w:val="0"/>
              <w:noProof/>
              <w:sz w:val="22"/>
              <w:szCs w:val="22"/>
              <w:lang w:eastAsia="zh-CN"/>
            </w:rPr>
          </w:pPr>
          <w:hyperlink w:anchor="_Toc157759471" w:history="1">
            <w:r w:rsidR="00C55010" w:rsidRPr="007C6D83">
              <w:rPr>
                <w:rStyle w:val="Hyperlink"/>
                <w:noProof/>
              </w:rPr>
              <w:t>Acknowledgements</w:t>
            </w:r>
            <w:r w:rsidR="00C55010">
              <w:rPr>
                <w:noProof/>
                <w:webHidden/>
              </w:rPr>
              <w:tab/>
            </w:r>
            <w:r w:rsidR="00C55010">
              <w:rPr>
                <w:noProof/>
                <w:webHidden/>
              </w:rPr>
              <w:fldChar w:fldCharType="begin"/>
            </w:r>
            <w:r w:rsidR="00C55010">
              <w:rPr>
                <w:noProof/>
                <w:webHidden/>
              </w:rPr>
              <w:instrText xml:space="preserve"> PAGEREF _Toc157759471 \h </w:instrText>
            </w:r>
            <w:r w:rsidR="00C55010">
              <w:rPr>
                <w:noProof/>
                <w:webHidden/>
              </w:rPr>
            </w:r>
            <w:r w:rsidR="00C55010">
              <w:rPr>
                <w:noProof/>
                <w:webHidden/>
              </w:rPr>
              <w:fldChar w:fldCharType="separate"/>
            </w:r>
            <w:r w:rsidR="00C55010">
              <w:rPr>
                <w:noProof/>
                <w:webHidden/>
              </w:rPr>
              <w:t>v</w:t>
            </w:r>
            <w:r w:rsidR="00C55010">
              <w:rPr>
                <w:noProof/>
                <w:webHidden/>
              </w:rPr>
              <w:fldChar w:fldCharType="end"/>
            </w:r>
          </w:hyperlink>
        </w:p>
        <w:p w14:paraId="337D63EC" w14:textId="195DC63C" w:rsidR="00C55010" w:rsidRDefault="00C80BFD">
          <w:pPr>
            <w:pStyle w:val="TOC1"/>
            <w:rPr>
              <w:rFonts w:asciiTheme="minorHAnsi" w:eastAsiaTheme="minorEastAsia" w:hAnsiTheme="minorHAnsi" w:cstheme="minorBidi"/>
              <w:b w:val="0"/>
              <w:bCs w:val="0"/>
              <w:i w:val="0"/>
              <w:iCs w:val="0"/>
              <w:noProof/>
              <w:sz w:val="22"/>
              <w:szCs w:val="22"/>
              <w:lang w:eastAsia="zh-CN"/>
            </w:rPr>
          </w:pPr>
          <w:hyperlink w:anchor="_Toc157759472" w:history="1">
            <w:r w:rsidR="00C55010" w:rsidRPr="007C6D83">
              <w:rPr>
                <w:rStyle w:val="Hyperlink"/>
                <w:noProof/>
              </w:rPr>
              <w:t>Executive Summary</w:t>
            </w:r>
            <w:r w:rsidR="00C55010">
              <w:rPr>
                <w:noProof/>
                <w:webHidden/>
              </w:rPr>
              <w:tab/>
            </w:r>
            <w:r w:rsidR="00C55010">
              <w:rPr>
                <w:noProof/>
                <w:webHidden/>
              </w:rPr>
              <w:fldChar w:fldCharType="begin"/>
            </w:r>
            <w:r w:rsidR="00C55010">
              <w:rPr>
                <w:noProof/>
                <w:webHidden/>
              </w:rPr>
              <w:instrText xml:space="preserve"> PAGEREF _Toc157759472 \h </w:instrText>
            </w:r>
            <w:r w:rsidR="00C55010">
              <w:rPr>
                <w:noProof/>
                <w:webHidden/>
              </w:rPr>
            </w:r>
            <w:r w:rsidR="00C55010">
              <w:rPr>
                <w:noProof/>
                <w:webHidden/>
              </w:rPr>
              <w:fldChar w:fldCharType="separate"/>
            </w:r>
            <w:r w:rsidR="00C55010">
              <w:rPr>
                <w:noProof/>
                <w:webHidden/>
              </w:rPr>
              <w:t>xi</w:t>
            </w:r>
            <w:r w:rsidR="00C55010">
              <w:rPr>
                <w:noProof/>
                <w:webHidden/>
              </w:rPr>
              <w:fldChar w:fldCharType="end"/>
            </w:r>
          </w:hyperlink>
        </w:p>
        <w:p w14:paraId="6C6F1FF6" w14:textId="4C1BEC04" w:rsidR="00C55010" w:rsidRDefault="00C80BFD">
          <w:pPr>
            <w:pStyle w:val="TOC1"/>
            <w:tabs>
              <w:tab w:val="left" w:pos="1760"/>
            </w:tabs>
            <w:rPr>
              <w:rFonts w:asciiTheme="minorHAnsi" w:eastAsiaTheme="minorEastAsia" w:hAnsiTheme="minorHAnsi" w:cstheme="minorBidi"/>
              <w:b w:val="0"/>
              <w:bCs w:val="0"/>
              <w:i w:val="0"/>
              <w:iCs w:val="0"/>
              <w:noProof/>
              <w:sz w:val="22"/>
              <w:szCs w:val="22"/>
              <w:lang w:eastAsia="zh-CN"/>
            </w:rPr>
          </w:pPr>
          <w:hyperlink w:anchor="_Toc157759473" w:history="1">
            <w:r w:rsidR="00C55010" w:rsidRPr="007C6D83">
              <w:rPr>
                <w:rStyle w:val="Hyperlink"/>
                <w:noProof/>
              </w:rPr>
              <w:t>CHAPTER 1</w:t>
            </w:r>
            <w:r w:rsidR="00C55010">
              <w:rPr>
                <w:rFonts w:asciiTheme="minorHAnsi" w:eastAsiaTheme="minorEastAsia" w:hAnsiTheme="minorHAnsi" w:cstheme="minorBidi"/>
                <w:b w:val="0"/>
                <w:bCs w:val="0"/>
                <w:i w:val="0"/>
                <w:iCs w:val="0"/>
                <w:noProof/>
                <w:sz w:val="22"/>
                <w:szCs w:val="22"/>
                <w:lang w:eastAsia="zh-CN"/>
              </w:rPr>
              <w:tab/>
            </w:r>
            <w:r w:rsidR="00C55010" w:rsidRPr="007C6D83">
              <w:rPr>
                <w:rStyle w:val="Hyperlink"/>
                <w:noProof/>
              </w:rPr>
              <w:t>Introduction</w:t>
            </w:r>
            <w:r w:rsidR="00C55010">
              <w:rPr>
                <w:noProof/>
                <w:webHidden/>
              </w:rPr>
              <w:tab/>
            </w:r>
            <w:r w:rsidR="00C55010">
              <w:rPr>
                <w:noProof/>
                <w:webHidden/>
              </w:rPr>
              <w:fldChar w:fldCharType="begin"/>
            </w:r>
            <w:r w:rsidR="00C55010">
              <w:rPr>
                <w:noProof/>
                <w:webHidden/>
              </w:rPr>
              <w:instrText xml:space="preserve"> PAGEREF _Toc157759473 \h </w:instrText>
            </w:r>
            <w:r w:rsidR="00C55010">
              <w:rPr>
                <w:noProof/>
                <w:webHidden/>
              </w:rPr>
            </w:r>
            <w:r w:rsidR="00C55010">
              <w:rPr>
                <w:noProof/>
                <w:webHidden/>
              </w:rPr>
              <w:fldChar w:fldCharType="separate"/>
            </w:r>
            <w:r w:rsidR="00C55010">
              <w:rPr>
                <w:noProof/>
                <w:webHidden/>
              </w:rPr>
              <w:t>1</w:t>
            </w:r>
            <w:r w:rsidR="00C55010">
              <w:rPr>
                <w:noProof/>
                <w:webHidden/>
              </w:rPr>
              <w:fldChar w:fldCharType="end"/>
            </w:r>
          </w:hyperlink>
        </w:p>
        <w:p w14:paraId="7E2A084A" w14:textId="45039251"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74" w:history="1">
            <w:r w:rsidR="00C55010" w:rsidRPr="007C6D83">
              <w:rPr>
                <w:rStyle w:val="Hyperlink"/>
                <w:iCs/>
                <w:noProof/>
              </w:rPr>
              <w:t>1</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Background and motivation of the study</w:t>
            </w:r>
            <w:r w:rsidR="00C55010">
              <w:rPr>
                <w:noProof/>
                <w:webHidden/>
              </w:rPr>
              <w:tab/>
            </w:r>
            <w:r w:rsidR="00C55010">
              <w:rPr>
                <w:noProof/>
                <w:webHidden/>
              </w:rPr>
              <w:fldChar w:fldCharType="begin"/>
            </w:r>
            <w:r w:rsidR="00C55010">
              <w:rPr>
                <w:noProof/>
                <w:webHidden/>
              </w:rPr>
              <w:instrText xml:space="preserve"> PAGEREF _Toc157759474 \h </w:instrText>
            </w:r>
            <w:r w:rsidR="00C55010">
              <w:rPr>
                <w:noProof/>
                <w:webHidden/>
              </w:rPr>
            </w:r>
            <w:r w:rsidR="00C55010">
              <w:rPr>
                <w:noProof/>
                <w:webHidden/>
              </w:rPr>
              <w:fldChar w:fldCharType="separate"/>
            </w:r>
            <w:r w:rsidR="00C55010">
              <w:rPr>
                <w:noProof/>
                <w:webHidden/>
              </w:rPr>
              <w:t>2</w:t>
            </w:r>
            <w:r w:rsidR="00C55010">
              <w:rPr>
                <w:noProof/>
                <w:webHidden/>
              </w:rPr>
              <w:fldChar w:fldCharType="end"/>
            </w:r>
          </w:hyperlink>
        </w:p>
        <w:p w14:paraId="2D8CFCB0" w14:textId="12B032C7"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75" w:history="1">
            <w:r w:rsidR="00C55010" w:rsidRPr="007C6D83">
              <w:rPr>
                <w:rStyle w:val="Hyperlink"/>
                <w:iCs/>
                <w:noProof/>
              </w:rPr>
              <w:t>2</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Research Gaps and research objectives</w:t>
            </w:r>
            <w:r w:rsidR="00C55010">
              <w:rPr>
                <w:noProof/>
                <w:webHidden/>
              </w:rPr>
              <w:tab/>
            </w:r>
            <w:r w:rsidR="00C55010">
              <w:rPr>
                <w:noProof/>
                <w:webHidden/>
              </w:rPr>
              <w:fldChar w:fldCharType="begin"/>
            </w:r>
            <w:r w:rsidR="00C55010">
              <w:rPr>
                <w:noProof/>
                <w:webHidden/>
              </w:rPr>
              <w:instrText xml:space="preserve"> PAGEREF _Toc157759475 \h </w:instrText>
            </w:r>
            <w:r w:rsidR="00C55010">
              <w:rPr>
                <w:noProof/>
                <w:webHidden/>
              </w:rPr>
            </w:r>
            <w:r w:rsidR="00C55010">
              <w:rPr>
                <w:noProof/>
                <w:webHidden/>
              </w:rPr>
              <w:fldChar w:fldCharType="separate"/>
            </w:r>
            <w:r w:rsidR="00C55010">
              <w:rPr>
                <w:noProof/>
                <w:webHidden/>
              </w:rPr>
              <w:t>3</w:t>
            </w:r>
            <w:r w:rsidR="00C55010">
              <w:rPr>
                <w:noProof/>
                <w:webHidden/>
              </w:rPr>
              <w:fldChar w:fldCharType="end"/>
            </w:r>
          </w:hyperlink>
        </w:p>
        <w:p w14:paraId="14C6C4E1" w14:textId="117F213E"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76" w:history="1">
            <w:r w:rsidR="00C55010" w:rsidRPr="007C6D83">
              <w:rPr>
                <w:rStyle w:val="Hyperlink"/>
                <w:iCs/>
                <w:noProof/>
              </w:rPr>
              <w:t>3</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Significance of the study and research contribution</w:t>
            </w:r>
            <w:r w:rsidR="00C55010">
              <w:rPr>
                <w:noProof/>
                <w:webHidden/>
              </w:rPr>
              <w:tab/>
            </w:r>
            <w:r w:rsidR="00C55010">
              <w:rPr>
                <w:noProof/>
                <w:webHidden/>
              </w:rPr>
              <w:fldChar w:fldCharType="begin"/>
            </w:r>
            <w:r w:rsidR="00C55010">
              <w:rPr>
                <w:noProof/>
                <w:webHidden/>
              </w:rPr>
              <w:instrText xml:space="preserve"> PAGEREF _Toc157759476 \h </w:instrText>
            </w:r>
            <w:r w:rsidR="00C55010">
              <w:rPr>
                <w:noProof/>
                <w:webHidden/>
              </w:rPr>
            </w:r>
            <w:r w:rsidR="00C55010">
              <w:rPr>
                <w:noProof/>
                <w:webHidden/>
              </w:rPr>
              <w:fldChar w:fldCharType="separate"/>
            </w:r>
            <w:r w:rsidR="00C55010">
              <w:rPr>
                <w:noProof/>
                <w:webHidden/>
              </w:rPr>
              <w:t>5</w:t>
            </w:r>
            <w:r w:rsidR="00C55010">
              <w:rPr>
                <w:noProof/>
                <w:webHidden/>
              </w:rPr>
              <w:fldChar w:fldCharType="end"/>
            </w:r>
          </w:hyperlink>
        </w:p>
        <w:p w14:paraId="287BB685" w14:textId="42EAF9A8"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77" w:history="1">
            <w:r w:rsidR="00C55010" w:rsidRPr="007C6D83">
              <w:rPr>
                <w:rStyle w:val="Hyperlink"/>
                <w:iCs/>
                <w:noProof/>
              </w:rPr>
              <w:t>4</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Thesis structure</w:t>
            </w:r>
            <w:r w:rsidR="00C55010">
              <w:rPr>
                <w:noProof/>
                <w:webHidden/>
              </w:rPr>
              <w:tab/>
            </w:r>
            <w:r w:rsidR="00C55010">
              <w:rPr>
                <w:noProof/>
                <w:webHidden/>
              </w:rPr>
              <w:fldChar w:fldCharType="begin"/>
            </w:r>
            <w:r w:rsidR="00C55010">
              <w:rPr>
                <w:noProof/>
                <w:webHidden/>
              </w:rPr>
              <w:instrText xml:space="preserve"> PAGEREF _Toc157759477 \h </w:instrText>
            </w:r>
            <w:r w:rsidR="00C55010">
              <w:rPr>
                <w:noProof/>
                <w:webHidden/>
              </w:rPr>
            </w:r>
            <w:r w:rsidR="00C55010">
              <w:rPr>
                <w:noProof/>
                <w:webHidden/>
              </w:rPr>
              <w:fldChar w:fldCharType="separate"/>
            </w:r>
            <w:r w:rsidR="00C55010">
              <w:rPr>
                <w:noProof/>
                <w:webHidden/>
              </w:rPr>
              <w:t>6</w:t>
            </w:r>
            <w:r w:rsidR="00C55010">
              <w:rPr>
                <w:noProof/>
                <w:webHidden/>
              </w:rPr>
              <w:fldChar w:fldCharType="end"/>
            </w:r>
          </w:hyperlink>
        </w:p>
        <w:p w14:paraId="2D15CA6F" w14:textId="17B90C18"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478" w:history="1">
            <w:r w:rsidR="00C55010" w:rsidRPr="007C6D83">
              <w:rPr>
                <w:rStyle w:val="Hyperlink"/>
                <w:noProof/>
              </w:rPr>
              <w:t>References</w:t>
            </w:r>
            <w:r w:rsidR="00C55010">
              <w:rPr>
                <w:noProof/>
                <w:webHidden/>
              </w:rPr>
              <w:tab/>
            </w:r>
            <w:r w:rsidR="00C55010">
              <w:rPr>
                <w:noProof/>
                <w:webHidden/>
              </w:rPr>
              <w:fldChar w:fldCharType="begin"/>
            </w:r>
            <w:r w:rsidR="00C55010">
              <w:rPr>
                <w:noProof/>
                <w:webHidden/>
              </w:rPr>
              <w:instrText xml:space="preserve"> PAGEREF _Toc157759478 \h </w:instrText>
            </w:r>
            <w:r w:rsidR="00C55010">
              <w:rPr>
                <w:noProof/>
                <w:webHidden/>
              </w:rPr>
            </w:r>
            <w:r w:rsidR="00C55010">
              <w:rPr>
                <w:noProof/>
                <w:webHidden/>
              </w:rPr>
              <w:fldChar w:fldCharType="separate"/>
            </w:r>
            <w:r w:rsidR="00C55010">
              <w:rPr>
                <w:noProof/>
                <w:webHidden/>
              </w:rPr>
              <w:t>8</w:t>
            </w:r>
            <w:r w:rsidR="00C55010">
              <w:rPr>
                <w:noProof/>
                <w:webHidden/>
              </w:rPr>
              <w:fldChar w:fldCharType="end"/>
            </w:r>
          </w:hyperlink>
        </w:p>
        <w:p w14:paraId="3803CE0E" w14:textId="1A3F7E04" w:rsidR="00C55010" w:rsidRDefault="00C80BFD">
          <w:pPr>
            <w:pStyle w:val="TOC1"/>
            <w:tabs>
              <w:tab w:val="left" w:pos="1760"/>
            </w:tabs>
            <w:rPr>
              <w:rFonts w:asciiTheme="minorHAnsi" w:eastAsiaTheme="minorEastAsia" w:hAnsiTheme="minorHAnsi" w:cstheme="minorBidi"/>
              <w:b w:val="0"/>
              <w:bCs w:val="0"/>
              <w:i w:val="0"/>
              <w:iCs w:val="0"/>
              <w:noProof/>
              <w:sz w:val="22"/>
              <w:szCs w:val="22"/>
              <w:lang w:eastAsia="zh-CN"/>
            </w:rPr>
          </w:pPr>
          <w:hyperlink w:anchor="_Toc157759479" w:history="1">
            <w:r w:rsidR="00C55010" w:rsidRPr="007C6D83">
              <w:rPr>
                <w:rStyle w:val="Hyperlink"/>
                <w:noProof/>
              </w:rPr>
              <w:t>CHAPTER 2</w:t>
            </w:r>
            <w:r w:rsidR="00C55010">
              <w:rPr>
                <w:rFonts w:asciiTheme="minorHAnsi" w:eastAsiaTheme="minorEastAsia" w:hAnsiTheme="minorHAnsi" w:cstheme="minorBidi"/>
                <w:b w:val="0"/>
                <w:bCs w:val="0"/>
                <w:i w:val="0"/>
                <w:iCs w:val="0"/>
                <w:noProof/>
                <w:sz w:val="22"/>
                <w:szCs w:val="22"/>
                <w:lang w:eastAsia="zh-CN"/>
              </w:rPr>
              <w:tab/>
            </w:r>
            <w:r w:rsidR="00C55010" w:rsidRPr="007C6D83">
              <w:rPr>
                <w:rStyle w:val="Hyperlink"/>
                <w:noProof/>
              </w:rPr>
              <w:t>The adoption of Circular Economy practices in supply chains – A review of European Multi-National Enterprises</w:t>
            </w:r>
            <w:r w:rsidR="00C55010">
              <w:rPr>
                <w:noProof/>
                <w:webHidden/>
              </w:rPr>
              <w:tab/>
            </w:r>
            <w:r w:rsidR="00C55010">
              <w:rPr>
                <w:noProof/>
                <w:webHidden/>
              </w:rPr>
              <w:fldChar w:fldCharType="begin"/>
            </w:r>
            <w:r w:rsidR="00C55010">
              <w:rPr>
                <w:noProof/>
                <w:webHidden/>
              </w:rPr>
              <w:instrText xml:space="preserve"> PAGEREF _Toc157759479 \h </w:instrText>
            </w:r>
            <w:r w:rsidR="00C55010">
              <w:rPr>
                <w:noProof/>
                <w:webHidden/>
              </w:rPr>
            </w:r>
            <w:r w:rsidR="00C55010">
              <w:rPr>
                <w:noProof/>
                <w:webHidden/>
              </w:rPr>
              <w:fldChar w:fldCharType="separate"/>
            </w:r>
            <w:r w:rsidR="00C55010">
              <w:rPr>
                <w:noProof/>
                <w:webHidden/>
              </w:rPr>
              <w:t>11</w:t>
            </w:r>
            <w:r w:rsidR="00C55010">
              <w:rPr>
                <w:noProof/>
                <w:webHidden/>
              </w:rPr>
              <w:fldChar w:fldCharType="end"/>
            </w:r>
          </w:hyperlink>
        </w:p>
        <w:p w14:paraId="0504BEBD" w14:textId="51C18A79"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80" w:history="1">
            <w:r w:rsidR="00C55010" w:rsidRPr="007C6D83">
              <w:rPr>
                <w:rStyle w:val="Hyperlink"/>
                <w:iCs/>
                <w:noProof/>
              </w:rPr>
              <w:t>1</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Introduction</w:t>
            </w:r>
            <w:r w:rsidR="00C55010">
              <w:rPr>
                <w:noProof/>
                <w:webHidden/>
              </w:rPr>
              <w:tab/>
            </w:r>
            <w:r w:rsidR="00C55010">
              <w:rPr>
                <w:noProof/>
                <w:webHidden/>
              </w:rPr>
              <w:fldChar w:fldCharType="begin"/>
            </w:r>
            <w:r w:rsidR="00C55010">
              <w:rPr>
                <w:noProof/>
                <w:webHidden/>
              </w:rPr>
              <w:instrText xml:space="preserve"> PAGEREF _Toc157759480 \h </w:instrText>
            </w:r>
            <w:r w:rsidR="00C55010">
              <w:rPr>
                <w:noProof/>
                <w:webHidden/>
              </w:rPr>
            </w:r>
            <w:r w:rsidR="00C55010">
              <w:rPr>
                <w:noProof/>
                <w:webHidden/>
              </w:rPr>
              <w:fldChar w:fldCharType="separate"/>
            </w:r>
            <w:r w:rsidR="00C55010">
              <w:rPr>
                <w:noProof/>
                <w:webHidden/>
              </w:rPr>
              <w:t>12</w:t>
            </w:r>
            <w:r w:rsidR="00C55010">
              <w:rPr>
                <w:noProof/>
                <w:webHidden/>
              </w:rPr>
              <w:fldChar w:fldCharType="end"/>
            </w:r>
          </w:hyperlink>
        </w:p>
        <w:p w14:paraId="22160F5C" w14:textId="69E4A18F"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81" w:history="1">
            <w:r w:rsidR="00C55010" w:rsidRPr="007C6D83">
              <w:rPr>
                <w:rStyle w:val="Hyperlink"/>
                <w:iCs/>
                <w:noProof/>
              </w:rPr>
              <w:t>2</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Literature Review</w:t>
            </w:r>
            <w:r w:rsidR="00C55010">
              <w:rPr>
                <w:noProof/>
                <w:webHidden/>
              </w:rPr>
              <w:tab/>
            </w:r>
            <w:r w:rsidR="00C55010">
              <w:rPr>
                <w:noProof/>
                <w:webHidden/>
              </w:rPr>
              <w:fldChar w:fldCharType="begin"/>
            </w:r>
            <w:r w:rsidR="00C55010">
              <w:rPr>
                <w:noProof/>
                <w:webHidden/>
              </w:rPr>
              <w:instrText xml:space="preserve"> PAGEREF _Toc157759481 \h </w:instrText>
            </w:r>
            <w:r w:rsidR="00C55010">
              <w:rPr>
                <w:noProof/>
                <w:webHidden/>
              </w:rPr>
            </w:r>
            <w:r w:rsidR="00C55010">
              <w:rPr>
                <w:noProof/>
                <w:webHidden/>
              </w:rPr>
              <w:fldChar w:fldCharType="separate"/>
            </w:r>
            <w:r w:rsidR="00C55010">
              <w:rPr>
                <w:noProof/>
                <w:webHidden/>
              </w:rPr>
              <w:t>13</w:t>
            </w:r>
            <w:r w:rsidR="00C55010">
              <w:rPr>
                <w:noProof/>
                <w:webHidden/>
              </w:rPr>
              <w:fldChar w:fldCharType="end"/>
            </w:r>
          </w:hyperlink>
        </w:p>
        <w:p w14:paraId="435806D3" w14:textId="6FA164E4"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82" w:history="1">
            <w:r w:rsidR="00C55010" w:rsidRPr="007C6D83">
              <w:rPr>
                <w:rStyle w:val="Hyperlink"/>
                <w:noProof/>
              </w:rPr>
              <w:t>2.1</w:t>
            </w:r>
            <w:r w:rsidR="00C55010">
              <w:rPr>
                <w:rFonts w:asciiTheme="minorHAnsi" w:eastAsiaTheme="minorEastAsia" w:hAnsiTheme="minorHAnsi" w:cstheme="minorBidi"/>
                <w:noProof/>
                <w:sz w:val="22"/>
                <w:szCs w:val="22"/>
                <w:lang w:eastAsia="zh-CN"/>
              </w:rPr>
              <w:tab/>
            </w:r>
            <w:r w:rsidR="00C55010" w:rsidRPr="007C6D83">
              <w:rPr>
                <w:rStyle w:val="Hyperlink"/>
                <w:noProof/>
              </w:rPr>
              <w:t>Institutional pressures, Supply Chain Integration on the adoption of CE practices</w:t>
            </w:r>
            <w:r w:rsidR="00C55010">
              <w:rPr>
                <w:noProof/>
                <w:webHidden/>
              </w:rPr>
              <w:tab/>
            </w:r>
            <w:r w:rsidR="00C55010">
              <w:rPr>
                <w:noProof/>
                <w:webHidden/>
              </w:rPr>
              <w:fldChar w:fldCharType="begin"/>
            </w:r>
            <w:r w:rsidR="00C55010">
              <w:rPr>
                <w:noProof/>
                <w:webHidden/>
              </w:rPr>
              <w:instrText xml:space="preserve"> PAGEREF _Toc157759482 \h </w:instrText>
            </w:r>
            <w:r w:rsidR="00C55010">
              <w:rPr>
                <w:noProof/>
                <w:webHidden/>
              </w:rPr>
            </w:r>
            <w:r w:rsidR="00C55010">
              <w:rPr>
                <w:noProof/>
                <w:webHidden/>
              </w:rPr>
              <w:fldChar w:fldCharType="separate"/>
            </w:r>
            <w:r w:rsidR="00C55010">
              <w:rPr>
                <w:noProof/>
                <w:webHidden/>
              </w:rPr>
              <w:t>19</w:t>
            </w:r>
            <w:r w:rsidR="00C55010">
              <w:rPr>
                <w:noProof/>
                <w:webHidden/>
              </w:rPr>
              <w:fldChar w:fldCharType="end"/>
            </w:r>
          </w:hyperlink>
        </w:p>
        <w:p w14:paraId="230AB4A8" w14:textId="768C5608"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83" w:history="1">
            <w:r w:rsidR="00C55010" w:rsidRPr="007C6D83">
              <w:rPr>
                <w:rStyle w:val="Hyperlink"/>
                <w:noProof/>
              </w:rPr>
              <w:t>2.2</w:t>
            </w:r>
            <w:r w:rsidR="00C55010">
              <w:rPr>
                <w:rFonts w:asciiTheme="minorHAnsi" w:eastAsiaTheme="minorEastAsia" w:hAnsiTheme="minorHAnsi" w:cstheme="minorBidi"/>
                <w:noProof/>
                <w:sz w:val="22"/>
                <w:szCs w:val="22"/>
                <w:lang w:eastAsia="zh-CN"/>
              </w:rPr>
              <w:tab/>
            </w:r>
            <w:r w:rsidR="00C55010" w:rsidRPr="007C6D83">
              <w:rPr>
                <w:rStyle w:val="Hyperlink"/>
                <w:noProof/>
              </w:rPr>
              <w:t>Research Gaps and Research Questions</w:t>
            </w:r>
            <w:r w:rsidR="00C55010">
              <w:rPr>
                <w:noProof/>
                <w:webHidden/>
              </w:rPr>
              <w:tab/>
            </w:r>
            <w:r w:rsidR="00C55010">
              <w:rPr>
                <w:noProof/>
                <w:webHidden/>
              </w:rPr>
              <w:fldChar w:fldCharType="begin"/>
            </w:r>
            <w:r w:rsidR="00C55010">
              <w:rPr>
                <w:noProof/>
                <w:webHidden/>
              </w:rPr>
              <w:instrText xml:space="preserve"> PAGEREF _Toc157759483 \h </w:instrText>
            </w:r>
            <w:r w:rsidR="00C55010">
              <w:rPr>
                <w:noProof/>
                <w:webHidden/>
              </w:rPr>
            </w:r>
            <w:r w:rsidR="00C55010">
              <w:rPr>
                <w:noProof/>
                <w:webHidden/>
              </w:rPr>
              <w:fldChar w:fldCharType="separate"/>
            </w:r>
            <w:r w:rsidR="00C55010">
              <w:rPr>
                <w:noProof/>
                <w:webHidden/>
              </w:rPr>
              <w:t>21</w:t>
            </w:r>
            <w:r w:rsidR="00C55010">
              <w:rPr>
                <w:noProof/>
                <w:webHidden/>
              </w:rPr>
              <w:fldChar w:fldCharType="end"/>
            </w:r>
          </w:hyperlink>
        </w:p>
        <w:p w14:paraId="6CC14900" w14:textId="5C24FA44"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84" w:history="1">
            <w:r w:rsidR="00C55010" w:rsidRPr="007C6D83">
              <w:rPr>
                <w:rStyle w:val="Hyperlink"/>
                <w:iCs/>
                <w:noProof/>
              </w:rPr>
              <w:t>3</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Method</w:t>
            </w:r>
            <w:r w:rsidR="00C55010">
              <w:rPr>
                <w:noProof/>
                <w:webHidden/>
              </w:rPr>
              <w:tab/>
            </w:r>
            <w:r w:rsidR="00C55010">
              <w:rPr>
                <w:noProof/>
                <w:webHidden/>
              </w:rPr>
              <w:fldChar w:fldCharType="begin"/>
            </w:r>
            <w:r w:rsidR="00C55010">
              <w:rPr>
                <w:noProof/>
                <w:webHidden/>
              </w:rPr>
              <w:instrText xml:space="preserve"> PAGEREF _Toc157759484 \h </w:instrText>
            </w:r>
            <w:r w:rsidR="00C55010">
              <w:rPr>
                <w:noProof/>
                <w:webHidden/>
              </w:rPr>
            </w:r>
            <w:r w:rsidR="00C55010">
              <w:rPr>
                <w:noProof/>
                <w:webHidden/>
              </w:rPr>
              <w:fldChar w:fldCharType="separate"/>
            </w:r>
            <w:r w:rsidR="00C55010">
              <w:rPr>
                <w:noProof/>
                <w:webHidden/>
              </w:rPr>
              <w:t>22</w:t>
            </w:r>
            <w:r w:rsidR="00C55010">
              <w:rPr>
                <w:noProof/>
                <w:webHidden/>
              </w:rPr>
              <w:fldChar w:fldCharType="end"/>
            </w:r>
          </w:hyperlink>
        </w:p>
        <w:p w14:paraId="4E1A7923" w14:textId="25397E06"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85" w:history="1">
            <w:r w:rsidR="00C55010" w:rsidRPr="007C6D83">
              <w:rPr>
                <w:rStyle w:val="Hyperlink"/>
                <w:noProof/>
              </w:rPr>
              <w:t>3.1</w:t>
            </w:r>
            <w:r w:rsidR="00C55010">
              <w:rPr>
                <w:rFonts w:asciiTheme="minorHAnsi" w:eastAsiaTheme="minorEastAsia" w:hAnsiTheme="minorHAnsi" w:cstheme="minorBidi"/>
                <w:noProof/>
                <w:sz w:val="22"/>
                <w:szCs w:val="22"/>
                <w:lang w:eastAsia="zh-CN"/>
              </w:rPr>
              <w:tab/>
            </w:r>
            <w:r w:rsidR="00C55010" w:rsidRPr="007C6D83">
              <w:rPr>
                <w:rStyle w:val="Hyperlink"/>
                <w:noProof/>
              </w:rPr>
              <w:t>Sample Definition</w:t>
            </w:r>
            <w:r w:rsidR="00C55010">
              <w:rPr>
                <w:noProof/>
                <w:webHidden/>
              </w:rPr>
              <w:tab/>
            </w:r>
            <w:r w:rsidR="00C55010">
              <w:rPr>
                <w:noProof/>
                <w:webHidden/>
              </w:rPr>
              <w:fldChar w:fldCharType="begin"/>
            </w:r>
            <w:r w:rsidR="00C55010">
              <w:rPr>
                <w:noProof/>
                <w:webHidden/>
              </w:rPr>
              <w:instrText xml:space="preserve"> PAGEREF _Toc157759485 \h </w:instrText>
            </w:r>
            <w:r w:rsidR="00C55010">
              <w:rPr>
                <w:noProof/>
                <w:webHidden/>
              </w:rPr>
            </w:r>
            <w:r w:rsidR="00C55010">
              <w:rPr>
                <w:noProof/>
                <w:webHidden/>
              </w:rPr>
              <w:fldChar w:fldCharType="separate"/>
            </w:r>
            <w:r w:rsidR="00C55010">
              <w:rPr>
                <w:noProof/>
                <w:webHidden/>
              </w:rPr>
              <w:t>24</w:t>
            </w:r>
            <w:r w:rsidR="00C55010">
              <w:rPr>
                <w:noProof/>
                <w:webHidden/>
              </w:rPr>
              <w:fldChar w:fldCharType="end"/>
            </w:r>
          </w:hyperlink>
        </w:p>
        <w:p w14:paraId="68A62288" w14:textId="6D9D8AEC"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86" w:history="1">
            <w:r w:rsidR="00C55010" w:rsidRPr="007C6D83">
              <w:rPr>
                <w:rStyle w:val="Hyperlink"/>
                <w:noProof/>
              </w:rPr>
              <w:t>3.2</w:t>
            </w:r>
            <w:r w:rsidR="00C55010">
              <w:rPr>
                <w:rFonts w:asciiTheme="minorHAnsi" w:eastAsiaTheme="minorEastAsia" w:hAnsiTheme="minorHAnsi" w:cstheme="minorBidi"/>
                <w:noProof/>
                <w:sz w:val="22"/>
                <w:szCs w:val="22"/>
                <w:lang w:eastAsia="zh-CN"/>
              </w:rPr>
              <w:tab/>
            </w:r>
            <w:r w:rsidR="00C55010" w:rsidRPr="007C6D83">
              <w:rPr>
                <w:rStyle w:val="Hyperlink"/>
                <w:noProof/>
              </w:rPr>
              <w:t>Content Extraction</w:t>
            </w:r>
            <w:r w:rsidR="00C55010">
              <w:rPr>
                <w:noProof/>
                <w:webHidden/>
              </w:rPr>
              <w:tab/>
            </w:r>
            <w:r w:rsidR="00C55010">
              <w:rPr>
                <w:noProof/>
                <w:webHidden/>
              </w:rPr>
              <w:fldChar w:fldCharType="begin"/>
            </w:r>
            <w:r w:rsidR="00C55010">
              <w:rPr>
                <w:noProof/>
                <w:webHidden/>
              </w:rPr>
              <w:instrText xml:space="preserve"> PAGEREF _Toc157759486 \h </w:instrText>
            </w:r>
            <w:r w:rsidR="00C55010">
              <w:rPr>
                <w:noProof/>
                <w:webHidden/>
              </w:rPr>
            </w:r>
            <w:r w:rsidR="00C55010">
              <w:rPr>
                <w:noProof/>
                <w:webHidden/>
              </w:rPr>
              <w:fldChar w:fldCharType="separate"/>
            </w:r>
            <w:r w:rsidR="00C55010">
              <w:rPr>
                <w:noProof/>
                <w:webHidden/>
              </w:rPr>
              <w:t>24</w:t>
            </w:r>
            <w:r w:rsidR="00C55010">
              <w:rPr>
                <w:noProof/>
                <w:webHidden/>
              </w:rPr>
              <w:fldChar w:fldCharType="end"/>
            </w:r>
          </w:hyperlink>
        </w:p>
        <w:p w14:paraId="4887AE0C" w14:textId="4000F1DB"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87" w:history="1">
            <w:r w:rsidR="00C55010" w:rsidRPr="007C6D83">
              <w:rPr>
                <w:rStyle w:val="Hyperlink"/>
                <w:noProof/>
              </w:rPr>
              <w:t>3.3</w:t>
            </w:r>
            <w:r w:rsidR="00C55010">
              <w:rPr>
                <w:rFonts w:asciiTheme="minorHAnsi" w:eastAsiaTheme="minorEastAsia" w:hAnsiTheme="minorHAnsi" w:cstheme="minorBidi"/>
                <w:noProof/>
                <w:sz w:val="22"/>
                <w:szCs w:val="22"/>
                <w:lang w:eastAsia="zh-CN"/>
              </w:rPr>
              <w:tab/>
            </w:r>
            <w:r w:rsidR="00C55010" w:rsidRPr="007C6D83">
              <w:rPr>
                <w:rStyle w:val="Hyperlink"/>
                <w:noProof/>
              </w:rPr>
              <w:t>Data Coding</w:t>
            </w:r>
            <w:r w:rsidR="00C55010">
              <w:rPr>
                <w:noProof/>
                <w:webHidden/>
              </w:rPr>
              <w:tab/>
            </w:r>
            <w:r w:rsidR="00C55010">
              <w:rPr>
                <w:noProof/>
                <w:webHidden/>
              </w:rPr>
              <w:fldChar w:fldCharType="begin"/>
            </w:r>
            <w:r w:rsidR="00C55010">
              <w:rPr>
                <w:noProof/>
                <w:webHidden/>
              </w:rPr>
              <w:instrText xml:space="preserve"> PAGEREF _Toc157759487 \h </w:instrText>
            </w:r>
            <w:r w:rsidR="00C55010">
              <w:rPr>
                <w:noProof/>
                <w:webHidden/>
              </w:rPr>
            </w:r>
            <w:r w:rsidR="00C55010">
              <w:rPr>
                <w:noProof/>
                <w:webHidden/>
              </w:rPr>
              <w:fldChar w:fldCharType="separate"/>
            </w:r>
            <w:r w:rsidR="00C55010">
              <w:rPr>
                <w:noProof/>
                <w:webHidden/>
              </w:rPr>
              <w:t>25</w:t>
            </w:r>
            <w:r w:rsidR="00C55010">
              <w:rPr>
                <w:noProof/>
                <w:webHidden/>
              </w:rPr>
              <w:fldChar w:fldCharType="end"/>
            </w:r>
          </w:hyperlink>
        </w:p>
        <w:p w14:paraId="182CD8C1" w14:textId="6E663132"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88" w:history="1">
            <w:r w:rsidR="00C55010" w:rsidRPr="007C6D83">
              <w:rPr>
                <w:rStyle w:val="Hyperlink"/>
                <w:noProof/>
              </w:rPr>
              <w:t>3.4</w:t>
            </w:r>
            <w:r w:rsidR="00C55010">
              <w:rPr>
                <w:rFonts w:asciiTheme="minorHAnsi" w:eastAsiaTheme="minorEastAsia" w:hAnsiTheme="minorHAnsi" w:cstheme="minorBidi"/>
                <w:noProof/>
                <w:sz w:val="22"/>
                <w:szCs w:val="22"/>
                <w:lang w:eastAsia="zh-CN"/>
              </w:rPr>
              <w:tab/>
            </w:r>
            <w:r w:rsidR="00C55010" w:rsidRPr="007C6D83">
              <w:rPr>
                <w:rStyle w:val="Hyperlink"/>
                <w:noProof/>
              </w:rPr>
              <w:t>Data Analysis</w:t>
            </w:r>
            <w:r w:rsidR="00C55010">
              <w:rPr>
                <w:noProof/>
                <w:webHidden/>
              </w:rPr>
              <w:tab/>
            </w:r>
            <w:r w:rsidR="00C55010">
              <w:rPr>
                <w:noProof/>
                <w:webHidden/>
              </w:rPr>
              <w:fldChar w:fldCharType="begin"/>
            </w:r>
            <w:r w:rsidR="00C55010">
              <w:rPr>
                <w:noProof/>
                <w:webHidden/>
              </w:rPr>
              <w:instrText xml:space="preserve"> PAGEREF _Toc157759488 \h </w:instrText>
            </w:r>
            <w:r w:rsidR="00C55010">
              <w:rPr>
                <w:noProof/>
                <w:webHidden/>
              </w:rPr>
            </w:r>
            <w:r w:rsidR="00C55010">
              <w:rPr>
                <w:noProof/>
                <w:webHidden/>
              </w:rPr>
              <w:fldChar w:fldCharType="separate"/>
            </w:r>
            <w:r w:rsidR="00C55010">
              <w:rPr>
                <w:noProof/>
                <w:webHidden/>
              </w:rPr>
              <w:t>28</w:t>
            </w:r>
            <w:r w:rsidR="00C55010">
              <w:rPr>
                <w:noProof/>
                <w:webHidden/>
              </w:rPr>
              <w:fldChar w:fldCharType="end"/>
            </w:r>
          </w:hyperlink>
        </w:p>
        <w:p w14:paraId="0B842827" w14:textId="130E9606"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89" w:history="1">
            <w:r w:rsidR="00C55010" w:rsidRPr="007C6D83">
              <w:rPr>
                <w:rStyle w:val="Hyperlink"/>
                <w:iCs/>
                <w:noProof/>
              </w:rPr>
              <w:t>4</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Results</w:t>
            </w:r>
            <w:r w:rsidR="00C55010">
              <w:rPr>
                <w:noProof/>
                <w:webHidden/>
              </w:rPr>
              <w:tab/>
            </w:r>
            <w:r w:rsidR="00C55010">
              <w:rPr>
                <w:noProof/>
                <w:webHidden/>
              </w:rPr>
              <w:fldChar w:fldCharType="begin"/>
            </w:r>
            <w:r w:rsidR="00C55010">
              <w:rPr>
                <w:noProof/>
                <w:webHidden/>
              </w:rPr>
              <w:instrText xml:space="preserve"> PAGEREF _Toc157759489 \h </w:instrText>
            </w:r>
            <w:r w:rsidR="00C55010">
              <w:rPr>
                <w:noProof/>
                <w:webHidden/>
              </w:rPr>
            </w:r>
            <w:r w:rsidR="00C55010">
              <w:rPr>
                <w:noProof/>
                <w:webHidden/>
              </w:rPr>
              <w:fldChar w:fldCharType="separate"/>
            </w:r>
            <w:r w:rsidR="00C55010">
              <w:rPr>
                <w:noProof/>
                <w:webHidden/>
              </w:rPr>
              <w:t>29</w:t>
            </w:r>
            <w:r w:rsidR="00C55010">
              <w:rPr>
                <w:noProof/>
                <w:webHidden/>
              </w:rPr>
              <w:fldChar w:fldCharType="end"/>
            </w:r>
          </w:hyperlink>
        </w:p>
        <w:p w14:paraId="680510F2" w14:textId="704E7BA7"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90" w:history="1">
            <w:r w:rsidR="00C55010" w:rsidRPr="007C6D83">
              <w:rPr>
                <w:rStyle w:val="Hyperlink"/>
                <w:noProof/>
              </w:rPr>
              <w:t>4.1</w:t>
            </w:r>
            <w:r w:rsidR="00C55010">
              <w:rPr>
                <w:rFonts w:asciiTheme="minorHAnsi" w:eastAsiaTheme="minorEastAsia" w:hAnsiTheme="minorHAnsi" w:cstheme="minorBidi"/>
                <w:noProof/>
                <w:sz w:val="22"/>
                <w:szCs w:val="22"/>
                <w:lang w:eastAsia="zh-CN"/>
              </w:rPr>
              <w:tab/>
            </w:r>
            <w:r w:rsidR="00C55010" w:rsidRPr="007C6D83">
              <w:rPr>
                <w:rStyle w:val="Hyperlink"/>
                <w:noProof/>
              </w:rPr>
              <w:t>CE Practices: implementation and measurement</w:t>
            </w:r>
            <w:r w:rsidR="00C55010">
              <w:rPr>
                <w:noProof/>
                <w:webHidden/>
              </w:rPr>
              <w:tab/>
            </w:r>
            <w:r w:rsidR="00C55010">
              <w:rPr>
                <w:noProof/>
                <w:webHidden/>
              </w:rPr>
              <w:fldChar w:fldCharType="begin"/>
            </w:r>
            <w:r w:rsidR="00C55010">
              <w:rPr>
                <w:noProof/>
                <w:webHidden/>
              </w:rPr>
              <w:instrText xml:space="preserve"> PAGEREF _Toc157759490 \h </w:instrText>
            </w:r>
            <w:r w:rsidR="00C55010">
              <w:rPr>
                <w:noProof/>
                <w:webHidden/>
              </w:rPr>
            </w:r>
            <w:r w:rsidR="00C55010">
              <w:rPr>
                <w:noProof/>
                <w:webHidden/>
              </w:rPr>
              <w:fldChar w:fldCharType="separate"/>
            </w:r>
            <w:r w:rsidR="00C55010">
              <w:rPr>
                <w:noProof/>
                <w:webHidden/>
              </w:rPr>
              <w:t>31</w:t>
            </w:r>
            <w:r w:rsidR="00C55010">
              <w:rPr>
                <w:noProof/>
                <w:webHidden/>
              </w:rPr>
              <w:fldChar w:fldCharType="end"/>
            </w:r>
          </w:hyperlink>
        </w:p>
        <w:p w14:paraId="2567F745" w14:textId="01EFFBE7"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91" w:history="1">
            <w:r w:rsidR="00C55010" w:rsidRPr="007C6D83">
              <w:rPr>
                <w:rStyle w:val="Hyperlink"/>
                <w:noProof/>
              </w:rPr>
              <w:t>4.2</w:t>
            </w:r>
            <w:r w:rsidR="00C55010">
              <w:rPr>
                <w:rFonts w:asciiTheme="minorHAnsi" w:eastAsiaTheme="minorEastAsia" w:hAnsiTheme="minorHAnsi" w:cstheme="minorBidi"/>
                <w:noProof/>
                <w:sz w:val="22"/>
                <w:szCs w:val="22"/>
                <w:lang w:eastAsia="zh-CN"/>
              </w:rPr>
              <w:tab/>
            </w:r>
            <w:r w:rsidR="00C55010" w:rsidRPr="007C6D83">
              <w:rPr>
                <w:rStyle w:val="Hyperlink"/>
                <w:noProof/>
              </w:rPr>
              <w:t>A classification of CE Practices Adoption</w:t>
            </w:r>
            <w:r w:rsidR="00C55010">
              <w:rPr>
                <w:noProof/>
                <w:webHidden/>
              </w:rPr>
              <w:tab/>
            </w:r>
            <w:r w:rsidR="00C55010">
              <w:rPr>
                <w:noProof/>
                <w:webHidden/>
              </w:rPr>
              <w:fldChar w:fldCharType="begin"/>
            </w:r>
            <w:r w:rsidR="00C55010">
              <w:rPr>
                <w:noProof/>
                <w:webHidden/>
              </w:rPr>
              <w:instrText xml:space="preserve"> PAGEREF _Toc157759491 \h </w:instrText>
            </w:r>
            <w:r w:rsidR="00C55010">
              <w:rPr>
                <w:noProof/>
                <w:webHidden/>
              </w:rPr>
            </w:r>
            <w:r w:rsidR="00C55010">
              <w:rPr>
                <w:noProof/>
                <w:webHidden/>
              </w:rPr>
              <w:fldChar w:fldCharType="separate"/>
            </w:r>
            <w:r w:rsidR="00C55010">
              <w:rPr>
                <w:noProof/>
                <w:webHidden/>
              </w:rPr>
              <w:t>34</w:t>
            </w:r>
            <w:r w:rsidR="00C55010">
              <w:rPr>
                <w:noProof/>
                <w:webHidden/>
              </w:rPr>
              <w:fldChar w:fldCharType="end"/>
            </w:r>
          </w:hyperlink>
        </w:p>
        <w:p w14:paraId="2085E65D" w14:textId="30328FB8"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92" w:history="1">
            <w:r w:rsidR="00C55010" w:rsidRPr="007C6D83">
              <w:rPr>
                <w:rStyle w:val="Hyperlink"/>
                <w:noProof/>
              </w:rPr>
              <w:t>4.3</w:t>
            </w:r>
            <w:r w:rsidR="00C55010">
              <w:rPr>
                <w:rFonts w:asciiTheme="minorHAnsi" w:eastAsiaTheme="minorEastAsia" w:hAnsiTheme="minorHAnsi" w:cstheme="minorBidi"/>
                <w:noProof/>
                <w:sz w:val="22"/>
                <w:szCs w:val="22"/>
                <w:lang w:eastAsia="zh-CN"/>
              </w:rPr>
              <w:tab/>
            </w:r>
            <w:r w:rsidR="00C55010" w:rsidRPr="007C6D83">
              <w:rPr>
                <w:rStyle w:val="Hyperlink"/>
                <w:noProof/>
              </w:rPr>
              <w:t>Drivers of CE practices implementation</w:t>
            </w:r>
            <w:r w:rsidR="00C55010">
              <w:rPr>
                <w:noProof/>
                <w:webHidden/>
              </w:rPr>
              <w:tab/>
            </w:r>
            <w:r w:rsidR="00C55010">
              <w:rPr>
                <w:noProof/>
                <w:webHidden/>
              </w:rPr>
              <w:fldChar w:fldCharType="begin"/>
            </w:r>
            <w:r w:rsidR="00C55010">
              <w:rPr>
                <w:noProof/>
                <w:webHidden/>
              </w:rPr>
              <w:instrText xml:space="preserve"> PAGEREF _Toc157759492 \h </w:instrText>
            </w:r>
            <w:r w:rsidR="00C55010">
              <w:rPr>
                <w:noProof/>
                <w:webHidden/>
              </w:rPr>
            </w:r>
            <w:r w:rsidR="00C55010">
              <w:rPr>
                <w:noProof/>
                <w:webHidden/>
              </w:rPr>
              <w:fldChar w:fldCharType="separate"/>
            </w:r>
            <w:r w:rsidR="00C55010">
              <w:rPr>
                <w:noProof/>
                <w:webHidden/>
              </w:rPr>
              <w:t>36</w:t>
            </w:r>
            <w:r w:rsidR="00C55010">
              <w:rPr>
                <w:noProof/>
                <w:webHidden/>
              </w:rPr>
              <w:fldChar w:fldCharType="end"/>
            </w:r>
          </w:hyperlink>
        </w:p>
        <w:p w14:paraId="4BE33E86" w14:textId="6F913A09"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93" w:history="1">
            <w:r w:rsidR="00C55010" w:rsidRPr="007C6D83">
              <w:rPr>
                <w:rStyle w:val="Hyperlink"/>
                <w:noProof/>
              </w:rPr>
              <w:t>4.4</w:t>
            </w:r>
            <w:r w:rsidR="00C55010">
              <w:rPr>
                <w:rFonts w:asciiTheme="minorHAnsi" w:eastAsiaTheme="minorEastAsia" w:hAnsiTheme="minorHAnsi" w:cstheme="minorBidi"/>
                <w:noProof/>
                <w:sz w:val="22"/>
                <w:szCs w:val="22"/>
                <w:lang w:eastAsia="zh-CN"/>
              </w:rPr>
              <w:tab/>
            </w:r>
            <w:r w:rsidR="00C55010" w:rsidRPr="007C6D83">
              <w:rPr>
                <w:rStyle w:val="Hyperlink"/>
                <w:noProof/>
              </w:rPr>
              <w:t>Supply Chain Integration, a possible enabler of CE</w:t>
            </w:r>
            <w:r w:rsidR="00C55010">
              <w:rPr>
                <w:noProof/>
                <w:webHidden/>
              </w:rPr>
              <w:tab/>
            </w:r>
            <w:r w:rsidR="00C55010">
              <w:rPr>
                <w:noProof/>
                <w:webHidden/>
              </w:rPr>
              <w:fldChar w:fldCharType="begin"/>
            </w:r>
            <w:r w:rsidR="00C55010">
              <w:rPr>
                <w:noProof/>
                <w:webHidden/>
              </w:rPr>
              <w:instrText xml:space="preserve"> PAGEREF _Toc157759493 \h </w:instrText>
            </w:r>
            <w:r w:rsidR="00C55010">
              <w:rPr>
                <w:noProof/>
                <w:webHidden/>
              </w:rPr>
            </w:r>
            <w:r w:rsidR="00C55010">
              <w:rPr>
                <w:noProof/>
                <w:webHidden/>
              </w:rPr>
              <w:fldChar w:fldCharType="separate"/>
            </w:r>
            <w:r w:rsidR="00C55010">
              <w:rPr>
                <w:noProof/>
                <w:webHidden/>
              </w:rPr>
              <w:t>39</w:t>
            </w:r>
            <w:r w:rsidR="00C55010">
              <w:rPr>
                <w:noProof/>
                <w:webHidden/>
              </w:rPr>
              <w:fldChar w:fldCharType="end"/>
            </w:r>
          </w:hyperlink>
        </w:p>
        <w:p w14:paraId="67E2721E" w14:textId="32138529"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94" w:history="1">
            <w:r w:rsidR="00C55010" w:rsidRPr="007C6D83">
              <w:rPr>
                <w:rStyle w:val="Hyperlink"/>
                <w:iCs/>
                <w:noProof/>
              </w:rPr>
              <w:t>5</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Implications</w:t>
            </w:r>
            <w:r w:rsidR="00C55010">
              <w:rPr>
                <w:noProof/>
                <w:webHidden/>
              </w:rPr>
              <w:tab/>
            </w:r>
            <w:r w:rsidR="00C55010">
              <w:rPr>
                <w:noProof/>
                <w:webHidden/>
              </w:rPr>
              <w:fldChar w:fldCharType="begin"/>
            </w:r>
            <w:r w:rsidR="00C55010">
              <w:rPr>
                <w:noProof/>
                <w:webHidden/>
              </w:rPr>
              <w:instrText xml:space="preserve"> PAGEREF _Toc157759494 \h </w:instrText>
            </w:r>
            <w:r w:rsidR="00C55010">
              <w:rPr>
                <w:noProof/>
                <w:webHidden/>
              </w:rPr>
            </w:r>
            <w:r w:rsidR="00C55010">
              <w:rPr>
                <w:noProof/>
                <w:webHidden/>
              </w:rPr>
              <w:fldChar w:fldCharType="separate"/>
            </w:r>
            <w:r w:rsidR="00C55010">
              <w:rPr>
                <w:noProof/>
                <w:webHidden/>
              </w:rPr>
              <w:t>40</w:t>
            </w:r>
            <w:r w:rsidR="00C55010">
              <w:rPr>
                <w:noProof/>
                <w:webHidden/>
              </w:rPr>
              <w:fldChar w:fldCharType="end"/>
            </w:r>
          </w:hyperlink>
        </w:p>
        <w:p w14:paraId="7540E820" w14:textId="33FABCAD"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95" w:history="1">
            <w:r w:rsidR="00C55010" w:rsidRPr="007C6D83">
              <w:rPr>
                <w:rStyle w:val="Hyperlink"/>
                <w:noProof/>
              </w:rPr>
              <w:t>5.1</w:t>
            </w:r>
            <w:r w:rsidR="00C55010">
              <w:rPr>
                <w:rFonts w:asciiTheme="minorHAnsi" w:eastAsiaTheme="minorEastAsia" w:hAnsiTheme="minorHAnsi" w:cstheme="minorBidi"/>
                <w:noProof/>
                <w:sz w:val="22"/>
                <w:szCs w:val="22"/>
                <w:lang w:eastAsia="zh-CN"/>
              </w:rPr>
              <w:tab/>
            </w:r>
            <w:r w:rsidR="00C55010" w:rsidRPr="007C6D83">
              <w:rPr>
                <w:rStyle w:val="Hyperlink"/>
                <w:noProof/>
              </w:rPr>
              <w:t>CE state of the practice – paradigm shift or Greenwashing?</w:t>
            </w:r>
            <w:r w:rsidR="00C55010">
              <w:rPr>
                <w:noProof/>
                <w:webHidden/>
              </w:rPr>
              <w:tab/>
            </w:r>
            <w:r w:rsidR="00C55010">
              <w:rPr>
                <w:noProof/>
                <w:webHidden/>
              </w:rPr>
              <w:fldChar w:fldCharType="begin"/>
            </w:r>
            <w:r w:rsidR="00C55010">
              <w:rPr>
                <w:noProof/>
                <w:webHidden/>
              </w:rPr>
              <w:instrText xml:space="preserve"> PAGEREF _Toc157759495 \h </w:instrText>
            </w:r>
            <w:r w:rsidR="00C55010">
              <w:rPr>
                <w:noProof/>
                <w:webHidden/>
              </w:rPr>
            </w:r>
            <w:r w:rsidR="00C55010">
              <w:rPr>
                <w:noProof/>
                <w:webHidden/>
              </w:rPr>
              <w:fldChar w:fldCharType="separate"/>
            </w:r>
            <w:r w:rsidR="00C55010">
              <w:rPr>
                <w:noProof/>
                <w:webHidden/>
              </w:rPr>
              <w:t>41</w:t>
            </w:r>
            <w:r w:rsidR="00C55010">
              <w:rPr>
                <w:noProof/>
                <w:webHidden/>
              </w:rPr>
              <w:fldChar w:fldCharType="end"/>
            </w:r>
          </w:hyperlink>
        </w:p>
        <w:p w14:paraId="5615FDCC" w14:textId="10EBB5A4"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96" w:history="1">
            <w:r w:rsidR="00C55010" w:rsidRPr="007C6D83">
              <w:rPr>
                <w:rStyle w:val="Hyperlink"/>
                <w:noProof/>
              </w:rPr>
              <w:t>5.2</w:t>
            </w:r>
            <w:r w:rsidR="00C55010">
              <w:rPr>
                <w:rFonts w:asciiTheme="minorHAnsi" w:eastAsiaTheme="minorEastAsia" w:hAnsiTheme="minorHAnsi" w:cstheme="minorBidi"/>
                <w:noProof/>
                <w:sz w:val="22"/>
                <w:szCs w:val="22"/>
                <w:lang w:eastAsia="zh-CN"/>
              </w:rPr>
              <w:tab/>
            </w:r>
            <w:r w:rsidR="00C55010" w:rsidRPr="007C6D83">
              <w:rPr>
                <w:rStyle w:val="Hyperlink"/>
                <w:noProof/>
              </w:rPr>
              <w:t>Institutional pressures, SCI and CE practices adoption: a suggested conceptual framework</w:t>
            </w:r>
            <w:r w:rsidR="00C55010">
              <w:rPr>
                <w:noProof/>
                <w:webHidden/>
              </w:rPr>
              <w:tab/>
            </w:r>
            <w:r w:rsidR="00C55010">
              <w:rPr>
                <w:noProof/>
                <w:webHidden/>
              </w:rPr>
              <w:fldChar w:fldCharType="begin"/>
            </w:r>
            <w:r w:rsidR="00C55010">
              <w:rPr>
                <w:noProof/>
                <w:webHidden/>
              </w:rPr>
              <w:instrText xml:space="preserve"> PAGEREF _Toc157759496 \h </w:instrText>
            </w:r>
            <w:r w:rsidR="00C55010">
              <w:rPr>
                <w:noProof/>
                <w:webHidden/>
              </w:rPr>
            </w:r>
            <w:r w:rsidR="00C55010">
              <w:rPr>
                <w:noProof/>
                <w:webHidden/>
              </w:rPr>
              <w:fldChar w:fldCharType="separate"/>
            </w:r>
            <w:r w:rsidR="00C55010">
              <w:rPr>
                <w:noProof/>
                <w:webHidden/>
              </w:rPr>
              <w:t>43</w:t>
            </w:r>
            <w:r w:rsidR="00C55010">
              <w:rPr>
                <w:noProof/>
                <w:webHidden/>
              </w:rPr>
              <w:fldChar w:fldCharType="end"/>
            </w:r>
          </w:hyperlink>
        </w:p>
        <w:p w14:paraId="24B663C9" w14:textId="34D92EA1"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497" w:history="1">
            <w:r w:rsidR="00C55010" w:rsidRPr="007C6D83">
              <w:rPr>
                <w:rStyle w:val="Hyperlink"/>
                <w:noProof/>
              </w:rPr>
              <w:t>5.3</w:t>
            </w:r>
            <w:r w:rsidR="00C55010">
              <w:rPr>
                <w:rFonts w:asciiTheme="minorHAnsi" w:eastAsiaTheme="minorEastAsia" w:hAnsiTheme="minorHAnsi" w:cstheme="minorBidi"/>
                <w:noProof/>
                <w:sz w:val="22"/>
                <w:szCs w:val="22"/>
                <w:lang w:eastAsia="zh-CN"/>
              </w:rPr>
              <w:tab/>
            </w:r>
            <w:r w:rsidR="00C55010" w:rsidRPr="007C6D83">
              <w:rPr>
                <w:rStyle w:val="Hyperlink"/>
                <w:noProof/>
              </w:rPr>
              <w:t>Limitations</w:t>
            </w:r>
            <w:r w:rsidR="00C55010">
              <w:rPr>
                <w:noProof/>
                <w:webHidden/>
              </w:rPr>
              <w:tab/>
            </w:r>
            <w:r w:rsidR="00C55010">
              <w:rPr>
                <w:noProof/>
                <w:webHidden/>
              </w:rPr>
              <w:fldChar w:fldCharType="begin"/>
            </w:r>
            <w:r w:rsidR="00C55010">
              <w:rPr>
                <w:noProof/>
                <w:webHidden/>
              </w:rPr>
              <w:instrText xml:space="preserve"> PAGEREF _Toc157759497 \h </w:instrText>
            </w:r>
            <w:r w:rsidR="00C55010">
              <w:rPr>
                <w:noProof/>
                <w:webHidden/>
              </w:rPr>
            </w:r>
            <w:r w:rsidR="00C55010">
              <w:rPr>
                <w:noProof/>
                <w:webHidden/>
              </w:rPr>
              <w:fldChar w:fldCharType="separate"/>
            </w:r>
            <w:r w:rsidR="00C55010">
              <w:rPr>
                <w:noProof/>
                <w:webHidden/>
              </w:rPr>
              <w:t>44</w:t>
            </w:r>
            <w:r w:rsidR="00C55010">
              <w:rPr>
                <w:noProof/>
                <w:webHidden/>
              </w:rPr>
              <w:fldChar w:fldCharType="end"/>
            </w:r>
          </w:hyperlink>
        </w:p>
        <w:p w14:paraId="041EE659" w14:textId="51A9DEEA"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498" w:history="1">
            <w:r w:rsidR="00C55010" w:rsidRPr="007C6D83">
              <w:rPr>
                <w:rStyle w:val="Hyperlink"/>
                <w:iCs/>
                <w:noProof/>
              </w:rPr>
              <w:t>6</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Conclusions</w:t>
            </w:r>
            <w:r w:rsidR="00C55010">
              <w:rPr>
                <w:noProof/>
                <w:webHidden/>
              </w:rPr>
              <w:tab/>
            </w:r>
            <w:r w:rsidR="00C55010">
              <w:rPr>
                <w:noProof/>
                <w:webHidden/>
              </w:rPr>
              <w:fldChar w:fldCharType="begin"/>
            </w:r>
            <w:r w:rsidR="00C55010">
              <w:rPr>
                <w:noProof/>
                <w:webHidden/>
              </w:rPr>
              <w:instrText xml:space="preserve"> PAGEREF _Toc157759498 \h </w:instrText>
            </w:r>
            <w:r w:rsidR="00C55010">
              <w:rPr>
                <w:noProof/>
                <w:webHidden/>
              </w:rPr>
            </w:r>
            <w:r w:rsidR="00C55010">
              <w:rPr>
                <w:noProof/>
                <w:webHidden/>
              </w:rPr>
              <w:fldChar w:fldCharType="separate"/>
            </w:r>
            <w:r w:rsidR="00C55010">
              <w:rPr>
                <w:noProof/>
                <w:webHidden/>
              </w:rPr>
              <w:t>44</w:t>
            </w:r>
            <w:r w:rsidR="00C55010">
              <w:rPr>
                <w:noProof/>
                <w:webHidden/>
              </w:rPr>
              <w:fldChar w:fldCharType="end"/>
            </w:r>
          </w:hyperlink>
        </w:p>
        <w:p w14:paraId="30778D05" w14:textId="74023039"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499" w:history="1">
            <w:r w:rsidR="00C55010" w:rsidRPr="007C6D83">
              <w:rPr>
                <w:rStyle w:val="Hyperlink"/>
                <w:noProof/>
                <w:lang w:val="it-IT"/>
              </w:rPr>
              <w:t>References</w:t>
            </w:r>
            <w:r w:rsidR="00C55010">
              <w:rPr>
                <w:noProof/>
                <w:webHidden/>
              </w:rPr>
              <w:tab/>
            </w:r>
            <w:r w:rsidR="00C55010">
              <w:rPr>
                <w:noProof/>
                <w:webHidden/>
              </w:rPr>
              <w:fldChar w:fldCharType="begin"/>
            </w:r>
            <w:r w:rsidR="00C55010">
              <w:rPr>
                <w:noProof/>
                <w:webHidden/>
              </w:rPr>
              <w:instrText xml:space="preserve"> PAGEREF _Toc157759499 \h </w:instrText>
            </w:r>
            <w:r w:rsidR="00C55010">
              <w:rPr>
                <w:noProof/>
                <w:webHidden/>
              </w:rPr>
            </w:r>
            <w:r w:rsidR="00C55010">
              <w:rPr>
                <w:noProof/>
                <w:webHidden/>
              </w:rPr>
              <w:fldChar w:fldCharType="separate"/>
            </w:r>
            <w:r w:rsidR="00C55010">
              <w:rPr>
                <w:noProof/>
                <w:webHidden/>
              </w:rPr>
              <w:t>46</w:t>
            </w:r>
            <w:r w:rsidR="00C55010">
              <w:rPr>
                <w:noProof/>
                <w:webHidden/>
              </w:rPr>
              <w:fldChar w:fldCharType="end"/>
            </w:r>
          </w:hyperlink>
        </w:p>
        <w:p w14:paraId="7569C47E" w14:textId="607DD21E"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00" w:history="1">
            <w:r w:rsidR="00C55010" w:rsidRPr="007C6D83">
              <w:rPr>
                <w:rStyle w:val="Hyperlink"/>
                <w:noProof/>
              </w:rPr>
              <w:t>Appendix 2A</w:t>
            </w:r>
            <w:r w:rsidR="00C55010">
              <w:rPr>
                <w:noProof/>
                <w:webHidden/>
              </w:rPr>
              <w:tab/>
            </w:r>
            <w:r w:rsidR="00C55010">
              <w:rPr>
                <w:noProof/>
                <w:webHidden/>
              </w:rPr>
              <w:fldChar w:fldCharType="begin"/>
            </w:r>
            <w:r w:rsidR="00C55010">
              <w:rPr>
                <w:noProof/>
                <w:webHidden/>
              </w:rPr>
              <w:instrText xml:space="preserve"> PAGEREF _Toc157759500 \h </w:instrText>
            </w:r>
            <w:r w:rsidR="00C55010">
              <w:rPr>
                <w:noProof/>
                <w:webHidden/>
              </w:rPr>
            </w:r>
            <w:r w:rsidR="00C55010">
              <w:rPr>
                <w:noProof/>
                <w:webHidden/>
              </w:rPr>
              <w:fldChar w:fldCharType="separate"/>
            </w:r>
            <w:r w:rsidR="00C55010">
              <w:rPr>
                <w:noProof/>
                <w:webHidden/>
              </w:rPr>
              <w:t>54</w:t>
            </w:r>
            <w:r w:rsidR="00C55010">
              <w:rPr>
                <w:noProof/>
                <w:webHidden/>
              </w:rPr>
              <w:fldChar w:fldCharType="end"/>
            </w:r>
          </w:hyperlink>
        </w:p>
        <w:p w14:paraId="75A40125" w14:textId="021CA46C"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01" w:history="1">
            <w:r w:rsidR="00C55010" w:rsidRPr="007C6D83">
              <w:rPr>
                <w:rStyle w:val="Hyperlink"/>
                <w:noProof/>
              </w:rPr>
              <w:t>Appendix 2B</w:t>
            </w:r>
            <w:r w:rsidR="00C55010">
              <w:rPr>
                <w:noProof/>
                <w:webHidden/>
              </w:rPr>
              <w:tab/>
            </w:r>
            <w:r w:rsidR="00C55010">
              <w:rPr>
                <w:noProof/>
                <w:webHidden/>
              </w:rPr>
              <w:fldChar w:fldCharType="begin"/>
            </w:r>
            <w:r w:rsidR="00C55010">
              <w:rPr>
                <w:noProof/>
                <w:webHidden/>
              </w:rPr>
              <w:instrText xml:space="preserve"> PAGEREF _Toc157759501 \h </w:instrText>
            </w:r>
            <w:r w:rsidR="00C55010">
              <w:rPr>
                <w:noProof/>
                <w:webHidden/>
              </w:rPr>
            </w:r>
            <w:r w:rsidR="00C55010">
              <w:rPr>
                <w:noProof/>
                <w:webHidden/>
              </w:rPr>
              <w:fldChar w:fldCharType="separate"/>
            </w:r>
            <w:r w:rsidR="00C55010">
              <w:rPr>
                <w:noProof/>
                <w:webHidden/>
              </w:rPr>
              <w:t>56</w:t>
            </w:r>
            <w:r w:rsidR="00C55010">
              <w:rPr>
                <w:noProof/>
                <w:webHidden/>
              </w:rPr>
              <w:fldChar w:fldCharType="end"/>
            </w:r>
          </w:hyperlink>
        </w:p>
        <w:p w14:paraId="2FCCCD85" w14:textId="4C13C4F8"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02" w:history="1">
            <w:r w:rsidR="00C55010" w:rsidRPr="007C6D83">
              <w:rPr>
                <w:rStyle w:val="Hyperlink"/>
                <w:noProof/>
              </w:rPr>
              <w:t>Appendix 2C</w:t>
            </w:r>
            <w:r w:rsidR="00C55010">
              <w:rPr>
                <w:noProof/>
                <w:webHidden/>
              </w:rPr>
              <w:tab/>
            </w:r>
            <w:r w:rsidR="00C55010">
              <w:rPr>
                <w:noProof/>
                <w:webHidden/>
              </w:rPr>
              <w:fldChar w:fldCharType="begin"/>
            </w:r>
            <w:r w:rsidR="00C55010">
              <w:rPr>
                <w:noProof/>
                <w:webHidden/>
              </w:rPr>
              <w:instrText xml:space="preserve"> PAGEREF _Toc157759502 \h </w:instrText>
            </w:r>
            <w:r w:rsidR="00C55010">
              <w:rPr>
                <w:noProof/>
                <w:webHidden/>
              </w:rPr>
            </w:r>
            <w:r w:rsidR="00C55010">
              <w:rPr>
                <w:noProof/>
                <w:webHidden/>
              </w:rPr>
              <w:fldChar w:fldCharType="separate"/>
            </w:r>
            <w:r w:rsidR="00C55010">
              <w:rPr>
                <w:noProof/>
                <w:webHidden/>
              </w:rPr>
              <w:t>63</w:t>
            </w:r>
            <w:r w:rsidR="00C55010">
              <w:rPr>
                <w:noProof/>
                <w:webHidden/>
              </w:rPr>
              <w:fldChar w:fldCharType="end"/>
            </w:r>
          </w:hyperlink>
        </w:p>
        <w:p w14:paraId="5EF54281" w14:textId="5E5CB4B1" w:rsidR="00C55010" w:rsidRDefault="00C80BFD">
          <w:pPr>
            <w:pStyle w:val="TOC1"/>
            <w:tabs>
              <w:tab w:val="left" w:pos="1760"/>
            </w:tabs>
            <w:rPr>
              <w:rFonts w:asciiTheme="minorHAnsi" w:eastAsiaTheme="minorEastAsia" w:hAnsiTheme="minorHAnsi" w:cstheme="minorBidi"/>
              <w:b w:val="0"/>
              <w:bCs w:val="0"/>
              <w:i w:val="0"/>
              <w:iCs w:val="0"/>
              <w:noProof/>
              <w:sz w:val="22"/>
              <w:szCs w:val="22"/>
              <w:lang w:eastAsia="zh-CN"/>
            </w:rPr>
          </w:pPr>
          <w:hyperlink w:anchor="_Toc157759503" w:history="1">
            <w:r w:rsidR="00C55010" w:rsidRPr="007C6D83">
              <w:rPr>
                <w:rStyle w:val="Hyperlink"/>
                <w:noProof/>
              </w:rPr>
              <w:t>CHAPTER 3</w:t>
            </w:r>
            <w:r w:rsidR="00C55010">
              <w:rPr>
                <w:rFonts w:asciiTheme="minorHAnsi" w:eastAsiaTheme="minorEastAsia" w:hAnsiTheme="minorHAnsi" w:cstheme="minorBidi"/>
                <w:b w:val="0"/>
                <w:bCs w:val="0"/>
                <w:i w:val="0"/>
                <w:iCs w:val="0"/>
                <w:noProof/>
                <w:sz w:val="22"/>
                <w:szCs w:val="22"/>
                <w:lang w:eastAsia="zh-CN"/>
              </w:rPr>
              <w:tab/>
            </w:r>
            <w:r w:rsidR="00C55010" w:rsidRPr="007C6D83">
              <w:rPr>
                <w:rStyle w:val="Hyperlink"/>
                <w:noProof/>
              </w:rPr>
              <w:t>Review of the literature and formulation of the research hypotheses</w:t>
            </w:r>
            <w:r w:rsidR="00C55010">
              <w:rPr>
                <w:noProof/>
                <w:webHidden/>
              </w:rPr>
              <w:tab/>
            </w:r>
            <w:r w:rsidR="00C55010">
              <w:rPr>
                <w:noProof/>
                <w:webHidden/>
              </w:rPr>
              <w:fldChar w:fldCharType="begin"/>
            </w:r>
            <w:r w:rsidR="00C55010">
              <w:rPr>
                <w:noProof/>
                <w:webHidden/>
              </w:rPr>
              <w:instrText xml:space="preserve"> PAGEREF _Toc157759503 \h </w:instrText>
            </w:r>
            <w:r w:rsidR="00C55010">
              <w:rPr>
                <w:noProof/>
                <w:webHidden/>
              </w:rPr>
            </w:r>
            <w:r w:rsidR="00C55010">
              <w:rPr>
                <w:noProof/>
                <w:webHidden/>
              </w:rPr>
              <w:fldChar w:fldCharType="separate"/>
            </w:r>
            <w:r w:rsidR="00C55010">
              <w:rPr>
                <w:noProof/>
                <w:webHidden/>
              </w:rPr>
              <w:t>65</w:t>
            </w:r>
            <w:r w:rsidR="00C55010">
              <w:rPr>
                <w:noProof/>
                <w:webHidden/>
              </w:rPr>
              <w:fldChar w:fldCharType="end"/>
            </w:r>
          </w:hyperlink>
        </w:p>
        <w:p w14:paraId="02052AE1" w14:textId="44CAB43E"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04" w:history="1">
            <w:r w:rsidR="00C55010" w:rsidRPr="007C6D83">
              <w:rPr>
                <w:rStyle w:val="Hyperlink"/>
                <w:iCs/>
                <w:noProof/>
              </w:rPr>
              <w:t>1</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Circular supply chains and production systems: an overview</w:t>
            </w:r>
            <w:r w:rsidR="00C55010">
              <w:rPr>
                <w:noProof/>
                <w:webHidden/>
              </w:rPr>
              <w:tab/>
            </w:r>
            <w:r w:rsidR="00C55010">
              <w:rPr>
                <w:noProof/>
                <w:webHidden/>
              </w:rPr>
              <w:fldChar w:fldCharType="begin"/>
            </w:r>
            <w:r w:rsidR="00C55010">
              <w:rPr>
                <w:noProof/>
                <w:webHidden/>
              </w:rPr>
              <w:instrText xml:space="preserve"> PAGEREF _Toc157759504 \h </w:instrText>
            </w:r>
            <w:r w:rsidR="00C55010">
              <w:rPr>
                <w:noProof/>
                <w:webHidden/>
              </w:rPr>
            </w:r>
            <w:r w:rsidR="00C55010">
              <w:rPr>
                <w:noProof/>
                <w:webHidden/>
              </w:rPr>
              <w:fldChar w:fldCharType="separate"/>
            </w:r>
            <w:r w:rsidR="00C55010">
              <w:rPr>
                <w:noProof/>
                <w:webHidden/>
              </w:rPr>
              <w:t>65</w:t>
            </w:r>
            <w:r w:rsidR="00C55010">
              <w:rPr>
                <w:noProof/>
                <w:webHidden/>
              </w:rPr>
              <w:fldChar w:fldCharType="end"/>
            </w:r>
          </w:hyperlink>
        </w:p>
        <w:p w14:paraId="1B4AAF51" w14:textId="673DF0B6"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05" w:history="1">
            <w:r w:rsidR="00C55010" w:rsidRPr="007C6D83">
              <w:rPr>
                <w:rStyle w:val="Hyperlink"/>
                <w:noProof/>
              </w:rPr>
              <w:t>1.1</w:t>
            </w:r>
            <w:r w:rsidR="00C55010">
              <w:rPr>
                <w:rFonts w:asciiTheme="minorHAnsi" w:eastAsiaTheme="minorEastAsia" w:hAnsiTheme="minorHAnsi" w:cstheme="minorBidi"/>
                <w:noProof/>
                <w:sz w:val="22"/>
                <w:szCs w:val="22"/>
                <w:lang w:eastAsia="zh-CN"/>
              </w:rPr>
              <w:tab/>
            </w:r>
            <w:r w:rsidR="00C55010" w:rsidRPr="007C6D83">
              <w:rPr>
                <w:rStyle w:val="Hyperlink"/>
                <w:noProof/>
              </w:rPr>
              <w:t>The origins of the CE discourse in supply chains</w:t>
            </w:r>
            <w:r w:rsidR="00C55010">
              <w:rPr>
                <w:noProof/>
                <w:webHidden/>
              </w:rPr>
              <w:tab/>
            </w:r>
            <w:r w:rsidR="00C55010">
              <w:rPr>
                <w:noProof/>
                <w:webHidden/>
              </w:rPr>
              <w:fldChar w:fldCharType="begin"/>
            </w:r>
            <w:r w:rsidR="00C55010">
              <w:rPr>
                <w:noProof/>
                <w:webHidden/>
              </w:rPr>
              <w:instrText xml:space="preserve"> PAGEREF _Toc157759505 \h </w:instrText>
            </w:r>
            <w:r w:rsidR="00C55010">
              <w:rPr>
                <w:noProof/>
                <w:webHidden/>
              </w:rPr>
            </w:r>
            <w:r w:rsidR="00C55010">
              <w:rPr>
                <w:noProof/>
                <w:webHidden/>
              </w:rPr>
              <w:fldChar w:fldCharType="separate"/>
            </w:r>
            <w:r w:rsidR="00C55010">
              <w:rPr>
                <w:noProof/>
                <w:webHidden/>
              </w:rPr>
              <w:t>66</w:t>
            </w:r>
            <w:r w:rsidR="00C55010">
              <w:rPr>
                <w:noProof/>
                <w:webHidden/>
              </w:rPr>
              <w:fldChar w:fldCharType="end"/>
            </w:r>
          </w:hyperlink>
        </w:p>
        <w:p w14:paraId="1B346509" w14:textId="6D181582"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06" w:history="1">
            <w:r w:rsidR="00C55010" w:rsidRPr="007C6D83">
              <w:rPr>
                <w:rStyle w:val="Hyperlink"/>
                <w:noProof/>
              </w:rPr>
              <w:t>1.2</w:t>
            </w:r>
            <w:r w:rsidR="00C55010">
              <w:rPr>
                <w:rFonts w:asciiTheme="minorHAnsi" w:eastAsiaTheme="minorEastAsia" w:hAnsiTheme="minorHAnsi" w:cstheme="minorBidi"/>
                <w:noProof/>
                <w:sz w:val="22"/>
                <w:szCs w:val="22"/>
                <w:lang w:eastAsia="zh-CN"/>
              </w:rPr>
              <w:tab/>
            </w:r>
            <w:r w:rsidR="00C55010" w:rsidRPr="007C6D83">
              <w:rPr>
                <w:rStyle w:val="Hyperlink"/>
                <w:noProof/>
              </w:rPr>
              <w:t>Circular Supply Chains: Key definitions</w:t>
            </w:r>
            <w:r w:rsidR="00C55010">
              <w:rPr>
                <w:noProof/>
                <w:webHidden/>
              </w:rPr>
              <w:tab/>
            </w:r>
            <w:r w:rsidR="00C55010">
              <w:rPr>
                <w:noProof/>
                <w:webHidden/>
              </w:rPr>
              <w:fldChar w:fldCharType="begin"/>
            </w:r>
            <w:r w:rsidR="00C55010">
              <w:rPr>
                <w:noProof/>
                <w:webHidden/>
              </w:rPr>
              <w:instrText xml:space="preserve"> PAGEREF _Toc157759506 \h </w:instrText>
            </w:r>
            <w:r w:rsidR="00C55010">
              <w:rPr>
                <w:noProof/>
                <w:webHidden/>
              </w:rPr>
            </w:r>
            <w:r w:rsidR="00C55010">
              <w:rPr>
                <w:noProof/>
                <w:webHidden/>
              </w:rPr>
              <w:fldChar w:fldCharType="separate"/>
            </w:r>
            <w:r w:rsidR="00C55010">
              <w:rPr>
                <w:noProof/>
                <w:webHidden/>
              </w:rPr>
              <w:t>67</w:t>
            </w:r>
            <w:r w:rsidR="00C55010">
              <w:rPr>
                <w:noProof/>
                <w:webHidden/>
              </w:rPr>
              <w:fldChar w:fldCharType="end"/>
            </w:r>
          </w:hyperlink>
        </w:p>
        <w:p w14:paraId="4414D400" w14:textId="199D4EBB"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07" w:history="1">
            <w:r w:rsidR="00C55010" w:rsidRPr="007C6D83">
              <w:rPr>
                <w:rStyle w:val="Hyperlink"/>
                <w:noProof/>
              </w:rPr>
              <w:t>1.3</w:t>
            </w:r>
            <w:r w:rsidR="00C55010">
              <w:rPr>
                <w:rFonts w:asciiTheme="minorHAnsi" w:eastAsiaTheme="minorEastAsia" w:hAnsiTheme="minorHAnsi" w:cstheme="minorBidi"/>
                <w:noProof/>
                <w:sz w:val="22"/>
                <w:szCs w:val="22"/>
                <w:lang w:eastAsia="zh-CN"/>
              </w:rPr>
              <w:tab/>
            </w:r>
            <w:r w:rsidR="00C55010" w:rsidRPr="007C6D83">
              <w:rPr>
                <w:rStyle w:val="Hyperlink"/>
                <w:noProof/>
              </w:rPr>
              <w:t>The rationale of the literature review process</w:t>
            </w:r>
            <w:r w:rsidR="00C55010">
              <w:rPr>
                <w:noProof/>
                <w:webHidden/>
              </w:rPr>
              <w:tab/>
            </w:r>
            <w:r w:rsidR="00C55010">
              <w:rPr>
                <w:noProof/>
                <w:webHidden/>
              </w:rPr>
              <w:fldChar w:fldCharType="begin"/>
            </w:r>
            <w:r w:rsidR="00C55010">
              <w:rPr>
                <w:noProof/>
                <w:webHidden/>
              </w:rPr>
              <w:instrText xml:space="preserve"> PAGEREF _Toc157759507 \h </w:instrText>
            </w:r>
            <w:r w:rsidR="00C55010">
              <w:rPr>
                <w:noProof/>
                <w:webHidden/>
              </w:rPr>
            </w:r>
            <w:r w:rsidR="00C55010">
              <w:rPr>
                <w:noProof/>
                <w:webHidden/>
              </w:rPr>
              <w:fldChar w:fldCharType="separate"/>
            </w:r>
            <w:r w:rsidR="00C55010">
              <w:rPr>
                <w:noProof/>
                <w:webHidden/>
              </w:rPr>
              <w:t>69</w:t>
            </w:r>
            <w:r w:rsidR="00C55010">
              <w:rPr>
                <w:noProof/>
                <w:webHidden/>
              </w:rPr>
              <w:fldChar w:fldCharType="end"/>
            </w:r>
          </w:hyperlink>
        </w:p>
        <w:p w14:paraId="6E15D3A5" w14:textId="7CD3EE18"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08" w:history="1">
            <w:r w:rsidR="00C55010" w:rsidRPr="007C6D83">
              <w:rPr>
                <w:rStyle w:val="Hyperlink"/>
                <w:iCs/>
                <w:noProof/>
              </w:rPr>
              <w:t>2</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Adoption of CE practices in supply chains: a critical literature review</w:t>
            </w:r>
            <w:r w:rsidR="00C55010">
              <w:rPr>
                <w:noProof/>
                <w:webHidden/>
              </w:rPr>
              <w:tab/>
            </w:r>
            <w:r w:rsidR="00C55010">
              <w:rPr>
                <w:noProof/>
                <w:webHidden/>
              </w:rPr>
              <w:fldChar w:fldCharType="begin"/>
            </w:r>
            <w:r w:rsidR="00C55010">
              <w:rPr>
                <w:noProof/>
                <w:webHidden/>
              </w:rPr>
              <w:instrText xml:space="preserve"> PAGEREF _Toc157759508 \h </w:instrText>
            </w:r>
            <w:r w:rsidR="00C55010">
              <w:rPr>
                <w:noProof/>
                <w:webHidden/>
              </w:rPr>
            </w:r>
            <w:r w:rsidR="00C55010">
              <w:rPr>
                <w:noProof/>
                <w:webHidden/>
              </w:rPr>
              <w:fldChar w:fldCharType="separate"/>
            </w:r>
            <w:r w:rsidR="00C55010">
              <w:rPr>
                <w:noProof/>
                <w:webHidden/>
              </w:rPr>
              <w:t>70</w:t>
            </w:r>
            <w:r w:rsidR="00C55010">
              <w:rPr>
                <w:noProof/>
                <w:webHidden/>
              </w:rPr>
              <w:fldChar w:fldCharType="end"/>
            </w:r>
          </w:hyperlink>
        </w:p>
        <w:p w14:paraId="5665645D" w14:textId="22C99242"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09" w:history="1">
            <w:r w:rsidR="00C55010" w:rsidRPr="007C6D83">
              <w:rPr>
                <w:rStyle w:val="Hyperlink"/>
                <w:noProof/>
              </w:rPr>
              <w:t>2.1</w:t>
            </w:r>
            <w:r w:rsidR="00C55010">
              <w:rPr>
                <w:rFonts w:asciiTheme="minorHAnsi" w:eastAsiaTheme="minorEastAsia" w:hAnsiTheme="minorHAnsi" w:cstheme="minorBidi"/>
                <w:noProof/>
                <w:sz w:val="22"/>
                <w:szCs w:val="22"/>
                <w:lang w:eastAsia="zh-CN"/>
              </w:rPr>
              <w:tab/>
            </w:r>
            <w:r w:rsidR="00C55010" w:rsidRPr="007C6D83">
              <w:rPr>
                <w:rStyle w:val="Hyperlink"/>
                <w:noProof/>
              </w:rPr>
              <w:t>Overview of the key theories and concepts</w:t>
            </w:r>
            <w:r w:rsidR="00C55010">
              <w:rPr>
                <w:noProof/>
                <w:webHidden/>
              </w:rPr>
              <w:tab/>
            </w:r>
            <w:r w:rsidR="00C55010">
              <w:rPr>
                <w:noProof/>
                <w:webHidden/>
              </w:rPr>
              <w:fldChar w:fldCharType="begin"/>
            </w:r>
            <w:r w:rsidR="00C55010">
              <w:rPr>
                <w:noProof/>
                <w:webHidden/>
              </w:rPr>
              <w:instrText xml:space="preserve"> PAGEREF _Toc157759509 \h </w:instrText>
            </w:r>
            <w:r w:rsidR="00C55010">
              <w:rPr>
                <w:noProof/>
                <w:webHidden/>
              </w:rPr>
            </w:r>
            <w:r w:rsidR="00C55010">
              <w:rPr>
                <w:noProof/>
                <w:webHidden/>
              </w:rPr>
              <w:fldChar w:fldCharType="separate"/>
            </w:r>
            <w:r w:rsidR="00C55010">
              <w:rPr>
                <w:noProof/>
                <w:webHidden/>
              </w:rPr>
              <w:t>70</w:t>
            </w:r>
            <w:r w:rsidR="00C55010">
              <w:rPr>
                <w:noProof/>
                <w:webHidden/>
              </w:rPr>
              <w:fldChar w:fldCharType="end"/>
            </w:r>
          </w:hyperlink>
        </w:p>
        <w:p w14:paraId="0AC834B5" w14:textId="72A2B7B0"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10" w:history="1">
            <w:r w:rsidR="00C55010" w:rsidRPr="007C6D83">
              <w:rPr>
                <w:rStyle w:val="Hyperlink"/>
                <w:noProof/>
              </w:rPr>
              <w:t>2.2</w:t>
            </w:r>
            <w:r w:rsidR="00C55010">
              <w:rPr>
                <w:rFonts w:asciiTheme="minorHAnsi" w:eastAsiaTheme="minorEastAsia" w:hAnsiTheme="minorHAnsi" w:cstheme="minorBidi"/>
                <w:noProof/>
                <w:sz w:val="22"/>
                <w:szCs w:val="22"/>
                <w:lang w:eastAsia="zh-CN"/>
              </w:rPr>
              <w:tab/>
            </w:r>
            <w:r w:rsidR="00C55010" w:rsidRPr="007C6D83">
              <w:rPr>
                <w:rStyle w:val="Hyperlink"/>
                <w:noProof/>
              </w:rPr>
              <w:t>Review protocol</w:t>
            </w:r>
            <w:r w:rsidR="00C55010">
              <w:rPr>
                <w:noProof/>
                <w:webHidden/>
              </w:rPr>
              <w:tab/>
            </w:r>
            <w:r w:rsidR="00C55010">
              <w:rPr>
                <w:noProof/>
                <w:webHidden/>
              </w:rPr>
              <w:fldChar w:fldCharType="begin"/>
            </w:r>
            <w:r w:rsidR="00C55010">
              <w:rPr>
                <w:noProof/>
                <w:webHidden/>
              </w:rPr>
              <w:instrText xml:space="preserve"> PAGEREF _Toc157759510 \h </w:instrText>
            </w:r>
            <w:r w:rsidR="00C55010">
              <w:rPr>
                <w:noProof/>
                <w:webHidden/>
              </w:rPr>
            </w:r>
            <w:r w:rsidR="00C55010">
              <w:rPr>
                <w:noProof/>
                <w:webHidden/>
              </w:rPr>
              <w:fldChar w:fldCharType="separate"/>
            </w:r>
            <w:r w:rsidR="00C55010">
              <w:rPr>
                <w:noProof/>
                <w:webHidden/>
              </w:rPr>
              <w:t>74</w:t>
            </w:r>
            <w:r w:rsidR="00C55010">
              <w:rPr>
                <w:noProof/>
                <w:webHidden/>
              </w:rPr>
              <w:fldChar w:fldCharType="end"/>
            </w:r>
          </w:hyperlink>
        </w:p>
        <w:p w14:paraId="3D9AACF7" w14:textId="775D44F9"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11" w:history="1">
            <w:r w:rsidR="00C55010" w:rsidRPr="007C6D83">
              <w:rPr>
                <w:rStyle w:val="Hyperlink"/>
                <w:noProof/>
              </w:rPr>
              <w:t>2.3</w:t>
            </w:r>
            <w:r w:rsidR="00C55010">
              <w:rPr>
                <w:rFonts w:asciiTheme="minorHAnsi" w:eastAsiaTheme="minorEastAsia" w:hAnsiTheme="minorHAnsi" w:cstheme="minorBidi"/>
                <w:noProof/>
                <w:sz w:val="22"/>
                <w:szCs w:val="22"/>
                <w:lang w:eastAsia="zh-CN"/>
              </w:rPr>
              <w:tab/>
            </w:r>
            <w:r w:rsidR="00C55010" w:rsidRPr="007C6D83">
              <w:rPr>
                <w:rStyle w:val="Hyperlink"/>
                <w:noProof/>
              </w:rPr>
              <w:t>Research question formulation</w:t>
            </w:r>
            <w:r w:rsidR="00C55010">
              <w:rPr>
                <w:noProof/>
                <w:webHidden/>
              </w:rPr>
              <w:tab/>
            </w:r>
            <w:r w:rsidR="00C55010">
              <w:rPr>
                <w:noProof/>
                <w:webHidden/>
              </w:rPr>
              <w:fldChar w:fldCharType="begin"/>
            </w:r>
            <w:r w:rsidR="00C55010">
              <w:rPr>
                <w:noProof/>
                <w:webHidden/>
              </w:rPr>
              <w:instrText xml:space="preserve"> PAGEREF _Toc157759511 \h </w:instrText>
            </w:r>
            <w:r w:rsidR="00C55010">
              <w:rPr>
                <w:noProof/>
                <w:webHidden/>
              </w:rPr>
            </w:r>
            <w:r w:rsidR="00C55010">
              <w:rPr>
                <w:noProof/>
                <w:webHidden/>
              </w:rPr>
              <w:fldChar w:fldCharType="separate"/>
            </w:r>
            <w:r w:rsidR="00C55010">
              <w:rPr>
                <w:noProof/>
                <w:webHidden/>
              </w:rPr>
              <w:t>75</w:t>
            </w:r>
            <w:r w:rsidR="00C55010">
              <w:rPr>
                <w:noProof/>
                <w:webHidden/>
              </w:rPr>
              <w:fldChar w:fldCharType="end"/>
            </w:r>
          </w:hyperlink>
        </w:p>
        <w:p w14:paraId="71EA55D2" w14:textId="5998E585"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12" w:history="1">
            <w:r w:rsidR="00C55010" w:rsidRPr="007C6D83">
              <w:rPr>
                <w:rStyle w:val="Hyperlink"/>
                <w:noProof/>
              </w:rPr>
              <w:t>2.4</w:t>
            </w:r>
            <w:r w:rsidR="00C55010">
              <w:rPr>
                <w:rFonts w:asciiTheme="minorHAnsi" w:eastAsiaTheme="minorEastAsia" w:hAnsiTheme="minorHAnsi" w:cstheme="minorBidi"/>
                <w:noProof/>
                <w:sz w:val="22"/>
                <w:szCs w:val="22"/>
                <w:lang w:eastAsia="zh-CN"/>
              </w:rPr>
              <w:tab/>
            </w:r>
            <w:r w:rsidR="00C55010" w:rsidRPr="007C6D83">
              <w:rPr>
                <w:rStyle w:val="Hyperlink"/>
                <w:noProof/>
              </w:rPr>
              <w:t>Literature review results</w:t>
            </w:r>
            <w:r w:rsidR="00C55010">
              <w:rPr>
                <w:noProof/>
                <w:webHidden/>
              </w:rPr>
              <w:tab/>
            </w:r>
            <w:r w:rsidR="00C55010">
              <w:rPr>
                <w:noProof/>
                <w:webHidden/>
              </w:rPr>
              <w:fldChar w:fldCharType="begin"/>
            </w:r>
            <w:r w:rsidR="00C55010">
              <w:rPr>
                <w:noProof/>
                <w:webHidden/>
              </w:rPr>
              <w:instrText xml:space="preserve"> PAGEREF _Toc157759512 \h </w:instrText>
            </w:r>
            <w:r w:rsidR="00C55010">
              <w:rPr>
                <w:noProof/>
                <w:webHidden/>
              </w:rPr>
            </w:r>
            <w:r w:rsidR="00C55010">
              <w:rPr>
                <w:noProof/>
                <w:webHidden/>
              </w:rPr>
              <w:fldChar w:fldCharType="separate"/>
            </w:r>
            <w:r w:rsidR="00C55010">
              <w:rPr>
                <w:noProof/>
                <w:webHidden/>
              </w:rPr>
              <w:t>79</w:t>
            </w:r>
            <w:r w:rsidR="00C55010">
              <w:rPr>
                <w:noProof/>
                <w:webHidden/>
              </w:rPr>
              <w:fldChar w:fldCharType="end"/>
            </w:r>
          </w:hyperlink>
        </w:p>
        <w:p w14:paraId="45EB4E2D" w14:textId="2316219E"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13" w:history="1">
            <w:r w:rsidR="00C55010" w:rsidRPr="007C6D83">
              <w:rPr>
                <w:rStyle w:val="Hyperlink"/>
                <w:noProof/>
              </w:rPr>
              <w:t>2.5</w:t>
            </w:r>
            <w:r w:rsidR="00C55010">
              <w:rPr>
                <w:rFonts w:asciiTheme="minorHAnsi" w:eastAsiaTheme="minorEastAsia" w:hAnsiTheme="minorHAnsi" w:cstheme="minorBidi"/>
                <w:noProof/>
                <w:sz w:val="22"/>
                <w:szCs w:val="22"/>
                <w:lang w:eastAsia="zh-CN"/>
              </w:rPr>
              <w:tab/>
            </w:r>
            <w:r w:rsidR="00C55010" w:rsidRPr="007C6D83">
              <w:rPr>
                <w:rStyle w:val="Hyperlink"/>
                <w:noProof/>
              </w:rPr>
              <w:t>Key findings from the literature review: research questions</w:t>
            </w:r>
            <w:r w:rsidR="00C55010">
              <w:rPr>
                <w:noProof/>
                <w:webHidden/>
              </w:rPr>
              <w:tab/>
            </w:r>
            <w:r w:rsidR="00C55010">
              <w:rPr>
                <w:noProof/>
                <w:webHidden/>
              </w:rPr>
              <w:fldChar w:fldCharType="begin"/>
            </w:r>
            <w:r w:rsidR="00C55010">
              <w:rPr>
                <w:noProof/>
                <w:webHidden/>
              </w:rPr>
              <w:instrText xml:space="preserve"> PAGEREF _Toc157759513 \h </w:instrText>
            </w:r>
            <w:r w:rsidR="00C55010">
              <w:rPr>
                <w:noProof/>
                <w:webHidden/>
              </w:rPr>
            </w:r>
            <w:r w:rsidR="00C55010">
              <w:rPr>
                <w:noProof/>
                <w:webHidden/>
              </w:rPr>
              <w:fldChar w:fldCharType="separate"/>
            </w:r>
            <w:r w:rsidR="00C55010">
              <w:rPr>
                <w:noProof/>
                <w:webHidden/>
              </w:rPr>
              <w:t>84</w:t>
            </w:r>
            <w:r w:rsidR="00C55010">
              <w:rPr>
                <w:noProof/>
                <w:webHidden/>
              </w:rPr>
              <w:fldChar w:fldCharType="end"/>
            </w:r>
          </w:hyperlink>
        </w:p>
        <w:p w14:paraId="6F22FBF9" w14:textId="150D2442"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14" w:history="1">
            <w:r w:rsidR="00C55010" w:rsidRPr="007C6D83">
              <w:rPr>
                <w:rStyle w:val="Hyperlink"/>
                <w:iCs/>
                <w:noProof/>
              </w:rPr>
              <w:t>3</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Conceptual Framework and Research Hypotheses</w:t>
            </w:r>
            <w:r w:rsidR="00C55010">
              <w:rPr>
                <w:noProof/>
                <w:webHidden/>
              </w:rPr>
              <w:tab/>
            </w:r>
            <w:r w:rsidR="00C55010">
              <w:rPr>
                <w:noProof/>
                <w:webHidden/>
              </w:rPr>
              <w:fldChar w:fldCharType="begin"/>
            </w:r>
            <w:r w:rsidR="00C55010">
              <w:rPr>
                <w:noProof/>
                <w:webHidden/>
              </w:rPr>
              <w:instrText xml:space="preserve"> PAGEREF _Toc157759514 \h </w:instrText>
            </w:r>
            <w:r w:rsidR="00C55010">
              <w:rPr>
                <w:noProof/>
                <w:webHidden/>
              </w:rPr>
            </w:r>
            <w:r w:rsidR="00C55010">
              <w:rPr>
                <w:noProof/>
                <w:webHidden/>
              </w:rPr>
              <w:fldChar w:fldCharType="separate"/>
            </w:r>
            <w:r w:rsidR="00C55010">
              <w:rPr>
                <w:noProof/>
                <w:webHidden/>
              </w:rPr>
              <w:t>85</w:t>
            </w:r>
            <w:r w:rsidR="00C55010">
              <w:rPr>
                <w:noProof/>
                <w:webHidden/>
              </w:rPr>
              <w:fldChar w:fldCharType="end"/>
            </w:r>
          </w:hyperlink>
        </w:p>
        <w:p w14:paraId="2C296151" w14:textId="4C53E2D3"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15" w:history="1">
            <w:r w:rsidR="00C55010" w:rsidRPr="007C6D83">
              <w:rPr>
                <w:rStyle w:val="Hyperlink"/>
                <w:iCs/>
                <w:noProof/>
              </w:rPr>
              <w:t>4</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Chapter’s conclusion</w:t>
            </w:r>
            <w:r w:rsidR="00C55010">
              <w:rPr>
                <w:noProof/>
                <w:webHidden/>
              </w:rPr>
              <w:tab/>
            </w:r>
            <w:r w:rsidR="00C55010">
              <w:rPr>
                <w:noProof/>
                <w:webHidden/>
              </w:rPr>
              <w:fldChar w:fldCharType="begin"/>
            </w:r>
            <w:r w:rsidR="00C55010">
              <w:rPr>
                <w:noProof/>
                <w:webHidden/>
              </w:rPr>
              <w:instrText xml:space="preserve"> PAGEREF _Toc157759515 \h </w:instrText>
            </w:r>
            <w:r w:rsidR="00C55010">
              <w:rPr>
                <w:noProof/>
                <w:webHidden/>
              </w:rPr>
            </w:r>
            <w:r w:rsidR="00C55010">
              <w:rPr>
                <w:noProof/>
                <w:webHidden/>
              </w:rPr>
              <w:fldChar w:fldCharType="separate"/>
            </w:r>
            <w:r w:rsidR="00C55010">
              <w:rPr>
                <w:noProof/>
                <w:webHidden/>
              </w:rPr>
              <w:t>88</w:t>
            </w:r>
            <w:r w:rsidR="00C55010">
              <w:rPr>
                <w:noProof/>
                <w:webHidden/>
              </w:rPr>
              <w:fldChar w:fldCharType="end"/>
            </w:r>
          </w:hyperlink>
        </w:p>
        <w:p w14:paraId="4A871C98" w14:textId="144AFF84"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16" w:history="1">
            <w:r w:rsidR="00C55010" w:rsidRPr="007C6D83">
              <w:rPr>
                <w:rStyle w:val="Hyperlink"/>
                <w:noProof/>
                <w:lang w:val="it-IT"/>
              </w:rPr>
              <w:t>References</w:t>
            </w:r>
            <w:r w:rsidR="00C55010">
              <w:rPr>
                <w:noProof/>
                <w:webHidden/>
              </w:rPr>
              <w:tab/>
            </w:r>
            <w:r w:rsidR="00C55010">
              <w:rPr>
                <w:noProof/>
                <w:webHidden/>
              </w:rPr>
              <w:fldChar w:fldCharType="begin"/>
            </w:r>
            <w:r w:rsidR="00C55010">
              <w:rPr>
                <w:noProof/>
                <w:webHidden/>
              </w:rPr>
              <w:instrText xml:space="preserve"> PAGEREF _Toc157759516 \h </w:instrText>
            </w:r>
            <w:r w:rsidR="00C55010">
              <w:rPr>
                <w:noProof/>
                <w:webHidden/>
              </w:rPr>
            </w:r>
            <w:r w:rsidR="00C55010">
              <w:rPr>
                <w:noProof/>
                <w:webHidden/>
              </w:rPr>
              <w:fldChar w:fldCharType="separate"/>
            </w:r>
            <w:r w:rsidR="00C55010">
              <w:rPr>
                <w:noProof/>
                <w:webHidden/>
              </w:rPr>
              <w:t>89</w:t>
            </w:r>
            <w:r w:rsidR="00C55010">
              <w:rPr>
                <w:noProof/>
                <w:webHidden/>
              </w:rPr>
              <w:fldChar w:fldCharType="end"/>
            </w:r>
          </w:hyperlink>
        </w:p>
        <w:p w14:paraId="3C60C797" w14:textId="753527EF" w:rsidR="00C55010" w:rsidRDefault="00C80BFD">
          <w:pPr>
            <w:pStyle w:val="TOC1"/>
            <w:tabs>
              <w:tab w:val="left" w:pos="1760"/>
            </w:tabs>
            <w:rPr>
              <w:rFonts w:asciiTheme="minorHAnsi" w:eastAsiaTheme="minorEastAsia" w:hAnsiTheme="minorHAnsi" w:cstheme="minorBidi"/>
              <w:b w:val="0"/>
              <w:bCs w:val="0"/>
              <w:i w:val="0"/>
              <w:iCs w:val="0"/>
              <w:noProof/>
              <w:sz w:val="22"/>
              <w:szCs w:val="22"/>
              <w:lang w:eastAsia="zh-CN"/>
            </w:rPr>
          </w:pPr>
          <w:hyperlink w:anchor="_Toc157759517" w:history="1">
            <w:r w:rsidR="00C55010" w:rsidRPr="007C6D83">
              <w:rPr>
                <w:rStyle w:val="Hyperlink"/>
                <w:noProof/>
              </w:rPr>
              <w:t>CHAPTER 4</w:t>
            </w:r>
            <w:r w:rsidR="00C55010">
              <w:rPr>
                <w:rFonts w:asciiTheme="minorHAnsi" w:eastAsiaTheme="minorEastAsia" w:hAnsiTheme="minorHAnsi" w:cstheme="minorBidi"/>
                <w:b w:val="0"/>
                <w:bCs w:val="0"/>
                <w:i w:val="0"/>
                <w:iCs w:val="0"/>
                <w:noProof/>
                <w:sz w:val="22"/>
                <w:szCs w:val="22"/>
                <w:lang w:eastAsia="zh-CN"/>
              </w:rPr>
              <w:tab/>
            </w:r>
            <w:r w:rsidR="00C55010" w:rsidRPr="007C6D83">
              <w:rPr>
                <w:rStyle w:val="Hyperlink"/>
                <w:noProof/>
              </w:rPr>
              <w:t>Methodology</w:t>
            </w:r>
            <w:r w:rsidR="00C55010">
              <w:rPr>
                <w:noProof/>
                <w:webHidden/>
              </w:rPr>
              <w:tab/>
            </w:r>
            <w:r w:rsidR="00C55010">
              <w:rPr>
                <w:noProof/>
                <w:webHidden/>
              </w:rPr>
              <w:fldChar w:fldCharType="begin"/>
            </w:r>
            <w:r w:rsidR="00C55010">
              <w:rPr>
                <w:noProof/>
                <w:webHidden/>
              </w:rPr>
              <w:instrText xml:space="preserve"> PAGEREF _Toc157759517 \h </w:instrText>
            </w:r>
            <w:r w:rsidR="00C55010">
              <w:rPr>
                <w:noProof/>
                <w:webHidden/>
              </w:rPr>
            </w:r>
            <w:r w:rsidR="00C55010">
              <w:rPr>
                <w:noProof/>
                <w:webHidden/>
              </w:rPr>
              <w:fldChar w:fldCharType="separate"/>
            </w:r>
            <w:r w:rsidR="00C55010">
              <w:rPr>
                <w:noProof/>
                <w:webHidden/>
              </w:rPr>
              <w:t>100</w:t>
            </w:r>
            <w:r w:rsidR="00C55010">
              <w:rPr>
                <w:noProof/>
                <w:webHidden/>
              </w:rPr>
              <w:fldChar w:fldCharType="end"/>
            </w:r>
          </w:hyperlink>
        </w:p>
        <w:p w14:paraId="67D5B38F" w14:textId="1E56AB44"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18" w:history="1">
            <w:r w:rsidR="00C55010" w:rsidRPr="007C6D83">
              <w:rPr>
                <w:rStyle w:val="Hyperlink"/>
                <w:iCs/>
                <w:noProof/>
              </w:rPr>
              <w:t>1</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Research philosophy</w:t>
            </w:r>
            <w:r w:rsidR="00C55010">
              <w:rPr>
                <w:noProof/>
                <w:webHidden/>
              </w:rPr>
              <w:tab/>
            </w:r>
            <w:r w:rsidR="00C55010">
              <w:rPr>
                <w:noProof/>
                <w:webHidden/>
              </w:rPr>
              <w:fldChar w:fldCharType="begin"/>
            </w:r>
            <w:r w:rsidR="00C55010">
              <w:rPr>
                <w:noProof/>
                <w:webHidden/>
              </w:rPr>
              <w:instrText xml:space="preserve"> PAGEREF _Toc157759518 \h </w:instrText>
            </w:r>
            <w:r w:rsidR="00C55010">
              <w:rPr>
                <w:noProof/>
                <w:webHidden/>
              </w:rPr>
            </w:r>
            <w:r w:rsidR="00C55010">
              <w:rPr>
                <w:noProof/>
                <w:webHidden/>
              </w:rPr>
              <w:fldChar w:fldCharType="separate"/>
            </w:r>
            <w:r w:rsidR="00C55010">
              <w:rPr>
                <w:noProof/>
                <w:webHidden/>
              </w:rPr>
              <w:t>100</w:t>
            </w:r>
            <w:r w:rsidR="00C55010">
              <w:rPr>
                <w:noProof/>
                <w:webHidden/>
              </w:rPr>
              <w:fldChar w:fldCharType="end"/>
            </w:r>
          </w:hyperlink>
        </w:p>
        <w:p w14:paraId="0C566EA3" w14:textId="4921BA84"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19" w:history="1">
            <w:r w:rsidR="00C55010" w:rsidRPr="007C6D83">
              <w:rPr>
                <w:rStyle w:val="Hyperlink"/>
                <w:noProof/>
              </w:rPr>
              <w:t>1.1</w:t>
            </w:r>
            <w:r w:rsidR="00C55010">
              <w:rPr>
                <w:rFonts w:asciiTheme="minorHAnsi" w:eastAsiaTheme="minorEastAsia" w:hAnsiTheme="minorHAnsi" w:cstheme="minorBidi"/>
                <w:noProof/>
                <w:sz w:val="22"/>
                <w:szCs w:val="22"/>
                <w:lang w:eastAsia="zh-CN"/>
              </w:rPr>
              <w:tab/>
            </w:r>
            <w:r w:rsidR="00C55010" w:rsidRPr="007C6D83">
              <w:rPr>
                <w:rStyle w:val="Hyperlink"/>
                <w:noProof/>
              </w:rPr>
              <w:t>Ontology and Epistemology</w:t>
            </w:r>
            <w:r w:rsidR="00C55010">
              <w:rPr>
                <w:noProof/>
                <w:webHidden/>
              </w:rPr>
              <w:tab/>
            </w:r>
            <w:r w:rsidR="00C55010">
              <w:rPr>
                <w:noProof/>
                <w:webHidden/>
              </w:rPr>
              <w:fldChar w:fldCharType="begin"/>
            </w:r>
            <w:r w:rsidR="00C55010">
              <w:rPr>
                <w:noProof/>
                <w:webHidden/>
              </w:rPr>
              <w:instrText xml:space="preserve"> PAGEREF _Toc157759519 \h </w:instrText>
            </w:r>
            <w:r w:rsidR="00C55010">
              <w:rPr>
                <w:noProof/>
                <w:webHidden/>
              </w:rPr>
            </w:r>
            <w:r w:rsidR="00C55010">
              <w:rPr>
                <w:noProof/>
                <w:webHidden/>
              </w:rPr>
              <w:fldChar w:fldCharType="separate"/>
            </w:r>
            <w:r w:rsidR="00C55010">
              <w:rPr>
                <w:noProof/>
                <w:webHidden/>
              </w:rPr>
              <w:t>101</w:t>
            </w:r>
            <w:r w:rsidR="00C55010">
              <w:rPr>
                <w:noProof/>
                <w:webHidden/>
              </w:rPr>
              <w:fldChar w:fldCharType="end"/>
            </w:r>
          </w:hyperlink>
        </w:p>
        <w:p w14:paraId="6ADF1617" w14:textId="2B07708E"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20" w:history="1">
            <w:r w:rsidR="00C55010" w:rsidRPr="007C6D83">
              <w:rPr>
                <w:rStyle w:val="Hyperlink"/>
                <w:noProof/>
              </w:rPr>
              <w:t>1.2</w:t>
            </w:r>
            <w:r w:rsidR="00C55010">
              <w:rPr>
                <w:rFonts w:asciiTheme="minorHAnsi" w:eastAsiaTheme="minorEastAsia" w:hAnsiTheme="minorHAnsi" w:cstheme="minorBidi"/>
                <w:noProof/>
                <w:sz w:val="22"/>
                <w:szCs w:val="22"/>
                <w:lang w:eastAsia="zh-CN"/>
              </w:rPr>
              <w:tab/>
            </w:r>
            <w:r w:rsidR="00C55010" w:rsidRPr="007C6D83">
              <w:rPr>
                <w:rStyle w:val="Hyperlink"/>
                <w:noProof/>
              </w:rPr>
              <w:t>Research Approach</w:t>
            </w:r>
            <w:r w:rsidR="00C55010">
              <w:rPr>
                <w:noProof/>
                <w:webHidden/>
              </w:rPr>
              <w:tab/>
            </w:r>
            <w:r w:rsidR="00C55010">
              <w:rPr>
                <w:noProof/>
                <w:webHidden/>
              </w:rPr>
              <w:fldChar w:fldCharType="begin"/>
            </w:r>
            <w:r w:rsidR="00C55010">
              <w:rPr>
                <w:noProof/>
                <w:webHidden/>
              </w:rPr>
              <w:instrText xml:space="preserve"> PAGEREF _Toc157759520 \h </w:instrText>
            </w:r>
            <w:r w:rsidR="00C55010">
              <w:rPr>
                <w:noProof/>
                <w:webHidden/>
              </w:rPr>
            </w:r>
            <w:r w:rsidR="00C55010">
              <w:rPr>
                <w:noProof/>
                <w:webHidden/>
              </w:rPr>
              <w:fldChar w:fldCharType="separate"/>
            </w:r>
            <w:r w:rsidR="00C55010">
              <w:rPr>
                <w:noProof/>
                <w:webHidden/>
              </w:rPr>
              <w:t>102</w:t>
            </w:r>
            <w:r w:rsidR="00C55010">
              <w:rPr>
                <w:noProof/>
                <w:webHidden/>
              </w:rPr>
              <w:fldChar w:fldCharType="end"/>
            </w:r>
          </w:hyperlink>
        </w:p>
        <w:p w14:paraId="0B5F5703" w14:textId="4B1F8963"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21" w:history="1">
            <w:r w:rsidR="00C55010" w:rsidRPr="007C6D83">
              <w:rPr>
                <w:rStyle w:val="Hyperlink"/>
                <w:iCs/>
                <w:noProof/>
              </w:rPr>
              <w:t>2</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Research design: Mixed-method research</w:t>
            </w:r>
            <w:r w:rsidR="00C55010">
              <w:rPr>
                <w:noProof/>
                <w:webHidden/>
              </w:rPr>
              <w:tab/>
            </w:r>
            <w:r w:rsidR="00C55010">
              <w:rPr>
                <w:noProof/>
                <w:webHidden/>
              </w:rPr>
              <w:fldChar w:fldCharType="begin"/>
            </w:r>
            <w:r w:rsidR="00C55010">
              <w:rPr>
                <w:noProof/>
                <w:webHidden/>
              </w:rPr>
              <w:instrText xml:space="preserve"> PAGEREF _Toc157759521 \h </w:instrText>
            </w:r>
            <w:r w:rsidR="00C55010">
              <w:rPr>
                <w:noProof/>
                <w:webHidden/>
              </w:rPr>
            </w:r>
            <w:r w:rsidR="00C55010">
              <w:rPr>
                <w:noProof/>
                <w:webHidden/>
              </w:rPr>
              <w:fldChar w:fldCharType="separate"/>
            </w:r>
            <w:r w:rsidR="00C55010">
              <w:rPr>
                <w:noProof/>
                <w:webHidden/>
              </w:rPr>
              <w:t>102</w:t>
            </w:r>
            <w:r w:rsidR="00C55010">
              <w:rPr>
                <w:noProof/>
                <w:webHidden/>
              </w:rPr>
              <w:fldChar w:fldCharType="end"/>
            </w:r>
          </w:hyperlink>
        </w:p>
        <w:p w14:paraId="6399BBDF" w14:textId="3D5378B0"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22" w:history="1">
            <w:r w:rsidR="00C55010" w:rsidRPr="007C6D83">
              <w:rPr>
                <w:rStyle w:val="Hyperlink"/>
                <w:noProof/>
              </w:rPr>
              <w:t>2.1</w:t>
            </w:r>
            <w:r w:rsidR="00C55010">
              <w:rPr>
                <w:rFonts w:asciiTheme="minorHAnsi" w:eastAsiaTheme="minorEastAsia" w:hAnsiTheme="minorHAnsi" w:cstheme="minorBidi"/>
                <w:noProof/>
                <w:sz w:val="22"/>
                <w:szCs w:val="22"/>
                <w:lang w:eastAsia="zh-CN"/>
              </w:rPr>
              <w:tab/>
            </w:r>
            <w:r w:rsidR="00C55010" w:rsidRPr="007C6D83">
              <w:rPr>
                <w:rStyle w:val="Hyperlink"/>
                <w:noProof/>
              </w:rPr>
              <w:t>Exploratory Sequential Mixed-Methods Design</w:t>
            </w:r>
            <w:r w:rsidR="00C55010">
              <w:rPr>
                <w:noProof/>
                <w:webHidden/>
              </w:rPr>
              <w:tab/>
            </w:r>
            <w:r w:rsidR="00C55010">
              <w:rPr>
                <w:noProof/>
                <w:webHidden/>
              </w:rPr>
              <w:fldChar w:fldCharType="begin"/>
            </w:r>
            <w:r w:rsidR="00C55010">
              <w:rPr>
                <w:noProof/>
                <w:webHidden/>
              </w:rPr>
              <w:instrText xml:space="preserve"> PAGEREF _Toc157759522 \h </w:instrText>
            </w:r>
            <w:r w:rsidR="00C55010">
              <w:rPr>
                <w:noProof/>
                <w:webHidden/>
              </w:rPr>
            </w:r>
            <w:r w:rsidR="00C55010">
              <w:rPr>
                <w:noProof/>
                <w:webHidden/>
              </w:rPr>
              <w:fldChar w:fldCharType="separate"/>
            </w:r>
            <w:r w:rsidR="00C55010">
              <w:rPr>
                <w:noProof/>
                <w:webHidden/>
              </w:rPr>
              <w:t>103</w:t>
            </w:r>
            <w:r w:rsidR="00C55010">
              <w:rPr>
                <w:noProof/>
                <w:webHidden/>
              </w:rPr>
              <w:fldChar w:fldCharType="end"/>
            </w:r>
          </w:hyperlink>
        </w:p>
        <w:p w14:paraId="1BC9332E" w14:textId="33D33C7A"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23" w:history="1">
            <w:r w:rsidR="00C55010" w:rsidRPr="007C6D83">
              <w:rPr>
                <w:rStyle w:val="Hyperlink"/>
                <w:noProof/>
              </w:rPr>
              <w:t>2.2</w:t>
            </w:r>
            <w:r w:rsidR="00C55010">
              <w:rPr>
                <w:rFonts w:asciiTheme="minorHAnsi" w:eastAsiaTheme="minorEastAsia" w:hAnsiTheme="minorHAnsi" w:cstheme="minorBidi"/>
                <w:noProof/>
                <w:sz w:val="22"/>
                <w:szCs w:val="22"/>
                <w:lang w:eastAsia="zh-CN"/>
              </w:rPr>
              <w:tab/>
            </w:r>
            <w:r w:rsidR="00C55010" w:rsidRPr="007C6D83">
              <w:rPr>
                <w:rStyle w:val="Hyperlink"/>
                <w:noProof/>
              </w:rPr>
              <w:t>Research Process and Procedures</w:t>
            </w:r>
            <w:r w:rsidR="00C55010">
              <w:rPr>
                <w:noProof/>
                <w:webHidden/>
              </w:rPr>
              <w:tab/>
            </w:r>
            <w:r w:rsidR="00C55010">
              <w:rPr>
                <w:noProof/>
                <w:webHidden/>
              </w:rPr>
              <w:fldChar w:fldCharType="begin"/>
            </w:r>
            <w:r w:rsidR="00C55010">
              <w:rPr>
                <w:noProof/>
                <w:webHidden/>
              </w:rPr>
              <w:instrText xml:space="preserve"> PAGEREF _Toc157759523 \h </w:instrText>
            </w:r>
            <w:r w:rsidR="00C55010">
              <w:rPr>
                <w:noProof/>
                <w:webHidden/>
              </w:rPr>
            </w:r>
            <w:r w:rsidR="00C55010">
              <w:rPr>
                <w:noProof/>
                <w:webHidden/>
              </w:rPr>
              <w:fldChar w:fldCharType="separate"/>
            </w:r>
            <w:r w:rsidR="00C55010">
              <w:rPr>
                <w:noProof/>
                <w:webHidden/>
              </w:rPr>
              <w:t>104</w:t>
            </w:r>
            <w:r w:rsidR="00C55010">
              <w:rPr>
                <w:noProof/>
                <w:webHidden/>
              </w:rPr>
              <w:fldChar w:fldCharType="end"/>
            </w:r>
          </w:hyperlink>
        </w:p>
        <w:p w14:paraId="10BD2509" w14:textId="2D8607DD"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24" w:history="1">
            <w:r w:rsidR="00C55010" w:rsidRPr="007C6D83">
              <w:rPr>
                <w:rStyle w:val="Hyperlink"/>
                <w:iCs/>
                <w:noProof/>
                <w:lang w:val="en-US"/>
              </w:rPr>
              <w:t>3</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lang w:val="en-US"/>
              </w:rPr>
              <w:t>Validating the conceptual framework through a Delphi-like study</w:t>
            </w:r>
            <w:r w:rsidR="00C55010">
              <w:rPr>
                <w:noProof/>
                <w:webHidden/>
              </w:rPr>
              <w:tab/>
            </w:r>
            <w:r w:rsidR="00C55010">
              <w:rPr>
                <w:noProof/>
                <w:webHidden/>
              </w:rPr>
              <w:fldChar w:fldCharType="begin"/>
            </w:r>
            <w:r w:rsidR="00C55010">
              <w:rPr>
                <w:noProof/>
                <w:webHidden/>
              </w:rPr>
              <w:instrText xml:space="preserve"> PAGEREF _Toc157759524 \h </w:instrText>
            </w:r>
            <w:r w:rsidR="00C55010">
              <w:rPr>
                <w:noProof/>
                <w:webHidden/>
              </w:rPr>
            </w:r>
            <w:r w:rsidR="00C55010">
              <w:rPr>
                <w:noProof/>
                <w:webHidden/>
              </w:rPr>
              <w:fldChar w:fldCharType="separate"/>
            </w:r>
            <w:r w:rsidR="00C55010">
              <w:rPr>
                <w:noProof/>
                <w:webHidden/>
              </w:rPr>
              <w:t>104</w:t>
            </w:r>
            <w:r w:rsidR="00C55010">
              <w:rPr>
                <w:noProof/>
                <w:webHidden/>
              </w:rPr>
              <w:fldChar w:fldCharType="end"/>
            </w:r>
          </w:hyperlink>
        </w:p>
        <w:p w14:paraId="43427C06" w14:textId="2DE5FE43"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25" w:history="1">
            <w:r w:rsidR="00C55010" w:rsidRPr="007C6D83">
              <w:rPr>
                <w:rStyle w:val="Hyperlink"/>
                <w:noProof/>
              </w:rPr>
              <w:t>3.1</w:t>
            </w:r>
            <w:r w:rsidR="00C55010">
              <w:rPr>
                <w:rFonts w:asciiTheme="minorHAnsi" w:eastAsiaTheme="minorEastAsia" w:hAnsiTheme="minorHAnsi" w:cstheme="minorBidi"/>
                <w:noProof/>
                <w:sz w:val="22"/>
                <w:szCs w:val="22"/>
                <w:lang w:eastAsia="zh-CN"/>
              </w:rPr>
              <w:tab/>
            </w:r>
            <w:r w:rsidR="00C55010" w:rsidRPr="007C6D83">
              <w:rPr>
                <w:rStyle w:val="Hyperlink"/>
                <w:noProof/>
              </w:rPr>
              <w:t>Translating qualitative findings into the quantitative study</w:t>
            </w:r>
            <w:r w:rsidR="00C55010">
              <w:rPr>
                <w:noProof/>
                <w:webHidden/>
              </w:rPr>
              <w:tab/>
            </w:r>
            <w:r w:rsidR="00C55010">
              <w:rPr>
                <w:noProof/>
                <w:webHidden/>
              </w:rPr>
              <w:fldChar w:fldCharType="begin"/>
            </w:r>
            <w:r w:rsidR="00C55010">
              <w:rPr>
                <w:noProof/>
                <w:webHidden/>
              </w:rPr>
              <w:instrText xml:space="preserve"> PAGEREF _Toc157759525 \h </w:instrText>
            </w:r>
            <w:r w:rsidR="00C55010">
              <w:rPr>
                <w:noProof/>
                <w:webHidden/>
              </w:rPr>
            </w:r>
            <w:r w:rsidR="00C55010">
              <w:rPr>
                <w:noProof/>
                <w:webHidden/>
              </w:rPr>
              <w:fldChar w:fldCharType="separate"/>
            </w:r>
            <w:r w:rsidR="00C55010">
              <w:rPr>
                <w:noProof/>
                <w:webHidden/>
              </w:rPr>
              <w:t>106</w:t>
            </w:r>
            <w:r w:rsidR="00C55010">
              <w:rPr>
                <w:noProof/>
                <w:webHidden/>
              </w:rPr>
              <w:fldChar w:fldCharType="end"/>
            </w:r>
          </w:hyperlink>
        </w:p>
        <w:p w14:paraId="689CBD08" w14:textId="41372B07"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26" w:history="1">
            <w:r w:rsidR="00C55010" w:rsidRPr="007C6D83">
              <w:rPr>
                <w:rStyle w:val="Hyperlink"/>
                <w:iCs/>
                <w:noProof/>
                <w:lang w:val="en-US"/>
              </w:rPr>
              <w:t>4</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lang w:val="en-US"/>
              </w:rPr>
              <w:t>Testing the hypotheses with quantitative data</w:t>
            </w:r>
            <w:r w:rsidR="00C55010">
              <w:rPr>
                <w:noProof/>
                <w:webHidden/>
              </w:rPr>
              <w:tab/>
            </w:r>
            <w:r w:rsidR="00C55010">
              <w:rPr>
                <w:noProof/>
                <w:webHidden/>
              </w:rPr>
              <w:fldChar w:fldCharType="begin"/>
            </w:r>
            <w:r w:rsidR="00C55010">
              <w:rPr>
                <w:noProof/>
                <w:webHidden/>
              </w:rPr>
              <w:instrText xml:space="preserve"> PAGEREF _Toc157759526 \h </w:instrText>
            </w:r>
            <w:r w:rsidR="00C55010">
              <w:rPr>
                <w:noProof/>
                <w:webHidden/>
              </w:rPr>
            </w:r>
            <w:r w:rsidR="00C55010">
              <w:rPr>
                <w:noProof/>
                <w:webHidden/>
              </w:rPr>
              <w:fldChar w:fldCharType="separate"/>
            </w:r>
            <w:r w:rsidR="00C55010">
              <w:rPr>
                <w:noProof/>
                <w:webHidden/>
              </w:rPr>
              <w:t>107</w:t>
            </w:r>
            <w:r w:rsidR="00C55010">
              <w:rPr>
                <w:noProof/>
                <w:webHidden/>
              </w:rPr>
              <w:fldChar w:fldCharType="end"/>
            </w:r>
          </w:hyperlink>
        </w:p>
        <w:p w14:paraId="600CC75A" w14:textId="455C8DEA"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27" w:history="1">
            <w:r w:rsidR="00C55010" w:rsidRPr="007C6D83">
              <w:rPr>
                <w:rStyle w:val="Hyperlink"/>
                <w:noProof/>
                <w:lang w:val="en-US"/>
              </w:rPr>
              <w:t>4.1</w:t>
            </w:r>
            <w:r w:rsidR="00C55010">
              <w:rPr>
                <w:rFonts w:asciiTheme="minorHAnsi" w:eastAsiaTheme="minorEastAsia" w:hAnsiTheme="minorHAnsi" w:cstheme="minorBidi"/>
                <w:noProof/>
                <w:sz w:val="22"/>
                <w:szCs w:val="22"/>
                <w:lang w:eastAsia="zh-CN"/>
              </w:rPr>
              <w:tab/>
            </w:r>
            <w:r w:rsidR="00C55010" w:rsidRPr="007C6D83">
              <w:rPr>
                <w:rStyle w:val="Hyperlink"/>
                <w:noProof/>
                <w:lang w:val="en-US"/>
              </w:rPr>
              <w:t>Quantitative Data Analysis</w:t>
            </w:r>
            <w:r w:rsidR="00C55010">
              <w:rPr>
                <w:noProof/>
                <w:webHidden/>
              </w:rPr>
              <w:tab/>
            </w:r>
            <w:r w:rsidR="00C55010">
              <w:rPr>
                <w:noProof/>
                <w:webHidden/>
              </w:rPr>
              <w:fldChar w:fldCharType="begin"/>
            </w:r>
            <w:r w:rsidR="00C55010">
              <w:rPr>
                <w:noProof/>
                <w:webHidden/>
              </w:rPr>
              <w:instrText xml:space="preserve"> PAGEREF _Toc157759527 \h </w:instrText>
            </w:r>
            <w:r w:rsidR="00C55010">
              <w:rPr>
                <w:noProof/>
                <w:webHidden/>
              </w:rPr>
            </w:r>
            <w:r w:rsidR="00C55010">
              <w:rPr>
                <w:noProof/>
                <w:webHidden/>
              </w:rPr>
              <w:fldChar w:fldCharType="separate"/>
            </w:r>
            <w:r w:rsidR="00C55010">
              <w:rPr>
                <w:noProof/>
                <w:webHidden/>
              </w:rPr>
              <w:t>110</w:t>
            </w:r>
            <w:r w:rsidR="00C55010">
              <w:rPr>
                <w:noProof/>
                <w:webHidden/>
              </w:rPr>
              <w:fldChar w:fldCharType="end"/>
            </w:r>
          </w:hyperlink>
        </w:p>
        <w:p w14:paraId="6548B3AA" w14:textId="10469515"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28" w:history="1">
            <w:r w:rsidR="00C55010" w:rsidRPr="007C6D83">
              <w:rPr>
                <w:rStyle w:val="Hyperlink"/>
                <w:iCs/>
                <w:noProof/>
              </w:rPr>
              <w:t>5</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Chapter’s conclusion</w:t>
            </w:r>
            <w:r w:rsidR="00C55010">
              <w:rPr>
                <w:noProof/>
                <w:webHidden/>
              </w:rPr>
              <w:tab/>
            </w:r>
            <w:r w:rsidR="00C55010">
              <w:rPr>
                <w:noProof/>
                <w:webHidden/>
              </w:rPr>
              <w:fldChar w:fldCharType="begin"/>
            </w:r>
            <w:r w:rsidR="00C55010">
              <w:rPr>
                <w:noProof/>
                <w:webHidden/>
              </w:rPr>
              <w:instrText xml:space="preserve"> PAGEREF _Toc157759528 \h </w:instrText>
            </w:r>
            <w:r w:rsidR="00C55010">
              <w:rPr>
                <w:noProof/>
                <w:webHidden/>
              </w:rPr>
            </w:r>
            <w:r w:rsidR="00C55010">
              <w:rPr>
                <w:noProof/>
                <w:webHidden/>
              </w:rPr>
              <w:fldChar w:fldCharType="separate"/>
            </w:r>
            <w:r w:rsidR="00C55010">
              <w:rPr>
                <w:noProof/>
                <w:webHidden/>
              </w:rPr>
              <w:t>111</w:t>
            </w:r>
            <w:r w:rsidR="00C55010">
              <w:rPr>
                <w:noProof/>
                <w:webHidden/>
              </w:rPr>
              <w:fldChar w:fldCharType="end"/>
            </w:r>
          </w:hyperlink>
        </w:p>
        <w:p w14:paraId="31217725" w14:textId="18F7913D"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29" w:history="1">
            <w:r w:rsidR="00C55010" w:rsidRPr="007C6D83">
              <w:rPr>
                <w:rStyle w:val="Hyperlink"/>
                <w:noProof/>
              </w:rPr>
              <w:t>References</w:t>
            </w:r>
            <w:r w:rsidR="00C55010">
              <w:rPr>
                <w:noProof/>
                <w:webHidden/>
              </w:rPr>
              <w:tab/>
            </w:r>
            <w:r w:rsidR="00C55010">
              <w:rPr>
                <w:noProof/>
                <w:webHidden/>
              </w:rPr>
              <w:fldChar w:fldCharType="begin"/>
            </w:r>
            <w:r w:rsidR="00C55010">
              <w:rPr>
                <w:noProof/>
                <w:webHidden/>
              </w:rPr>
              <w:instrText xml:space="preserve"> PAGEREF _Toc157759529 \h </w:instrText>
            </w:r>
            <w:r w:rsidR="00C55010">
              <w:rPr>
                <w:noProof/>
                <w:webHidden/>
              </w:rPr>
            </w:r>
            <w:r w:rsidR="00C55010">
              <w:rPr>
                <w:noProof/>
                <w:webHidden/>
              </w:rPr>
              <w:fldChar w:fldCharType="separate"/>
            </w:r>
            <w:r w:rsidR="00C55010">
              <w:rPr>
                <w:noProof/>
                <w:webHidden/>
              </w:rPr>
              <w:t>113</w:t>
            </w:r>
            <w:r w:rsidR="00C55010">
              <w:rPr>
                <w:noProof/>
                <w:webHidden/>
              </w:rPr>
              <w:fldChar w:fldCharType="end"/>
            </w:r>
          </w:hyperlink>
        </w:p>
        <w:p w14:paraId="6BE49FFA" w14:textId="5B2A966A" w:rsidR="00C55010" w:rsidRDefault="00C80BFD">
          <w:pPr>
            <w:pStyle w:val="TOC1"/>
            <w:tabs>
              <w:tab w:val="left" w:pos="1760"/>
            </w:tabs>
            <w:rPr>
              <w:rFonts w:asciiTheme="minorHAnsi" w:eastAsiaTheme="minorEastAsia" w:hAnsiTheme="minorHAnsi" w:cstheme="minorBidi"/>
              <w:b w:val="0"/>
              <w:bCs w:val="0"/>
              <w:i w:val="0"/>
              <w:iCs w:val="0"/>
              <w:noProof/>
              <w:sz w:val="22"/>
              <w:szCs w:val="22"/>
              <w:lang w:eastAsia="zh-CN"/>
            </w:rPr>
          </w:pPr>
          <w:hyperlink w:anchor="_Toc157759530" w:history="1">
            <w:r w:rsidR="00C55010" w:rsidRPr="007C6D83">
              <w:rPr>
                <w:rStyle w:val="Hyperlink"/>
                <w:noProof/>
              </w:rPr>
              <w:t>CHAPTER 5</w:t>
            </w:r>
            <w:r w:rsidR="00C55010">
              <w:rPr>
                <w:rFonts w:asciiTheme="minorHAnsi" w:eastAsiaTheme="minorEastAsia" w:hAnsiTheme="minorHAnsi" w:cstheme="minorBidi"/>
                <w:b w:val="0"/>
                <w:bCs w:val="0"/>
                <w:i w:val="0"/>
                <w:iCs w:val="0"/>
                <w:noProof/>
                <w:sz w:val="22"/>
                <w:szCs w:val="22"/>
                <w:lang w:eastAsia="zh-CN"/>
              </w:rPr>
              <w:tab/>
            </w:r>
            <w:r w:rsidR="00C55010" w:rsidRPr="007C6D83">
              <w:rPr>
                <w:rStyle w:val="Hyperlink"/>
                <w:noProof/>
              </w:rPr>
              <w:t>Understanding the relationship between institutional pressures, supply chain integration and the adoption of circular economy practices</w:t>
            </w:r>
            <w:r w:rsidR="00C55010">
              <w:rPr>
                <w:noProof/>
                <w:webHidden/>
              </w:rPr>
              <w:tab/>
            </w:r>
            <w:r w:rsidR="00C55010">
              <w:rPr>
                <w:noProof/>
                <w:webHidden/>
              </w:rPr>
              <w:fldChar w:fldCharType="begin"/>
            </w:r>
            <w:r w:rsidR="00C55010">
              <w:rPr>
                <w:noProof/>
                <w:webHidden/>
              </w:rPr>
              <w:instrText xml:space="preserve"> PAGEREF _Toc157759530 \h </w:instrText>
            </w:r>
            <w:r w:rsidR="00C55010">
              <w:rPr>
                <w:noProof/>
                <w:webHidden/>
              </w:rPr>
            </w:r>
            <w:r w:rsidR="00C55010">
              <w:rPr>
                <w:noProof/>
                <w:webHidden/>
              </w:rPr>
              <w:fldChar w:fldCharType="separate"/>
            </w:r>
            <w:r w:rsidR="00C55010">
              <w:rPr>
                <w:noProof/>
                <w:webHidden/>
              </w:rPr>
              <w:t>114</w:t>
            </w:r>
            <w:r w:rsidR="00C55010">
              <w:rPr>
                <w:noProof/>
                <w:webHidden/>
              </w:rPr>
              <w:fldChar w:fldCharType="end"/>
            </w:r>
          </w:hyperlink>
        </w:p>
        <w:p w14:paraId="3CDA3C59" w14:textId="75383B3C"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31" w:history="1">
            <w:r w:rsidR="00C55010" w:rsidRPr="007C6D83">
              <w:rPr>
                <w:rStyle w:val="Hyperlink"/>
                <w:iCs/>
                <w:noProof/>
              </w:rPr>
              <w:t>1</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Introduction</w:t>
            </w:r>
            <w:r w:rsidR="00C55010">
              <w:rPr>
                <w:noProof/>
                <w:webHidden/>
              </w:rPr>
              <w:tab/>
            </w:r>
            <w:r w:rsidR="00C55010">
              <w:rPr>
                <w:noProof/>
                <w:webHidden/>
              </w:rPr>
              <w:fldChar w:fldCharType="begin"/>
            </w:r>
            <w:r w:rsidR="00C55010">
              <w:rPr>
                <w:noProof/>
                <w:webHidden/>
              </w:rPr>
              <w:instrText xml:space="preserve"> PAGEREF _Toc157759531 \h </w:instrText>
            </w:r>
            <w:r w:rsidR="00C55010">
              <w:rPr>
                <w:noProof/>
                <w:webHidden/>
              </w:rPr>
            </w:r>
            <w:r w:rsidR="00C55010">
              <w:rPr>
                <w:noProof/>
                <w:webHidden/>
              </w:rPr>
              <w:fldChar w:fldCharType="separate"/>
            </w:r>
            <w:r w:rsidR="00C55010">
              <w:rPr>
                <w:noProof/>
                <w:webHidden/>
              </w:rPr>
              <w:t>115</w:t>
            </w:r>
            <w:r w:rsidR="00C55010">
              <w:rPr>
                <w:noProof/>
                <w:webHidden/>
              </w:rPr>
              <w:fldChar w:fldCharType="end"/>
            </w:r>
          </w:hyperlink>
        </w:p>
        <w:p w14:paraId="1B49E5FF" w14:textId="6B7DDCB6"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32" w:history="1">
            <w:r w:rsidR="00C55010" w:rsidRPr="007C6D83">
              <w:rPr>
                <w:rStyle w:val="Hyperlink"/>
                <w:iCs/>
                <w:noProof/>
              </w:rPr>
              <w:t>2</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Literature Review</w:t>
            </w:r>
            <w:r w:rsidR="00C55010">
              <w:rPr>
                <w:noProof/>
                <w:webHidden/>
              </w:rPr>
              <w:tab/>
            </w:r>
            <w:r w:rsidR="00C55010">
              <w:rPr>
                <w:noProof/>
                <w:webHidden/>
              </w:rPr>
              <w:fldChar w:fldCharType="begin"/>
            </w:r>
            <w:r w:rsidR="00C55010">
              <w:rPr>
                <w:noProof/>
                <w:webHidden/>
              </w:rPr>
              <w:instrText xml:space="preserve"> PAGEREF _Toc157759532 \h </w:instrText>
            </w:r>
            <w:r w:rsidR="00C55010">
              <w:rPr>
                <w:noProof/>
                <w:webHidden/>
              </w:rPr>
            </w:r>
            <w:r w:rsidR="00C55010">
              <w:rPr>
                <w:noProof/>
                <w:webHidden/>
              </w:rPr>
              <w:fldChar w:fldCharType="separate"/>
            </w:r>
            <w:r w:rsidR="00C55010">
              <w:rPr>
                <w:noProof/>
                <w:webHidden/>
              </w:rPr>
              <w:t>116</w:t>
            </w:r>
            <w:r w:rsidR="00C55010">
              <w:rPr>
                <w:noProof/>
                <w:webHidden/>
              </w:rPr>
              <w:fldChar w:fldCharType="end"/>
            </w:r>
          </w:hyperlink>
        </w:p>
        <w:p w14:paraId="7D091BEF" w14:textId="2FC03AF5"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33" w:history="1">
            <w:r w:rsidR="00C55010" w:rsidRPr="007C6D83">
              <w:rPr>
                <w:rStyle w:val="Hyperlink"/>
                <w:noProof/>
              </w:rPr>
              <w:t>2.1</w:t>
            </w:r>
            <w:r w:rsidR="00C55010">
              <w:rPr>
                <w:rFonts w:asciiTheme="minorHAnsi" w:eastAsiaTheme="minorEastAsia" w:hAnsiTheme="minorHAnsi" w:cstheme="minorBidi"/>
                <w:noProof/>
                <w:sz w:val="22"/>
                <w:szCs w:val="22"/>
                <w:lang w:eastAsia="zh-CN"/>
              </w:rPr>
              <w:tab/>
            </w:r>
            <w:r w:rsidR="00C55010" w:rsidRPr="007C6D83">
              <w:rPr>
                <w:rStyle w:val="Hyperlink"/>
                <w:noProof/>
              </w:rPr>
              <w:t>Institutional pressures and the adoption of Circular Economy practices</w:t>
            </w:r>
            <w:r w:rsidR="00C55010">
              <w:rPr>
                <w:noProof/>
                <w:webHidden/>
              </w:rPr>
              <w:tab/>
            </w:r>
            <w:r w:rsidR="00C55010">
              <w:rPr>
                <w:noProof/>
                <w:webHidden/>
              </w:rPr>
              <w:fldChar w:fldCharType="begin"/>
            </w:r>
            <w:r w:rsidR="00C55010">
              <w:rPr>
                <w:noProof/>
                <w:webHidden/>
              </w:rPr>
              <w:instrText xml:space="preserve"> PAGEREF _Toc157759533 \h </w:instrText>
            </w:r>
            <w:r w:rsidR="00C55010">
              <w:rPr>
                <w:noProof/>
                <w:webHidden/>
              </w:rPr>
            </w:r>
            <w:r w:rsidR="00C55010">
              <w:rPr>
                <w:noProof/>
                <w:webHidden/>
              </w:rPr>
              <w:fldChar w:fldCharType="separate"/>
            </w:r>
            <w:r w:rsidR="00C55010">
              <w:rPr>
                <w:noProof/>
                <w:webHidden/>
              </w:rPr>
              <w:t>116</w:t>
            </w:r>
            <w:r w:rsidR="00C55010">
              <w:rPr>
                <w:noProof/>
                <w:webHidden/>
              </w:rPr>
              <w:fldChar w:fldCharType="end"/>
            </w:r>
          </w:hyperlink>
        </w:p>
        <w:p w14:paraId="618197C8" w14:textId="7F10053D"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34" w:history="1">
            <w:r w:rsidR="00C55010" w:rsidRPr="007C6D83">
              <w:rPr>
                <w:rStyle w:val="Hyperlink"/>
                <w:noProof/>
              </w:rPr>
              <w:t>2.2</w:t>
            </w:r>
            <w:r w:rsidR="00C55010">
              <w:rPr>
                <w:rFonts w:asciiTheme="minorHAnsi" w:eastAsiaTheme="minorEastAsia" w:hAnsiTheme="minorHAnsi" w:cstheme="minorBidi"/>
                <w:noProof/>
                <w:sz w:val="22"/>
                <w:szCs w:val="22"/>
                <w:lang w:eastAsia="zh-CN"/>
              </w:rPr>
              <w:tab/>
            </w:r>
            <w:r w:rsidR="00C55010" w:rsidRPr="007C6D83">
              <w:rPr>
                <w:rStyle w:val="Hyperlink"/>
                <w:noProof/>
              </w:rPr>
              <w:t>The relationship between SCI and the adoption of CE practices</w:t>
            </w:r>
            <w:r w:rsidR="00C55010">
              <w:rPr>
                <w:noProof/>
                <w:webHidden/>
              </w:rPr>
              <w:tab/>
            </w:r>
            <w:r w:rsidR="00C55010">
              <w:rPr>
                <w:noProof/>
                <w:webHidden/>
              </w:rPr>
              <w:fldChar w:fldCharType="begin"/>
            </w:r>
            <w:r w:rsidR="00C55010">
              <w:rPr>
                <w:noProof/>
                <w:webHidden/>
              </w:rPr>
              <w:instrText xml:space="preserve"> PAGEREF _Toc157759534 \h </w:instrText>
            </w:r>
            <w:r w:rsidR="00C55010">
              <w:rPr>
                <w:noProof/>
                <w:webHidden/>
              </w:rPr>
            </w:r>
            <w:r w:rsidR="00C55010">
              <w:rPr>
                <w:noProof/>
                <w:webHidden/>
              </w:rPr>
              <w:fldChar w:fldCharType="separate"/>
            </w:r>
            <w:r w:rsidR="00C55010">
              <w:rPr>
                <w:noProof/>
                <w:webHidden/>
              </w:rPr>
              <w:t>118</w:t>
            </w:r>
            <w:r w:rsidR="00C55010">
              <w:rPr>
                <w:noProof/>
                <w:webHidden/>
              </w:rPr>
              <w:fldChar w:fldCharType="end"/>
            </w:r>
          </w:hyperlink>
        </w:p>
        <w:p w14:paraId="43A8CC84" w14:textId="71544DDF"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35" w:history="1">
            <w:r w:rsidR="00C55010" w:rsidRPr="007C6D83">
              <w:rPr>
                <w:rStyle w:val="Hyperlink"/>
                <w:noProof/>
              </w:rPr>
              <w:t>2.3</w:t>
            </w:r>
            <w:r w:rsidR="00C55010">
              <w:rPr>
                <w:rFonts w:asciiTheme="minorHAnsi" w:eastAsiaTheme="minorEastAsia" w:hAnsiTheme="minorHAnsi" w:cstheme="minorBidi"/>
                <w:noProof/>
                <w:sz w:val="22"/>
                <w:szCs w:val="22"/>
                <w:lang w:eastAsia="zh-CN"/>
              </w:rPr>
              <w:tab/>
            </w:r>
            <w:r w:rsidR="00C55010" w:rsidRPr="007C6D83">
              <w:rPr>
                <w:rStyle w:val="Hyperlink"/>
                <w:noProof/>
              </w:rPr>
              <w:t>A look at the state of the practice</w:t>
            </w:r>
            <w:r w:rsidR="00C55010">
              <w:rPr>
                <w:noProof/>
                <w:webHidden/>
              </w:rPr>
              <w:tab/>
            </w:r>
            <w:r w:rsidR="00C55010">
              <w:rPr>
                <w:noProof/>
                <w:webHidden/>
              </w:rPr>
              <w:fldChar w:fldCharType="begin"/>
            </w:r>
            <w:r w:rsidR="00C55010">
              <w:rPr>
                <w:noProof/>
                <w:webHidden/>
              </w:rPr>
              <w:instrText xml:space="preserve"> PAGEREF _Toc157759535 \h </w:instrText>
            </w:r>
            <w:r w:rsidR="00C55010">
              <w:rPr>
                <w:noProof/>
                <w:webHidden/>
              </w:rPr>
            </w:r>
            <w:r w:rsidR="00C55010">
              <w:rPr>
                <w:noProof/>
                <w:webHidden/>
              </w:rPr>
              <w:fldChar w:fldCharType="separate"/>
            </w:r>
            <w:r w:rsidR="00C55010">
              <w:rPr>
                <w:noProof/>
                <w:webHidden/>
              </w:rPr>
              <w:t>119</w:t>
            </w:r>
            <w:r w:rsidR="00C55010">
              <w:rPr>
                <w:noProof/>
                <w:webHidden/>
              </w:rPr>
              <w:fldChar w:fldCharType="end"/>
            </w:r>
          </w:hyperlink>
        </w:p>
        <w:p w14:paraId="3DBABD45" w14:textId="294AB136"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36" w:history="1">
            <w:r w:rsidR="00C55010" w:rsidRPr="007C6D83">
              <w:rPr>
                <w:rStyle w:val="Hyperlink"/>
                <w:noProof/>
              </w:rPr>
              <w:t>2.4</w:t>
            </w:r>
            <w:r w:rsidR="00C55010">
              <w:rPr>
                <w:rFonts w:asciiTheme="minorHAnsi" w:eastAsiaTheme="minorEastAsia" w:hAnsiTheme="minorHAnsi" w:cstheme="minorBidi"/>
                <w:noProof/>
                <w:sz w:val="22"/>
                <w:szCs w:val="22"/>
                <w:lang w:eastAsia="zh-CN"/>
              </w:rPr>
              <w:tab/>
            </w:r>
            <w:r w:rsidR="00C55010" w:rsidRPr="007C6D83">
              <w:rPr>
                <w:rStyle w:val="Hyperlink"/>
                <w:noProof/>
              </w:rPr>
              <w:t>Development of research questions</w:t>
            </w:r>
            <w:r w:rsidR="00C55010">
              <w:rPr>
                <w:noProof/>
                <w:webHidden/>
              </w:rPr>
              <w:tab/>
            </w:r>
            <w:r w:rsidR="00C55010">
              <w:rPr>
                <w:noProof/>
                <w:webHidden/>
              </w:rPr>
              <w:fldChar w:fldCharType="begin"/>
            </w:r>
            <w:r w:rsidR="00C55010">
              <w:rPr>
                <w:noProof/>
                <w:webHidden/>
              </w:rPr>
              <w:instrText xml:space="preserve"> PAGEREF _Toc157759536 \h </w:instrText>
            </w:r>
            <w:r w:rsidR="00C55010">
              <w:rPr>
                <w:noProof/>
                <w:webHidden/>
              </w:rPr>
            </w:r>
            <w:r w:rsidR="00C55010">
              <w:rPr>
                <w:noProof/>
                <w:webHidden/>
              </w:rPr>
              <w:fldChar w:fldCharType="separate"/>
            </w:r>
            <w:r w:rsidR="00C55010">
              <w:rPr>
                <w:noProof/>
                <w:webHidden/>
              </w:rPr>
              <w:t>122</w:t>
            </w:r>
            <w:r w:rsidR="00C55010">
              <w:rPr>
                <w:noProof/>
                <w:webHidden/>
              </w:rPr>
              <w:fldChar w:fldCharType="end"/>
            </w:r>
          </w:hyperlink>
        </w:p>
        <w:p w14:paraId="3FFBC753" w14:textId="73C30CF7"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37" w:history="1">
            <w:r w:rsidR="00C55010" w:rsidRPr="007C6D83">
              <w:rPr>
                <w:rStyle w:val="Hyperlink"/>
                <w:iCs/>
                <w:noProof/>
              </w:rPr>
              <w:t>3</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Method</w:t>
            </w:r>
            <w:r w:rsidR="00C55010">
              <w:rPr>
                <w:noProof/>
                <w:webHidden/>
              </w:rPr>
              <w:tab/>
            </w:r>
            <w:r w:rsidR="00C55010">
              <w:rPr>
                <w:noProof/>
                <w:webHidden/>
              </w:rPr>
              <w:fldChar w:fldCharType="begin"/>
            </w:r>
            <w:r w:rsidR="00C55010">
              <w:rPr>
                <w:noProof/>
                <w:webHidden/>
              </w:rPr>
              <w:instrText xml:space="preserve"> PAGEREF _Toc157759537 \h </w:instrText>
            </w:r>
            <w:r w:rsidR="00C55010">
              <w:rPr>
                <w:noProof/>
                <w:webHidden/>
              </w:rPr>
            </w:r>
            <w:r w:rsidR="00C55010">
              <w:rPr>
                <w:noProof/>
                <w:webHidden/>
              </w:rPr>
              <w:fldChar w:fldCharType="separate"/>
            </w:r>
            <w:r w:rsidR="00C55010">
              <w:rPr>
                <w:noProof/>
                <w:webHidden/>
              </w:rPr>
              <w:t>123</w:t>
            </w:r>
            <w:r w:rsidR="00C55010">
              <w:rPr>
                <w:noProof/>
                <w:webHidden/>
              </w:rPr>
              <w:fldChar w:fldCharType="end"/>
            </w:r>
          </w:hyperlink>
        </w:p>
        <w:p w14:paraId="391A8B07" w14:textId="447C9CF4"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38" w:history="1">
            <w:r w:rsidR="00C55010" w:rsidRPr="007C6D83">
              <w:rPr>
                <w:rStyle w:val="Hyperlink"/>
                <w:noProof/>
              </w:rPr>
              <w:t>3.1</w:t>
            </w:r>
            <w:r w:rsidR="00C55010">
              <w:rPr>
                <w:rFonts w:asciiTheme="minorHAnsi" w:eastAsiaTheme="minorEastAsia" w:hAnsiTheme="minorHAnsi" w:cstheme="minorBidi"/>
                <w:noProof/>
                <w:sz w:val="22"/>
                <w:szCs w:val="22"/>
                <w:lang w:eastAsia="zh-CN"/>
              </w:rPr>
              <w:tab/>
            </w:r>
            <w:r w:rsidR="00C55010" w:rsidRPr="007C6D83">
              <w:rPr>
                <w:rStyle w:val="Hyperlink"/>
                <w:noProof/>
              </w:rPr>
              <w:t>Design of the Delphi-like study</w:t>
            </w:r>
            <w:r w:rsidR="00C55010">
              <w:rPr>
                <w:noProof/>
                <w:webHidden/>
              </w:rPr>
              <w:tab/>
            </w:r>
            <w:r w:rsidR="00C55010">
              <w:rPr>
                <w:noProof/>
                <w:webHidden/>
              </w:rPr>
              <w:fldChar w:fldCharType="begin"/>
            </w:r>
            <w:r w:rsidR="00C55010">
              <w:rPr>
                <w:noProof/>
                <w:webHidden/>
              </w:rPr>
              <w:instrText xml:space="preserve"> PAGEREF _Toc157759538 \h </w:instrText>
            </w:r>
            <w:r w:rsidR="00C55010">
              <w:rPr>
                <w:noProof/>
                <w:webHidden/>
              </w:rPr>
            </w:r>
            <w:r w:rsidR="00C55010">
              <w:rPr>
                <w:noProof/>
                <w:webHidden/>
              </w:rPr>
              <w:fldChar w:fldCharType="separate"/>
            </w:r>
            <w:r w:rsidR="00C55010">
              <w:rPr>
                <w:noProof/>
                <w:webHidden/>
              </w:rPr>
              <w:t>123</w:t>
            </w:r>
            <w:r w:rsidR="00C55010">
              <w:rPr>
                <w:noProof/>
                <w:webHidden/>
              </w:rPr>
              <w:fldChar w:fldCharType="end"/>
            </w:r>
          </w:hyperlink>
        </w:p>
        <w:p w14:paraId="4A545725" w14:textId="136D6F96"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39" w:history="1">
            <w:r w:rsidR="00C55010" w:rsidRPr="007C6D83">
              <w:rPr>
                <w:rStyle w:val="Hyperlink"/>
                <w:noProof/>
              </w:rPr>
              <w:t>3.2</w:t>
            </w:r>
            <w:r w:rsidR="00C55010">
              <w:rPr>
                <w:rFonts w:asciiTheme="minorHAnsi" w:eastAsiaTheme="minorEastAsia" w:hAnsiTheme="minorHAnsi" w:cstheme="minorBidi"/>
                <w:noProof/>
                <w:sz w:val="22"/>
                <w:szCs w:val="22"/>
                <w:lang w:eastAsia="zh-CN"/>
              </w:rPr>
              <w:tab/>
            </w:r>
            <w:r w:rsidR="00C55010" w:rsidRPr="007C6D83">
              <w:rPr>
                <w:rStyle w:val="Hyperlink"/>
                <w:noProof/>
              </w:rPr>
              <w:t>Interview data analysis</w:t>
            </w:r>
            <w:r w:rsidR="00C55010">
              <w:rPr>
                <w:noProof/>
                <w:webHidden/>
              </w:rPr>
              <w:tab/>
            </w:r>
            <w:r w:rsidR="00C55010">
              <w:rPr>
                <w:noProof/>
                <w:webHidden/>
              </w:rPr>
              <w:fldChar w:fldCharType="begin"/>
            </w:r>
            <w:r w:rsidR="00C55010">
              <w:rPr>
                <w:noProof/>
                <w:webHidden/>
              </w:rPr>
              <w:instrText xml:space="preserve"> PAGEREF _Toc157759539 \h </w:instrText>
            </w:r>
            <w:r w:rsidR="00C55010">
              <w:rPr>
                <w:noProof/>
                <w:webHidden/>
              </w:rPr>
            </w:r>
            <w:r w:rsidR="00C55010">
              <w:rPr>
                <w:noProof/>
                <w:webHidden/>
              </w:rPr>
              <w:fldChar w:fldCharType="separate"/>
            </w:r>
            <w:r w:rsidR="00C55010">
              <w:rPr>
                <w:noProof/>
                <w:webHidden/>
              </w:rPr>
              <w:t>125</w:t>
            </w:r>
            <w:r w:rsidR="00C55010">
              <w:rPr>
                <w:noProof/>
                <w:webHidden/>
              </w:rPr>
              <w:fldChar w:fldCharType="end"/>
            </w:r>
          </w:hyperlink>
        </w:p>
        <w:p w14:paraId="20A00AD9" w14:textId="22A0D03B"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40" w:history="1">
            <w:r w:rsidR="00C55010" w:rsidRPr="007C6D83">
              <w:rPr>
                <w:rStyle w:val="Hyperlink"/>
                <w:noProof/>
                <w:lang w:val="fr-FR"/>
              </w:rPr>
              <w:t>3.3</w:t>
            </w:r>
            <w:r w:rsidR="00C55010">
              <w:rPr>
                <w:rFonts w:asciiTheme="minorHAnsi" w:eastAsiaTheme="minorEastAsia" w:hAnsiTheme="minorHAnsi" w:cstheme="minorBidi"/>
                <w:noProof/>
                <w:sz w:val="22"/>
                <w:szCs w:val="22"/>
                <w:lang w:eastAsia="zh-CN"/>
              </w:rPr>
              <w:tab/>
            </w:r>
            <w:r w:rsidR="00C55010" w:rsidRPr="007C6D83">
              <w:rPr>
                <w:rStyle w:val="Hyperlink"/>
                <w:noProof/>
                <w:lang w:val="fr-FR"/>
              </w:rPr>
              <w:t>Final validation</w:t>
            </w:r>
            <w:r w:rsidR="00C55010">
              <w:rPr>
                <w:noProof/>
                <w:webHidden/>
              </w:rPr>
              <w:tab/>
            </w:r>
            <w:r w:rsidR="00C55010">
              <w:rPr>
                <w:noProof/>
                <w:webHidden/>
              </w:rPr>
              <w:fldChar w:fldCharType="begin"/>
            </w:r>
            <w:r w:rsidR="00C55010">
              <w:rPr>
                <w:noProof/>
                <w:webHidden/>
              </w:rPr>
              <w:instrText xml:space="preserve"> PAGEREF _Toc157759540 \h </w:instrText>
            </w:r>
            <w:r w:rsidR="00C55010">
              <w:rPr>
                <w:noProof/>
                <w:webHidden/>
              </w:rPr>
            </w:r>
            <w:r w:rsidR="00C55010">
              <w:rPr>
                <w:noProof/>
                <w:webHidden/>
              </w:rPr>
              <w:fldChar w:fldCharType="separate"/>
            </w:r>
            <w:r w:rsidR="00C55010">
              <w:rPr>
                <w:noProof/>
                <w:webHidden/>
              </w:rPr>
              <w:t>126</w:t>
            </w:r>
            <w:r w:rsidR="00C55010">
              <w:rPr>
                <w:noProof/>
                <w:webHidden/>
              </w:rPr>
              <w:fldChar w:fldCharType="end"/>
            </w:r>
          </w:hyperlink>
        </w:p>
        <w:p w14:paraId="36CCE998" w14:textId="2B057D0F"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41" w:history="1">
            <w:r w:rsidR="00C55010" w:rsidRPr="007C6D83">
              <w:rPr>
                <w:rStyle w:val="Hyperlink"/>
                <w:iCs/>
                <w:noProof/>
              </w:rPr>
              <w:t>4</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Findings</w:t>
            </w:r>
            <w:r w:rsidR="00C55010">
              <w:rPr>
                <w:noProof/>
                <w:webHidden/>
              </w:rPr>
              <w:tab/>
            </w:r>
            <w:r w:rsidR="00C55010">
              <w:rPr>
                <w:noProof/>
                <w:webHidden/>
              </w:rPr>
              <w:fldChar w:fldCharType="begin"/>
            </w:r>
            <w:r w:rsidR="00C55010">
              <w:rPr>
                <w:noProof/>
                <w:webHidden/>
              </w:rPr>
              <w:instrText xml:space="preserve"> PAGEREF _Toc157759541 \h </w:instrText>
            </w:r>
            <w:r w:rsidR="00C55010">
              <w:rPr>
                <w:noProof/>
                <w:webHidden/>
              </w:rPr>
            </w:r>
            <w:r w:rsidR="00C55010">
              <w:rPr>
                <w:noProof/>
                <w:webHidden/>
              </w:rPr>
              <w:fldChar w:fldCharType="separate"/>
            </w:r>
            <w:r w:rsidR="00C55010">
              <w:rPr>
                <w:noProof/>
                <w:webHidden/>
              </w:rPr>
              <w:t>126</w:t>
            </w:r>
            <w:r w:rsidR="00C55010">
              <w:rPr>
                <w:noProof/>
                <w:webHidden/>
              </w:rPr>
              <w:fldChar w:fldCharType="end"/>
            </w:r>
          </w:hyperlink>
        </w:p>
        <w:p w14:paraId="6E2A3FFC" w14:textId="707731CE"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42" w:history="1">
            <w:r w:rsidR="00C55010" w:rsidRPr="007C6D83">
              <w:rPr>
                <w:rStyle w:val="Hyperlink"/>
                <w:noProof/>
              </w:rPr>
              <w:t>4.1</w:t>
            </w:r>
            <w:r w:rsidR="00C55010">
              <w:rPr>
                <w:rFonts w:asciiTheme="minorHAnsi" w:eastAsiaTheme="minorEastAsia" w:hAnsiTheme="minorHAnsi" w:cstheme="minorBidi"/>
                <w:noProof/>
                <w:sz w:val="22"/>
                <w:szCs w:val="22"/>
                <w:lang w:eastAsia="zh-CN"/>
              </w:rPr>
              <w:tab/>
            </w:r>
            <w:r w:rsidR="00C55010" w:rsidRPr="007C6D83">
              <w:rPr>
                <w:rStyle w:val="Hyperlink"/>
                <w:noProof/>
              </w:rPr>
              <w:t>Preliminary Observations: Round 1</w:t>
            </w:r>
            <w:r w:rsidR="00C55010">
              <w:rPr>
                <w:noProof/>
                <w:webHidden/>
              </w:rPr>
              <w:tab/>
            </w:r>
            <w:r w:rsidR="00C55010">
              <w:rPr>
                <w:noProof/>
                <w:webHidden/>
              </w:rPr>
              <w:fldChar w:fldCharType="begin"/>
            </w:r>
            <w:r w:rsidR="00C55010">
              <w:rPr>
                <w:noProof/>
                <w:webHidden/>
              </w:rPr>
              <w:instrText xml:space="preserve"> PAGEREF _Toc157759542 \h </w:instrText>
            </w:r>
            <w:r w:rsidR="00C55010">
              <w:rPr>
                <w:noProof/>
                <w:webHidden/>
              </w:rPr>
            </w:r>
            <w:r w:rsidR="00C55010">
              <w:rPr>
                <w:noProof/>
                <w:webHidden/>
              </w:rPr>
              <w:fldChar w:fldCharType="separate"/>
            </w:r>
            <w:r w:rsidR="00C55010">
              <w:rPr>
                <w:noProof/>
                <w:webHidden/>
              </w:rPr>
              <w:t>126</w:t>
            </w:r>
            <w:r w:rsidR="00C55010">
              <w:rPr>
                <w:noProof/>
                <w:webHidden/>
              </w:rPr>
              <w:fldChar w:fldCharType="end"/>
            </w:r>
          </w:hyperlink>
        </w:p>
        <w:p w14:paraId="65E5A998" w14:textId="227AEF34"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43" w:history="1">
            <w:r w:rsidR="00C55010" w:rsidRPr="007C6D83">
              <w:rPr>
                <w:rStyle w:val="Hyperlink"/>
                <w:noProof/>
              </w:rPr>
              <w:t>4.2</w:t>
            </w:r>
            <w:r w:rsidR="00C55010">
              <w:rPr>
                <w:rFonts w:asciiTheme="minorHAnsi" w:eastAsiaTheme="minorEastAsia" w:hAnsiTheme="minorHAnsi" w:cstheme="minorBidi"/>
                <w:noProof/>
                <w:sz w:val="22"/>
                <w:szCs w:val="22"/>
                <w:lang w:eastAsia="zh-CN"/>
              </w:rPr>
              <w:tab/>
            </w:r>
            <w:r w:rsidR="00C55010" w:rsidRPr="007C6D83">
              <w:rPr>
                <w:rStyle w:val="Hyperlink"/>
                <w:noProof/>
              </w:rPr>
              <w:t>Qualitative exploration: Rounds 2 and 3</w:t>
            </w:r>
            <w:r w:rsidR="00C55010">
              <w:rPr>
                <w:noProof/>
                <w:webHidden/>
              </w:rPr>
              <w:tab/>
            </w:r>
            <w:r w:rsidR="00C55010">
              <w:rPr>
                <w:noProof/>
                <w:webHidden/>
              </w:rPr>
              <w:fldChar w:fldCharType="begin"/>
            </w:r>
            <w:r w:rsidR="00C55010">
              <w:rPr>
                <w:noProof/>
                <w:webHidden/>
              </w:rPr>
              <w:instrText xml:space="preserve"> PAGEREF _Toc157759543 \h </w:instrText>
            </w:r>
            <w:r w:rsidR="00C55010">
              <w:rPr>
                <w:noProof/>
                <w:webHidden/>
              </w:rPr>
            </w:r>
            <w:r w:rsidR="00C55010">
              <w:rPr>
                <w:noProof/>
                <w:webHidden/>
              </w:rPr>
              <w:fldChar w:fldCharType="separate"/>
            </w:r>
            <w:r w:rsidR="00C55010">
              <w:rPr>
                <w:noProof/>
                <w:webHidden/>
              </w:rPr>
              <w:t>127</w:t>
            </w:r>
            <w:r w:rsidR="00C55010">
              <w:rPr>
                <w:noProof/>
                <w:webHidden/>
              </w:rPr>
              <w:fldChar w:fldCharType="end"/>
            </w:r>
          </w:hyperlink>
        </w:p>
        <w:p w14:paraId="36A82095" w14:textId="0F105E3B"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44" w:history="1">
            <w:r w:rsidR="00C55010" w:rsidRPr="007C6D83">
              <w:rPr>
                <w:rStyle w:val="Hyperlink"/>
                <w:iCs/>
                <w:noProof/>
              </w:rPr>
              <w:t>5</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Implications</w:t>
            </w:r>
            <w:r w:rsidR="00C55010">
              <w:rPr>
                <w:noProof/>
                <w:webHidden/>
              </w:rPr>
              <w:tab/>
            </w:r>
            <w:r w:rsidR="00C55010">
              <w:rPr>
                <w:noProof/>
                <w:webHidden/>
              </w:rPr>
              <w:fldChar w:fldCharType="begin"/>
            </w:r>
            <w:r w:rsidR="00C55010">
              <w:rPr>
                <w:noProof/>
                <w:webHidden/>
              </w:rPr>
              <w:instrText xml:space="preserve"> PAGEREF _Toc157759544 \h </w:instrText>
            </w:r>
            <w:r w:rsidR="00C55010">
              <w:rPr>
                <w:noProof/>
                <w:webHidden/>
              </w:rPr>
            </w:r>
            <w:r w:rsidR="00C55010">
              <w:rPr>
                <w:noProof/>
                <w:webHidden/>
              </w:rPr>
              <w:fldChar w:fldCharType="separate"/>
            </w:r>
            <w:r w:rsidR="00C55010">
              <w:rPr>
                <w:noProof/>
                <w:webHidden/>
              </w:rPr>
              <w:t>142</w:t>
            </w:r>
            <w:r w:rsidR="00C55010">
              <w:rPr>
                <w:noProof/>
                <w:webHidden/>
              </w:rPr>
              <w:fldChar w:fldCharType="end"/>
            </w:r>
          </w:hyperlink>
        </w:p>
        <w:p w14:paraId="6AF6D156" w14:textId="4FCD562D"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45" w:history="1">
            <w:r w:rsidR="00C55010" w:rsidRPr="007C6D83">
              <w:rPr>
                <w:rStyle w:val="Hyperlink"/>
                <w:noProof/>
              </w:rPr>
              <w:t>5.1</w:t>
            </w:r>
            <w:r w:rsidR="00C55010">
              <w:rPr>
                <w:rFonts w:asciiTheme="minorHAnsi" w:eastAsiaTheme="minorEastAsia" w:hAnsiTheme="minorHAnsi" w:cstheme="minorBidi"/>
                <w:noProof/>
                <w:sz w:val="22"/>
                <w:szCs w:val="22"/>
                <w:lang w:eastAsia="zh-CN"/>
              </w:rPr>
              <w:tab/>
            </w:r>
            <w:r w:rsidR="00C55010" w:rsidRPr="007C6D83">
              <w:rPr>
                <w:rStyle w:val="Hyperlink"/>
                <w:noProof/>
              </w:rPr>
              <w:t>An emerging qualitative framework: compliance versus proactive trajectories to the transition to a Circular Economy</w:t>
            </w:r>
            <w:r w:rsidR="00C55010">
              <w:rPr>
                <w:noProof/>
                <w:webHidden/>
              </w:rPr>
              <w:tab/>
            </w:r>
            <w:r w:rsidR="00C55010">
              <w:rPr>
                <w:noProof/>
                <w:webHidden/>
              </w:rPr>
              <w:fldChar w:fldCharType="begin"/>
            </w:r>
            <w:r w:rsidR="00C55010">
              <w:rPr>
                <w:noProof/>
                <w:webHidden/>
              </w:rPr>
              <w:instrText xml:space="preserve"> PAGEREF _Toc157759545 \h </w:instrText>
            </w:r>
            <w:r w:rsidR="00C55010">
              <w:rPr>
                <w:noProof/>
                <w:webHidden/>
              </w:rPr>
            </w:r>
            <w:r w:rsidR="00C55010">
              <w:rPr>
                <w:noProof/>
                <w:webHidden/>
              </w:rPr>
              <w:fldChar w:fldCharType="separate"/>
            </w:r>
            <w:r w:rsidR="00C55010">
              <w:rPr>
                <w:noProof/>
                <w:webHidden/>
              </w:rPr>
              <w:t>142</w:t>
            </w:r>
            <w:r w:rsidR="00C55010">
              <w:rPr>
                <w:noProof/>
                <w:webHidden/>
              </w:rPr>
              <w:fldChar w:fldCharType="end"/>
            </w:r>
          </w:hyperlink>
        </w:p>
        <w:p w14:paraId="19C9CEF3" w14:textId="670126B5"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46" w:history="1">
            <w:r w:rsidR="00C55010" w:rsidRPr="007C6D83">
              <w:rPr>
                <w:rStyle w:val="Hyperlink"/>
                <w:noProof/>
              </w:rPr>
              <w:t>5.2</w:t>
            </w:r>
            <w:r w:rsidR="00C55010">
              <w:rPr>
                <w:rFonts w:asciiTheme="minorHAnsi" w:eastAsiaTheme="minorEastAsia" w:hAnsiTheme="minorHAnsi" w:cstheme="minorBidi"/>
                <w:noProof/>
                <w:sz w:val="22"/>
                <w:szCs w:val="22"/>
                <w:lang w:eastAsia="zh-CN"/>
              </w:rPr>
              <w:tab/>
            </w:r>
            <w:r w:rsidR="00C55010" w:rsidRPr="007C6D83">
              <w:rPr>
                <w:rStyle w:val="Hyperlink"/>
                <w:noProof/>
              </w:rPr>
              <w:t>Contribution to theory and practice</w:t>
            </w:r>
            <w:r w:rsidR="00C55010">
              <w:rPr>
                <w:noProof/>
                <w:webHidden/>
              </w:rPr>
              <w:tab/>
            </w:r>
            <w:r w:rsidR="00C55010">
              <w:rPr>
                <w:noProof/>
                <w:webHidden/>
              </w:rPr>
              <w:fldChar w:fldCharType="begin"/>
            </w:r>
            <w:r w:rsidR="00C55010">
              <w:rPr>
                <w:noProof/>
                <w:webHidden/>
              </w:rPr>
              <w:instrText xml:space="preserve"> PAGEREF _Toc157759546 \h </w:instrText>
            </w:r>
            <w:r w:rsidR="00C55010">
              <w:rPr>
                <w:noProof/>
                <w:webHidden/>
              </w:rPr>
            </w:r>
            <w:r w:rsidR="00C55010">
              <w:rPr>
                <w:noProof/>
                <w:webHidden/>
              </w:rPr>
              <w:fldChar w:fldCharType="separate"/>
            </w:r>
            <w:r w:rsidR="00C55010">
              <w:rPr>
                <w:noProof/>
                <w:webHidden/>
              </w:rPr>
              <w:t>145</w:t>
            </w:r>
            <w:r w:rsidR="00C55010">
              <w:rPr>
                <w:noProof/>
                <w:webHidden/>
              </w:rPr>
              <w:fldChar w:fldCharType="end"/>
            </w:r>
          </w:hyperlink>
        </w:p>
        <w:p w14:paraId="6E14F9BF" w14:textId="546A32BE"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47" w:history="1">
            <w:r w:rsidR="00C55010" w:rsidRPr="007C6D83">
              <w:rPr>
                <w:rStyle w:val="Hyperlink"/>
                <w:noProof/>
              </w:rPr>
              <w:t>5.3</w:t>
            </w:r>
            <w:r w:rsidR="00C55010">
              <w:rPr>
                <w:rFonts w:asciiTheme="minorHAnsi" w:eastAsiaTheme="minorEastAsia" w:hAnsiTheme="minorHAnsi" w:cstheme="minorBidi"/>
                <w:noProof/>
                <w:sz w:val="22"/>
                <w:szCs w:val="22"/>
                <w:lang w:eastAsia="zh-CN"/>
              </w:rPr>
              <w:tab/>
            </w:r>
            <w:r w:rsidR="00C55010" w:rsidRPr="007C6D83">
              <w:rPr>
                <w:rStyle w:val="Hyperlink"/>
                <w:noProof/>
              </w:rPr>
              <w:t>Insights for the operationalisation of constructs</w:t>
            </w:r>
            <w:r w:rsidR="00C55010">
              <w:rPr>
                <w:noProof/>
                <w:webHidden/>
              </w:rPr>
              <w:tab/>
            </w:r>
            <w:r w:rsidR="00C55010">
              <w:rPr>
                <w:noProof/>
                <w:webHidden/>
              </w:rPr>
              <w:fldChar w:fldCharType="begin"/>
            </w:r>
            <w:r w:rsidR="00C55010">
              <w:rPr>
                <w:noProof/>
                <w:webHidden/>
              </w:rPr>
              <w:instrText xml:space="preserve"> PAGEREF _Toc157759547 \h </w:instrText>
            </w:r>
            <w:r w:rsidR="00C55010">
              <w:rPr>
                <w:noProof/>
                <w:webHidden/>
              </w:rPr>
            </w:r>
            <w:r w:rsidR="00C55010">
              <w:rPr>
                <w:noProof/>
                <w:webHidden/>
              </w:rPr>
              <w:fldChar w:fldCharType="separate"/>
            </w:r>
            <w:r w:rsidR="00C55010">
              <w:rPr>
                <w:noProof/>
                <w:webHidden/>
              </w:rPr>
              <w:t>146</w:t>
            </w:r>
            <w:r w:rsidR="00C55010">
              <w:rPr>
                <w:noProof/>
                <w:webHidden/>
              </w:rPr>
              <w:fldChar w:fldCharType="end"/>
            </w:r>
          </w:hyperlink>
        </w:p>
        <w:p w14:paraId="35BDFA71" w14:textId="19E5C9E5"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48" w:history="1">
            <w:r w:rsidR="00C55010" w:rsidRPr="007C6D83">
              <w:rPr>
                <w:rStyle w:val="Hyperlink"/>
                <w:iCs/>
                <w:noProof/>
              </w:rPr>
              <w:t>6</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Conclusions</w:t>
            </w:r>
            <w:r w:rsidR="00C55010">
              <w:rPr>
                <w:noProof/>
                <w:webHidden/>
              </w:rPr>
              <w:tab/>
            </w:r>
            <w:r w:rsidR="00C55010">
              <w:rPr>
                <w:noProof/>
                <w:webHidden/>
              </w:rPr>
              <w:fldChar w:fldCharType="begin"/>
            </w:r>
            <w:r w:rsidR="00C55010">
              <w:rPr>
                <w:noProof/>
                <w:webHidden/>
              </w:rPr>
              <w:instrText xml:space="preserve"> PAGEREF _Toc157759548 \h </w:instrText>
            </w:r>
            <w:r w:rsidR="00C55010">
              <w:rPr>
                <w:noProof/>
                <w:webHidden/>
              </w:rPr>
            </w:r>
            <w:r w:rsidR="00C55010">
              <w:rPr>
                <w:noProof/>
                <w:webHidden/>
              </w:rPr>
              <w:fldChar w:fldCharType="separate"/>
            </w:r>
            <w:r w:rsidR="00C55010">
              <w:rPr>
                <w:noProof/>
                <w:webHidden/>
              </w:rPr>
              <w:t>147</w:t>
            </w:r>
            <w:r w:rsidR="00C55010">
              <w:rPr>
                <w:noProof/>
                <w:webHidden/>
              </w:rPr>
              <w:fldChar w:fldCharType="end"/>
            </w:r>
          </w:hyperlink>
        </w:p>
        <w:p w14:paraId="543D83D0" w14:textId="41B8F0FE"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49" w:history="1">
            <w:r w:rsidR="00C55010" w:rsidRPr="007C6D83">
              <w:rPr>
                <w:rStyle w:val="Hyperlink"/>
                <w:noProof/>
              </w:rPr>
              <w:t>Acknowledgments</w:t>
            </w:r>
            <w:r w:rsidR="00C55010">
              <w:rPr>
                <w:noProof/>
                <w:webHidden/>
              </w:rPr>
              <w:tab/>
            </w:r>
            <w:r w:rsidR="00C55010">
              <w:rPr>
                <w:noProof/>
                <w:webHidden/>
              </w:rPr>
              <w:fldChar w:fldCharType="begin"/>
            </w:r>
            <w:r w:rsidR="00C55010">
              <w:rPr>
                <w:noProof/>
                <w:webHidden/>
              </w:rPr>
              <w:instrText xml:space="preserve"> PAGEREF _Toc157759549 \h </w:instrText>
            </w:r>
            <w:r w:rsidR="00C55010">
              <w:rPr>
                <w:noProof/>
                <w:webHidden/>
              </w:rPr>
            </w:r>
            <w:r w:rsidR="00C55010">
              <w:rPr>
                <w:noProof/>
                <w:webHidden/>
              </w:rPr>
              <w:fldChar w:fldCharType="separate"/>
            </w:r>
            <w:r w:rsidR="00C55010">
              <w:rPr>
                <w:noProof/>
                <w:webHidden/>
              </w:rPr>
              <w:t>148</w:t>
            </w:r>
            <w:r w:rsidR="00C55010">
              <w:rPr>
                <w:noProof/>
                <w:webHidden/>
              </w:rPr>
              <w:fldChar w:fldCharType="end"/>
            </w:r>
          </w:hyperlink>
        </w:p>
        <w:p w14:paraId="56F69655" w14:textId="04FEDCEA"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50" w:history="1">
            <w:r w:rsidR="00C55010" w:rsidRPr="007C6D83">
              <w:rPr>
                <w:rStyle w:val="Hyperlink"/>
                <w:noProof/>
              </w:rPr>
              <w:t>References</w:t>
            </w:r>
            <w:r w:rsidR="00C55010">
              <w:rPr>
                <w:noProof/>
                <w:webHidden/>
              </w:rPr>
              <w:tab/>
            </w:r>
            <w:r w:rsidR="00C55010">
              <w:rPr>
                <w:noProof/>
                <w:webHidden/>
              </w:rPr>
              <w:fldChar w:fldCharType="begin"/>
            </w:r>
            <w:r w:rsidR="00C55010">
              <w:rPr>
                <w:noProof/>
                <w:webHidden/>
              </w:rPr>
              <w:instrText xml:space="preserve"> PAGEREF _Toc157759550 \h </w:instrText>
            </w:r>
            <w:r w:rsidR="00C55010">
              <w:rPr>
                <w:noProof/>
                <w:webHidden/>
              </w:rPr>
            </w:r>
            <w:r w:rsidR="00C55010">
              <w:rPr>
                <w:noProof/>
                <w:webHidden/>
              </w:rPr>
              <w:fldChar w:fldCharType="separate"/>
            </w:r>
            <w:r w:rsidR="00C55010">
              <w:rPr>
                <w:noProof/>
                <w:webHidden/>
              </w:rPr>
              <w:t>151</w:t>
            </w:r>
            <w:r w:rsidR="00C55010">
              <w:rPr>
                <w:noProof/>
                <w:webHidden/>
              </w:rPr>
              <w:fldChar w:fldCharType="end"/>
            </w:r>
          </w:hyperlink>
        </w:p>
        <w:p w14:paraId="4CF21791" w14:textId="267BE57B"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51" w:history="1">
            <w:r w:rsidR="00C55010" w:rsidRPr="007C6D83">
              <w:rPr>
                <w:rStyle w:val="Hyperlink"/>
                <w:noProof/>
              </w:rPr>
              <w:t>Appendix 5A</w:t>
            </w:r>
            <w:r w:rsidR="00C55010">
              <w:rPr>
                <w:noProof/>
                <w:webHidden/>
              </w:rPr>
              <w:tab/>
            </w:r>
            <w:r w:rsidR="00C55010">
              <w:rPr>
                <w:noProof/>
                <w:webHidden/>
              </w:rPr>
              <w:fldChar w:fldCharType="begin"/>
            </w:r>
            <w:r w:rsidR="00C55010">
              <w:rPr>
                <w:noProof/>
                <w:webHidden/>
              </w:rPr>
              <w:instrText xml:space="preserve"> PAGEREF _Toc157759551 \h </w:instrText>
            </w:r>
            <w:r w:rsidR="00C55010">
              <w:rPr>
                <w:noProof/>
                <w:webHidden/>
              </w:rPr>
            </w:r>
            <w:r w:rsidR="00C55010">
              <w:rPr>
                <w:noProof/>
                <w:webHidden/>
              </w:rPr>
              <w:fldChar w:fldCharType="separate"/>
            </w:r>
            <w:r w:rsidR="00C55010">
              <w:rPr>
                <w:noProof/>
                <w:webHidden/>
              </w:rPr>
              <w:t>159</w:t>
            </w:r>
            <w:r w:rsidR="00C55010">
              <w:rPr>
                <w:noProof/>
                <w:webHidden/>
              </w:rPr>
              <w:fldChar w:fldCharType="end"/>
            </w:r>
          </w:hyperlink>
        </w:p>
        <w:p w14:paraId="7E7EE399" w14:textId="03196CB2"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52" w:history="1">
            <w:r w:rsidR="00C55010" w:rsidRPr="007C6D83">
              <w:rPr>
                <w:rStyle w:val="Hyperlink"/>
                <w:noProof/>
              </w:rPr>
              <w:t>Appendix 5B</w:t>
            </w:r>
            <w:r w:rsidR="00C55010">
              <w:rPr>
                <w:noProof/>
                <w:webHidden/>
              </w:rPr>
              <w:tab/>
            </w:r>
            <w:r w:rsidR="00C55010">
              <w:rPr>
                <w:noProof/>
                <w:webHidden/>
              </w:rPr>
              <w:fldChar w:fldCharType="begin"/>
            </w:r>
            <w:r w:rsidR="00C55010">
              <w:rPr>
                <w:noProof/>
                <w:webHidden/>
              </w:rPr>
              <w:instrText xml:space="preserve"> PAGEREF _Toc157759552 \h </w:instrText>
            </w:r>
            <w:r w:rsidR="00C55010">
              <w:rPr>
                <w:noProof/>
                <w:webHidden/>
              </w:rPr>
            </w:r>
            <w:r w:rsidR="00C55010">
              <w:rPr>
                <w:noProof/>
                <w:webHidden/>
              </w:rPr>
              <w:fldChar w:fldCharType="separate"/>
            </w:r>
            <w:r w:rsidR="00C55010">
              <w:rPr>
                <w:noProof/>
                <w:webHidden/>
              </w:rPr>
              <w:t>162</w:t>
            </w:r>
            <w:r w:rsidR="00C55010">
              <w:rPr>
                <w:noProof/>
                <w:webHidden/>
              </w:rPr>
              <w:fldChar w:fldCharType="end"/>
            </w:r>
          </w:hyperlink>
        </w:p>
        <w:p w14:paraId="64EE6130" w14:textId="27FFDB7A" w:rsidR="00C55010" w:rsidRDefault="00C80BFD">
          <w:pPr>
            <w:pStyle w:val="TOC1"/>
            <w:tabs>
              <w:tab w:val="left" w:pos="1760"/>
            </w:tabs>
            <w:rPr>
              <w:rFonts w:asciiTheme="minorHAnsi" w:eastAsiaTheme="minorEastAsia" w:hAnsiTheme="minorHAnsi" w:cstheme="minorBidi"/>
              <w:b w:val="0"/>
              <w:bCs w:val="0"/>
              <w:i w:val="0"/>
              <w:iCs w:val="0"/>
              <w:noProof/>
              <w:sz w:val="22"/>
              <w:szCs w:val="22"/>
              <w:lang w:eastAsia="zh-CN"/>
            </w:rPr>
          </w:pPr>
          <w:hyperlink w:anchor="_Toc157759553" w:history="1">
            <w:r w:rsidR="00C55010" w:rsidRPr="007C6D83">
              <w:rPr>
                <w:rStyle w:val="Hyperlink"/>
                <w:noProof/>
              </w:rPr>
              <w:t>CHAPTER 6</w:t>
            </w:r>
            <w:r w:rsidR="00C55010">
              <w:rPr>
                <w:rFonts w:asciiTheme="minorHAnsi" w:eastAsiaTheme="minorEastAsia" w:hAnsiTheme="minorHAnsi" w:cstheme="minorBidi"/>
                <w:b w:val="0"/>
                <w:bCs w:val="0"/>
                <w:i w:val="0"/>
                <w:iCs w:val="0"/>
                <w:noProof/>
                <w:sz w:val="22"/>
                <w:szCs w:val="22"/>
                <w:lang w:eastAsia="zh-CN"/>
              </w:rPr>
              <w:tab/>
            </w:r>
            <w:r w:rsidR="00C55010" w:rsidRPr="007C6D83">
              <w:rPr>
                <w:rStyle w:val="Hyperlink"/>
                <w:noProof/>
              </w:rPr>
              <w:t>An Investigation into the Relationship among Institutional Pressures, Supply Chain Integration and the Adoption of Circular Economy Practices</w:t>
            </w:r>
            <w:r w:rsidR="00C55010">
              <w:rPr>
                <w:noProof/>
                <w:webHidden/>
              </w:rPr>
              <w:tab/>
            </w:r>
            <w:r w:rsidR="00C55010">
              <w:rPr>
                <w:noProof/>
                <w:webHidden/>
              </w:rPr>
              <w:fldChar w:fldCharType="begin"/>
            </w:r>
            <w:r w:rsidR="00C55010">
              <w:rPr>
                <w:noProof/>
                <w:webHidden/>
              </w:rPr>
              <w:instrText xml:space="preserve"> PAGEREF _Toc157759553 \h </w:instrText>
            </w:r>
            <w:r w:rsidR="00C55010">
              <w:rPr>
                <w:noProof/>
                <w:webHidden/>
              </w:rPr>
            </w:r>
            <w:r w:rsidR="00C55010">
              <w:rPr>
                <w:noProof/>
                <w:webHidden/>
              </w:rPr>
              <w:fldChar w:fldCharType="separate"/>
            </w:r>
            <w:r w:rsidR="00C55010">
              <w:rPr>
                <w:noProof/>
                <w:webHidden/>
              </w:rPr>
              <w:t>164</w:t>
            </w:r>
            <w:r w:rsidR="00C55010">
              <w:rPr>
                <w:noProof/>
                <w:webHidden/>
              </w:rPr>
              <w:fldChar w:fldCharType="end"/>
            </w:r>
          </w:hyperlink>
        </w:p>
        <w:p w14:paraId="28134AFA" w14:textId="1487F5C9"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54" w:history="1">
            <w:r w:rsidR="00C55010" w:rsidRPr="007C6D83">
              <w:rPr>
                <w:rStyle w:val="Hyperlink"/>
                <w:iCs/>
                <w:noProof/>
              </w:rPr>
              <w:t>1</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Introduction</w:t>
            </w:r>
            <w:r w:rsidR="00C55010">
              <w:rPr>
                <w:noProof/>
                <w:webHidden/>
              </w:rPr>
              <w:tab/>
            </w:r>
            <w:r w:rsidR="00C55010">
              <w:rPr>
                <w:noProof/>
                <w:webHidden/>
              </w:rPr>
              <w:fldChar w:fldCharType="begin"/>
            </w:r>
            <w:r w:rsidR="00C55010">
              <w:rPr>
                <w:noProof/>
                <w:webHidden/>
              </w:rPr>
              <w:instrText xml:space="preserve"> PAGEREF _Toc157759554 \h </w:instrText>
            </w:r>
            <w:r w:rsidR="00C55010">
              <w:rPr>
                <w:noProof/>
                <w:webHidden/>
              </w:rPr>
            </w:r>
            <w:r w:rsidR="00C55010">
              <w:rPr>
                <w:noProof/>
                <w:webHidden/>
              </w:rPr>
              <w:fldChar w:fldCharType="separate"/>
            </w:r>
            <w:r w:rsidR="00C55010">
              <w:rPr>
                <w:noProof/>
                <w:webHidden/>
              </w:rPr>
              <w:t>165</w:t>
            </w:r>
            <w:r w:rsidR="00C55010">
              <w:rPr>
                <w:noProof/>
                <w:webHidden/>
              </w:rPr>
              <w:fldChar w:fldCharType="end"/>
            </w:r>
          </w:hyperlink>
        </w:p>
        <w:p w14:paraId="073018D0" w14:textId="3253EF39"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55" w:history="1">
            <w:r w:rsidR="00C55010" w:rsidRPr="007C6D83">
              <w:rPr>
                <w:rStyle w:val="Hyperlink"/>
                <w:iCs/>
                <w:noProof/>
              </w:rPr>
              <w:t>2</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Literature Review</w:t>
            </w:r>
            <w:r w:rsidR="00C55010">
              <w:rPr>
                <w:noProof/>
                <w:webHidden/>
              </w:rPr>
              <w:tab/>
            </w:r>
            <w:r w:rsidR="00C55010">
              <w:rPr>
                <w:noProof/>
                <w:webHidden/>
              </w:rPr>
              <w:fldChar w:fldCharType="begin"/>
            </w:r>
            <w:r w:rsidR="00C55010">
              <w:rPr>
                <w:noProof/>
                <w:webHidden/>
              </w:rPr>
              <w:instrText xml:space="preserve"> PAGEREF _Toc157759555 \h </w:instrText>
            </w:r>
            <w:r w:rsidR="00C55010">
              <w:rPr>
                <w:noProof/>
                <w:webHidden/>
              </w:rPr>
            </w:r>
            <w:r w:rsidR="00C55010">
              <w:rPr>
                <w:noProof/>
                <w:webHidden/>
              </w:rPr>
              <w:fldChar w:fldCharType="separate"/>
            </w:r>
            <w:r w:rsidR="00C55010">
              <w:rPr>
                <w:noProof/>
                <w:webHidden/>
              </w:rPr>
              <w:t>166</w:t>
            </w:r>
            <w:r w:rsidR="00C55010">
              <w:rPr>
                <w:noProof/>
                <w:webHidden/>
              </w:rPr>
              <w:fldChar w:fldCharType="end"/>
            </w:r>
          </w:hyperlink>
        </w:p>
        <w:p w14:paraId="5B349BAF" w14:textId="75C26434"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56" w:history="1">
            <w:r w:rsidR="00C55010" w:rsidRPr="007C6D83">
              <w:rPr>
                <w:rStyle w:val="Hyperlink"/>
                <w:noProof/>
              </w:rPr>
              <w:t>2.1</w:t>
            </w:r>
            <w:r w:rsidR="00C55010">
              <w:rPr>
                <w:rFonts w:asciiTheme="minorHAnsi" w:eastAsiaTheme="minorEastAsia" w:hAnsiTheme="minorHAnsi" w:cstheme="minorBidi"/>
                <w:noProof/>
                <w:sz w:val="22"/>
                <w:szCs w:val="22"/>
                <w:lang w:eastAsia="zh-CN"/>
              </w:rPr>
              <w:tab/>
            </w:r>
            <w:r w:rsidR="00C55010" w:rsidRPr="007C6D83">
              <w:rPr>
                <w:rStyle w:val="Hyperlink"/>
                <w:noProof/>
              </w:rPr>
              <w:t>Theoretical foundations</w:t>
            </w:r>
            <w:r w:rsidR="00C55010">
              <w:rPr>
                <w:noProof/>
                <w:webHidden/>
              </w:rPr>
              <w:tab/>
            </w:r>
            <w:r w:rsidR="00C55010">
              <w:rPr>
                <w:noProof/>
                <w:webHidden/>
              </w:rPr>
              <w:fldChar w:fldCharType="begin"/>
            </w:r>
            <w:r w:rsidR="00C55010">
              <w:rPr>
                <w:noProof/>
                <w:webHidden/>
              </w:rPr>
              <w:instrText xml:space="preserve"> PAGEREF _Toc157759556 \h </w:instrText>
            </w:r>
            <w:r w:rsidR="00C55010">
              <w:rPr>
                <w:noProof/>
                <w:webHidden/>
              </w:rPr>
            </w:r>
            <w:r w:rsidR="00C55010">
              <w:rPr>
                <w:noProof/>
                <w:webHidden/>
              </w:rPr>
              <w:fldChar w:fldCharType="separate"/>
            </w:r>
            <w:r w:rsidR="00C55010">
              <w:rPr>
                <w:noProof/>
                <w:webHidden/>
              </w:rPr>
              <w:t>167</w:t>
            </w:r>
            <w:r w:rsidR="00C55010">
              <w:rPr>
                <w:noProof/>
                <w:webHidden/>
              </w:rPr>
              <w:fldChar w:fldCharType="end"/>
            </w:r>
          </w:hyperlink>
        </w:p>
        <w:p w14:paraId="0C45644A" w14:textId="2A83E450"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57" w:history="1">
            <w:r w:rsidR="00C55010" w:rsidRPr="007C6D83">
              <w:rPr>
                <w:rStyle w:val="Hyperlink"/>
                <w:noProof/>
              </w:rPr>
              <w:t>2.2</w:t>
            </w:r>
            <w:r w:rsidR="00C55010">
              <w:rPr>
                <w:rFonts w:asciiTheme="minorHAnsi" w:eastAsiaTheme="minorEastAsia" w:hAnsiTheme="minorHAnsi" w:cstheme="minorBidi"/>
                <w:noProof/>
                <w:sz w:val="22"/>
                <w:szCs w:val="22"/>
                <w:lang w:eastAsia="zh-CN"/>
              </w:rPr>
              <w:tab/>
            </w:r>
            <w:r w:rsidR="00C55010" w:rsidRPr="007C6D83">
              <w:rPr>
                <w:rStyle w:val="Hyperlink"/>
                <w:noProof/>
              </w:rPr>
              <w:t>Hypothesis development</w:t>
            </w:r>
            <w:r w:rsidR="00C55010">
              <w:rPr>
                <w:noProof/>
                <w:webHidden/>
              </w:rPr>
              <w:tab/>
            </w:r>
            <w:r w:rsidR="00C55010">
              <w:rPr>
                <w:noProof/>
                <w:webHidden/>
              </w:rPr>
              <w:fldChar w:fldCharType="begin"/>
            </w:r>
            <w:r w:rsidR="00C55010">
              <w:rPr>
                <w:noProof/>
                <w:webHidden/>
              </w:rPr>
              <w:instrText xml:space="preserve"> PAGEREF _Toc157759557 \h </w:instrText>
            </w:r>
            <w:r w:rsidR="00C55010">
              <w:rPr>
                <w:noProof/>
                <w:webHidden/>
              </w:rPr>
            </w:r>
            <w:r w:rsidR="00C55010">
              <w:rPr>
                <w:noProof/>
                <w:webHidden/>
              </w:rPr>
              <w:fldChar w:fldCharType="separate"/>
            </w:r>
            <w:r w:rsidR="00C55010">
              <w:rPr>
                <w:noProof/>
                <w:webHidden/>
              </w:rPr>
              <w:t>170</w:t>
            </w:r>
            <w:r w:rsidR="00C55010">
              <w:rPr>
                <w:noProof/>
                <w:webHidden/>
              </w:rPr>
              <w:fldChar w:fldCharType="end"/>
            </w:r>
          </w:hyperlink>
        </w:p>
        <w:p w14:paraId="5D252AF2" w14:textId="6C7C8881"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58" w:history="1">
            <w:r w:rsidR="00C55010" w:rsidRPr="007C6D83">
              <w:rPr>
                <w:rStyle w:val="Hyperlink"/>
                <w:noProof/>
              </w:rPr>
              <w:t>2.3</w:t>
            </w:r>
            <w:r w:rsidR="00C55010">
              <w:rPr>
                <w:rFonts w:asciiTheme="minorHAnsi" w:eastAsiaTheme="minorEastAsia" w:hAnsiTheme="minorHAnsi" w:cstheme="minorBidi"/>
                <w:noProof/>
                <w:sz w:val="22"/>
                <w:szCs w:val="22"/>
                <w:lang w:eastAsia="zh-CN"/>
              </w:rPr>
              <w:tab/>
            </w:r>
            <w:r w:rsidR="00C55010" w:rsidRPr="007C6D83">
              <w:rPr>
                <w:rStyle w:val="Hyperlink"/>
                <w:noProof/>
              </w:rPr>
              <w:t>Paper contribution</w:t>
            </w:r>
            <w:r w:rsidR="00C55010">
              <w:rPr>
                <w:noProof/>
                <w:webHidden/>
              </w:rPr>
              <w:tab/>
            </w:r>
            <w:r w:rsidR="00C55010">
              <w:rPr>
                <w:noProof/>
                <w:webHidden/>
              </w:rPr>
              <w:fldChar w:fldCharType="begin"/>
            </w:r>
            <w:r w:rsidR="00C55010">
              <w:rPr>
                <w:noProof/>
                <w:webHidden/>
              </w:rPr>
              <w:instrText xml:space="preserve"> PAGEREF _Toc157759558 \h </w:instrText>
            </w:r>
            <w:r w:rsidR="00C55010">
              <w:rPr>
                <w:noProof/>
                <w:webHidden/>
              </w:rPr>
            </w:r>
            <w:r w:rsidR="00C55010">
              <w:rPr>
                <w:noProof/>
                <w:webHidden/>
              </w:rPr>
              <w:fldChar w:fldCharType="separate"/>
            </w:r>
            <w:r w:rsidR="00C55010">
              <w:rPr>
                <w:noProof/>
                <w:webHidden/>
              </w:rPr>
              <w:t>173</w:t>
            </w:r>
            <w:r w:rsidR="00C55010">
              <w:rPr>
                <w:noProof/>
                <w:webHidden/>
              </w:rPr>
              <w:fldChar w:fldCharType="end"/>
            </w:r>
          </w:hyperlink>
        </w:p>
        <w:p w14:paraId="75ED6B5D" w14:textId="5E30C99C"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59" w:history="1">
            <w:r w:rsidR="00C55010" w:rsidRPr="007C6D83">
              <w:rPr>
                <w:rStyle w:val="Hyperlink"/>
                <w:iCs/>
                <w:noProof/>
              </w:rPr>
              <w:t>3</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Methods</w:t>
            </w:r>
            <w:r w:rsidR="00C55010">
              <w:rPr>
                <w:noProof/>
                <w:webHidden/>
              </w:rPr>
              <w:tab/>
            </w:r>
            <w:r w:rsidR="00C55010">
              <w:rPr>
                <w:noProof/>
                <w:webHidden/>
              </w:rPr>
              <w:fldChar w:fldCharType="begin"/>
            </w:r>
            <w:r w:rsidR="00C55010">
              <w:rPr>
                <w:noProof/>
                <w:webHidden/>
              </w:rPr>
              <w:instrText xml:space="preserve"> PAGEREF _Toc157759559 \h </w:instrText>
            </w:r>
            <w:r w:rsidR="00C55010">
              <w:rPr>
                <w:noProof/>
                <w:webHidden/>
              </w:rPr>
            </w:r>
            <w:r w:rsidR="00C55010">
              <w:rPr>
                <w:noProof/>
                <w:webHidden/>
              </w:rPr>
              <w:fldChar w:fldCharType="separate"/>
            </w:r>
            <w:r w:rsidR="00C55010">
              <w:rPr>
                <w:noProof/>
                <w:webHidden/>
              </w:rPr>
              <w:t>174</w:t>
            </w:r>
            <w:r w:rsidR="00C55010">
              <w:rPr>
                <w:noProof/>
                <w:webHidden/>
              </w:rPr>
              <w:fldChar w:fldCharType="end"/>
            </w:r>
          </w:hyperlink>
        </w:p>
        <w:p w14:paraId="303CCCBE" w14:textId="2BA881FA"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0" w:history="1">
            <w:r w:rsidR="00C55010" w:rsidRPr="007C6D83">
              <w:rPr>
                <w:rStyle w:val="Hyperlink"/>
                <w:noProof/>
              </w:rPr>
              <w:t>3.1</w:t>
            </w:r>
            <w:r w:rsidR="00C55010">
              <w:rPr>
                <w:rFonts w:asciiTheme="minorHAnsi" w:eastAsiaTheme="minorEastAsia" w:hAnsiTheme="minorHAnsi" w:cstheme="minorBidi"/>
                <w:noProof/>
                <w:sz w:val="22"/>
                <w:szCs w:val="22"/>
                <w:lang w:eastAsia="zh-CN"/>
              </w:rPr>
              <w:tab/>
            </w:r>
            <w:r w:rsidR="00C55010" w:rsidRPr="007C6D83">
              <w:rPr>
                <w:rStyle w:val="Hyperlink"/>
                <w:noProof/>
              </w:rPr>
              <w:t>Sampling</w:t>
            </w:r>
            <w:r w:rsidR="00C55010">
              <w:rPr>
                <w:noProof/>
                <w:webHidden/>
              </w:rPr>
              <w:tab/>
            </w:r>
            <w:r w:rsidR="00C55010">
              <w:rPr>
                <w:noProof/>
                <w:webHidden/>
              </w:rPr>
              <w:fldChar w:fldCharType="begin"/>
            </w:r>
            <w:r w:rsidR="00C55010">
              <w:rPr>
                <w:noProof/>
                <w:webHidden/>
              </w:rPr>
              <w:instrText xml:space="preserve"> PAGEREF _Toc157759560 \h </w:instrText>
            </w:r>
            <w:r w:rsidR="00C55010">
              <w:rPr>
                <w:noProof/>
                <w:webHidden/>
              </w:rPr>
            </w:r>
            <w:r w:rsidR="00C55010">
              <w:rPr>
                <w:noProof/>
                <w:webHidden/>
              </w:rPr>
              <w:fldChar w:fldCharType="separate"/>
            </w:r>
            <w:r w:rsidR="00C55010">
              <w:rPr>
                <w:noProof/>
                <w:webHidden/>
              </w:rPr>
              <w:t>176</w:t>
            </w:r>
            <w:r w:rsidR="00C55010">
              <w:rPr>
                <w:noProof/>
                <w:webHidden/>
              </w:rPr>
              <w:fldChar w:fldCharType="end"/>
            </w:r>
          </w:hyperlink>
        </w:p>
        <w:p w14:paraId="2787558A" w14:textId="381BD858"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1" w:history="1">
            <w:r w:rsidR="00C55010" w:rsidRPr="007C6D83">
              <w:rPr>
                <w:rStyle w:val="Hyperlink"/>
                <w:noProof/>
              </w:rPr>
              <w:t>3.2</w:t>
            </w:r>
            <w:r w:rsidR="00C55010">
              <w:rPr>
                <w:rFonts w:asciiTheme="minorHAnsi" w:eastAsiaTheme="minorEastAsia" w:hAnsiTheme="minorHAnsi" w:cstheme="minorBidi"/>
                <w:noProof/>
                <w:sz w:val="22"/>
                <w:szCs w:val="22"/>
                <w:lang w:eastAsia="zh-CN"/>
              </w:rPr>
              <w:tab/>
            </w:r>
            <w:r w:rsidR="00C55010" w:rsidRPr="007C6D83">
              <w:rPr>
                <w:rStyle w:val="Hyperlink"/>
                <w:noProof/>
              </w:rPr>
              <w:t>Categorisation</w:t>
            </w:r>
            <w:r w:rsidR="00C55010">
              <w:rPr>
                <w:noProof/>
                <w:webHidden/>
              </w:rPr>
              <w:tab/>
            </w:r>
            <w:r w:rsidR="00C55010">
              <w:rPr>
                <w:noProof/>
                <w:webHidden/>
              </w:rPr>
              <w:fldChar w:fldCharType="begin"/>
            </w:r>
            <w:r w:rsidR="00C55010">
              <w:rPr>
                <w:noProof/>
                <w:webHidden/>
              </w:rPr>
              <w:instrText xml:space="preserve"> PAGEREF _Toc157759561 \h </w:instrText>
            </w:r>
            <w:r w:rsidR="00C55010">
              <w:rPr>
                <w:noProof/>
                <w:webHidden/>
              </w:rPr>
            </w:r>
            <w:r w:rsidR="00C55010">
              <w:rPr>
                <w:noProof/>
                <w:webHidden/>
              </w:rPr>
              <w:fldChar w:fldCharType="separate"/>
            </w:r>
            <w:r w:rsidR="00C55010">
              <w:rPr>
                <w:noProof/>
                <w:webHidden/>
              </w:rPr>
              <w:t>176</w:t>
            </w:r>
            <w:r w:rsidR="00C55010">
              <w:rPr>
                <w:noProof/>
                <w:webHidden/>
              </w:rPr>
              <w:fldChar w:fldCharType="end"/>
            </w:r>
          </w:hyperlink>
        </w:p>
        <w:p w14:paraId="0DE951AC" w14:textId="6FEB8CB7"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2" w:history="1">
            <w:r w:rsidR="00C55010" w:rsidRPr="007C6D83">
              <w:rPr>
                <w:rStyle w:val="Hyperlink"/>
                <w:noProof/>
              </w:rPr>
              <w:t>3.3</w:t>
            </w:r>
            <w:r w:rsidR="00C55010">
              <w:rPr>
                <w:rFonts w:asciiTheme="minorHAnsi" w:eastAsiaTheme="minorEastAsia" w:hAnsiTheme="minorHAnsi" w:cstheme="minorBidi"/>
                <w:noProof/>
                <w:sz w:val="22"/>
                <w:szCs w:val="22"/>
                <w:lang w:eastAsia="zh-CN"/>
              </w:rPr>
              <w:tab/>
            </w:r>
            <w:r w:rsidR="00C55010" w:rsidRPr="007C6D83">
              <w:rPr>
                <w:rStyle w:val="Hyperlink"/>
                <w:noProof/>
              </w:rPr>
              <w:t>Measurement</w:t>
            </w:r>
            <w:r w:rsidR="00C55010">
              <w:rPr>
                <w:noProof/>
                <w:webHidden/>
              </w:rPr>
              <w:tab/>
            </w:r>
            <w:r w:rsidR="00C55010">
              <w:rPr>
                <w:noProof/>
                <w:webHidden/>
              </w:rPr>
              <w:fldChar w:fldCharType="begin"/>
            </w:r>
            <w:r w:rsidR="00C55010">
              <w:rPr>
                <w:noProof/>
                <w:webHidden/>
              </w:rPr>
              <w:instrText xml:space="preserve"> PAGEREF _Toc157759562 \h </w:instrText>
            </w:r>
            <w:r w:rsidR="00C55010">
              <w:rPr>
                <w:noProof/>
                <w:webHidden/>
              </w:rPr>
            </w:r>
            <w:r w:rsidR="00C55010">
              <w:rPr>
                <w:noProof/>
                <w:webHidden/>
              </w:rPr>
              <w:fldChar w:fldCharType="separate"/>
            </w:r>
            <w:r w:rsidR="00C55010">
              <w:rPr>
                <w:noProof/>
                <w:webHidden/>
              </w:rPr>
              <w:t>180</w:t>
            </w:r>
            <w:r w:rsidR="00C55010">
              <w:rPr>
                <w:noProof/>
                <w:webHidden/>
              </w:rPr>
              <w:fldChar w:fldCharType="end"/>
            </w:r>
          </w:hyperlink>
        </w:p>
        <w:p w14:paraId="4AEEF259" w14:textId="4B681368"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3" w:history="1">
            <w:r w:rsidR="00C55010" w:rsidRPr="007C6D83">
              <w:rPr>
                <w:rStyle w:val="Hyperlink"/>
                <w:noProof/>
              </w:rPr>
              <w:t>3.4</w:t>
            </w:r>
            <w:r w:rsidR="00C55010">
              <w:rPr>
                <w:rFonts w:asciiTheme="minorHAnsi" w:eastAsiaTheme="minorEastAsia" w:hAnsiTheme="minorHAnsi" w:cstheme="minorBidi"/>
                <w:noProof/>
                <w:sz w:val="22"/>
                <w:szCs w:val="22"/>
                <w:lang w:eastAsia="zh-CN"/>
              </w:rPr>
              <w:tab/>
            </w:r>
            <w:r w:rsidR="00C55010" w:rsidRPr="007C6D83">
              <w:rPr>
                <w:rStyle w:val="Hyperlink"/>
                <w:noProof/>
              </w:rPr>
              <w:t>Statistical analysis</w:t>
            </w:r>
            <w:r w:rsidR="00C55010">
              <w:rPr>
                <w:noProof/>
                <w:webHidden/>
              </w:rPr>
              <w:tab/>
            </w:r>
            <w:r w:rsidR="00C55010">
              <w:rPr>
                <w:noProof/>
                <w:webHidden/>
              </w:rPr>
              <w:fldChar w:fldCharType="begin"/>
            </w:r>
            <w:r w:rsidR="00C55010">
              <w:rPr>
                <w:noProof/>
                <w:webHidden/>
              </w:rPr>
              <w:instrText xml:space="preserve"> PAGEREF _Toc157759563 \h </w:instrText>
            </w:r>
            <w:r w:rsidR="00C55010">
              <w:rPr>
                <w:noProof/>
                <w:webHidden/>
              </w:rPr>
            </w:r>
            <w:r w:rsidR="00C55010">
              <w:rPr>
                <w:noProof/>
                <w:webHidden/>
              </w:rPr>
              <w:fldChar w:fldCharType="separate"/>
            </w:r>
            <w:r w:rsidR="00C55010">
              <w:rPr>
                <w:noProof/>
                <w:webHidden/>
              </w:rPr>
              <w:t>181</w:t>
            </w:r>
            <w:r w:rsidR="00C55010">
              <w:rPr>
                <w:noProof/>
                <w:webHidden/>
              </w:rPr>
              <w:fldChar w:fldCharType="end"/>
            </w:r>
          </w:hyperlink>
        </w:p>
        <w:p w14:paraId="4BD42962" w14:textId="6902D46C"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64" w:history="1">
            <w:r w:rsidR="00C55010" w:rsidRPr="007C6D83">
              <w:rPr>
                <w:rStyle w:val="Hyperlink"/>
                <w:iCs/>
                <w:noProof/>
              </w:rPr>
              <w:t>4</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Results</w:t>
            </w:r>
            <w:r w:rsidR="00C55010">
              <w:rPr>
                <w:noProof/>
                <w:webHidden/>
              </w:rPr>
              <w:tab/>
            </w:r>
            <w:r w:rsidR="00C55010">
              <w:rPr>
                <w:noProof/>
                <w:webHidden/>
              </w:rPr>
              <w:fldChar w:fldCharType="begin"/>
            </w:r>
            <w:r w:rsidR="00C55010">
              <w:rPr>
                <w:noProof/>
                <w:webHidden/>
              </w:rPr>
              <w:instrText xml:space="preserve"> PAGEREF _Toc157759564 \h </w:instrText>
            </w:r>
            <w:r w:rsidR="00C55010">
              <w:rPr>
                <w:noProof/>
                <w:webHidden/>
              </w:rPr>
            </w:r>
            <w:r w:rsidR="00C55010">
              <w:rPr>
                <w:noProof/>
                <w:webHidden/>
              </w:rPr>
              <w:fldChar w:fldCharType="separate"/>
            </w:r>
            <w:r w:rsidR="00C55010">
              <w:rPr>
                <w:noProof/>
                <w:webHidden/>
              </w:rPr>
              <w:t>182</w:t>
            </w:r>
            <w:r w:rsidR="00C55010">
              <w:rPr>
                <w:noProof/>
                <w:webHidden/>
              </w:rPr>
              <w:fldChar w:fldCharType="end"/>
            </w:r>
          </w:hyperlink>
        </w:p>
        <w:p w14:paraId="25446168" w14:textId="2A5E2FDA"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5" w:history="1">
            <w:r w:rsidR="00C55010" w:rsidRPr="007C6D83">
              <w:rPr>
                <w:rStyle w:val="Hyperlink"/>
                <w:noProof/>
                <w:lang w:val="en-US"/>
              </w:rPr>
              <w:t>4.1</w:t>
            </w:r>
            <w:r w:rsidR="00C55010">
              <w:rPr>
                <w:rFonts w:asciiTheme="minorHAnsi" w:eastAsiaTheme="minorEastAsia" w:hAnsiTheme="minorHAnsi" w:cstheme="minorBidi"/>
                <w:noProof/>
                <w:sz w:val="22"/>
                <w:szCs w:val="22"/>
                <w:lang w:eastAsia="zh-CN"/>
              </w:rPr>
              <w:tab/>
            </w:r>
            <w:r w:rsidR="00C55010" w:rsidRPr="007C6D83">
              <w:rPr>
                <w:rStyle w:val="Hyperlink"/>
                <w:noProof/>
                <w:lang w:val="en-US"/>
              </w:rPr>
              <w:t>Sample characteristics</w:t>
            </w:r>
            <w:r w:rsidR="00C55010">
              <w:rPr>
                <w:noProof/>
                <w:webHidden/>
              </w:rPr>
              <w:tab/>
            </w:r>
            <w:r w:rsidR="00C55010">
              <w:rPr>
                <w:noProof/>
                <w:webHidden/>
              </w:rPr>
              <w:fldChar w:fldCharType="begin"/>
            </w:r>
            <w:r w:rsidR="00C55010">
              <w:rPr>
                <w:noProof/>
                <w:webHidden/>
              </w:rPr>
              <w:instrText xml:space="preserve"> PAGEREF _Toc157759565 \h </w:instrText>
            </w:r>
            <w:r w:rsidR="00C55010">
              <w:rPr>
                <w:noProof/>
                <w:webHidden/>
              </w:rPr>
            </w:r>
            <w:r w:rsidR="00C55010">
              <w:rPr>
                <w:noProof/>
                <w:webHidden/>
              </w:rPr>
              <w:fldChar w:fldCharType="separate"/>
            </w:r>
            <w:r w:rsidR="00C55010">
              <w:rPr>
                <w:noProof/>
                <w:webHidden/>
              </w:rPr>
              <w:t>182</w:t>
            </w:r>
            <w:r w:rsidR="00C55010">
              <w:rPr>
                <w:noProof/>
                <w:webHidden/>
              </w:rPr>
              <w:fldChar w:fldCharType="end"/>
            </w:r>
          </w:hyperlink>
        </w:p>
        <w:p w14:paraId="4B598D3A" w14:textId="7950A2D0"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66" w:history="1">
            <w:r w:rsidR="00C55010" w:rsidRPr="007C6D83">
              <w:rPr>
                <w:rStyle w:val="Hyperlink"/>
                <w:iCs/>
                <w:noProof/>
              </w:rPr>
              <w:t>5</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Discussions and Implications</w:t>
            </w:r>
            <w:r w:rsidR="00C55010">
              <w:rPr>
                <w:noProof/>
                <w:webHidden/>
              </w:rPr>
              <w:tab/>
            </w:r>
            <w:r w:rsidR="00C55010">
              <w:rPr>
                <w:noProof/>
                <w:webHidden/>
              </w:rPr>
              <w:fldChar w:fldCharType="begin"/>
            </w:r>
            <w:r w:rsidR="00C55010">
              <w:rPr>
                <w:noProof/>
                <w:webHidden/>
              </w:rPr>
              <w:instrText xml:space="preserve"> PAGEREF _Toc157759566 \h </w:instrText>
            </w:r>
            <w:r w:rsidR="00C55010">
              <w:rPr>
                <w:noProof/>
                <w:webHidden/>
              </w:rPr>
            </w:r>
            <w:r w:rsidR="00C55010">
              <w:rPr>
                <w:noProof/>
                <w:webHidden/>
              </w:rPr>
              <w:fldChar w:fldCharType="separate"/>
            </w:r>
            <w:r w:rsidR="00C55010">
              <w:rPr>
                <w:noProof/>
                <w:webHidden/>
              </w:rPr>
              <w:t>185</w:t>
            </w:r>
            <w:r w:rsidR="00C55010">
              <w:rPr>
                <w:noProof/>
                <w:webHidden/>
              </w:rPr>
              <w:fldChar w:fldCharType="end"/>
            </w:r>
          </w:hyperlink>
        </w:p>
        <w:p w14:paraId="458BB79F" w14:textId="33ED470A"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7" w:history="1">
            <w:r w:rsidR="00C55010" w:rsidRPr="007C6D83">
              <w:rPr>
                <w:rStyle w:val="Hyperlink"/>
                <w:noProof/>
              </w:rPr>
              <w:t>5.1</w:t>
            </w:r>
            <w:r w:rsidR="00C55010">
              <w:rPr>
                <w:rFonts w:asciiTheme="minorHAnsi" w:eastAsiaTheme="minorEastAsia" w:hAnsiTheme="minorHAnsi" w:cstheme="minorBidi"/>
                <w:noProof/>
                <w:sz w:val="22"/>
                <w:szCs w:val="22"/>
                <w:lang w:eastAsia="zh-CN"/>
              </w:rPr>
              <w:tab/>
            </w:r>
            <w:r w:rsidR="00C55010" w:rsidRPr="007C6D83">
              <w:rPr>
                <w:rStyle w:val="Hyperlink"/>
                <w:noProof/>
                <w:lang w:val="fr-FR"/>
              </w:rPr>
              <w:t xml:space="preserve">Discussion of the </w:t>
            </w:r>
            <w:r w:rsidR="00C55010" w:rsidRPr="007C6D83">
              <w:rPr>
                <w:rStyle w:val="Hyperlink"/>
                <w:noProof/>
              </w:rPr>
              <w:t>results</w:t>
            </w:r>
            <w:r w:rsidR="00C55010">
              <w:rPr>
                <w:noProof/>
                <w:webHidden/>
              </w:rPr>
              <w:tab/>
            </w:r>
            <w:r w:rsidR="00C55010">
              <w:rPr>
                <w:noProof/>
                <w:webHidden/>
              </w:rPr>
              <w:fldChar w:fldCharType="begin"/>
            </w:r>
            <w:r w:rsidR="00C55010">
              <w:rPr>
                <w:noProof/>
                <w:webHidden/>
              </w:rPr>
              <w:instrText xml:space="preserve"> PAGEREF _Toc157759567 \h </w:instrText>
            </w:r>
            <w:r w:rsidR="00C55010">
              <w:rPr>
                <w:noProof/>
                <w:webHidden/>
              </w:rPr>
            </w:r>
            <w:r w:rsidR="00C55010">
              <w:rPr>
                <w:noProof/>
                <w:webHidden/>
              </w:rPr>
              <w:fldChar w:fldCharType="separate"/>
            </w:r>
            <w:r w:rsidR="00C55010">
              <w:rPr>
                <w:noProof/>
                <w:webHidden/>
              </w:rPr>
              <w:t>185</w:t>
            </w:r>
            <w:r w:rsidR="00C55010">
              <w:rPr>
                <w:noProof/>
                <w:webHidden/>
              </w:rPr>
              <w:fldChar w:fldCharType="end"/>
            </w:r>
          </w:hyperlink>
        </w:p>
        <w:p w14:paraId="1C102887" w14:textId="549B0D8D"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8" w:history="1">
            <w:r w:rsidR="00C55010" w:rsidRPr="007C6D83">
              <w:rPr>
                <w:rStyle w:val="Hyperlink"/>
                <w:noProof/>
                <w:lang w:val="en-US"/>
              </w:rPr>
              <w:t>5.2</w:t>
            </w:r>
            <w:r w:rsidR="00C55010">
              <w:rPr>
                <w:rFonts w:asciiTheme="minorHAnsi" w:eastAsiaTheme="minorEastAsia" w:hAnsiTheme="minorHAnsi" w:cstheme="minorBidi"/>
                <w:noProof/>
                <w:sz w:val="22"/>
                <w:szCs w:val="22"/>
                <w:lang w:eastAsia="zh-CN"/>
              </w:rPr>
              <w:tab/>
            </w:r>
            <w:r w:rsidR="00C55010" w:rsidRPr="007C6D83">
              <w:rPr>
                <w:rStyle w:val="Hyperlink"/>
                <w:noProof/>
                <w:lang w:val="en-US"/>
              </w:rPr>
              <w:t>Theoretical Implications</w:t>
            </w:r>
            <w:r w:rsidR="00C55010">
              <w:rPr>
                <w:noProof/>
                <w:webHidden/>
              </w:rPr>
              <w:tab/>
            </w:r>
            <w:r w:rsidR="00C55010">
              <w:rPr>
                <w:noProof/>
                <w:webHidden/>
              </w:rPr>
              <w:fldChar w:fldCharType="begin"/>
            </w:r>
            <w:r w:rsidR="00C55010">
              <w:rPr>
                <w:noProof/>
                <w:webHidden/>
              </w:rPr>
              <w:instrText xml:space="preserve"> PAGEREF _Toc157759568 \h </w:instrText>
            </w:r>
            <w:r w:rsidR="00C55010">
              <w:rPr>
                <w:noProof/>
                <w:webHidden/>
              </w:rPr>
            </w:r>
            <w:r w:rsidR="00C55010">
              <w:rPr>
                <w:noProof/>
                <w:webHidden/>
              </w:rPr>
              <w:fldChar w:fldCharType="separate"/>
            </w:r>
            <w:r w:rsidR="00C55010">
              <w:rPr>
                <w:noProof/>
                <w:webHidden/>
              </w:rPr>
              <w:t>188</w:t>
            </w:r>
            <w:r w:rsidR="00C55010">
              <w:rPr>
                <w:noProof/>
                <w:webHidden/>
              </w:rPr>
              <w:fldChar w:fldCharType="end"/>
            </w:r>
          </w:hyperlink>
        </w:p>
        <w:p w14:paraId="32EF8DBF" w14:textId="376614C4"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69" w:history="1">
            <w:r w:rsidR="00C55010" w:rsidRPr="007C6D83">
              <w:rPr>
                <w:rStyle w:val="Hyperlink"/>
                <w:noProof/>
                <w:lang w:val="en-US"/>
              </w:rPr>
              <w:t>5.3</w:t>
            </w:r>
            <w:r w:rsidR="00C55010">
              <w:rPr>
                <w:rFonts w:asciiTheme="minorHAnsi" w:eastAsiaTheme="minorEastAsia" w:hAnsiTheme="minorHAnsi" w:cstheme="minorBidi"/>
                <w:noProof/>
                <w:sz w:val="22"/>
                <w:szCs w:val="22"/>
                <w:lang w:eastAsia="zh-CN"/>
              </w:rPr>
              <w:tab/>
            </w:r>
            <w:r w:rsidR="00C55010" w:rsidRPr="007C6D83">
              <w:rPr>
                <w:rStyle w:val="Hyperlink"/>
                <w:noProof/>
                <w:lang w:val="en-US"/>
              </w:rPr>
              <w:t>Managerial Implications</w:t>
            </w:r>
            <w:r w:rsidR="00C55010">
              <w:rPr>
                <w:noProof/>
                <w:webHidden/>
              </w:rPr>
              <w:tab/>
            </w:r>
            <w:r w:rsidR="00C55010">
              <w:rPr>
                <w:noProof/>
                <w:webHidden/>
              </w:rPr>
              <w:fldChar w:fldCharType="begin"/>
            </w:r>
            <w:r w:rsidR="00C55010">
              <w:rPr>
                <w:noProof/>
                <w:webHidden/>
              </w:rPr>
              <w:instrText xml:space="preserve"> PAGEREF _Toc157759569 \h </w:instrText>
            </w:r>
            <w:r w:rsidR="00C55010">
              <w:rPr>
                <w:noProof/>
                <w:webHidden/>
              </w:rPr>
            </w:r>
            <w:r w:rsidR="00C55010">
              <w:rPr>
                <w:noProof/>
                <w:webHidden/>
              </w:rPr>
              <w:fldChar w:fldCharType="separate"/>
            </w:r>
            <w:r w:rsidR="00C55010">
              <w:rPr>
                <w:noProof/>
                <w:webHidden/>
              </w:rPr>
              <w:t>189</w:t>
            </w:r>
            <w:r w:rsidR="00C55010">
              <w:rPr>
                <w:noProof/>
                <w:webHidden/>
              </w:rPr>
              <w:fldChar w:fldCharType="end"/>
            </w:r>
          </w:hyperlink>
        </w:p>
        <w:p w14:paraId="2B1DB5E6" w14:textId="1547A88F"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70" w:history="1">
            <w:r w:rsidR="00C55010" w:rsidRPr="007C6D83">
              <w:rPr>
                <w:rStyle w:val="Hyperlink"/>
                <w:iCs/>
                <w:noProof/>
                <w:lang w:val="en-US"/>
              </w:rPr>
              <w:t>6</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lang w:val="en-US"/>
              </w:rPr>
              <w:t>Conclusions</w:t>
            </w:r>
            <w:r w:rsidR="00C55010">
              <w:rPr>
                <w:noProof/>
                <w:webHidden/>
              </w:rPr>
              <w:tab/>
            </w:r>
            <w:r w:rsidR="00C55010">
              <w:rPr>
                <w:noProof/>
                <w:webHidden/>
              </w:rPr>
              <w:fldChar w:fldCharType="begin"/>
            </w:r>
            <w:r w:rsidR="00C55010">
              <w:rPr>
                <w:noProof/>
                <w:webHidden/>
              </w:rPr>
              <w:instrText xml:space="preserve"> PAGEREF _Toc157759570 \h </w:instrText>
            </w:r>
            <w:r w:rsidR="00C55010">
              <w:rPr>
                <w:noProof/>
                <w:webHidden/>
              </w:rPr>
            </w:r>
            <w:r w:rsidR="00C55010">
              <w:rPr>
                <w:noProof/>
                <w:webHidden/>
              </w:rPr>
              <w:fldChar w:fldCharType="separate"/>
            </w:r>
            <w:r w:rsidR="00C55010">
              <w:rPr>
                <w:noProof/>
                <w:webHidden/>
              </w:rPr>
              <w:t>190</w:t>
            </w:r>
            <w:r w:rsidR="00C55010">
              <w:rPr>
                <w:noProof/>
                <w:webHidden/>
              </w:rPr>
              <w:fldChar w:fldCharType="end"/>
            </w:r>
          </w:hyperlink>
        </w:p>
        <w:p w14:paraId="2DD80668" w14:textId="2DDDF37E"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71" w:history="1">
            <w:r w:rsidR="00C55010" w:rsidRPr="007C6D83">
              <w:rPr>
                <w:rStyle w:val="Hyperlink"/>
                <w:noProof/>
              </w:rPr>
              <w:t>6.1</w:t>
            </w:r>
            <w:r w:rsidR="00C55010">
              <w:rPr>
                <w:rFonts w:asciiTheme="minorHAnsi" w:eastAsiaTheme="minorEastAsia" w:hAnsiTheme="minorHAnsi" w:cstheme="minorBidi"/>
                <w:noProof/>
                <w:sz w:val="22"/>
                <w:szCs w:val="22"/>
                <w:lang w:eastAsia="zh-CN"/>
              </w:rPr>
              <w:tab/>
            </w:r>
            <w:r w:rsidR="00C55010" w:rsidRPr="007C6D83">
              <w:rPr>
                <w:rStyle w:val="Hyperlink"/>
                <w:noProof/>
              </w:rPr>
              <w:t>Limitations - Future developments</w:t>
            </w:r>
            <w:r w:rsidR="00C55010">
              <w:rPr>
                <w:noProof/>
                <w:webHidden/>
              </w:rPr>
              <w:tab/>
            </w:r>
            <w:r w:rsidR="00C55010">
              <w:rPr>
                <w:noProof/>
                <w:webHidden/>
              </w:rPr>
              <w:fldChar w:fldCharType="begin"/>
            </w:r>
            <w:r w:rsidR="00C55010">
              <w:rPr>
                <w:noProof/>
                <w:webHidden/>
              </w:rPr>
              <w:instrText xml:space="preserve"> PAGEREF _Toc157759571 \h </w:instrText>
            </w:r>
            <w:r w:rsidR="00C55010">
              <w:rPr>
                <w:noProof/>
                <w:webHidden/>
              </w:rPr>
            </w:r>
            <w:r w:rsidR="00C55010">
              <w:rPr>
                <w:noProof/>
                <w:webHidden/>
              </w:rPr>
              <w:fldChar w:fldCharType="separate"/>
            </w:r>
            <w:r w:rsidR="00C55010">
              <w:rPr>
                <w:noProof/>
                <w:webHidden/>
              </w:rPr>
              <w:t>190</w:t>
            </w:r>
            <w:r w:rsidR="00C55010">
              <w:rPr>
                <w:noProof/>
                <w:webHidden/>
              </w:rPr>
              <w:fldChar w:fldCharType="end"/>
            </w:r>
          </w:hyperlink>
        </w:p>
        <w:p w14:paraId="537A930E" w14:textId="0761A799"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72" w:history="1">
            <w:r w:rsidR="00C55010" w:rsidRPr="007C6D83">
              <w:rPr>
                <w:rStyle w:val="Hyperlink"/>
                <w:noProof/>
                <w:lang w:val="pt-PT"/>
              </w:rPr>
              <w:t>References</w:t>
            </w:r>
            <w:r w:rsidR="00C55010">
              <w:rPr>
                <w:noProof/>
                <w:webHidden/>
              </w:rPr>
              <w:tab/>
            </w:r>
            <w:r w:rsidR="00C55010">
              <w:rPr>
                <w:noProof/>
                <w:webHidden/>
              </w:rPr>
              <w:fldChar w:fldCharType="begin"/>
            </w:r>
            <w:r w:rsidR="00C55010">
              <w:rPr>
                <w:noProof/>
                <w:webHidden/>
              </w:rPr>
              <w:instrText xml:space="preserve"> PAGEREF _Toc157759572 \h </w:instrText>
            </w:r>
            <w:r w:rsidR="00C55010">
              <w:rPr>
                <w:noProof/>
                <w:webHidden/>
              </w:rPr>
            </w:r>
            <w:r w:rsidR="00C55010">
              <w:rPr>
                <w:noProof/>
                <w:webHidden/>
              </w:rPr>
              <w:fldChar w:fldCharType="separate"/>
            </w:r>
            <w:r w:rsidR="00C55010">
              <w:rPr>
                <w:noProof/>
                <w:webHidden/>
              </w:rPr>
              <w:t>192</w:t>
            </w:r>
            <w:r w:rsidR="00C55010">
              <w:rPr>
                <w:noProof/>
                <w:webHidden/>
              </w:rPr>
              <w:fldChar w:fldCharType="end"/>
            </w:r>
          </w:hyperlink>
        </w:p>
        <w:p w14:paraId="206860AC" w14:textId="752AFA49"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73" w:history="1">
            <w:r w:rsidR="00C55010" w:rsidRPr="007C6D83">
              <w:rPr>
                <w:rStyle w:val="Hyperlink"/>
                <w:noProof/>
              </w:rPr>
              <w:t>Appendix 6A</w:t>
            </w:r>
            <w:r w:rsidR="00C55010">
              <w:rPr>
                <w:noProof/>
                <w:webHidden/>
              </w:rPr>
              <w:tab/>
            </w:r>
            <w:r w:rsidR="00C55010">
              <w:rPr>
                <w:noProof/>
                <w:webHidden/>
              </w:rPr>
              <w:fldChar w:fldCharType="begin"/>
            </w:r>
            <w:r w:rsidR="00C55010">
              <w:rPr>
                <w:noProof/>
                <w:webHidden/>
              </w:rPr>
              <w:instrText xml:space="preserve"> PAGEREF _Toc157759573 \h </w:instrText>
            </w:r>
            <w:r w:rsidR="00C55010">
              <w:rPr>
                <w:noProof/>
                <w:webHidden/>
              </w:rPr>
            </w:r>
            <w:r w:rsidR="00C55010">
              <w:rPr>
                <w:noProof/>
                <w:webHidden/>
              </w:rPr>
              <w:fldChar w:fldCharType="separate"/>
            </w:r>
            <w:r w:rsidR="00C55010">
              <w:rPr>
                <w:noProof/>
                <w:webHidden/>
              </w:rPr>
              <w:t>198</w:t>
            </w:r>
            <w:r w:rsidR="00C55010">
              <w:rPr>
                <w:noProof/>
                <w:webHidden/>
              </w:rPr>
              <w:fldChar w:fldCharType="end"/>
            </w:r>
          </w:hyperlink>
        </w:p>
        <w:p w14:paraId="5F515F21" w14:textId="2A84E949" w:rsidR="00C55010" w:rsidRDefault="00C80BFD">
          <w:pPr>
            <w:pStyle w:val="TOC1"/>
            <w:tabs>
              <w:tab w:val="left" w:pos="1760"/>
            </w:tabs>
            <w:rPr>
              <w:rFonts w:asciiTheme="minorHAnsi" w:eastAsiaTheme="minorEastAsia" w:hAnsiTheme="minorHAnsi" w:cstheme="minorBidi"/>
              <w:b w:val="0"/>
              <w:bCs w:val="0"/>
              <w:i w:val="0"/>
              <w:iCs w:val="0"/>
              <w:noProof/>
              <w:sz w:val="22"/>
              <w:szCs w:val="22"/>
              <w:lang w:eastAsia="zh-CN"/>
            </w:rPr>
          </w:pPr>
          <w:hyperlink w:anchor="_Toc157759574" w:history="1">
            <w:r w:rsidR="00C55010" w:rsidRPr="007C6D83">
              <w:rPr>
                <w:rStyle w:val="Hyperlink"/>
                <w:noProof/>
              </w:rPr>
              <w:t>CHAPTER 7</w:t>
            </w:r>
            <w:r w:rsidR="00C55010">
              <w:rPr>
                <w:rFonts w:asciiTheme="minorHAnsi" w:eastAsiaTheme="minorEastAsia" w:hAnsiTheme="minorHAnsi" w:cstheme="minorBidi"/>
                <w:b w:val="0"/>
                <w:bCs w:val="0"/>
                <w:i w:val="0"/>
                <w:iCs w:val="0"/>
                <w:noProof/>
                <w:sz w:val="22"/>
                <w:szCs w:val="22"/>
                <w:lang w:eastAsia="zh-CN"/>
              </w:rPr>
              <w:tab/>
            </w:r>
            <w:r w:rsidR="00C55010" w:rsidRPr="007C6D83">
              <w:rPr>
                <w:rStyle w:val="Hyperlink"/>
                <w:noProof/>
              </w:rPr>
              <w:t>Conclusions</w:t>
            </w:r>
            <w:r w:rsidR="00C55010">
              <w:rPr>
                <w:noProof/>
                <w:webHidden/>
              </w:rPr>
              <w:tab/>
            </w:r>
            <w:r w:rsidR="00C55010">
              <w:rPr>
                <w:noProof/>
                <w:webHidden/>
              </w:rPr>
              <w:fldChar w:fldCharType="begin"/>
            </w:r>
            <w:r w:rsidR="00C55010">
              <w:rPr>
                <w:noProof/>
                <w:webHidden/>
              </w:rPr>
              <w:instrText xml:space="preserve"> PAGEREF _Toc157759574 \h </w:instrText>
            </w:r>
            <w:r w:rsidR="00C55010">
              <w:rPr>
                <w:noProof/>
                <w:webHidden/>
              </w:rPr>
            </w:r>
            <w:r w:rsidR="00C55010">
              <w:rPr>
                <w:noProof/>
                <w:webHidden/>
              </w:rPr>
              <w:fldChar w:fldCharType="separate"/>
            </w:r>
            <w:r w:rsidR="00C55010">
              <w:rPr>
                <w:noProof/>
                <w:webHidden/>
              </w:rPr>
              <w:t>200</w:t>
            </w:r>
            <w:r w:rsidR="00C55010">
              <w:rPr>
                <w:noProof/>
                <w:webHidden/>
              </w:rPr>
              <w:fldChar w:fldCharType="end"/>
            </w:r>
          </w:hyperlink>
        </w:p>
        <w:p w14:paraId="4FBB5B1D" w14:textId="71492460"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75" w:history="1">
            <w:r w:rsidR="00C55010" w:rsidRPr="007C6D83">
              <w:rPr>
                <w:rStyle w:val="Hyperlink"/>
                <w:iCs/>
                <w:noProof/>
              </w:rPr>
              <w:t>1</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Summary of the research findings</w:t>
            </w:r>
            <w:r w:rsidR="00C55010">
              <w:rPr>
                <w:noProof/>
                <w:webHidden/>
              </w:rPr>
              <w:tab/>
            </w:r>
            <w:r w:rsidR="00C55010">
              <w:rPr>
                <w:noProof/>
                <w:webHidden/>
              </w:rPr>
              <w:fldChar w:fldCharType="begin"/>
            </w:r>
            <w:r w:rsidR="00C55010">
              <w:rPr>
                <w:noProof/>
                <w:webHidden/>
              </w:rPr>
              <w:instrText xml:space="preserve"> PAGEREF _Toc157759575 \h </w:instrText>
            </w:r>
            <w:r w:rsidR="00C55010">
              <w:rPr>
                <w:noProof/>
                <w:webHidden/>
              </w:rPr>
            </w:r>
            <w:r w:rsidR="00C55010">
              <w:rPr>
                <w:noProof/>
                <w:webHidden/>
              </w:rPr>
              <w:fldChar w:fldCharType="separate"/>
            </w:r>
            <w:r w:rsidR="00C55010">
              <w:rPr>
                <w:noProof/>
                <w:webHidden/>
              </w:rPr>
              <w:t>200</w:t>
            </w:r>
            <w:r w:rsidR="00C55010">
              <w:rPr>
                <w:noProof/>
                <w:webHidden/>
              </w:rPr>
              <w:fldChar w:fldCharType="end"/>
            </w:r>
          </w:hyperlink>
        </w:p>
        <w:p w14:paraId="61A3577A" w14:textId="45D05F4C"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76" w:history="1">
            <w:r w:rsidR="00C55010" w:rsidRPr="007C6D83">
              <w:rPr>
                <w:rStyle w:val="Hyperlink"/>
                <w:noProof/>
              </w:rPr>
              <w:t>1.1</w:t>
            </w:r>
            <w:r w:rsidR="00C55010">
              <w:rPr>
                <w:rFonts w:asciiTheme="minorHAnsi" w:eastAsiaTheme="minorEastAsia" w:hAnsiTheme="minorHAnsi" w:cstheme="minorBidi"/>
                <w:noProof/>
                <w:sz w:val="22"/>
                <w:szCs w:val="22"/>
                <w:lang w:eastAsia="zh-CN"/>
              </w:rPr>
              <w:tab/>
            </w:r>
            <w:r w:rsidR="00C55010" w:rsidRPr="007C6D83">
              <w:rPr>
                <w:rStyle w:val="Hyperlink"/>
                <w:noProof/>
              </w:rPr>
              <w:t>Results from the Delphi-study</w:t>
            </w:r>
            <w:r w:rsidR="00C55010">
              <w:rPr>
                <w:noProof/>
                <w:webHidden/>
              </w:rPr>
              <w:tab/>
            </w:r>
            <w:r w:rsidR="00C55010">
              <w:rPr>
                <w:noProof/>
                <w:webHidden/>
              </w:rPr>
              <w:fldChar w:fldCharType="begin"/>
            </w:r>
            <w:r w:rsidR="00C55010">
              <w:rPr>
                <w:noProof/>
                <w:webHidden/>
              </w:rPr>
              <w:instrText xml:space="preserve"> PAGEREF _Toc157759576 \h </w:instrText>
            </w:r>
            <w:r w:rsidR="00C55010">
              <w:rPr>
                <w:noProof/>
                <w:webHidden/>
              </w:rPr>
            </w:r>
            <w:r w:rsidR="00C55010">
              <w:rPr>
                <w:noProof/>
                <w:webHidden/>
              </w:rPr>
              <w:fldChar w:fldCharType="separate"/>
            </w:r>
            <w:r w:rsidR="00C55010">
              <w:rPr>
                <w:noProof/>
                <w:webHidden/>
              </w:rPr>
              <w:t>200</w:t>
            </w:r>
            <w:r w:rsidR="00C55010">
              <w:rPr>
                <w:noProof/>
                <w:webHidden/>
              </w:rPr>
              <w:fldChar w:fldCharType="end"/>
            </w:r>
          </w:hyperlink>
        </w:p>
        <w:p w14:paraId="525FCB65" w14:textId="2CFE7D7B"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77" w:history="1">
            <w:r w:rsidR="00C55010" w:rsidRPr="007C6D83">
              <w:rPr>
                <w:rStyle w:val="Hyperlink"/>
                <w:noProof/>
              </w:rPr>
              <w:t>1.2</w:t>
            </w:r>
            <w:r w:rsidR="00C55010">
              <w:rPr>
                <w:rFonts w:asciiTheme="minorHAnsi" w:eastAsiaTheme="minorEastAsia" w:hAnsiTheme="minorHAnsi" w:cstheme="minorBidi"/>
                <w:noProof/>
                <w:sz w:val="22"/>
                <w:szCs w:val="22"/>
                <w:lang w:eastAsia="zh-CN"/>
              </w:rPr>
              <w:tab/>
            </w:r>
            <w:r w:rsidR="00C55010" w:rsidRPr="007C6D83">
              <w:rPr>
                <w:rStyle w:val="Hyperlink"/>
                <w:noProof/>
              </w:rPr>
              <w:t>Results from the quantitative analysis</w:t>
            </w:r>
            <w:r w:rsidR="00C55010">
              <w:rPr>
                <w:noProof/>
                <w:webHidden/>
              </w:rPr>
              <w:tab/>
            </w:r>
            <w:r w:rsidR="00C55010">
              <w:rPr>
                <w:noProof/>
                <w:webHidden/>
              </w:rPr>
              <w:fldChar w:fldCharType="begin"/>
            </w:r>
            <w:r w:rsidR="00C55010">
              <w:rPr>
                <w:noProof/>
                <w:webHidden/>
              </w:rPr>
              <w:instrText xml:space="preserve"> PAGEREF _Toc157759577 \h </w:instrText>
            </w:r>
            <w:r w:rsidR="00C55010">
              <w:rPr>
                <w:noProof/>
                <w:webHidden/>
              </w:rPr>
            </w:r>
            <w:r w:rsidR="00C55010">
              <w:rPr>
                <w:noProof/>
                <w:webHidden/>
              </w:rPr>
              <w:fldChar w:fldCharType="separate"/>
            </w:r>
            <w:r w:rsidR="00C55010">
              <w:rPr>
                <w:noProof/>
                <w:webHidden/>
              </w:rPr>
              <w:t>202</w:t>
            </w:r>
            <w:r w:rsidR="00C55010">
              <w:rPr>
                <w:noProof/>
                <w:webHidden/>
              </w:rPr>
              <w:fldChar w:fldCharType="end"/>
            </w:r>
          </w:hyperlink>
        </w:p>
        <w:p w14:paraId="400AC6FF" w14:textId="43E163AC"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78" w:history="1">
            <w:r w:rsidR="00C55010" w:rsidRPr="007C6D83">
              <w:rPr>
                <w:rStyle w:val="Hyperlink"/>
                <w:iCs/>
                <w:noProof/>
              </w:rPr>
              <w:t>2</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Theoretical and practical contribution</w:t>
            </w:r>
            <w:r w:rsidR="00C55010">
              <w:rPr>
                <w:noProof/>
                <w:webHidden/>
              </w:rPr>
              <w:tab/>
            </w:r>
            <w:r w:rsidR="00C55010">
              <w:rPr>
                <w:noProof/>
                <w:webHidden/>
              </w:rPr>
              <w:fldChar w:fldCharType="begin"/>
            </w:r>
            <w:r w:rsidR="00C55010">
              <w:rPr>
                <w:noProof/>
                <w:webHidden/>
              </w:rPr>
              <w:instrText xml:space="preserve"> PAGEREF _Toc157759578 \h </w:instrText>
            </w:r>
            <w:r w:rsidR="00C55010">
              <w:rPr>
                <w:noProof/>
                <w:webHidden/>
              </w:rPr>
            </w:r>
            <w:r w:rsidR="00C55010">
              <w:rPr>
                <w:noProof/>
                <w:webHidden/>
              </w:rPr>
              <w:fldChar w:fldCharType="separate"/>
            </w:r>
            <w:r w:rsidR="00C55010">
              <w:rPr>
                <w:noProof/>
                <w:webHidden/>
              </w:rPr>
              <w:t>202</w:t>
            </w:r>
            <w:r w:rsidR="00C55010">
              <w:rPr>
                <w:noProof/>
                <w:webHidden/>
              </w:rPr>
              <w:fldChar w:fldCharType="end"/>
            </w:r>
          </w:hyperlink>
        </w:p>
        <w:p w14:paraId="7880EE4A" w14:textId="2251E578"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79" w:history="1">
            <w:r w:rsidR="00C55010" w:rsidRPr="007C6D83">
              <w:rPr>
                <w:rStyle w:val="Hyperlink"/>
                <w:iCs/>
                <w:noProof/>
              </w:rPr>
              <w:t>3</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Research Limitations</w:t>
            </w:r>
            <w:r w:rsidR="00C55010">
              <w:rPr>
                <w:noProof/>
                <w:webHidden/>
              </w:rPr>
              <w:tab/>
            </w:r>
            <w:r w:rsidR="00C55010">
              <w:rPr>
                <w:noProof/>
                <w:webHidden/>
              </w:rPr>
              <w:fldChar w:fldCharType="begin"/>
            </w:r>
            <w:r w:rsidR="00C55010">
              <w:rPr>
                <w:noProof/>
                <w:webHidden/>
              </w:rPr>
              <w:instrText xml:space="preserve"> PAGEREF _Toc157759579 \h </w:instrText>
            </w:r>
            <w:r w:rsidR="00C55010">
              <w:rPr>
                <w:noProof/>
                <w:webHidden/>
              </w:rPr>
            </w:r>
            <w:r w:rsidR="00C55010">
              <w:rPr>
                <w:noProof/>
                <w:webHidden/>
              </w:rPr>
              <w:fldChar w:fldCharType="separate"/>
            </w:r>
            <w:r w:rsidR="00C55010">
              <w:rPr>
                <w:noProof/>
                <w:webHidden/>
              </w:rPr>
              <w:t>204</w:t>
            </w:r>
            <w:r w:rsidR="00C55010">
              <w:rPr>
                <w:noProof/>
                <w:webHidden/>
              </w:rPr>
              <w:fldChar w:fldCharType="end"/>
            </w:r>
          </w:hyperlink>
        </w:p>
        <w:p w14:paraId="05427BEE" w14:textId="79D6C551"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80" w:history="1">
            <w:r w:rsidR="00C55010" w:rsidRPr="007C6D83">
              <w:rPr>
                <w:rStyle w:val="Hyperlink"/>
                <w:iCs/>
                <w:noProof/>
              </w:rPr>
              <w:t>4</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Future research opportunities</w:t>
            </w:r>
            <w:r w:rsidR="00C55010">
              <w:rPr>
                <w:noProof/>
                <w:webHidden/>
              </w:rPr>
              <w:tab/>
            </w:r>
            <w:r w:rsidR="00C55010">
              <w:rPr>
                <w:noProof/>
                <w:webHidden/>
              </w:rPr>
              <w:fldChar w:fldCharType="begin"/>
            </w:r>
            <w:r w:rsidR="00C55010">
              <w:rPr>
                <w:noProof/>
                <w:webHidden/>
              </w:rPr>
              <w:instrText xml:space="preserve"> PAGEREF _Toc157759580 \h </w:instrText>
            </w:r>
            <w:r w:rsidR="00C55010">
              <w:rPr>
                <w:noProof/>
                <w:webHidden/>
              </w:rPr>
            </w:r>
            <w:r w:rsidR="00C55010">
              <w:rPr>
                <w:noProof/>
                <w:webHidden/>
              </w:rPr>
              <w:fldChar w:fldCharType="separate"/>
            </w:r>
            <w:r w:rsidR="00C55010">
              <w:rPr>
                <w:noProof/>
                <w:webHidden/>
              </w:rPr>
              <w:t>204</w:t>
            </w:r>
            <w:r w:rsidR="00C55010">
              <w:rPr>
                <w:noProof/>
                <w:webHidden/>
              </w:rPr>
              <w:fldChar w:fldCharType="end"/>
            </w:r>
          </w:hyperlink>
        </w:p>
        <w:p w14:paraId="6299146D" w14:textId="09C4F8B4"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81" w:history="1">
            <w:r w:rsidR="00C55010" w:rsidRPr="007C6D83">
              <w:rPr>
                <w:rStyle w:val="Hyperlink"/>
                <w:noProof/>
                <w:lang w:val="it-IT"/>
              </w:rPr>
              <w:t>References</w:t>
            </w:r>
            <w:r w:rsidR="00C55010">
              <w:rPr>
                <w:noProof/>
                <w:webHidden/>
              </w:rPr>
              <w:tab/>
            </w:r>
            <w:r w:rsidR="00C55010">
              <w:rPr>
                <w:noProof/>
                <w:webHidden/>
              </w:rPr>
              <w:fldChar w:fldCharType="begin"/>
            </w:r>
            <w:r w:rsidR="00C55010">
              <w:rPr>
                <w:noProof/>
                <w:webHidden/>
              </w:rPr>
              <w:instrText xml:space="preserve"> PAGEREF _Toc157759581 \h </w:instrText>
            </w:r>
            <w:r w:rsidR="00C55010">
              <w:rPr>
                <w:noProof/>
                <w:webHidden/>
              </w:rPr>
            </w:r>
            <w:r w:rsidR="00C55010">
              <w:rPr>
                <w:noProof/>
                <w:webHidden/>
              </w:rPr>
              <w:fldChar w:fldCharType="separate"/>
            </w:r>
            <w:r w:rsidR="00C55010">
              <w:rPr>
                <w:noProof/>
                <w:webHidden/>
              </w:rPr>
              <w:t>207</w:t>
            </w:r>
            <w:r w:rsidR="00C55010">
              <w:rPr>
                <w:noProof/>
                <w:webHidden/>
              </w:rPr>
              <w:fldChar w:fldCharType="end"/>
            </w:r>
          </w:hyperlink>
        </w:p>
        <w:p w14:paraId="25B197EE" w14:textId="3BBECC61" w:rsidR="00C55010" w:rsidRDefault="00C80BFD">
          <w:pPr>
            <w:pStyle w:val="TOC1"/>
            <w:rPr>
              <w:rFonts w:asciiTheme="minorHAnsi" w:eastAsiaTheme="minorEastAsia" w:hAnsiTheme="minorHAnsi" w:cstheme="minorBidi"/>
              <w:b w:val="0"/>
              <w:bCs w:val="0"/>
              <w:i w:val="0"/>
              <w:iCs w:val="0"/>
              <w:noProof/>
              <w:sz w:val="22"/>
              <w:szCs w:val="22"/>
              <w:lang w:eastAsia="zh-CN"/>
            </w:rPr>
          </w:pPr>
          <w:hyperlink w:anchor="_Toc157759582" w:history="1">
            <w:r w:rsidR="00C55010" w:rsidRPr="007C6D83">
              <w:rPr>
                <w:rStyle w:val="Hyperlink"/>
                <w:rFonts w:cs="Times New Roman"/>
                <w:noProof/>
                <w:lang w:val="en-US"/>
              </w:rPr>
              <w:t xml:space="preserve">Appendix 1 – </w:t>
            </w:r>
            <w:r w:rsidR="00C55010" w:rsidRPr="007C6D83">
              <w:rPr>
                <w:rStyle w:val="Hyperlink"/>
                <w:rFonts w:cs="Times New Roman"/>
                <w:noProof/>
                <w:lang w:eastAsia="en-US"/>
              </w:rPr>
              <w:t>Doctoral Development Portfolio</w:t>
            </w:r>
            <w:r w:rsidR="00C55010">
              <w:rPr>
                <w:noProof/>
                <w:webHidden/>
              </w:rPr>
              <w:tab/>
            </w:r>
            <w:r w:rsidR="00C55010">
              <w:rPr>
                <w:noProof/>
                <w:webHidden/>
              </w:rPr>
              <w:fldChar w:fldCharType="begin"/>
            </w:r>
            <w:r w:rsidR="00C55010">
              <w:rPr>
                <w:noProof/>
                <w:webHidden/>
              </w:rPr>
              <w:instrText xml:space="preserve"> PAGEREF _Toc157759582 \h </w:instrText>
            </w:r>
            <w:r w:rsidR="00C55010">
              <w:rPr>
                <w:noProof/>
                <w:webHidden/>
              </w:rPr>
            </w:r>
            <w:r w:rsidR="00C55010">
              <w:rPr>
                <w:noProof/>
                <w:webHidden/>
              </w:rPr>
              <w:fldChar w:fldCharType="separate"/>
            </w:r>
            <w:r w:rsidR="00C55010">
              <w:rPr>
                <w:noProof/>
                <w:webHidden/>
              </w:rPr>
              <w:t>208</w:t>
            </w:r>
            <w:r w:rsidR="00C55010">
              <w:rPr>
                <w:noProof/>
                <w:webHidden/>
              </w:rPr>
              <w:fldChar w:fldCharType="end"/>
            </w:r>
          </w:hyperlink>
        </w:p>
        <w:p w14:paraId="291E4261" w14:textId="4B466754" w:rsidR="00C55010" w:rsidRDefault="00C80BFD">
          <w:pPr>
            <w:pStyle w:val="TOC1"/>
            <w:rPr>
              <w:rFonts w:asciiTheme="minorHAnsi" w:eastAsiaTheme="minorEastAsia" w:hAnsiTheme="minorHAnsi" w:cstheme="minorBidi"/>
              <w:b w:val="0"/>
              <w:bCs w:val="0"/>
              <w:i w:val="0"/>
              <w:iCs w:val="0"/>
              <w:noProof/>
              <w:sz w:val="22"/>
              <w:szCs w:val="22"/>
              <w:lang w:eastAsia="zh-CN"/>
            </w:rPr>
          </w:pPr>
          <w:hyperlink w:anchor="_Toc157759583" w:history="1">
            <w:r w:rsidR="00C55010" w:rsidRPr="007C6D83">
              <w:rPr>
                <w:rStyle w:val="Hyperlink"/>
                <w:rFonts w:cs="Times New Roman"/>
                <w:noProof/>
                <w:lang w:val="en-US"/>
              </w:rPr>
              <w:t>Appendix 2 – Data Management Plan</w:t>
            </w:r>
            <w:r w:rsidR="00C55010">
              <w:rPr>
                <w:noProof/>
                <w:webHidden/>
              </w:rPr>
              <w:tab/>
            </w:r>
            <w:r w:rsidR="00C55010">
              <w:rPr>
                <w:noProof/>
                <w:webHidden/>
              </w:rPr>
              <w:fldChar w:fldCharType="begin"/>
            </w:r>
            <w:r w:rsidR="00C55010">
              <w:rPr>
                <w:noProof/>
                <w:webHidden/>
              </w:rPr>
              <w:instrText xml:space="preserve"> PAGEREF _Toc157759583 \h </w:instrText>
            </w:r>
            <w:r w:rsidR="00C55010">
              <w:rPr>
                <w:noProof/>
                <w:webHidden/>
              </w:rPr>
            </w:r>
            <w:r w:rsidR="00C55010">
              <w:rPr>
                <w:noProof/>
                <w:webHidden/>
              </w:rPr>
              <w:fldChar w:fldCharType="separate"/>
            </w:r>
            <w:r w:rsidR="00C55010">
              <w:rPr>
                <w:noProof/>
                <w:webHidden/>
              </w:rPr>
              <w:t>210</w:t>
            </w:r>
            <w:r w:rsidR="00C55010">
              <w:rPr>
                <w:noProof/>
                <w:webHidden/>
              </w:rPr>
              <w:fldChar w:fldCharType="end"/>
            </w:r>
          </w:hyperlink>
        </w:p>
        <w:p w14:paraId="08E55091" w14:textId="51180E31" w:rsidR="00C55010" w:rsidRDefault="00C80BFD">
          <w:pPr>
            <w:pStyle w:val="TOC1"/>
            <w:rPr>
              <w:rFonts w:asciiTheme="minorHAnsi" w:eastAsiaTheme="minorEastAsia" w:hAnsiTheme="minorHAnsi" w:cstheme="minorBidi"/>
              <w:b w:val="0"/>
              <w:bCs w:val="0"/>
              <w:i w:val="0"/>
              <w:iCs w:val="0"/>
              <w:noProof/>
              <w:sz w:val="22"/>
              <w:szCs w:val="22"/>
              <w:lang w:eastAsia="zh-CN"/>
            </w:rPr>
          </w:pPr>
          <w:hyperlink w:anchor="_Toc157759584" w:history="1">
            <w:r w:rsidR="00C55010" w:rsidRPr="007C6D83">
              <w:rPr>
                <w:rStyle w:val="Hyperlink"/>
                <w:noProof/>
                <w:lang w:val="en-US"/>
              </w:rPr>
              <w:t>Appendix 3 – Ethics Approval</w:t>
            </w:r>
            <w:r w:rsidR="00C55010">
              <w:rPr>
                <w:noProof/>
                <w:webHidden/>
              </w:rPr>
              <w:tab/>
            </w:r>
            <w:r w:rsidR="00C55010">
              <w:rPr>
                <w:noProof/>
                <w:webHidden/>
              </w:rPr>
              <w:fldChar w:fldCharType="begin"/>
            </w:r>
            <w:r w:rsidR="00C55010">
              <w:rPr>
                <w:noProof/>
                <w:webHidden/>
              </w:rPr>
              <w:instrText xml:space="preserve"> PAGEREF _Toc157759584 \h </w:instrText>
            </w:r>
            <w:r w:rsidR="00C55010">
              <w:rPr>
                <w:noProof/>
                <w:webHidden/>
              </w:rPr>
            </w:r>
            <w:r w:rsidR="00C55010">
              <w:rPr>
                <w:noProof/>
                <w:webHidden/>
              </w:rPr>
              <w:fldChar w:fldCharType="separate"/>
            </w:r>
            <w:r w:rsidR="00C55010">
              <w:rPr>
                <w:noProof/>
                <w:webHidden/>
              </w:rPr>
              <w:t>213</w:t>
            </w:r>
            <w:r w:rsidR="00C55010">
              <w:rPr>
                <w:noProof/>
                <w:webHidden/>
              </w:rPr>
              <w:fldChar w:fldCharType="end"/>
            </w:r>
          </w:hyperlink>
        </w:p>
        <w:p w14:paraId="60508F89" w14:textId="165D85CF" w:rsidR="00C55010" w:rsidRDefault="00C80BFD">
          <w:pPr>
            <w:pStyle w:val="TOC1"/>
            <w:rPr>
              <w:rFonts w:asciiTheme="minorHAnsi" w:eastAsiaTheme="minorEastAsia" w:hAnsiTheme="minorHAnsi" w:cstheme="minorBidi"/>
              <w:b w:val="0"/>
              <w:bCs w:val="0"/>
              <w:i w:val="0"/>
              <w:iCs w:val="0"/>
              <w:noProof/>
              <w:sz w:val="22"/>
              <w:szCs w:val="22"/>
              <w:lang w:eastAsia="zh-CN"/>
            </w:rPr>
          </w:pPr>
          <w:hyperlink w:anchor="_Toc157759585" w:history="1">
            <w:r w:rsidR="00C55010" w:rsidRPr="007C6D83">
              <w:rPr>
                <w:rStyle w:val="Hyperlink"/>
                <w:noProof/>
                <w:lang w:val="en-US"/>
              </w:rPr>
              <w:t>Appendix 4 – TNA form</w:t>
            </w:r>
            <w:r w:rsidR="00C55010">
              <w:rPr>
                <w:noProof/>
                <w:webHidden/>
              </w:rPr>
              <w:tab/>
            </w:r>
            <w:r w:rsidR="00C55010">
              <w:rPr>
                <w:noProof/>
                <w:webHidden/>
              </w:rPr>
              <w:fldChar w:fldCharType="begin"/>
            </w:r>
            <w:r w:rsidR="00C55010">
              <w:rPr>
                <w:noProof/>
                <w:webHidden/>
              </w:rPr>
              <w:instrText xml:space="preserve"> PAGEREF _Toc157759585 \h </w:instrText>
            </w:r>
            <w:r w:rsidR="00C55010">
              <w:rPr>
                <w:noProof/>
                <w:webHidden/>
              </w:rPr>
            </w:r>
            <w:r w:rsidR="00C55010">
              <w:rPr>
                <w:noProof/>
                <w:webHidden/>
              </w:rPr>
              <w:fldChar w:fldCharType="separate"/>
            </w:r>
            <w:r w:rsidR="00C55010">
              <w:rPr>
                <w:noProof/>
                <w:webHidden/>
              </w:rPr>
              <w:t>213</w:t>
            </w:r>
            <w:r w:rsidR="00C55010">
              <w:rPr>
                <w:noProof/>
                <w:webHidden/>
              </w:rPr>
              <w:fldChar w:fldCharType="end"/>
            </w:r>
          </w:hyperlink>
        </w:p>
        <w:p w14:paraId="0D9F51D7" w14:textId="0119B386" w:rsidR="00C55010" w:rsidRDefault="00C80BFD">
          <w:pPr>
            <w:pStyle w:val="TOC1"/>
            <w:rPr>
              <w:rFonts w:asciiTheme="minorHAnsi" w:eastAsiaTheme="minorEastAsia" w:hAnsiTheme="minorHAnsi" w:cstheme="minorBidi"/>
              <w:b w:val="0"/>
              <w:bCs w:val="0"/>
              <w:i w:val="0"/>
              <w:iCs w:val="0"/>
              <w:noProof/>
              <w:sz w:val="22"/>
              <w:szCs w:val="22"/>
              <w:lang w:eastAsia="zh-CN"/>
            </w:rPr>
          </w:pPr>
          <w:hyperlink w:anchor="_Toc157759586" w:history="1">
            <w:r w:rsidR="00C55010" w:rsidRPr="007C6D83">
              <w:rPr>
                <w:rStyle w:val="Hyperlink"/>
                <w:rFonts w:cs="Times New Roman"/>
                <w:noProof/>
                <w:lang w:val="en-US"/>
              </w:rPr>
              <w:t>Appendix 5 – Circular Economy Indicators for Supply Chains: A Systematic Literature Review</w:t>
            </w:r>
            <w:r w:rsidR="00C55010">
              <w:rPr>
                <w:noProof/>
                <w:webHidden/>
              </w:rPr>
              <w:tab/>
            </w:r>
            <w:r w:rsidR="00C55010">
              <w:rPr>
                <w:noProof/>
                <w:webHidden/>
              </w:rPr>
              <w:fldChar w:fldCharType="begin"/>
            </w:r>
            <w:r w:rsidR="00C55010">
              <w:rPr>
                <w:noProof/>
                <w:webHidden/>
              </w:rPr>
              <w:instrText xml:space="preserve"> PAGEREF _Toc157759586 \h </w:instrText>
            </w:r>
            <w:r w:rsidR="00C55010">
              <w:rPr>
                <w:noProof/>
                <w:webHidden/>
              </w:rPr>
            </w:r>
            <w:r w:rsidR="00C55010">
              <w:rPr>
                <w:noProof/>
                <w:webHidden/>
              </w:rPr>
              <w:fldChar w:fldCharType="separate"/>
            </w:r>
            <w:r w:rsidR="00C55010">
              <w:rPr>
                <w:noProof/>
                <w:webHidden/>
              </w:rPr>
              <w:t>219</w:t>
            </w:r>
            <w:r w:rsidR="00C55010">
              <w:rPr>
                <w:noProof/>
                <w:webHidden/>
              </w:rPr>
              <w:fldChar w:fldCharType="end"/>
            </w:r>
          </w:hyperlink>
        </w:p>
        <w:p w14:paraId="34135B21" w14:textId="3841557D"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87" w:history="1">
            <w:r w:rsidR="00C55010" w:rsidRPr="007C6D83">
              <w:rPr>
                <w:rStyle w:val="Hyperlink"/>
                <w:noProof/>
              </w:rPr>
              <w:t>1 Introduction</w:t>
            </w:r>
            <w:r w:rsidR="00C55010">
              <w:rPr>
                <w:noProof/>
                <w:webHidden/>
              </w:rPr>
              <w:tab/>
            </w:r>
            <w:r w:rsidR="00C55010">
              <w:rPr>
                <w:noProof/>
                <w:webHidden/>
              </w:rPr>
              <w:fldChar w:fldCharType="begin"/>
            </w:r>
            <w:r w:rsidR="00C55010">
              <w:rPr>
                <w:noProof/>
                <w:webHidden/>
              </w:rPr>
              <w:instrText xml:space="preserve"> PAGEREF _Toc157759587 \h </w:instrText>
            </w:r>
            <w:r w:rsidR="00C55010">
              <w:rPr>
                <w:noProof/>
                <w:webHidden/>
              </w:rPr>
            </w:r>
            <w:r w:rsidR="00C55010">
              <w:rPr>
                <w:noProof/>
                <w:webHidden/>
              </w:rPr>
              <w:fldChar w:fldCharType="separate"/>
            </w:r>
            <w:r w:rsidR="00C55010">
              <w:rPr>
                <w:noProof/>
                <w:webHidden/>
              </w:rPr>
              <w:t>220</w:t>
            </w:r>
            <w:r w:rsidR="00C55010">
              <w:rPr>
                <w:noProof/>
                <w:webHidden/>
              </w:rPr>
              <w:fldChar w:fldCharType="end"/>
            </w:r>
          </w:hyperlink>
        </w:p>
        <w:p w14:paraId="659BD967" w14:textId="190087DE"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88" w:history="1">
            <w:r w:rsidR="00C55010" w:rsidRPr="007C6D83">
              <w:rPr>
                <w:rStyle w:val="Hyperlink"/>
                <w:noProof/>
              </w:rPr>
              <w:t>2 Research background</w:t>
            </w:r>
            <w:r w:rsidR="00C55010">
              <w:rPr>
                <w:noProof/>
                <w:webHidden/>
              </w:rPr>
              <w:tab/>
            </w:r>
            <w:r w:rsidR="00C55010">
              <w:rPr>
                <w:noProof/>
                <w:webHidden/>
              </w:rPr>
              <w:fldChar w:fldCharType="begin"/>
            </w:r>
            <w:r w:rsidR="00C55010">
              <w:rPr>
                <w:noProof/>
                <w:webHidden/>
              </w:rPr>
              <w:instrText xml:space="preserve"> PAGEREF _Toc157759588 \h </w:instrText>
            </w:r>
            <w:r w:rsidR="00C55010">
              <w:rPr>
                <w:noProof/>
                <w:webHidden/>
              </w:rPr>
            </w:r>
            <w:r w:rsidR="00C55010">
              <w:rPr>
                <w:noProof/>
                <w:webHidden/>
              </w:rPr>
              <w:fldChar w:fldCharType="separate"/>
            </w:r>
            <w:r w:rsidR="00C55010">
              <w:rPr>
                <w:noProof/>
                <w:webHidden/>
              </w:rPr>
              <w:t>221</w:t>
            </w:r>
            <w:r w:rsidR="00C55010">
              <w:rPr>
                <w:noProof/>
                <w:webHidden/>
              </w:rPr>
              <w:fldChar w:fldCharType="end"/>
            </w:r>
          </w:hyperlink>
        </w:p>
        <w:p w14:paraId="26F02B26" w14:textId="2740190E" w:rsidR="00C55010" w:rsidRDefault="00C80BFD">
          <w:pPr>
            <w:pStyle w:val="TOC3"/>
            <w:tabs>
              <w:tab w:val="right" w:leader="dot" w:pos="9055"/>
            </w:tabs>
            <w:rPr>
              <w:rFonts w:asciiTheme="minorHAnsi" w:eastAsiaTheme="minorEastAsia" w:hAnsiTheme="minorHAnsi" w:cstheme="minorBidi"/>
              <w:noProof/>
              <w:sz w:val="22"/>
              <w:szCs w:val="22"/>
              <w:lang w:eastAsia="zh-CN"/>
            </w:rPr>
          </w:pPr>
          <w:hyperlink w:anchor="_Toc157759589" w:history="1">
            <w:r w:rsidR="00C55010" w:rsidRPr="007C6D83">
              <w:rPr>
                <w:rStyle w:val="Hyperlink"/>
                <w:noProof/>
              </w:rPr>
              <w:t>2.1 Measuring sustainability in circular supply chains</w:t>
            </w:r>
            <w:r w:rsidR="00C55010">
              <w:rPr>
                <w:noProof/>
                <w:webHidden/>
              </w:rPr>
              <w:tab/>
            </w:r>
            <w:r w:rsidR="00C55010">
              <w:rPr>
                <w:noProof/>
                <w:webHidden/>
              </w:rPr>
              <w:fldChar w:fldCharType="begin"/>
            </w:r>
            <w:r w:rsidR="00C55010">
              <w:rPr>
                <w:noProof/>
                <w:webHidden/>
              </w:rPr>
              <w:instrText xml:space="preserve"> PAGEREF _Toc157759589 \h </w:instrText>
            </w:r>
            <w:r w:rsidR="00C55010">
              <w:rPr>
                <w:noProof/>
                <w:webHidden/>
              </w:rPr>
            </w:r>
            <w:r w:rsidR="00C55010">
              <w:rPr>
                <w:noProof/>
                <w:webHidden/>
              </w:rPr>
              <w:fldChar w:fldCharType="separate"/>
            </w:r>
            <w:r w:rsidR="00C55010">
              <w:rPr>
                <w:noProof/>
                <w:webHidden/>
              </w:rPr>
              <w:t>223</w:t>
            </w:r>
            <w:r w:rsidR="00C55010">
              <w:rPr>
                <w:noProof/>
                <w:webHidden/>
              </w:rPr>
              <w:fldChar w:fldCharType="end"/>
            </w:r>
          </w:hyperlink>
        </w:p>
        <w:p w14:paraId="66B40567" w14:textId="45FA9B1F" w:rsidR="00C55010" w:rsidRDefault="00C80BFD">
          <w:pPr>
            <w:pStyle w:val="TOC3"/>
            <w:tabs>
              <w:tab w:val="right" w:leader="dot" w:pos="9055"/>
            </w:tabs>
            <w:rPr>
              <w:rFonts w:asciiTheme="minorHAnsi" w:eastAsiaTheme="minorEastAsia" w:hAnsiTheme="minorHAnsi" w:cstheme="minorBidi"/>
              <w:noProof/>
              <w:sz w:val="22"/>
              <w:szCs w:val="22"/>
              <w:lang w:eastAsia="zh-CN"/>
            </w:rPr>
          </w:pPr>
          <w:hyperlink w:anchor="_Toc157759590" w:history="1">
            <w:r w:rsidR="00C55010" w:rsidRPr="007C6D83">
              <w:rPr>
                <w:rStyle w:val="Hyperlink"/>
                <w:noProof/>
              </w:rPr>
              <w:t>2.2 Understanding the choices behind DSTs for sustainability</w:t>
            </w:r>
            <w:r w:rsidR="00C55010">
              <w:rPr>
                <w:noProof/>
                <w:webHidden/>
              </w:rPr>
              <w:tab/>
            </w:r>
            <w:r w:rsidR="00C55010">
              <w:rPr>
                <w:noProof/>
                <w:webHidden/>
              </w:rPr>
              <w:fldChar w:fldCharType="begin"/>
            </w:r>
            <w:r w:rsidR="00C55010">
              <w:rPr>
                <w:noProof/>
                <w:webHidden/>
              </w:rPr>
              <w:instrText xml:space="preserve"> PAGEREF _Toc157759590 \h </w:instrText>
            </w:r>
            <w:r w:rsidR="00C55010">
              <w:rPr>
                <w:noProof/>
                <w:webHidden/>
              </w:rPr>
            </w:r>
            <w:r w:rsidR="00C55010">
              <w:rPr>
                <w:noProof/>
                <w:webHidden/>
              </w:rPr>
              <w:fldChar w:fldCharType="separate"/>
            </w:r>
            <w:r w:rsidR="00C55010">
              <w:rPr>
                <w:noProof/>
                <w:webHidden/>
              </w:rPr>
              <w:t>225</w:t>
            </w:r>
            <w:r w:rsidR="00C55010">
              <w:rPr>
                <w:noProof/>
                <w:webHidden/>
              </w:rPr>
              <w:fldChar w:fldCharType="end"/>
            </w:r>
          </w:hyperlink>
        </w:p>
        <w:p w14:paraId="23402DE4" w14:textId="4055E803" w:rsidR="00C55010" w:rsidRDefault="00C80BFD">
          <w:pPr>
            <w:pStyle w:val="TOC3"/>
            <w:tabs>
              <w:tab w:val="right" w:leader="dot" w:pos="9055"/>
            </w:tabs>
            <w:rPr>
              <w:rFonts w:asciiTheme="minorHAnsi" w:eastAsiaTheme="minorEastAsia" w:hAnsiTheme="minorHAnsi" w:cstheme="minorBidi"/>
              <w:noProof/>
              <w:sz w:val="22"/>
              <w:szCs w:val="22"/>
              <w:lang w:eastAsia="zh-CN"/>
            </w:rPr>
          </w:pPr>
          <w:hyperlink w:anchor="_Toc157759591" w:history="1">
            <w:r w:rsidR="00C55010" w:rsidRPr="007C6D83">
              <w:rPr>
                <w:rStyle w:val="Hyperlink"/>
                <w:noProof/>
              </w:rPr>
              <w:t>2.3 Research gaps and Research questions</w:t>
            </w:r>
            <w:r w:rsidR="00C55010">
              <w:rPr>
                <w:noProof/>
                <w:webHidden/>
              </w:rPr>
              <w:tab/>
            </w:r>
            <w:r w:rsidR="00C55010">
              <w:rPr>
                <w:noProof/>
                <w:webHidden/>
              </w:rPr>
              <w:fldChar w:fldCharType="begin"/>
            </w:r>
            <w:r w:rsidR="00C55010">
              <w:rPr>
                <w:noProof/>
                <w:webHidden/>
              </w:rPr>
              <w:instrText xml:space="preserve"> PAGEREF _Toc157759591 \h </w:instrText>
            </w:r>
            <w:r w:rsidR="00C55010">
              <w:rPr>
                <w:noProof/>
                <w:webHidden/>
              </w:rPr>
            </w:r>
            <w:r w:rsidR="00C55010">
              <w:rPr>
                <w:noProof/>
                <w:webHidden/>
              </w:rPr>
              <w:fldChar w:fldCharType="separate"/>
            </w:r>
            <w:r w:rsidR="00C55010">
              <w:rPr>
                <w:noProof/>
                <w:webHidden/>
              </w:rPr>
              <w:t>226</w:t>
            </w:r>
            <w:r w:rsidR="00C55010">
              <w:rPr>
                <w:noProof/>
                <w:webHidden/>
              </w:rPr>
              <w:fldChar w:fldCharType="end"/>
            </w:r>
          </w:hyperlink>
        </w:p>
        <w:p w14:paraId="702D45C3" w14:textId="442ACFA2"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92" w:history="1">
            <w:r w:rsidR="00C55010" w:rsidRPr="007C6D83">
              <w:rPr>
                <w:rStyle w:val="Hyperlink"/>
                <w:noProof/>
              </w:rPr>
              <w:t>3 Research method</w:t>
            </w:r>
            <w:r w:rsidR="00C55010">
              <w:rPr>
                <w:noProof/>
                <w:webHidden/>
              </w:rPr>
              <w:tab/>
            </w:r>
            <w:r w:rsidR="00C55010">
              <w:rPr>
                <w:noProof/>
                <w:webHidden/>
              </w:rPr>
              <w:fldChar w:fldCharType="begin"/>
            </w:r>
            <w:r w:rsidR="00C55010">
              <w:rPr>
                <w:noProof/>
                <w:webHidden/>
              </w:rPr>
              <w:instrText xml:space="preserve"> PAGEREF _Toc157759592 \h </w:instrText>
            </w:r>
            <w:r w:rsidR="00C55010">
              <w:rPr>
                <w:noProof/>
                <w:webHidden/>
              </w:rPr>
            </w:r>
            <w:r w:rsidR="00C55010">
              <w:rPr>
                <w:noProof/>
                <w:webHidden/>
              </w:rPr>
              <w:fldChar w:fldCharType="separate"/>
            </w:r>
            <w:r w:rsidR="00C55010">
              <w:rPr>
                <w:noProof/>
                <w:webHidden/>
              </w:rPr>
              <w:t>227</w:t>
            </w:r>
            <w:r w:rsidR="00C55010">
              <w:rPr>
                <w:noProof/>
                <w:webHidden/>
              </w:rPr>
              <w:fldChar w:fldCharType="end"/>
            </w:r>
          </w:hyperlink>
        </w:p>
        <w:p w14:paraId="13DA440D" w14:textId="529C9069" w:rsidR="00C55010" w:rsidRDefault="00C80BFD">
          <w:pPr>
            <w:pStyle w:val="TOC3"/>
            <w:tabs>
              <w:tab w:val="right" w:leader="dot" w:pos="9055"/>
            </w:tabs>
            <w:rPr>
              <w:rFonts w:asciiTheme="minorHAnsi" w:eastAsiaTheme="minorEastAsia" w:hAnsiTheme="minorHAnsi" w:cstheme="minorBidi"/>
              <w:noProof/>
              <w:sz w:val="22"/>
              <w:szCs w:val="22"/>
              <w:lang w:eastAsia="zh-CN"/>
            </w:rPr>
          </w:pPr>
          <w:hyperlink w:anchor="_Toc157759593" w:history="1">
            <w:r w:rsidR="00C55010" w:rsidRPr="007C6D83">
              <w:rPr>
                <w:rStyle w:val="Hyperlink"/>
                <w:noProof/>
              </w:rPr>
              <w:t>3.1 Systematic review of the literature – CE indicators for supply chains</w:t>
            </w:r>
            <w:r w:rsidR="00C55010">
              <w:rPr>
                <w:noProof/>
                <w:webHidden/>
              </w:rPr>
              <w:tab/>
            </w:r>
            <w:r w:rsidR="00C55010">
              <w:rPr>
                <w:noProof/>
                <w:webHidden/>
              </w:rPr>
              <w:fldChar w:fldCharType="begin"/>
            </w:r>
            <w:r w:rsidR="00C55010">
              <w:rPr>
                <w:noProof/>
                <w:webHidden/>
              </w:rPr>
              <w:instrText xml:space="preserve"> PAGEREF _Toc157759593 \h </w:instrText>
            </w:r>
            <w:r w:rsidR="00C55010">
              <w:rPr>
                <w:noProof/>
                <w:webHidden/>
              </w:rPr>
            </w:r>
            <w:r w:rsidR="00C55010">
              <w:rPr>
                <w:noProof/>
                <w:webHidden/>
              </w:rPr>
              <w:fldChar w:fldCharType="separate"/>
            </w:r>
            <w:r w:rsidR="00C55010">
              <w:rPr>
                <w:noProof/>
                <w:webHidden/>
              </w:rPr>
              <w:t>227</w:t>
            </w:r>
            <w:r w:rsidR="00C55010">
              <w:rPr>
                <w:noProof/>
                <w:webHidden/>
              </w:rPr>
              <w:fldChar w:fldCharType="end"/>
            </w:r>
          </w:hyperlink>
        </w:p>
        <w:p w14:paraId="37716417" w14:textId="6B552CE3" w:rsidR="00C55010" w:rsidRDefault="00C80BFD">
          <w:pPr>
            <w:pStyle w:val="TOC3"/>
            <w:tabs>
              <w:tab w:val="right" w:leader="dot" w:pos="9055"/>
            </w:tabs>
            <w:rPr>
              <w:rFonts w:asciiTheme="minorHAnsi" w:eastAsiaTheme="minorEastAsia" w:hAnsiTheme="minorHAnsi" w:cstheme="minorBidi"/>
              <w:noProof/>
              <w:sz w:val="22"/>
              <w:szCs w:val="22"/>
              <w:lang w:eastAsia="zh-CN"/>
            </w:rPr>
          </w:pPr>
          <w:hyperlink w:anchor="_Toc157759594" w:history="1">
            <w:r w:rsidR="00C55010" w:rsidRPr="007C6D83">
              <w:rPr>
                <w:rStyle w:val="Hyperlink"/>
                <w:noProof/>
              </w:rPr>
              <w:t>3.2 Review of CE indicators in the industrial practice</w:t>
            </w:r>
            <w:r w:rsidR="00C55010">
              <w:rPr>
                <w:noProof/>
                <w:webHidden/>
              </w:rPr>
              <w:tab/>
            </w:r>
            <w:r w:rsidR="00C55010">
              <w:rPr>
                <w:noProof/>
                <w:webHidden/>
              </w:rPr>
              <w:fldChar w:fldCharType="begin"/>
            </w:r>
            <w:r w:rsidR="00C55010">
              <w:rPr>
                <w:noProof/>
                <w:webHidden/>
              </w:rPr>
              <w:instrText xml:space="preserve"> PAGEREF _Toc157759594 \h </w:instrText>
            </w:r>
            <w:r w:rsidR="00C55010">
              <w:rPr>
                <w:noProof/>
                <w:webHidden/>
              </w:rPr>
            </w:r>
            <w:r w:rsidR="00C55010">
              <w:rPr>
                <w:noProof/>
                <w:webHidden/>
              </w:rPr>
              <w:fldChar w:fldCharType="separate"/>
            </w:r>
            <w:r w:rsidR="00C55010">
              <w:rPr>
                <w:noProof/>
                <w:webHidden/>
              </w:rPr>
              <w:t>233</w:t>
            </w:r>
            <w:r w:rsidR="00C55010">
              <w:rPr>
                <w:noProof/>
                <w:webHidden/>
              </w:rPr>
              <w:fldChar w:fldCharType="end"/>
            </w:r>
          </w:hyperlink>
        </w:p>
        <w:p w14:paraId="14199722" w14:textId="5F8B8567"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595" w:history="1">
            <w:r w:rsidR="00C55010" w:rsidRPr="007C6D83">
              <w:rPr>
                <w:rStyle w:val="Hyperlink"/>
                <w:noProof/>
              </w:rPr>
              <w:t>4 Results</w:t>
            </w:r>
            <w:r w:rsidR="00C55010">
              <w:rPr>
                <w:noProof/>
                <w:webHidden/>
              </w:rPr>
              <w:tab/>
            </w:r>
            <w:r w:rsidR="00C55010">
              <w:rPr>
                <w:noProof/>
                <w:webHidden/>
              </w:rPr>
              <w:fldChar w:fldCharType="begin"/>
            </w:r>
            <w:r w:rsidR="00C55010">
              <w:rPr>
                <w:noProof/>
                <w:webHidden/>
              </w:rPr>
              <w:instrText xml:space="preserve"> PAGEREF _Toc157759595 \h </w:instrText>
            </w:r>
            <w:r w:rsidR="00C55010">
              <w:rPr>
                <w:noProof/>
                <w:webHidden/>
              </w:rPr>
            </w:r>
            <w:r w:rsidR="00C55010">
              <w:rPr>
                <w:noProof/>
                <w:webHidden/>
              </w:rPr>
              <w:fldChar w:fldCharType="separate"/>
            </w:r>
            <w:r w:rsidR="00C55010">
              <w:rPr>
                <w:noProof/>
                <w:webHidden/>
              </w:rPr>
              <w:t>234</w:t>
            </w:r>
            <w:r w:rsidR="00C55010">
              <w:rPr>
                <w:noProof/>
                <w:webHidden/>
              </w:rPr>
              <w:fldChar w:fldCharType="end"/>
            </w:r>
          </w:hyperlink>
        </w:p>
        <w:p w14:paraId="34C79F7C" w14:textId="09B602F1"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96" w:history="1">
            <w:r w:rsidR="00C55010" w:rsidRPr="007C6D83">
              <w:rPr>
                <w:rStyle w:val="Hyperlink"/>
                <w:noProof/>
              </w:rPr>
              <w:t>4.1</w:t>
            </w:r>
            <w:r w:rsidR="00C55010">
              <w:rPr>
                <w:rFonts w:asciiTheme="minorHAnsi" w:eastAsiaTheme="minorEastAsia" w:hAnsiTheme="minorHAnsi" w:cstheme="minorBidi"/>
                <w:noProof/>
                <w:sz w:val="22"/>
                <w:szCs w:val="22"/>
                <w:lang w:eastAsia="zh-CN"/>
              </w:rPr>
              <w:tab/>
            </w:r>
            <w:r w:rsidR="00C55010" w:rsidRPr="007C6D83">
              <w:rPr>
                <w:rStyle w:val="Hyperlink"/>
                <w:noProof/>
              </w:rPr>
              <w:t>Metrics and Dimensions</w:t>
            </w:r>
            <w:r w:rsidR="00C55010">
              <w:rPr>
                <w:noProof/>
                <w:webHidden/>
              </w:rPr>
              <w:tab/>
            </w:r>
            <w:r w:rsidR="00C55010">
              <w:rPr>
                <w:noProof/>
                <w:webHidden/>
              </w:rPr>
              <w:fldChar w:fldCharType="begin"/>
            </w:r>
            <w:r w:rsidR="00C55010">
              <w:rPr>
                <w:noProof/>
                <w:webHidden/>
              </w:rPr>
              <w:instrText xml:space="preserve"> PAGEREF _Toc157759596 \h </w:instrText>
            </w:r>
            <w:r w:rsidR="00C55010">
              <w:rPr>
                <w:noProof/>
                <w:webHidden/>
              </w:rPr>
            </w:r>
            <w:r w:rsidR="00C55010">
              <w:rPr>
                <w:noProof/>
                <w:webHidden/>
              </w:rPr>
              <w:fldChar w:fldCharType="separate"/>
            </w:r>
            <w:r w:rsidR="00C55010">
              <w:rPr>
                <w:noProof/>
                <w:webHidden/>
              </w:rPr>
              <w:t>237</w:t>
            </w:r>
            <w:r w:rsidR="00C55010">
              <w:rPr>
                <w:noProof/>
                <w:webHidden/>
              </w:rPr>
              <w:fldChar w:fldCharType="end"/>
            </w:r>
          </w:hyperlink>
        </w:p>
        <w:p w14:paraId="693E315C" w14:textId="4DFF1991"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97" w:history="1">
            <w:r w:rsidR="00C55010" w:rsidRPr="007C6D83">
              <w:rPr>
                <w:rStyle w:val="Hyperlink"/>
                <w:noProof/>
              </w:rPr>
              <w:t>4.2</w:t>
            </w:r>
            <w:r w:rsidR="00C55010">
              <w:rPr>
                <w:rFonts w:asciiTheme="minorHAnsi" w:eastAsiaTheme="minorEastAsia" w:hAnsiTheme="minorHAnsi" w:cstheme="minorBidi"/>
                <w:noProof/>
                <w:sz w:val="22"/>
                <w:szCs w:val="22"/>
                <w:lang w:eastAsia="zh-CN"/>
              </w:rPr>
              <w:tab/>
            </w:r>
            <w:r w:rsidR="00C55010" w:rsidRPr="007C6D83">
              <w:rPr>
                <w:rStyle w:val="Hyperlink"/>
                <w:noProof/>
              </w:rPr>
              <w:t>CE indicators from industry practitioners</w:t>
            </w:r>
            <w:r w:rsidR="00C55010">
              <w:rPr>
                <w:noProof/>
                <w:webHidden/>
              </w:rPr>
              <w:tab/>
            </w:r>
            <w:r w:rsidR="00C55010">
              <w:rPr>
                <w:noProof/>
                <w:webHidden/>
              </w:rPr>
              <w:fldChar w:fldCharType="begin"/>
            </w:r>
            <w:r w:rsidR="00C55010">
              <w:rPr>
                <w:noProof/>
                <w:webHidden/>
              </w:rPr>
              <w:instrText xml:space="preserve"> PAGEREF _Toc157759597 \h </w:instrText>
            </w:r>
            <w:r w:rsidR="00C55010">
              <w:rPr>
                <w:noProof/>
                <w:webHidden/>
              </w:rPr>
            </w:r>
            <w:r w:rsidR="00C55010">
              <w:rPr>
                <w:noProof/>
                <w:webHidden/>
              </w:rPr>
              <w:fldChar w:fldCharType="separate"/>
            </w:r>
            <w:r w:rsidR="00C55010">
              <w:rPr>
                <w:noProof/>
                <w:webHidden/>
              </w:rPr>
              <w:t>246</w:t>
            </w:r>
            <w:r w:rsidR="00C55010">
              <w:rPr>
                <w:noProof/>
                <w:webHidden/>
              </w:rPr>
              <w:fldChar w:fldCharType="end"/>
            </w:r>
          </w:hyperlink>
        </w:p>
        <w:p w14:paraId="11F8840C" w14:textId="4B5103D1"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598" w:history="1">
            <w:r w:rsidR="00C55010" w:rsidRPr="007C6D83">
              <w:rPr>
                <w:rStyle w:val="Hyperlink"/>
                <w:noProof/>
              </w:rPr>
              <w:t>4.3</w:t>
            </w:r>
            <w:r w:rsidR="00C55010">
              <w:rPr>
                <w:rFonts w:asciiTheme="minorHAnsi" w:eastAsiaTheme="minorEastAsia" w:hAnsiTheme="minorHAnsi" w:cstheme="minorBidi"/>
                <w:noProof/>
                <w:sz w:val="22"/>
                <w:szCs w:val="22"/>
                <w:lang w:eastAsia="zh-CN"/>
              </w:rPr>
              <w:tab/>
            </w:r>
            <w:r w:rsidR="00C55010" w:rsidRPr="007C6D83">
              <w:rPr>
                <w:rStyle w:val="Hyperlink"/>
                <w:noProof/>
              </w:rPr>
              <w:t>Developing CE indicators for supply chains from the state-of-the-art</w:t>
            </w:r>
            <w:r w:rsidR="00C55010">
              <w:rPr>
                <w:noProof/>
                <w:webHidden/>
              </w:rPr>
              <w:tab/>
            </w:r>
            <w:r w:rsidR="00C55010">
              <w:rPr>
                <w:noProof/>
                <w:webHidden/>
              </w:rPr>
              <w:fldChar w:fldCharType="begin"/>
            </w:r>
            <w:r w:rsidR="00C55010">
              <w:rPr>
                <w:noProof/>
                <w:webHidden/>
              </w:rPr>
              <w:instrText xml:space="preserve"> PAGEREF _Toc157759598 \h </w:instrText>
            </w:r>
            <w:r w:rsidR="00C55010">
              <w:rPr>
                <w:noProof/>
                <w:webHidden/>
              </w:rPr>
            </w:r>
            <w:r w:rsidR="00C55010">
              <w:rPr>
                <w:noProof/>
                <w:webHidden/>
              </w:rPr>
              <w:fldChar w:fldCharType="separate"/>
            </w:r>
            <w:r w:rsidR="00C55010">
              <w:rPr>
                <w:noProof/>
                <w:webHidden/>
              </w:rPr>
              <w:t>246</w:t>
            </w:r>
            <w:r w:rsidR="00C55010">
              <w:rPr>
                <w:noProof/>
                <w:webHidden/>
              </w:rPr>
              <w:fldChar w:fldCharType="end"/>
            </w:r>
          </w:hyperlink>
        </w:p>
        <w:p w14:paraId="05EE69E0" w14:textId="2653D49B"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599" w:history="1">
            <w:r w:rsidR="00C55010" w:rsidRPr="007C6D83">
              <w:rPr>
                <w:rStyle w:val="Hyperlink"/>
                <w:iCs/>
                <w:noProof/>
              </w:rPr>
              <w:t>5</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Discussion</w:t>
            </w:r>
            <w:r w:rsidR="00C55010">
              <w:rPr>
                <w:noProof/>
                <w:webHidden/>
              </w:rPr>
              <w:tab/>
            </w:r>
            <w:r w:rsidR="00C55010">
              <w:rPr>
                <w:noProof/>
                <w:webHidden/>
              </w:rPr>
              <w:fldChar w:fldCharType="begin"/>
            </w:r>
            <w:r w:rsidR="00C55010">
              <w:rPr>
                <w:noProof/>
                <w:webHidden/>
              </w:rPr>
              <w:instrText xml:space="preserve"> PAGEREF _Toc157759599 \h </w:instrText>
            </w:r>
            <w:r w:rsidR="00C55010">
              <w:rPr>
                <w:noProof/>
                <w:webHidden/>
              </w:rPr>
            </w:r>
            <w:r w:rsidR="00C55010">
              <w:rPr>
                <w:noProof/>
                <w:webHidden/>
              </w:rPr>
              <w:fldChar w:fldCharType="separate"/>
            </w:r>
            <w:r w:rsidR="00C55010">
              <w:rPr>
                <w:noProof/>
                <w:webHidden/>
              </w:rPr>
              <w:t>250</w:t>
            </w:r>
            <w:r w:rsidR="00C55010">
              <w:rPr>
                <w:noProof/>
                <w:webHidden/>
              </w:rPr>
              <w:fldChar w:fldCharType="end"/>
            </w:r>
          </w:hyperlink>
        </w:p>
        <w:p w14:paraId="26605B9E" w14:textId="6852D5CF"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600" w:history="1">
            <w:r w:rsidR="00C55010" w:rsidRPr="007C6D83">
              <w:rPr>
                <w:rStyle w:val="Hyperlink"/>
                <w:noProof/>
              </w:rPr>
              <w:t>5.1</w:t>
            </w:r>
            <w:r w:rsidR="00C55010">
              <w:rPr>
                <w:rFonts w:asciiTheme="minorHAnsi" w:eastAsiaTheme="minorEastAsia" w:hAnsiTheme="minorHAnsi" w:cstheme="minorBidi"/>
                <w:noProof/>
                <w:sz w:val="22"/>
                <w:szCs w:val="22"/>
                <w:lang w:eastAsia="zh-CN"/>
              </w:rPr>
              <w:tab/>
            </w:r>
            <w:r w:rsidR="00C55010" w:rsidRPr="007C6D83">
              <w:rPr>
                <w:rStyle w:val="Hyperlink"/>
                <w:noProof/>
              </w:rPr>
              <w:t>Comparing CE indicators in the literature and the practice</w:t>
            </w:r>
            <w:r w:rsidR="00C55010">
              <w:rPr>
                <w:noProof/>
                <w:webHidden/>
              </w:rPr>
              <w:tab/>
            </w:r>
            <w:r w:rsidR="00C55010">
              <w:rPr>
                <w:noProof/>
                <w:webHidden/>
              </w:rPr>
              <w:fldChar w:fldCharType="begin"/>
            </w:r>
            <w:r w:rsidR="00C55010">
              <w:rPr>
                <w:noProof/>
                <w:webHidden/>
              </w:rPr>
              <w:instrText xml:space="preserve"> PAGEREF _Toc157759600 \h </w:instrText>
            </w:r>
            <w:r w:rsidR="00C55010">
              <w:rPr>
                <w:noProof/>
                <w:webHidden/>
              </w:rPr>
            </w:r>
            <w:r w:rsidR="00C55010">
              <w:rPr>
                <w:noProof/>
                <w:webHidden/>
              </w:rPr>
              <w:fldChar w:fldCharType="separate"/>
            </w:r>
            <w:r w:rsidR="00C55010">
              <w:rPr>
                <w:noProof/>
                <w:webHidden/>
              </w:rPr>
              <w:t>251</w:t>
            </w:r>
            <w:r w:rsidR="00C55010">
              <w:rPr>
                <w:noProof/>
                <w:webHidden/>
              </w:rPr>
              <w:fldChar w:fldCharType="end"/>
            </w:r>
          </w:hyperlink>
        </w:p>
        <w:p w14:paraId="59A77A70" w14:textId="7615FC96"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601" w:history="1">
            <w:r w:rsidR="00C55010" w:rsidRPr="007C6D83">
              <w:rPr>
                <w:rStyle w:val="Hyperlink"/>
                <w:noProof/>
              </w:rPr>
              <w:t>5.2</w:t>
            </w:r>
            <w:r w:rsidR="00C55010">
              <w:rPr>
                <w:rFonts w:asciiTheme="minorHAnsi" w:eastAsiaTheme="minorEastAsia" w:hAnsiTheme="minorHAnsi" w:cstheme="minorBidi"/>
                <w:noProof/>
                <w:sz w:val="22"/>
                <w:szCs w:val="22"/>
                <w:lang w:eastAsia="zh-CN"/>
              </w:rPr>
              <w:tab/>
            </w:r>
            <w:r w:rsidR="00C55010" w:rsidRPr="007C6D83">
              <w:rPr>
                <w:rStyle w:val="Hyperlink"/>
                <w:noProof/>
              </w:rPr>
              <w:t>Reductionism in Decision Support Tools for Circular Supply Chains</w:t>
            </w:r>
            <w:r w:rsidR="00C55010">
              <w:rPr>
                <w:noProof/>
                <w:webHidden/>
              </w:rPr>
              <w:tab/>
            </w:r>
            <w:r w:rsidR="00C55010">
              <w:rPr>
                <w:noProof/>
                <w:webHidden/>
              </w:rPr>
              <w:fldChar w:fldCharType="begin"/>
            </w:r>
            <w:r w:rsidR="00C55010">
              <w:rPr>
                <w:noProof/>
                <w:webHidden/>
              </w:rPr>
              <w:instrText xml:space="preserve"> PAGEREF _Toc157759601 \h </w:instrText>
            </w:r>
            <w:r w:rsidR="00C55010">
              <w:rPr>
                <w:noProof/>
                <w:webHidden/>
              </w:rPr>
            </w:r>
            <w:r w:rsidR="00C55010">
              <w:rPr>
                <w:noProof/>
                <w:webHidden/>
              </w:rPr>
              <w:fldChar w:fldCharType="separate"/>
            </w:r>
            <w:r w:rsidR="00C55010">
              <w:rPr>
                <w:noProof/>
                <w:webHidden/>
              </w:rPr>
              <w:t>252</w:t>
            </w:r>
            <w:r w:rsidR="00C55010">
              <w:rPr>
                <w:noProof/>
                <w:webHidden/>
              </w:rPr>
              <w:fldChar w:fldCharType="end"/>
            </w:r>
          </w:hyperlink>
        </w:p>
        <w:p w14:paraId="091103D1" w14:textId="7A46970F"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602" w:history="1">
            <w:r w:rsidR="00C55010" w:rsidRPr="007C6D83">
              <w:rPr>
                <w:rStyle w:val="Hyperlink"/>
                <w:noProof/>
              </w:rPr>
              <w:t>5.3</w:t>
            </w:r>
            <w:r w:rsidR="00C55010">
              <w:rPr>
                <w:rFonts w:asciiTheme="minorHAnsi" w:eastAsiaTheme="minorEastAsia" w:hAnsiTheme="minorHAnsi" w:cstheme="minorBidi"/>
                <w:noProof/>
                <w:sz w:val="22"/>
                <w:szCs w:val="22"/>
                <w:lang w:eastAsia="zh-CN"/>
              </w:rPr>
              <w:tab/>
            </w:r>
            <w:r w:rsidR="00C55010" w:rsidRPr="007C6D83">
              <w:rPr>
                <w:rStyle w:val="Hyperlink"/>
                <w:noProof/>
              </w:rPr>
              <w:t>Different paths towards CE measurement in supply chains</w:t>
            </w:r>
            <w:r w:rsidR="00C55010">
              <w:rPr>
                <w:noProof/>
                <w:webHidden/>
              </w:rPr>
              <w:tab/>
            </w:r>
            <w:r w:rsidR="00C55010">
              <w:rPr>
                <w:noProof/>
                <w:webHidden/>
              </w:rPr>
              <w:fldChar w:fldCharType="begin"/>
            </w:r>
            <w:r w:rsidR="00C55010">
              <w:rPr>
                <w:noProof/>
                <w:webHidden/>
              </w:rPr>
              <w:instrText xml:space="preserve"> PAGEREF _Toc157759602 \h </w:instrText>
            </w:r>
            <w:r w:rsidR="00C55010">
              <w:rPr>
                <w:noProof/>
                <w:webHidden/>
              </w:rPr>
            </w:r>
            <w:r w:rsidR="00C55010">
              <w:rPr>
                <w:noProof/>
                <w:webHidden/>
              </w:rPr>
              <w:fldChar w:fldCharType="separate"/>
            </w:r>
            <w:r w:rsidR="00C55010">
              <w:rPr>
                <w:noProof/>
                <w:webHidden/>
              </w:rPr>
              <w:t>253</w:t>
            </w:r>
            <w:r w:rsidR="00C55010">
              <w:rPr>
                <w:noProof/>
                <w:webHidden/>
              </w:rPr>
              <w:fldChar w:fldCharType="end"/>
            </w:r>
          </w:hyperlink>
        </w:p>
        <w:p w14:paraId="6CCC1654" w14:textId="78C9CD39"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603" w:history="1">
            <w:r w:rsidR="00C55010" w:rsidRPr="007C6D83">
              <w:rPr>
                <w:rStyle w:val="Hyperlink"/>
                <w:noProof/>
              </w:rPr>
              <w:t>5.4</w:t>
            </w:r>
            <w:r w:rsidR="00C55010">
              <w:rPr>
                <w:rFonts w:asciiTheme="minorHAnsi" w:eastAsiaTheme="minorEastAsia" w:hAnsiTheme="minorHAnsi" w:cstheme="minorBidi"/>
                <w:noProof/>
                <w:sz w:val="22"/>
                <w:szCs w:val="22"/>
                <w:lang w:eastAsia="zh-CN"/>
              </w:rPr>
              <w:tab/>
            </w:r>
            <w:r w:rsidR="00C55010" w:rsidRPr="007C6D83">
              <w:rPr>
                <w:rStyle w:val="Hyperlink"/>
                <w:noProof/>
              </w:rPr>
              <w:t>Contribution to theory and practice</w:t>
            </w:r>
            <w:r w:rsidR="00C55010">
              <w:rPr>
                <w:noProof/>
                <w:webHidden/>
              </w:rPr>
              <w:tab/>
            </w:r>
            <w:r w:rsidR="00C55010">
              <w:rPr>
                <w:noProof/>
                <w:webHidden/>
              </w:rPr>
              <w:fldChar w:fldCharType="begin"/>
            </w:r>
            <w:r w:rsidR="00C55010">
              <w:rPr>
                <w:noProof/>
                <w:webHidden/>
              </w:rPr>
              <w:instrText xml:space="preserve"> PAGEREF _Toc157759603 \h </w:instrText>
            </w:r>
            <w:r w:rsidR="00C55010">
              <w:rPr>
                <w:noProof/>
                <w:webHidden/>
              </w:rPr>
            </w:r>
            <w:r w:rsidR="00C55010">
              <w:rPr>
                <w:noProof/>
                <w:webHidden/>
              </w:rPr>
              <w:fldChar w:fldCharType="separate"/>
            </w:r>
            <w:r w:rsidR="00C55010">
              <w:rPr>
                <w:noProof/>
                <w:webHidden/>
              </w:rPr>
              <w:t>256</w:t>
            </w:r>
            <w:r w:rsidR="00C55010">
              <w:rPr>
                <w:noProof/>
                <w:webHidden/>
              </w:rPr>
              <w:fldChar w:fldCharType="end"/>
            </w:r>
          </w:hyperlink>
        </w:p>
        <w:p w14:paraId="6C819790" w14:textId="56CFABF6" w:rsidR="00C55010" w:rsidRDefault="00C80BFD">
          <w:pPr>
            <w:pStyle w:val="TOC2"/>
            <w:tabs>
              <w:tab w:val="left" w:pos="660"/>
              <w:tab w:val="right" w:leader="dot" w:pos="9055"/>
            </w:tabs>
            <w:rPr>
              <w:rFonts w:asciiTheme="minorHAnsi" w:eastAsiaTheme="minorEastAsia" w:hAnsiTheme="minorHAnsi" w:cstheme="minorBidi"/>
              <w:b w:val="0"/>
              <w:bCs w:val="0"/>
              <w:noProof/>
              <w:sz w:val="22"/>
              <w:szCs w:val="22"/>
              <w:lang w:eastAsia="zh-CN"/>
            </w:rPr>
          </w:pPr>
          <w:hyperlink w:anchor="_Toc157759604" w:history="1">
            <w:r w:rsidR="00C55010" w:rsidRPr="007C6D83">
              <w:rPr>
                <w:rStyle w:val="Hyperlink"/>
                <w:iCs/>
                <w:noProof/>
              </w:rPr>
              <w:t>6</w:t>
            </w:r>
            <w:r w:rsidR="00C55010">
              <w:rPr>
                <w:rFonts w:asciiTheme="minorHAnsi" w:eastAsiaTheme="minorEastAsia" w:hAnsiTheme="minorHAnsi" w:cstheme="minorBidi"/>
                <w:b w:val="0"/>
                <w:bCs w:val="0"/>
                <w:noProof/>
                <w:sz w:val="22"/>
                <w:szCs w:val="22"/>
                <w:lang w:eastAsia="zh-CN"/>
              </w:rPr>
              <w:tab/>
            </w:r>
            <w:r w:rsidR="00C55010" w:rsidRPr="007C6D83">
              <w:rPr>
                <w:rStyle w:val="Hyperlink"/>
                <w:noProof/>
              </w:rPr>
              <w:t>Conclusions</w:t>
            </w:r>
            <w:r w:rsidR="00C55010">
              <w:rPr>
                <w:noProof/>
                <w:webHidden/>
              </w:rPr>
              <w:tab/>
            </w:r>
            <w:r w:rsidR="00C55010">
              <w:rPr>
                <w:noProof/>
                <w:webHidden/>
              </w:rPr>
              <w:fldChar w:fldCharType="begin"/>
            </w:r>
            <w:r w:rsidR="00C55010">
              <w:rPr>
                <w:noProof/>
                <w:webHidden/>
              </w:rPr>
              <w:instrText xml:space="preserve"> PAGEREF _Toc157759604 \h </w:instrText>
            </w:r>
            <w:r w:rsidR="00C55010">
              <w:rPr>
                <w:noProof/>
                <w:webHidden/>
              </w:rPr>
            </w:r>
            <w:r w:rsidR="00C55010">
              <w:rPr>
                <w:noProof/>
                <w:webHidden/>
              </w:rPr>
              <w:fldChar w:fldCharType="separate"/>
            </w:r>
            <w:r w:rsidR="00C55010">
              <w:rPr>
                <w:noProof/>
                <w:webHidden/>
              </w:rPr>
              <w:t>257</w:t>
            </w:r>
            <w:r w:rsidR="00C55010">
              <w:rPr>
                <w:noProof/>
                <w:webHidden/>
              </w:rPr>
              <w:fldChar w:fldCharType="end"/>
            </w:r>
          </w:hyperlink>
        </w:p>
        <w:p w14:paraId="42A063AD" w14:textId="5EB49D1B" w:rsidR="00C55010" w:rsidRDefault="00C80BFD">
          <w:pPr>
            <w:pStyle w:val="TOC3"/>
            <w:tabs>
              <w:tab w:val="left" w:pos="1100"/>
              <w:tab w:val="right" w:leader="dot" w:pos="9055"/>
            </w:tabs>
            <w:rPr>
              <w:rFonts w:asciiTheme="minorHAnsi" w:eastAsiaTheme="minorEastAsia" w:hAnsiTheme="minorHAnsi" w:cstheme="minorBidi"/>
              <w:noProof/>
              <w:sz w:val="22"/>
              <w:szCs w:val="22"/>
              <w:lang w:eastAsia="zh-CN"/>
            </w:rPr>
          </w:pPr>
          <w:hyperlink w:anchor="_Toc157759605" w:history="1">
            <w:r w:rsidR="00C55010" w:rsidRPr="007C6D83">
              <w:rPr>
                <w:rStyle w:val="Hyperlink"/>
                <w:noProof/>
              </w:rPr>
              <w:t>6.1</w:t>
            </w:r>
            <w:r w:rsidR="00C55010">
              <w:rPr>
                <w:rFonts w:asciiTheme="minorHAnsi" w:eastAsiaTheme="minorEastAsia" w:hAnsiTheme="minorHAnsi" w:cstheme="minorBidi"/>
                <w:noProof/>
                <w:sz w:val="22"/>
                <w:szCs w:val="22"/>
                <w:lang w:eastAsia="zh-CN"/>
              </w:rPr>
              <w:tab/>
            </w:r>
            <w:r w:rsidR="00C55010" w:rsidRPr="007C6D83">
              <w:rPr>
                <w:rStyle w:val="Hyperlink"/>
                <w:noProof/>
              </w:rPr>
              <w:t>Limitations and future directions</w:t>
            </w:r>
            <w:r w:rsidR="00C55010">
              <w:rPr>
                <w:noProof/>
                <w:webHidden/>
              </w:rPr>
              <w:tab/>
            </w:r>
            <w:r w:rsidR="00C55010">
              <w:rPr>
                <w:noProof/>
                <w:webHidden/>
              </w:rPr>
              <w:fldChar w:fldCharType="begin"/>
            </w:r>
            <w:r w:rsidR="00C55010">
              <w:rPr>
                <w:noProof/>
                <w:webHidden/>
              </w:rPr>
              <w:instrText xml:space="preserve"> PAGEREF _Toc157759605 \h </w:instrText>
            </w:r>
            <w:r w:rsidR="00C55010">
              <w:rPr>
                <w:noProof/>
                <w:webHidden/>
              </w:rPr>
            </w:r>
            <w:r w:rsidR="00C55010">
              <w:rPr>
                <w:noProof/>
                <w:webHidden/>
              </w:rPr>
              <w:fldChar w:fldCharType="separate"/>
            </w:r>
            <w:r w:rsidR="00C55010">
              <w:rPr>
                <w:noProof/>
                <w:webHidden/>
              </w:rPr>
              <w:t>258</w:t>
            </w:r>
            <w:r w:rsidR="00C55010">
              <w:rPr>
                <w:noProof/>
                <w:webHidden/>
              </w:rPr>
              <w:fldChar w:fldCharType="end"/>
            </w:r>
          </w:hyperlink>
        </w:p>
        <w:p w14:paraId="1E1CC123" w14:textId="59AF3FFA" w:rsidR="00C55010" w:rsidRDefault="00C80BFD">
          <w:pPr>
            <w:pStyle w:val="TOC2"/>
            <w:tabs>
              <w:tab w:val="right" w:leader="dot" w:pos="9055"/>
            </w:tabs>
            <w:rPr>
              <w:rFonts w:asciiTheme="minorHAnsi" w:eastAsiaTheme="minorEastAsia" w:hAnsiTheme="minorHAnsi" w:cstheme="minorBidi"/>
              <w:b w:val="0"/>
              <w:bCs w:val="0"/>
              <w:noProof/>
              <w:sz w:val="22"/>
              <w:szCs w:val="22"/>
              <w:lang w:eastAsia="zh-CN"/>
            </w:rPr>
          </w:pPr>
          <w:hyperlink w:anchor="_Toc157759606" w:history="1">
            <w:r w:rsidR="00C55010" w:rsidRPr="007C6D83">
              <w:rPr>
                <w:rStyle w:val="Hyperlink"/>
                <w:noProof/>
              </w:rPr>
              <w:t>References</w:t>
            </w:r>
            <w:r w:rsidR="00C55010">
              <w:rPr>
                <w:noProof/>
                <w:webHidden/>
              </w:rPr>
              <w:tab/>
            </w:r>
            <w:r w:rsidR="00C55010">
              <w:rPr>
                <w:noProof/>
                <w:webHidden/>
              </w:rPr>
              <w:fldChar w:fldCharType="begin"/>
            </w:r>
            <w:r w:rsidR="00C55010">
              <w:rPr>
                <w:noProof/>
                <w:webHidden/>
              </w:rPr>
              <w:instrText xml:space="preserve"> PAGEREF _Toc157759606 \h </w:instrText>
            </w:r>
            <w:r w:rsidR="00C55010">
              <w:rPr>
                <w:noProof/>
                <w:webHidden/>
              </w:rPr>
            </w:r>
            <w:r w:rsidR="00C55010">
              <w:rPr>
                <w:noProof/>
                <w:webHidden/>
              </w:rPr>
              <w:fldChar w:fldCharType="separate"/>
            </w:r>
            <w:r w:rsidR="00C55010">
              <w:rPr>
                <w:noProof/>
                <w:webHidden/>
              </w:rPr>
              <w:t>260</w:t>
            </w:r>
            <w:r w:rsidR="00C55010">
              <w:rPr>
                <w:noProof/>
                <w:webHidden/>
              </w:rPr>
              <w:fldChar w:fldCharType="end"/>
            </w:r>
          </w:hyperlink>
        </w:p>
        <w:p w14:paraId="4C1D1309" w14:textId="5B5E2B79" w:rsidR="00E85DE6" w:rsidRDefault="00E85DE6" w:rsidP="002F7336">
          <w:pPr>
            <w:rPr>
              <w:noProof/>
            </w:rPr>
          </w:pPr>
          <w:r w:rsidRPr="00273A06">
            <w:rPr>
              <w:b/>
              <w:bCs/>
              <w:noProof/>
            </w:rPr>
            <w:fldChar w:fldCharType="end"/>
          </w:r>
        </w:p>
      </w:sdtContent>
    </w:sdt>
    <w:p w14:paraId="1270158B" w14:textId="77777777" w:rsidR="0056031F" w:rsidRPr="00E85DE6" w:rsidRDefault="0056031F" w:rsidP="002F7336"/>
    <w:p w14:paraId="383481C3" w14:textId="3949CD95" w:rsidR="003C1BBF" w:rsidRDefault="00E85DE6" w:rsidP="00C528D7">
      <w:pPr>
        <w:pStyle w:val="Heading1"/>
      </w:pPr>
      <w:r w:rsidRPr="00BA2C91">
        <w:br w:type="page"/>
      </w:r>
    </w:p>
    <w:p w14:paraId="70F71DBB" w14:textId="5F60A385" w:rsidR="00A02083" w:rsidRPr="005035B4" w:rsidRDefault="00A02083" w:rsidP="00C528D7">
      <w:pPr>
        <w:pStyle w:val="Heading1"/>
        <w:numPr>
          <w:ilvl w:val="0"/>
          <w:numId w:val="0"/>
        </w:numPr>
        <w:ind w:left="357"/>
      </w:pPr>
      <w:bookmarkStart w:id="3" w:name="_Toc157759472"/>
      <w:bookmarkStart w:id="4" w:name="_Hlk137560818"/>
      <w:r w:rsidRPr="005035B4">
        <w:lastRenderedPageBreak/>
        <w:t>Executive Summary</w:t>
      </w:r>
      <w:bookmarkEnd w:id="3"/>
    </w:p>
    <w:bookmarkEnd w:id="4"/>
    <w:p w14:paraId="33F7E6A7" w14:textId="77DC3F43" w:rsidR="003E6A26" w:rsidRDefault="003E6A26" w:rsidP="00C55010">
      <w:r>
        <w:t xml:space="preserve">This thesis </w:t>
      </w:r>
      <w:r w:rsidRPr="00E73C3E">
        <w:t xml:space="preserve">identifies and examines the main drivers and mechanisms that support the adoption of </w:t>
      </w:r>
      <w:r w:rsidR="00116E4E">
        <w:t>c</w:t>
      </w:r>
      <w:r w:rsidRPr="00E73C3E">
        <w:t xml:space="preserve">ircular </w:t>
      </w:r>
      <w:r w:rsidR="00116E4E">
        <w:t>e</w:t>
      </w:r>
      <w:r w:rsidRPr="00E73C3E">
        <w:t xml:space="preserve">conomy practices in supply chains in the context of European </w:t>
      </w:r>
      <w:r w:rsidR="00591635">
        <w:t>and Asian</w:t>
      </w:r>
      <w:r w:rsidRPr="00E73C3E">
        <w:t xml:space="preserve"> economies. </w:t>
      </w:r>
      <w:r>
        <w:t>A</w:t>
      </w:r>
      <w:r w:rsidRPr="00E73C3E">
        <w:t xml:space="preserve"> literature based conceptual model is developed</w:t>
      </w:r>
      <w:r>
        <w:t>, challenged,</w:t>
      </w:r>
      <w:r w:rsidRPr="00E73C3E">
        <w:t xml:space="preserve"> and </w:t>
      </w:r>
      <w:r>
        <w:t xml:space="preserve">finally </w:t>
      </w:r>
      <w:r w:rsidRPr="00E73C3E">
        <w:t>tested</w:t>
      </w:r>
      <w:r>
        <w:t>,</w:t>
      </w:r>
      <w:r w:rsidRPr="00E73C3E">
        <w:t xml:space="preserve"> on a </w:t>
      </w:r>
      <w:r>
        <w:t>representative sample of 150 multinational enterprises included in the Global Fortune 500 list</w:t>
      </w:r>
      <w:r w:rsidRPr="00E73C3E">
        <w:t xml:space="preserve"> and their supply chains.</w:t>
      </w:r>
      <w:r>
        <w:t xml:space="preserve"> </w:t>
      </w:r>
      <w:r w:rsidRPr="00E73C3E">
        <w:t xml:space="preserve">Using institutional isomorphism theoretical lenses, the adoption of </w:t>
      </w:r>
      <w:r w:rsidR="00116E4E">
        <w:t>c</w:t>
      </w:r>
      <w:r w:rsidRPr="00E73C3E">
        <w:t xml:space="preserve">ircular </w:t>
      </w:r>
      <w:r w:rsidR="00116E4E">
        <w:t>e</w:t>
      </w:r>
      <w:r w:rsidRPr="00E73C3E">
        <w:t xml:space="preserve">conomy practices is </w:t>
      </w:r>
      <w:r>
        <w:t xml:space="preserve">described in a conceptual model </w:t>
      </w:r>
      <w:r w:rsidRPr="00E73C3E">
        <w:t>as the outcome of institutional pressures (e.g., coercive, normative</w:t>
      </w:r>
      <w:r>
        <w:t>,</w:t>
      </w:r>
      <w:r w:rsidRPr="00E73C3E">
        <w:t xml:space="preserve"> and m</w:t>
      </w:r>
      <w:r>
        <w:t>i</w:t>
      </w:r>
      <w:r w:rsidRPr="00E73C3E">
        <w:t>metic)</w:t>
      </w:r>
      <w:r>
        <w:t xml:space="preserve"> and Supply Chain Integration</w:t>
      </w:r>
      <w:r w:rsidRPr="00E73C3E">
        <w:t xml:space="preserve">. Supply </w:t>
      </w:r>
      <w:r>
        <w:t>C</w:t>
      </w:r>
      <w:r w:rsidRPr="00E73C3E">
        <w:t xml:space="preserve">hain </w:t>
      </w:r>
      <w:r>
        <w:t>I</w:t>
      </w:r>
      <w:r w:rsidRPr="00E73C3E">
        <w:t xml:space="preserve">ntegration is hypothesised to </w:t>
      </w:r>
      <w:r>
        <w:t>interact with</w:t>
      </w:r>
      <w:r w:rsidRPr="00E73C3E">
        <w:t xml:space="preserve"> the relationship between institutional pressures and the adoption of </w:t>
      </w:r>
      <w:r w:rsidR="00116E4E">
        <w:t>c</w:t>
      </w:r>
      <w:r w:rsidRPr="00E73C3E">
        <w:t xml:space="preserve">ircular </w:t>
      </w:r>
      <w:r w:rsidR="00116E4E">
        <w:t>e</w:t>
      </w:r>
      <w:r w:rsidRPr="00E73C3E">
        <w:t xml:space="preserve">conomy practices. The </w:t>
      </w:r>
      <w:r>
        <w:t xml:space="preserve">thesis adopts an exploratory sequential mixed-methods design, with a first qualitative phase aimed at validating the conceptual framework through a Delphi-like study with experts and practitioners; while a second quantitative phase was used to test hypothesised relationships between drivers, mechanisms, and </w:t>
      </w:r>
      <w:r w:rsidRPr="00E73C3E">
        <w:t>the adoption of circular economy practices</w:t>
      </w:r>
      <w:r>
        <w:t xml:space="preserve">. </w:t>
      </w:r>
      <w:r w:rsidRPr="00E73C3E">
        <w:t xml:space="preserve">Publicly available secondary data sources </w:t>
      </w:r>
      <w:r>
        <w:t xml:space="preserve">are </w:t>
      </w:r>
      <w:r w:rsidRPr="00E73C3E">
        <w:t xml:space="preserve">used as a main source: measures of </w:t>
      </w:r>
      <w:r w:rsidR="00C55010">
        <w:t>c</w:t>
      </w:r>
      <w:r w:rsidRPr="00E73C3E">
        <w:t xml:space="preserve">ircular </w:t>
      </w:r>
      <w:r w:rsidR="00C55010">
        <w:t>e</w:t>
      </w:r>
      <w:r w:rsidRPr="00E73C3E">
        <w:t xml:space="preserve">conomy practices adopted in organisations, along with measures of </w:t>
      </w:r>
      <w:r>
        <w:t>S</w:t>
      </w:r>
      <w:r w:rsidRPr="00E73C3E">
        <w:t xml:space="preserve">upply </w:t>
      </w:r>
      <w:r>
        <w:t>C</w:t>
      </w:r>
      <w:r w:rsidRPr="00E73C3E">
        <w:t xml:space="preserve">hain </w:t>
      </w:r>
      <w:r>
        <w:t>I</w:t>
      </w:r>
      <w:r w:rsidRPr="00E73C3E">
        <w:t xml:space="preserve">ntegration and institutional pressures, </w:t>
      </w:r>
      <w:r>
        <w:t xml:space="preserve">are </w:t>
      </w:r>
      <w:r w:rsidRPr="00E73C3E">
        <w:t xml:space="preserve">extracted from </w:t>
      </w:r>
      <w:r>
        <w:t>Corporate Sustainability reports through a structured coding approach</w:t>
      </w:r>
      <w:r w:rsidRPr="00E73C3E">
        <w:t xml:space="preserve"> and </w:t>
      </w:r>
      <w:r>
        <w:t>included</w:t>
      </w:r>
      <w:r w:rsidRPr="00E73C3E">
        <w:t xml:space="preserve"> in a comprehensive database. </w:t>
      </w:r>
      <w:r>
        <w:t xml:space="preserve">Findings shed light on the role of institutional pressures and Supply Chain Integration on the adoption of circular economy practices; identify different types of organisational responses to institutional pressures; investigate the complex role of Supply Chain Integration, which can magnify the adoption of some circular economy practices, while also favouring the preservation of linear supply chains; clarify what are the most prominent institutional pressures and the mechanisms through which they have an impact. The thesis improves the understanding of antecedents of the adoption of circular economy practices by validating and testing a conceptual framework that connects institutional pressures and Supply Chain Integration. Also, it contributes to practice both by engaging with experts involved in the adoption of circular economy practices and by measuring different facets of the antecedents. </w:t>
      </w:r>
    </w:p>
    <w:p w14:paraId="72364559" w14:textId="77777777" w:rsidR="00193BDC" w:rsidRDefault="00193BDC" w:rsidP="002F7336"/>
    <w:p w14:paraId="42FFA727" w14:textId="45371E48" w:rsidR="00A02083" w:rsidRDefault="00A02083" w:rsidP="002F7336">
      <w:pPr>
        <w:rPr>
          <w:rFonts w:eastAsia="Arial" w:cs="Arial"/>
        </w:rPr>
      </w:pPr>
      <w:r>
        <w:br w:type="page"/>
      </w:r>
    </w:p>
    <w:p w14:paraId="18D76EE1" w14:textId="77777777" w:rsidR="00116B90" w:rsidRDefault="00116B90" w:rsidP="0081080C">
      <w:pPr>
        <w:pStyle w:val="Heading1"/>
        <w:numPr>
          <w:ilvl w:val="0"/>
          <w:numId w:val="12"/>
        </w:numPr>
        <w:sectPr w:rsidR="00116B90" w:rsidSect="001B6A35">
          <w:headerReference w:type="default" r:id="rId17"/>
          <w:footerReference w:type="default" r:id="rId18"/>
          <w:footerReference w:type="first" r:id="rId19"/>
          <w:pgSz w:w="11901" w:h="16840" w:code="9"/>
          <w:pgMar w:top="1985" w:right="1418" w:bottom="1418" w:left="1418" w:header="709" w:footer="709" w:gutter="0"/>
          <w:pgNumType w:fmt="lowerRoman"/>
          <w:cols w:space="708"/>
          <w:titlePg/>
          <w:docGrid w:linePitch="360"/>
        </w:sectPr>
      </w:pPr>
      <w:bookmarkStart w:id="5" w:name="_Hlk135910097"/>
    </w:p>
    <w:p w14:paraId="462C0E5E" w14:textId="32DE650D" w:rsidR="000D1479" w:rsidRPr="00C528D7" w:rsidRDefault="006D6C08" w:rsidP="0081080C">
      <w:pPr>
        <w:pStyle w:val="Heading1"/>
        <w:numPr>
          <w:ilvl w:val="0"/>
          <w:numId w:val="12"/>
        </w:numPr>
      </w:pPr>
      <w:bookmarkStart w:id="6" w:name="_Toc157759473"/>
      <w:r w:rsidRPr="00C528D7">
        <w:lastRenderedPageBreak/>
        <w:t>Introduction</w:t>
      </w:r>
      <w:bookmarkEnd w:id="6"/>
    </w:p>
    <w:p w14:paraId="47EE4A77" w14:textId="7FDE7487" w:rsidR="00F94E05" w:rsidRPr="002F7336" w:rsidRDefault="00F94E05" w:rsidP="002F7336">
      <w:r w:rsidRPr="002F7336">
        <w:t>Industrial societies have increasingly promoted linear production and consumption patterns based on the extraction, exploitation and unsustainable use of natural resources and on the disposal of end of life products (EMAF, 2015). Also, increasing rates of production and consumption have been historically considered a desirable outcome, because they lead to the creation of wealth and economic growth (Smith, 1776). In the context of globalised supply chains and the increasing global population, the exploitation rate of resources has risen rapidly in the last few decades, causing irreversible ecological damage and climate change (European Commission, 2020). Despite some doubts existing on its compatibility with a growth-oriented economic system (Hickel &amp; Kallis, 2019), recent policy efforts (</w:t>
      </w:r>
      <w:r w:rsidR="00FE249F" w:rsidRPr="002F7336">
        <w:t>e.g.,</w:t>
      </w:r>
      <w:r w:rsidRPr="002F7336">
        <w:t xml:space="preserve"> in Europe and the People’s Republic of China) aim at achieving ‘green’ growth and sustainable development through the application of the Circular Economy paradigm in their economies.</w:t>
      </w:r>
    </w:p>
    <w:p w14:paraId="1BAB92DF" w14:textId="77777777" w:rsidR="00F94E05" w:rsidRDefault="00F94E05" w:rsidP="002F7336">
      <w:r>
        <w:t>The Circular Economy concept is seen as a pathway towards more sustainable production and consumption systems in which supply chains are self-sustaining and allow materials to be used over and over again (Webster, 2017). The policy push for a Circular Economy is stimulating companies to create a new economic system where materials and products can be reused and regenerated (Howard et al., 2019), leading to positive environmental, social and economic outcomes and overcoming the weaknesses of the traditional linear production-consumption model (</w:t>
      </w:r>
      <w:proofErr w:type="spellStart"/>
      <w:r>
        <w:t>Geissdoerfer</w:t>
      </w:r>
      <w:proofErr w:type="spellEnd"/>
      <w:r>
        <w:t xml:space="preserve"> et al., 2017). Companies are expected to drive the transition towards the Circular Economy in their supply chains with bottom-up initiatives (</w:t>
      </w:r>
      <w:proofErr w:type="spellStart"/>
      <w:r>
        <w:t>Borrello</w:t>
      </w:r>
      <w:proofErr w:type="spellEnd"/>
      <w:r>
        <w:t xml:space="preserve"> et al., 2020); designing and manufacturing repairable and sustainable goods; adopting solutions aimed at extending product life-time; promoting remanufacturing and recycling in subsequent feedback loops and using renewable energy sources throughout supply chains (Genovese et al., 2017). </w:t>
      </w:r>
    </w:p>
    <w:p w14:paraId="7092A5B5" w14:textId="1F9D1552" w:rsidR="00AD4CAA" w:rsidRDefault="00F94E05" w:rsidP="002F7336">
      <w:r>
        <w:t xml:space="preserve">In this context, a major contribution is expected from supply chains. The Circular Economy requires a concerted effort by more actors. To realise a shift towards the Circular Economy, it is necessary to increase the capacity of involved companies to share information and knowledge with their partners to reduce uncertainty and resource dependency (Herczeg et al., 2018; Berardi and de Brito, 2021). As such, the supply chains are a very relevant unit of analysis, if not the most important, when studying sustainability transformations and transitions. Looking at this dimension is a promising research opportunity.  </w:t>
      </w:r>
      <w:r w:rsidR="00CE486D">
        <w:t xml:space="preserve"> </w:t>
      </w:r>
    </w:p>
    <w:p w14:paraId="68479C04" w14:textId="77777777" w:rsidR="00F93608" w:rsidRDefault="00F93608" w:rsidP="002F7336"/>
    <w:p w14:paraId="09C15288" w14:textId="77777777" w:rsidR="00E73C3E" w:rsidRPr="00821C8F" w:rsidRDefault="00E73C3E" w:rsidP="005035B4">
      <w:pPr>
        <w:pStyle w:val="Heading2"/>
      </w:pPr>
      <w:bookmarkStart w:id="7" w:name="_Toc49839805"/>
      <w:bookmarkStart w:id="8" w:name="_Toc157759474"/>
      <w:bookmarkEnd w:id="0"/>
      <w:r w:rsidRPr="00EE4E2D">
        <w:lastRenderedPageBreak/>
        <w:t>Background</w:t>
      </w:r>
      <w:r w:rsidRPr="00821C8F">
        <w:t xml:space="preserve"> and </w:t>
      </w:r>
      <w:r w:rsidRPr="00837229">
        <w:t>motivation</w:t>
      </w:r>
      <w:r w:rsidRPr="00821C8F">
        <w:t xml:space="preserve"> of the study</w:t>
      </w:r>
      <w:bookmarkEnd w:id="7"/>
      <w:bookmarkEnd w:id="8"/>
    </w:p>
    <w:p w14:paraId="0871C7DC" w14:textId="77777777" w:rsidR="00F94E05" w:rsidRDefault="00F94E05" w:rsidP="002F7336">
      <w:r>
        <w:t xml:space="preserve">A supply chain can be defined as (Christopher, 2016):  </w:t>
      </w:r>
    </w:p>
    <w:p w14:paraId="100CF953" w14:textId="77777777" w:rsidR="00F94E05" w:rsidRPr="004C5307" w:rsidRDefault="00F94E05" w:rsidP="002F7336">
      <w:r w:rsidRPr="004C5307">
        <w:t>“A network of connected and interdependent organisations mutually and co-operatively working together to control, manage and improve the flow of materials and information from suppliers to end users”</w:t>
      </w:r>
    </w:p>
    <w:p w14:paraId="5CC593AE" w14:textId="77777777" w:rsidR="00F94E05" w:rsidRDefault="00F94E05" w:rsidP="002F7336">
      <w:r>
        <w:t xml:space="preserve">The supply chain is considered a key unit of action for a systemic transition towards the Circular Economy (EMAF, 2015; Batista et al., 2018; Govindan &amp; </w:t>
      </w:r>
      <w:proofErr w:type="spellStart"/>
      <w:r>
        <w:t>Hasanagic</w:t>
      </w:r>
      <w:proofErr w:type="spellEnd"/>
      <w:r>
        <w:t>, 2018). Networks of organisations in a supply chain should operationalise circular production and consumption systems that are able to use material efficiently and eliminate waste.</w:t>
      </w:r>
    </w:p>
    <w:p w14:paraId="22BF72B3" w14:textId="77777777" w:rsidR="00F94E05" w:rsidRDefault="00F94E05" w:rsidP="002F7336">
      <w:r>
        <w:t>The principles of the Circular Economy are a key prerequisite for the evolution of linear supply chains into sustainability-oriented systems, where sustainability is embedded in the properties and functionalities of products and in the value proposition of companies (Batista et al., 2023). Circular Economy principles point to a broader scope of resource use (e.g., products, by-products and waste), direction of material flows and relationships in the supply chain (Figure 1). In order to put the principles of the Circular Economy into practice, it is crucial to establish Circular Supply Chains. Circular Supply Chains go beyond the traditional linear flow of materials from suppliers to manufacturers to customers, and instead involve new actors such as collectors, sorters, re-processors and remanufacturers (</w:t>
      </w:r>
      <w:proofErr w:type="spellStart"/>
      <w:r>
        <w:t>Farooque</w:t>
      </w:r>
      <w:proofErr w:type="spellEnd"/>
      <w:r>
        <w:t xml:space="preserve"> et al., 2019). By expanding the scope of collaboration horizontally across different sectors, Circular Supply Chains help to promote the implementation of Circular Economy principles in practice (De Angelis et al., 2018).</w:t>
      </w:r>
    </w:p>
    <w:p w14:paraId="259FF381" w14:textId="77777777" w:rsidR="00F94E05" w:rsidRDefault="00F94E05" w:rsidP="002F7336">
      <w:r>
        <w:t xml:space="preserve">Products and supply chains are transformed in such a way that ecological and economic systems can work together, and human well-being is guaranteed (Murray et al., 2017): waste is eliminated across a product’s life-cycle by designing for a longer life and for the recovery of resources; the dependence on primary materials extraction is also minimised by flowing products and materials back in the economic system. The Circular Economy refers not only to the effective management of resources, but has been linked to the free circulation of knowledge and technologies (Webster, 2017) and more democratic ways of planning socially useful production and consumption (Genovese &amp; </w:t>
      </w:r>
      <w:proofErr w:type="spellStart"/>
      <w:r>
        <w:t>Pansera</w:t>
      </w:r>
      <w:proofErr w:type="spellEnd"/>
      <w:r>
        <w:t>, 2020).</w:t>
      </w:r>
    </w:p>
    <w:p w14:paraId="6109D912" w14:textId="044D515E" w:rsidR="008A79B1" w:rsidRDefault="00F94E05" w:rsidP="002F7336">
      <w:r>
        <w:t xml:space="preserve">The transition towards circular supply chains requires the involvement of multiple actors which operate across global value chains and production systems. This can happen through incremental improvement of the efficiency of production and logistics processes but also through disruptive </w:t>
      </w:r>
      <w:r>
        <w:lastRenderedPageBreak/>
        <w:t>changes in the business models (</w:t>
      </w:r>
      <w:proofErr w:type="spellStart"/>
      <w:r>
        <w:t>Bocken</w:t>
      </w:r>
      <w:proofErr w:type="spellEnd"/>
      <w:r>
        <w:t xml:space="preserve"> et al., 2016; </w:t>
      </w:r>
      <w:proofErr w:type="spellStart"/>
      <w:r>
        <w:t>Borrello</w:t>
      </w:r>
      <w:proofErr w:type="spellEnd"/>
      <w:r>
        <w:t xml:space="preserve"> et al., 2020). In this context, a major contribution is expected from Multinational Enterprises, as these organisations dominate our economies and coordinate resource-intensive global supply networks (Calzolari et al., 2021; Bawens et al., 2020; Selwyn, 2019). Activities linked with the Circular Economy – such as, for example enhancing markets of secondary products and materials – constitute a huge green growth opportunity (EMF, 2015), which makes it appealing to businesses by saving costs, and sharing investments, while incorporating a sustainability logic based on circularity in their supply chains.</w:t>
      </w:r>
    </w:p>
    <w:p w14:paraId="464CBAFD" w14:textId="0E6E8598" w:rsidR="00E73C3E" w:rsidRPr="00E73C3E" w:rsidRDefault="00D904FF" w:rsidP="005035B4">
      <w:pPr>
        <w:pStyle w:val="Heading2"/>
      </w:pPr>
      <w:bookmarkStart w:id="9" w:name="_Toc49839806"/>
      <w:bookmarkStart w:id="10" w:name="_Toc157759475"/>
      <w:r w:rsidRPr="00EE4E2D">
        <w:t>Research</w:t>
      </w:r>
      <w:r>
        <w:t xml:space="preserve"> Gaps and research </w:t>
      </w:r>
      <w:r w:rsidR="00E73C3E" w:rsidRPr="00821C8F">
        <w:t>objectives</w:t>
      </w:r>
      <w:bookmarkEnd w:id="9"/>
      <w:bookmarkEnd w:id="10"/>
      <w:r w:rsidR="00E73C3E" w:rsidRPr="00E73C3E">
        <w:t xml:space="preserve"> </w:t>
      </w:r>
    </w:p>
    <w:p w14:paraId="0FBDCD28" w14:textId="68585AEA" w:rsidR="00F060E5" w:rsidRPr="00F11185" w:rsidRDefault="00F94E05" w:rsidP="00F11185">
      <w:r w:rsidRPr="00F11185">
        <w:t xml:space="preserve">While providing interesting perspectives and mentioning important concepts, the current Circular Economy literature exhibits some gaps which have inspired this thesis. Research on the circular economy </w:t>
      </w:r>
      <w:r w:rsidR="00B60DB1" w:rsidRPr="00F11185">
        <w:t xml:space="preserve">provides </w:t>
      </w:r>
      <w:r w:rsidR="003304C3" w:rsidRPr="00F11185">
        <w:t xml:space="preserve">little evidence of the antecedents to the adoption of Circular Economy practices in Multinational Enterprises. </w:t>
      </w:r>
      <w:r w:rsidR="00F060E5" w:rsidRPr="00F11185">
        <w:t>Most of the papers are a-theoretical and do</w:t>
      </w:r>
      <w:r w:rsidR="003304C3" w:rsidRPr="00F11185">
        <w:t xml:space="preserve"> not use management theories to better understand the drivers and the obstacles behind circular economy initiatives. </w:t>
      </w:r>
    </w:p>
    <w:p w14:paraId="51BE7DD3" w14:textId="424943E0" w:rsidR="003304C3" w:rsidRPr="00F11185" w:rsidRDefault="003304C3" w:rsidP="00F060E5">
      <w:r w:rsidRPr="00F11185">
        <w:t xml:space="preserve">This is even more problematic because the adoption of Circular Economy practices requires the collaboration and the involvement of more companies throughout supply chain networks. Surprisingly, the prevailing literature on Circular Economy often overlooks the critical analysis of the supply chain, and of how practices are spread across supply chain networks. The Sustainable Supply Chain Management literature has already explored the process of the adoption of sustainable and green practices in global supply chains as well as its antecedents (Seuring et al., 2008); however, these aspects are not explicitly discussed in the Circular Economy literature. </w:t>
      </w:r>
    </w:p>
    <w:p w14:paraId="2A9F0427" w14:textId="43D55453" w:rsidR="00F94E05" w:rsidRPr="00F11185" w:rsidRDefault="003304C3" w:rsidP="00B60DB1">
      <w:r w:rsidRPr="00F11185">
        <w:t xml:space="preserve">Additionally, </w:t>
      </w:r>
      <w:r w:rsidR="00B60DB1" w:rsidRPr="00F11185">
        <w:t xml:space="preserve">current research is </w:t>
      </w:r>
      <w:r w:rsidR="00F94E05" w:rsidRPr="00F11185">
        <w:t>characterised by ad-hoc case studies and small samples (</w:t>
      </w:r>
      <w:proofErr w:type="spellStart"/>
      <w:r w:rsidR="00F94E05" w:rsidRPr="00F11185">
        <w:t>Kirchherr</w:t>
      </w:r>
      <w:proofErr w:type="spellEnd"/>
      <w:r w:rsidR="00F94E05" w:rsidRPr="00F11185">
        <w:t xml:space="preserve"> &amp; van Santen, 2019; Salmenperä et al., 2021). The adoption of Circular Economy practices is usually explored in specific contexts and sectors, rather than through the investigation of large and representative samples. Academic research and business practice seem disconnected (Pagell &amp; Shevchenko, 2014; Korhonen et al., 2018; Stewart &amp; Niero, 2018) especially when dealing with production and consumption systems that are dispersed across continents, energy-intensive, and orchestrated by Multinational Enterprises. </w:t>
      </w:r>
      <w:r w:rsidR="007E78DF" w:rsidRPr="00F11185">
        <w:t xml:space="preserve">In synthesis, Circular Economy literature struggles to assess the real state-of-the practice of the adoption of Circular Economy, as well as of the involvement of global supply chains, within a context that is still dominated by a linear paradigm of production and consumption. </w:t>
      </w:r>
      <w:r w:rsidR="00F94E05" w:rsidRPr="00F11185">
        <w:t xml:space="preserve">This is a significant gap that needs to be investigated. </w:t>
      </w:r>
    </w:p>
    <w:p w14:paraId="32047A54" w14:textId="3EE4BCF1" w:rsidR="002D3AF8" w:rsidRPr="00F11185" w:rsidRDefault="006D2A57" w:rsidP="006D2A57">
      <w:r w:rsidRPr="00F11185">
        <w:t>To summarise t</w:t>
      </w:r>
      <w:r w:rsidR="00F94E05" w:rsidRPr="00F11185">
        <w:t xml:space="preserve">his thesis </w:t>
      </w:r>
      <w:r w:rsidR="00B60DB1" w:rsidRPr="00F11185">
        <w:t>starts from these gaps</w:t>
      </w:r>
      <w:r w:rsidR="002D3AF8" w:rsidRPr="00F11185">
        <w:t>:</w:t>
      </w:r>
    </w:p>
    <w:p w14:paraId="7C7AF4A9" w14:textId="25C08E75" w:rsidR="002D3AF8" w:rsidRPr="00F11185" w:rsidRDefault="00F11185" w:rsidP="006D2A57">
      <w:r>
        <w:lastRenderedPageBreak/>
        <w:t>1)</w:t>
      </w:r>
      <w:r w:rsidR="002D3AF8" w:rsidRPr="00F11185">
        <w:t xml:space="preserve"> </w:t>
      </w:r>
      <w:r w:rsidR="006D2A57" w:rsidRPr="00F11185">
        <w:t>Lack of research that investigates</w:t>
      </w:r>
      <w:r w:rsidR="002D3AF8" w:rsidRPr="00F11185">
        <w:t xml:space="preserve"> </w:t>
      </w:r>
      <w:r w:rsidR="009B1D45" w:rsidRPr="00F11185">
        <w:t>why and how companies adopt Circular Economy practices in their supply chains</w:t>
      </w:r>
      <w:r w:rsidR="006D2A57" w:rsidRPr="00F11185">
        <w:t xml:space="preserve"> using management theories</w:t>
      </w:r>
      <w:r w:rsidR="002D3AF8" w:rsidRPr="00F11185">
        <w:t>;</w:t>
      </w:r>
    </w:p>
    <w:p w14:paraId="5F95A43E" w14:textId="26D8A281" w:rsidR="00B907CD" w:rsidRPr="00F11185" w:rsidRDefault="00F11185" w:rsidP="006D2A57">
      <w:r>
        <w:t>2)</w:t>
      </w:r>
      <w:r w:rsidR="002D3AF8" w:rsidRPr="00F11185">
        <w:t xml:space="preserve"> </w:t>
      </w:r>
      <w:r w:rsidR="006D2A57" w:rsidRPr="00F11185">
        <w:t>Lack of research that identifies</w:t>
      </w:r>
      <w:r w:rsidR="00B907CD" w:rsidRPr="00F11185">
        <w:t xml:space="preserve"> the main drivers and supply chain mechanisms that support the adoption of Circular Economy practices in supply chains</w:t>
      </w:r>
      <w:r w:rsidR="00FE7C69" w:rsidRPr="00F11185">
        <w:t>;</w:t>
      </w:r>
      <w:r w:rsidR="00B907CD" w:rsidRPr="00F11185">
        <w:t xml:space="preserve"> </w:t>
      </w:r>
    </w:p>
    <w:p w14:paraId="4C4632D7" w14:textId="5CF765A6" w:rsidR="00FE7C69" w:rsidRPr="00F11185" w:rsidRDefault="00F11185" w:rsidP="006D2A57">
      <w:r>
        <w:t>3)</w:t>
      </w:r>
      <w:r w:rsidR="00FE7C69" w:rsidRPr="00F11185">
        <w:t xml:space="preserve"> </w:t>
      </w:r>
      <w:r w:rsidR="006D2A57" w:rsidRPr="00F11185">
        <w:t xml:space="preserve">Lack of research that </w:t>
      </w:r>
      <w:r w:rsidR="00FE7C69" w:rsidRPr="00F11185">
        <w:t>explore</w:t>
      </w:r>
      <w:r w:rsidR="006D2A57" w:rsidRPr="00F11185">
        <w:t>s</w:t>
      </w:r>
      <w:r w:rsidR="00FE7C69" w:rsidRPr="00F11185">
        <w:t xml:space="preserve"> the transition towards the Circular Economy in a large sample of companies, trying to generalise findings.</w:t>
      </w:r>
    </w:p>
    <w:p w14:paraId="5D120F43" w14:textId="194BF124" w:rsidR="009B1D45" w:rsidRPr="00F11185" w:rsidRDefault="0032689E" w:rsidP="00F11185">
      <w:r w:rsidRPr="00F11185">
        <w:t xml:space="preserve">The first </w:t>
      </w:r>
      <w:r w:rsidR="000B2683" w:rsidRPr="00F11185">
        <w:t>theme of the thesis</w:t>
      </w:r>
      <w:r w:rsidR="003F23B6" w:rsidRPr="00F11185">
        <w:t xml:space="preserve"> is the</w:t>
      </w:r>
      <w:r w:rsidR="009B1D45" w:rsidRPr="00F11185">
        <w:t xml:space="preserve"> identification of drivers</w:t>
      </w:r>
      <w:r w:rsidR="00FE7C69" w:rsidRPr="00F11185">
        <w:t>.</w:t>
      </w:r>
      <w:r w:rsidR="009B1D45" w:rsidRPr="00F11185">
        <w:t xml:space="preserve"> In terms of drivers, this thesis explores the predictors of the adoption of Circular Economy practices, in other words it analyses what motivates organisations to take these decisions. Certain requirements behind these initiatives are coming from governments and societies, and others from consumers and the market. Many authors have associated these drivers to Institutional Pressures. </w:t>
      </w:r>
      <w:r w:rsidR="00FE7C69" w:rsidRPr="00F11185">
        <w:t xml:space="preserve">Chapter 2, 3, 4, and 6 will </w:t>
      </w:r>
      <w:r w:rsidR="006D2A57" w:rsidRPr="00F11185">
        <w:t>contribute to this theme investigating it from different perspectives</w:t>
      </w:r>
      <w:r w:rsidR="00FE7C69" w:rsidRPr="00F11185">
        <w:t xml:space="preserve">. </w:t>
      </w:r>
      <w:r w:rsidR="006D2A57" w:rsidRPr="00F11185">
        <w:t xml:space="preserve">In particular the Delphi-Study (Chapter 5) will define a hierarchy of pressures in terms of their importance. Chapter 6 will </w:t>
      </w:r>
      <w:r w:rsidR="00F11185" w:rsidRPr="00F11185">
        <w:t xml:space="preserve">then </w:t>
      </w:r>
      <w:r w:rsidR="006D2A57" w:rsidRPr="00F11185">
        <w:t xml:space="preserve">recognise </w:t>
      </w:r>
      <w:r w:rsidR="00F11185" w:rsidRPr="00F11185">
        <w:t xml:space="preserve">through what mechanism different institutional pressures act on supply chains. </w:t>
      </w:r>
    </w:p>
    <w:p w14:paraId="6C8A1A85" w14:textId="2EEF846C" w:rsidR="006D2A57" w:rsidRPr="00F11185" w:rsidRDefault="009B1D45" w:rsidP="00C55010">
      <w:r w:rsidRPr="00F11185">
        <w:t>The second theme is the identification of supply chain mechanisms</w:t>
      </w:r>
      <w:r w:rsidR="00FE7C69" w:rsidRPr="00F11185">
        <w:t xml:space="preserve"> of support to the adoption of Circular Economy practices</w:t>
      </w:r>
      <w:r w:rsidRPr="00F11185">
        <w:t xml:space="preserve">. </w:t>
      </w:r>
      <w:r w:rsidR="00FE7C69" w:rsidRPr="00F11185">
        <w:t>T</w:t>
      </w:r>
      <w:r w:rsidRPr="00F11185">
        <w:t xml:space="preserve">his thesis explores the most common configurations of supply chains that can facilitate a better transition towards the Circular Economy and the adoption of better and more effective Circular Economy practices. To realise a shift towards Circular Supply Chains, it is necessary to increase the capacity of involved companies to share information and knowledge with their partners to reduce uncertainty and resource dependency (Herczeg et al., 2018; Berardi and de Brito, 2021); fostering collaboration across circular supply chain networks (Elia et al., 2020; Pinto and </w:t>
      </w:r>
      <w:proofErr w:type="spellStart"/>
      <w:r w:rsidRPr="00F11185">
        <w:t>Diemer</w:t>
      </w:r>
      <w:proofErr w:type="spellEnd"/>
      <w:r w:rsidRPr="00F11185">
        <w:t>, 2020; Di Maria et al., 2022). To do this, the concept of Supply Chain Integration (</w:t>
      </w:r>
      <w:proofErr w:type="spellStart"/>
      <w:r w:rsidRPr="00F11185">
        <w:t>Frohlich</w:t>
      </w:r>
      <w:proofErr w:type="spellEnd"/>
      <w:r w:rsidRPr="00F11185">
        <w:t xml:space="preserve"> &amp; Westbrook, 2001) will be used. </w:t>
      </w:r>
      <w:r w:rsidR="006D2A57" w:rsidRPr="00F11185">
        <w:t>Chapter 5 and 6 are both going to contribute in different ways to this objective</w:t>
      </w:r>
      <w:r w:rsidR="00F11185" w:rsidRPr="00F11185">
        <w:t xml:space="preserve">, analysing </w:t>
      </w:r>
      <w:r w:rsidR="00C55010">
        <w:t>Supply Chain Integration</w:t>
      </w:r>
      <w:r w:rsidR="00C55010" w:rsidRPr="00F11185">
        <w:t xml:space="preserve"> </w:t>
      </w:r>
      <w:r w:rsidR="00F11185" w:rsidRPr="00F11185">
        <w:t>effect</w:t>
      </w:r>
      <w:r w:rsidR="00C55010">
        <w:t>s on the relationship between institutional pressures and the adoption of circular economy practices</w:t>
      </w:r>
      <w:r w:rsidR="00F11185" w:rsidRPr="00F11185">
        <w:t xml:space="preserve"> both qualitatively (Chapter 5) and quantitatively (Chapter 6)</w:t>
      </w:r>
      <w:r w:rsidR="006D2A57" w:rsidRPr="00F11185">
        <w:t>.</w:t>
      </w:r>
      <w:r w:rsidR="00F11185" w:rsidRPr="00F11185">
        <w:t xml:space="preserve"> </w:t>
      </w:r>
    </w:p>
    <w:p w14:paraId="6C2BE514" w14:textId="262D82AA" w:rsidR="0032689E" w:rsidRPr="00F11185" w:rsidRDefault="009B1D45" w:rsidP="00F11185">
      <w:r w:rsidRPr="00F11185">
        <w:t xml:space="preserve">The third theme is </w:t>
      </w:r>
      <w:r w:rsidR="006D2A57" w:rsidRPr="00F11185">
        <w:t>the</w:t>
      </w:r>
      <w:r w:rsidR="003F23B6" w:rsidRPr="00F11185">
        <w:t xml:space="preserve"> </w:t>
      </w:r>
      <w:r w:rsidR="0032689E" w:rsidRPr="00F11185">
        <w:t>develop</w:t>
      </w:r>
      <w:r w:rsidR="003F23B6" w:rsidRPr="00F11185">
        <w:t>ment</w:t>
      </w:r>
      <w:r w:rsidR="0032689E" w:rsidRPr="00F11185">
        <w:t xml:space="preserve"> </w:t>
      </w:r>
      <w:r w:rsidR="003F23B6" w:rsidRPr="00F11185">
        <w:t xml:space="preserve">of </w:t>
      </w:r>
      <w:r w:rsidR="0032689E" w:rsidRPr="00F11185">
        <w:t>a</w:t>
      </w:r>
      <w:r w:rsidR="00B907CD" w:rsidRPr="00F11185">
        <w:t xml:space="preserve"> literature based conceptual model </w:t>
      </w:r>
      <w:r w:rsidR="0032689E" w:rsidRPr="00F11185">
        <w:t>that describe</w:t>
      </w:r>
      <w:r w:rsidR="003F23B6" w:rsidRPr="00F11185">
        <w:t>s</w:t>
      </w:r>
      <w:r w:rsidR="0032689E" w:rsidRPr="00F11185">
        <w:t xml:space="preserve"> the adoption of Circular Economy practices as the outcome of some drivers and </w:t>
      </w:r>
      <w:r w:rsidR="000B6A23" w:rsidRPr="00F11185">
        <w:t xml:space="preserve">supply chain </w:t>
      </w:r>
      <w:r w:rsidR="0032689E" w:rsidRPr="00F11185">
        <w:t xml:space="preserve">mechanisms. </w:t>
      </w:r>
      <w:r w:rsidR="003F23B6" w:rsidRPr="00F11185">
        <w:t xml:space="preserve">More than </w:t>
      </w:r>
      <w:r w:rsidR="00F97766" w:rsidRPr="00F11185">
        <w:t xml:space="preserve">one parts of this thesis will contribute towards this: an initial exploration of </w:t>
      </w:r>
      <w:r w:rsidR="003304C3" w:rsidRPr="00F11185">
        <w:t>companies reports</w:t>
      </w:r>
      <w:r w:rsidR="00F97766" w:rsidRPr="00F11185">
        <w:t xml:space="preserve"> (Chapter</w:t>
      </w:r>
      <w:r w:rsidR="006D2A57" w:rsidRPr="00F11185">
        <w:t xml:space="preserve"> 2</w:t>
      </w:r>
      <w:r w:rsidR="00F97766" w:rsidRPr="00F11185">
        <w:t>)</w:t>
      </w:r>
      <w:r w:rsidR="003304C3" w:rsidRPr="00F11185">
        <w:t xml:space="preserve">, </w:t>
      </w:r>
      <w:r w:rsidR="00F97766" w:rsidRPr="00F11185">
        <w:t xml:space="preserve">the </w:t>
      </w:r>
      <w:r w:rsidR="003304C3" w:rsidRPr="00F11185">
        <w:t xml:space="preserve">analysis of the </w:t>
      </w:r>
      <w:r w:rsidR="00F97766" w:rsidRPr="00F11185">
        <w:t xml:space="preserve">academic </w:t>
      </w:r>
      <w:r w:rsidR="0032689E" w:rsidRPr="00F11185">
        <w:t xml:space="preserve">Literature </w:t>
      </w:r>
      <w:r w:rsidR="00F97766" w:rsidRPr="00F11185">
        <w:t>(Chapter</w:t>
      </w:r>
      <w:r w:rsidR="006D2A57" w:rsidRPr="00F11185">
        <w:t xml:space="preserve"> 3</w:t>
      </w:r>
      <w:r w:rsidR="00F11185" w:rsidRPr="00F11185">
        <w:t xml:space="preserve">), </w:t>
      </w:r>
      <w:r w:rsidR="00F97766" w:rsidRPr="00F11185">
        <w:t xml:space="preserve">the Delphi-study </w:t>
      </w:r>
      <w:r w:rsidR="0032689E" w:rsidRPr="00F11185">
        <w:t>with practitioners</w:t>
      </w:r>
      <w:r w:rsidR="00F97766" w:rsidRPr="00F11185">
        <w:t xml:space="preserve"> and academics (Chapter</w:t>
      </w:r>
      <w:r w:rsidR="006D2A57" w:rsidRPr="00F11185">
        <w:t xml:space="preserve"> </w:t>
      </w:r>
      <w:r w:rsidR="00F11185" w:rsidRPr="00F11185">
        <w:t>5</w:t>
      </w:r>
      <w:r w:rsidR="00F97766" w:rsidRPr="00F11185">
        <w:t>)</w:t>
      </w:r>
      <w:r w:rsidR="00F11185" w:rsidRPr="00F11185">
        <w:t xml:space="preserve"> and the quantitative study (Chapter 6).</w:t>
      </w:r>
    </w:p>
    <w:p w14:paraId="3A3D4C39" w14:textId="77777777" w:rsidR="00F94E05" w:rsidRDefault="00F94E05" w:rsidP="002F7336">
      <w:r>
        <w:lastRenderedPageBreak/>
        <w:t xml:space="preserve">To summarise, the following research objectives of this thesis are to: </w:t>
      </w:r>
    </w:p>
    <w:p w14:paraId="5CA1F4A2" w14:textId="21031FDA" w:rsidR="00F94E05" w:rsidRDefault="00F94E05" w:rsidP="002F7336">
      <w:r>
        <w:t>1) Investigate the drivers of the adoption of Circular Economy practices looking especially at institutional theory</w:t>
      </w:r>
      <w:r w:rsidR="006E32B5">
        <w:t>.</w:t>
      </w:r>
    </w:p>
    <w:p w14:paraId="4C32C118" w14:textId="2536F110" w:rsidR="00F94E05" w:rsidRDefault="00F94E05" w:rsidP="002F7336">
      <w:r>
        <w:t>2) Investigate the supply chain mechanisms that play a role in facilitating the adoption of Circular Economy practices in supply chains, especially looking at the role of Supply Chain Integration</w:t>
      </w:r>
      <w:r w:rsidR="006E32B5">
        <w:t>.</w:t>
      </w:r>
      <w:r>
        <w:t xml:space="preserve">  </w:t>
      </w:r>
    </w:p>
    <w:p w14:paraId="34FF9DB8" w14:textId="3E9CC106" w:rsidR="00F5312B" w:rsidRDefault="00F94E05" w:rsidP="006D2A57">
      <w:r>
        <w:t xml:space="preserve">3) </w:t>
      </w:r>
      <w:r w:rsidR="006D2A57">
        <w:t>Define, validate and test a conceptual framework that e</w:t>
      </w:r>
      <w:r>
        <w:t>xplore</w:t>
      </w:r>
      <w:r w:rsidR="006D2A57">
        <w:t>s</w:t>
      </w:r>
      <w:r>
        <w:t xml:space="preserve"> the transition towards the Circular Economy in a large sample of companies, trying to generalise findings.</w:t>
      </w:r>
    </w:p>
    <w:p w14:paraId="52464C5B" w14:textId="78295174" w:rsidR="00D904FF" w:rsidRPr="00D904FF" w:rsidRDefault="00D904FF" w:rsidP="005035B4">
      <w:pPr>
        <w:pStyle w:val="Heading2"/>
      </w:pPr>
      <w:bookmarkStart w:id="11" w:name="_Toc157759476"/>
      <w:r w:rsidRPr="00D904FF">
        <w:t>Significance of the study and research contribution</w:t>
      </w:r>
      <w:bookmarkEnd w:id="11"/>
      <w:r w:rsidRPr="00D904FF">
        <w:t xml:space="preserve"> </w:t>
      </w:r>
    </w:p>
    <w:p w14:paraId="48F9148A" w14:textId="77777777" w:rsidR="00D56D44" w:rsidRDefault="00F94E05" w:rsidP="002F7336">
      <w:r>
        <w:t xml:space="preserve">Apart from the individual research contribution of each of the papers that are included in the document, this thesis has the following general contributions. </w:t>
      </w:r>
    </w:p>
    <w:p w14:paraId="1BEC4687" w14:textId="62B577CD" w:rsidR="00992B3B" w:rsidRDefault="00F94E05" w:rsidP="00992B3B">
      <w:r>
        <w:t xml:space="preserve">First, </w:t>
      </w:r>
      <w:r w:rsidR="00EC3446">
        <w:t xml:space="preserve">the thesis contributes </w:t>
      </w:r>
      <w:r w:rsidR="00992B3B">
        <w:t>both to theory and practice studying a new phenomenon, the adoption of Circular Economy practices in supply chains, using institutional theory and relevant concepts from the supply chain management literature. The thesis builds a conceptual framework that describes how Multinational Enterprises driven supply chains adopt Circular Economy practices and test it through an empirical analysis, as well as through discussions with experts. By doing so it also connects knowledge and ideas from different research fields. For example, it uses ideas from research in Sustainable Supply Chain Management that has studied drivers, enabling factors, and practices using institutional theory (</w:t>
      </w:r>
      <w:proofErr w:type="spellStart"/>
      <w:r w:rsidR="00992B3B">
        <w:t>Kauppi</w:t>
      </w:r>
      <w:proofErr w:type="spellEnd"/>
      <w:r w:rsidR="00992B3B">
        <w:t xml:space="preserve"> and </w:t>
      </w:r>
      <w:proofErr w:type="spellStart"/>
      <w:r w:rsidR="00992B3B">
        <w:t>Luzzini</w:t>
      </w:r>
      <w:proofErr w:type="spellEnd"/>
      <w:r w:rsidR="00992B3B">
        <w:t>, 2022) in a more recent research field, Circular Supply Chain Management (</w:t>
      </w:r>
      <w:proofErr w:type="spellStart"/>
      <w:r w:rsidR="00992B3B">
        <w:t>Farooque</w:t>
      </w:r>
      <w:proofErr w:type="spellEnd"/>
      <w:r w:rsidR="00992B3B">
        <w:t xml:space="preserve"> et al., 2019; </w:t>
      </w:r>
      <w:proofErr w:type="spellStart"/>
      <w:r w:rsidR="00992B3B">
        <w:t>Lahane</w:t>
      </w:r>
      <w:proofErr w:type="spellEnd"/>
      <w:r w:rsidR="00992B3B">
        <w:t xml:space="preserve"> et al., 2020).</w:t>
      </w:r>
    </w:p>
    <w:p w14:paraId="525A576C" w14:textId="77777777" w:rsidR="00992B3B" w:rsidRDefault="00992B3B" w:rsidP="00992B3B">
      <w:r>
        <w:t xml:space="preserve">Second, the thesis clarifies the role of Supply Chain Integration and its possible interactions with institutional pressures behind the adoption of Circular Economy practices. Studying transitions towards a Circular Economy requires consideration of how supply chains are currently structured and organised. Supply chains have developed specific capabilities and relationship links, which could provide an advantage, and at the same time, might contribute to creating conditions that foster change, or even be an obstacle it. The role of Supply Chain Integration is explored in this sense, in a Delphi-like study with experts that are participating in changing existing companies in their day-to-day activities, and also through a quantitative empirical study. Such a contribution contributes with additional knowledge to the current debate that is exploring the role of supply chain collaboration in a Circular Economy context. </w:t>
      </w:r>
    </w:p>
    <w:p w14:paraId="6ED8B4C8" w14:textId="77777777" w:rsidR="00992B3B" w:rsidRPr="00C3163D" w:rsidRDefault="00992B3B" w:rsidP="00992B3B">
      <w:r>
        <w:lastRenderedPageBreak/>
        <w:t>Last, the thesis contributes to the SCM literature that investigates research questions using secondary data and purpose-built databanks, by using unstructured data from Sustainability reporting.  Throughout Chapter 3 and Chapter 6 an advanced coding technique is developed, which evaluates textual content, identifies single units of code, and measures concepts through validated scales from the literature, finally testing a conceptual framework.</w:t>
      </w:r>
    </w:p>
    <w:p w14:paraId="36B12EF2" w14:textId="0063E7E3" w:rsidR="00D904FF" w:rsidRDefault="00D904FF" w:rsidP="005035B4">
      <w:pPr>
        <w:pStyle w:val="Heading2"/>
      </w:pPr>
      <w:bookmarkStart w:id="12" w:name="_Toc157759477"/>
      <w:r w:rsidRPr="00D904FF">
        <w:t>Thesis structure</w:t>
      </w:r>
      <w:bookmarkEnd w:id="12"/>
      <w:r w:rsidRPr="00D904FF">
        <w:t xml:space="preserve"> </w:t>
      </w:r>
    </w:p>
    <w:p w14:paraId="1E4AF3B3" w14:textId="31655CD2" w:rsidR="00F94E05" w:rsidRDefault="00F94E05" w:rsidP="00992B3B">
      <w:r>
        <w:t xml:space="preserve">This thesis comprises a collection of papers, either already published, or submitted and under review. All of them were included in a format suitable for submission for publication in a peer-reviewed journal. All these papers appear alongside traditional thesis chapters. Another part of the thesis comprises of some parts of project deliverables, as part of my research for the ReTraCE project. Realising the Transition to the Circular Economy (ReTraCE) is a research project funded by Horizon 2020 EU’s Marie Skłodowska-Curie Innovative Training Networks that supports the implementation of the European Commission’s Circular Economy strategy. The following paragraphs help understanding the rationale behind the organisation of this document.  </w:t>
      </w:r>
    </w:p>
    <w:p w14:paraId="3C73D466" w14:textId="77777777" w:rsidR="00F94E05" w:rsidRDefault="00F94E05" w:rsidP="002F7336">
      <w:r w:rsidRPr="00F94E05">
        <w:rPr>
          <w:i/>
          <w:iCs/>
        </w:rPr>
        <w:t>Chapter 1</w:t>
      </w:r>
      <w:r>
        <w:t xml:space="preserve"> has briefly presented the background, the motivation, the research gaps, the research objectives and the research contributions of the thesis. </w:t>
      </w:r>
    </w:p>
    <w:p w14:paraId="42A813A3" w14:textId="3714E48B" w:rsidR="00F94E05" w:rsidRDefault="00F94E05" w:rsidP="00132828">
      <w:r w:rsidRPr="00F94E05">
        <w:rPr>
          <w:i/>
          <w:iCs/>
        </w:rPr>
        <w:t>Chapter 2</w:t>
      </w:r>
      <w:r>
        <w:t xml:space="preserve"> is based around a paper, titled “Review of the industrial practice – The adoption of Circular Economy practices in supply chains – A review of European Multi-National Enterprises”, which has been published in 2022 in the </w:t>
      </w:r>
      <w:r w:rsidRPr="00F94E05">
        <w:rPr>
          <w:i/>
          <w:iCs/>
        </w:rPr>
        <w:t>Journal of Cleaner Production</w:t>
      </w:r>
      <w:r>
        <w:t xml:space="preserve">. This paper reviews the industrial practice, scrutinising how the largest Multi-National Enterprises in Europe have approached the Circular Economy. It is part of the literature review because it contributes to frame the research problem and to build the research hypothesis. An extension of this analysis </w:t>
      </w:r>
      <w:r w:rsidR="00132828">
        <w:t xml:space="preserve">is included in Appendix </w:t>
      </w:r>
      <w:r w:rsidR="00600E9C">
        <w:t>5</w:t>
      </w:r>
      <w:r>
        <w:t>. This second p</w:t>
      </w:r>
      <w:r w:rsidR="00132828">
        <w:t>aper, titled “Circular Economy I</w:t>
      </w:r>
      <w:r>
        <w:t xml:space="preserve">ndicators for </w:t>
      </w:r>
      <w:r w:rsidR="00132828">
        <w:t>S</w:t>
      </w:r>
      <w:r>
        <w:t xml:space="preserve">upply </w:t>
      </w:r>
      <w:r w:rsidR="00132828">
        <w:t>C</w:t>
      </w:r>
      <w:r>
        <w:t xml:space="preserve">hains: A </w:t>
      </w:r>
      <w:r w:rsidR="00132828">
        <w:t>S</w:t>
      </w:r>
      <w:r>
        <w:t xml:space="preserve">ystematic </w:t>
      </w:r>
      <w:r w:rsidR="00132828">
        <w:t>L</w:t>
      </w:r>
      <w:r>
        <w:t xml:space="preserve">iterature </w:t>
      </w:r>
      <w:r w:rsidR="00132828">
        <w:t>R</w:t>
      </w:r>
      <w:r>
        <w:t xml:space="preserve">eview”, and published in the journal </w:t>
      </w:r>
      <w:r w:rsidRPr="00F94E05">
        <w:rPr>
          <w:i/>
          <w:iCs/>
        </w:rPr>
        <w:t>Environmental and Sustainability Indicators</w:t>
      </w:r>
      <w:r>
        <w:t xml:space="preserve"> in 2023, explores how decision-making models in the Supply Chain Management literature and indicators in the industrial practice measure Circular Economy aspects. This second paper was not included as a Chapter in the Thesis, but it is a relevant reflection on what academics and practitioners mean as Circular Economy. </w:t>
      </w:r>
    </w:p>
    <w:p w14:paraId="4506321A" w14:textId="77777777" w:rsidR="00F94E05" w:rsidRDefault="00F94E05" w:rsidP="002F7336">
      <w:r w:rsidRPr="00F94E05">
        <w:rPr>
          <w:i/>
          <w:iCs/>
        </w:rPr>
        <w:t>Chapter 3</w:t>
      </w:r>
      <w:r>
        <w:t xml:space="preserve"> formulates the research problem and explores the relevant academic literature. It includes a critical literature review of the main literature streams that are relevant for this research, especially exploring the drivers and the supply chain mechanisms that play a role in the adoption of Circular </w:t>
      </w:r>
      <w:r>
        <w:lastRenderedPageBreak/>
        <w:t xml:space="preserve">Economy practices. Part of this Chapter is available online as part of ReTraCE Deliverable 1.1, titled “Measuring the transition towards circular supply chains: Insights from the academic literature and the industry”. In the end of the Chapter the different ideas and contributions found in Chapters 2 and 3 are summarised and a conceptual model is proposed. The conceptual model describes the adoption of Circular Economy practices as the outcome of drivers and supply chain mechanisms. In line with this different research hypotheses are presented, which will be analysed in the empirical chapters. </w:t>
      </w:r>
    </w:p>
    <w:p w14:paraId="19BCD9C7" w14:textId="77777777" w:rsidR="00F94E05" w:rsidRDefault="00F94E05" w:rsidP="002F7336">
      <w:r w:rsidRPr="00F94E05">
        <w:rPr>
          <w:i/>
          <w:iCs/>
        </w:rPr>
        <w:t>Chapter 4</w:t>
      </w:r>
      <w:r>
        <w:t xml:space="preserve"> presents the research methodology adopted in this thesis. This chapter draws the connection between the research philosophy, the research approach, and the research design. The main steps of data collection and analysis of the empirical Chapters of the thesis (Chapter 5 and Chapter 6) are presented. </w:t>
      </w:r>
    </w:p>
    <w:p w14:paraId="7CFB61F5" w14:textId="1967EF6A" w:rsidR="00F94E05" w:rsidRDefault="00F94E05" w:rsidP="001A7EB8">
      <w:r w:rsidRPr="00F94E05">
        <w:rPr>
          <w:i/>
          <w:iCs/>
        </w:rPr>
        <w:t>Chapter 5</w:t>
      </w:r>
      <w:r>
        <w:t xml:space="preserve"> is a paper, which </w:t>
      </w:r>
      <w:r w:rsidR="001A7EB8">
        <w:t xml:space="preserve">has been published in 2023 </w:t>
      </w:r>
      <w:r>
        <w:t xml:space="preserve">in the </w:t>
      </w:r>
      <w:r w:rsidRPr="001A7EB8">
        <w:rPr>
          <w:i/>
          <w:iCs/>
        </w:rPr>
        <w:t>Journal of Cleaner Production</w:t>
      </w:r>
      <w:r>
        <w:t xml:space="preserve">. The paper, titled “Understanding the relationship between institutional pressures, supply chain integration and the adoption of circular economy practices”, challenges the main ideas behind the conceptual framework through a Delphi-like study. </w:t>
      </w:r>
    </w:p>
    <w:p w14:paraId="52E9FCD2" w14:textId="47AE06C5" w:rsidR="00F94E05" w:rsidRDefault="00F94E05" w:rsidP="001A7EB8">
      <w:r w:rsidRPr="00F94E05">
        <w:rPr>
          <w:i/>
          <w:iCs/>
        </w:rPr>
        <w:t>Chapter 6</w:t>
      </w:r>
      <w:r>
        <w:t xml:space="preserve"> is a paper, which </w:t>
      </w:r>
      <w:r w:rsidR="001A7EB8">
        <w:t>was</w:t>
      </w:r>
      <w:r>
        <w:t xml:space="preserve"> submitted </w:t>
      </w:r>
      <w:r w:rsidR="001A7EB8">
        <w:t xml:space="preserve">to the </w:t>
      </w:r>
      <w:r w:rsidR="001A7EB8" w:rsidRPr="001A7EB8">
        <w:rPr>
          <w:i/>
          <w:iCs/>
        </w:rPr>
        <w:t>International Journal of Operations and Production Management</w:t>
      </w:r>
      <w:r>
        <w:t xml:space="preserve">. This last empirical work, titled “An Investigation into the Relationship among Institutional Pressures, Supply Chain Integration and the adoption of Circular Economy Practices” tests the research hypotheses in a sample of 150 European and Asian Multi-National-Enterprises. </w:t>
      </w:r>
    </w:p>
    <w:p w14:paraId="7594F833" w14:textId="77777777" w:rsidR="00F94E05" w:rsidRDefault="00F94E05" w:rsidP="002F7336">
      <w:r>
        <w:t xml:space="preserve">Finally, </w:t>
      </w:r>
      <w:r w:rsidRPr="00F94E05">
        <w:rPr>
          <w:i/>
          <w:iCs/>
        </w:rPr>
        <w:t>Chapter 7</w:t>
      </w:r>
      <w:r>
        <w:t xml:space="preserve"> summarises the results and implications of this thesis and concludes it, highlighting relevant future research avenues.  </w:t>
      </w:r>
    </w:p>
    <w:p w14:paraId="0A932C4B" w14:textId="1AC12AD8" w:rsidR="00290F28" w:rsidRDefault="00F94E05" w:rsidP="002F7336">
      <w:pPr>
        <w:rPr>
          <w:rFonts w:eastAsia="Arial" w:cs="Arial"/>
          <w:b/>
          <w:sz w:val="28"/>
          <w:szCs w:val="28"/>
        </w:rPr>
      </w:pPr>
      <w:r>
        <w:t>Note: I am the first author in all th</w:t>
      </w:r>
      <w:r w:rsidR="00452D78">
        <w:t>e</w:t>
      </w:r>
      <w:r>
        <w:t xml:space="preserve"> papers and project deliverables</w:t>
      </w:r>
      <w:r w:rsidR="00452D78">
        <w:t>, which are part of this Thesis</w:t>
      </w:r>
      <w:r>
        <w:t xml:space="preserve">. My contribution included </w:t>
      </w:r>
      <w:r w:rsidRPr="00F94E05">
        <w:t>Conceptualization, Methodology, Data curation, and Writing.</w:t>
      </w:r>
      <w:r>
        <w:t xml:space="preserve"> The contribution of my supervisors and co-authors </w:t>
      </w:r>
      <w:r w:rsidR="00452D78">
        <w:t xml:space="preserve">is specified in the end of each </w:t>
      </w:r>
      <w:r w:rsidR="003575D8">
        <w:t>paper</w:t>
      </w:r>
      <w:r>
        <w:t xml:space="preserve">. </w:t>
      </w:r>
      <w:r w:rsidR="00290F28">
        <w:br w:type="page"/>
      </w:r>
    </w:p>
    <w:p w14:paraId="696D75EF" w14:textId="5E735BBC" w:rsidR="00290F28" w:rsidRDefault="00290F28" w:rsidP="005035B4">
      <w:pPr>
        <w:pStyle w:val="Heading2"/>
        <w:numPr>
          <w:ilvl w:val="0"/>
          <w:numId w:val="0"/>
        </w:numPr>
        <w:ind w:left="357" w:hanging="357"/>
      </w:pPr>
      <w:bookmarkStart w:id="13" w:name="_Toc157759478"/>
      <w:r>
        <w:lastRenderedPageBreak/>
        <w:t>References</w:t>
      </w:r>
      <w:bookmarkEnd w:id="13"/>
    </w:p>
    <w:p w14:paraId="096DF023" w14:textId="4F7E5FC2" w:rsidR="00E56C1D" w:rsidRPr="00F94E05" w:rsidRDefault="00E56C1D" w:rsidP="002F7336">
      <w:r w:rsidRPr="00116B90">
        <w:t xml:space="preserve">Batista, L., </w:t>
      </w:r>
      <w:proofErr w:type="spellStart"/>
      <w:r w:rsidRPr="00116B90">
        <w:t>Bourlakis</w:t>
      </w:r>
      <w:proofErr w:type="spellEnd"/>
      <w:r w:rsidRPr="00116B90">
        <w:t xml:space="preserve">, M., Smart, P., &amp; </w:t>
      </w:r>
      <w:proofErr w:type="spellStart"/>
      <w:r w:rsidRPr="00116B90">
        <w:t>Maull</w:t>
      </w:r>
      <w:proofErr w:type="spellEnd"/>
      <w:r w:rsidRPr="00116B90">
        <w:t xml:space="preserve">, R. (2018). </w:t>
      </w:r>
      <w:r w:rsidRPr="00E56C1D">
        <w:t xml:space="preserve">In search of a circular supply chain archetype–a content-analysis-based literature review. Production Planning and Control, 29(6), 438–451. </w:t>
      </w:r>
      <w:hyperlink r:id="rId20" w:history="1">
        <w:r w:rsidRPr="00F94E05">
          <w:rPr>
            <w:rStyle w:val="Hyperlink"/>
          </w:rPr>
          <w:t>https://doi.org/10.1080/09537287.2017.1343502</w:t>
        </w:r>
      </w:hyperlink>
    </w:p>
    <w:p w14:paraId="66E382D2" w14:textId="5DC890E4" w:rsidR="00E56C1D" w:rsidRPr="00EB38D8" w:rsidRDefault="00E56C1D" w:rsidP="002F7336">
      <w:r w:rsidRPr="00E56C1D">
        <w:t xml:space="preserve">Batista, L., Seuring, S., Genovese, A., </w:t>
      </w:r>
      <w:proofErr w:type="spellStart"/>
      <w:r w:rsidRPr="00E56C1D">
        <w:t>Sarkis</w:t>
      </w:r>
      <w:proofErr w:type="spellEnd"/>
      <w:r w:rsidRPr="00E56C1D">
        <w:t xml:space="preserve">, J., &amp; </w:t>
      </w:r>
      <w:proofErr w:type="spellStart"/>
      <w:r w:rsidRPr="00E56C1D">
        <w:t>Sohal</w:t>
      </w:r>
      <w:proofErr w:type="spellEnd"/>
      <w:r w:rsidRPr="00E56C1D">
        <w:t xml:space="preserve">, A. (2023). Theorising circular economy and sustainable operations and supply chain management: a sustainability-dominant logic. </w:t>
      </w:r>
      <w:r w:rsidRPr="00EB38D8">
        <w:t xml:space="preserve">International Journal of Operations &amp; Production Management, 43(4), 581-594. </w:t>
      </w:r>
      <w:hyperlink r:id="rId21" w:history="1">
        <w:r w:rsidRPr="00EB38D8">
          <w:rPr>
            <w:rStyle w:val="Hyperlink"/>
          </w:rPr>
          <w:t>https://doi.org/10.1108/IJOPM-12-2022-0765</w:t>
        </w:r>
      </w:hyperlink>
    </w:p>
    <w:p w14:paraId="5A1C8690" w14:textId="787FC616" w:rsidR="00E56C1D" w:rsidRDefault="00E56C1D" w:rsidP="002F7336">
      <w:pPr>
        <w:rPr>
          <w:lang w:val="pt-PT"/>
        </w:rPr>
      </w:pPr>
      <w:proofErr w:type="spellStart"/>
      <w:r w:rsidRPr="00DB35FC">
        <w:t>Bauwens</w:t>
      </w:r>
      <w:proofErr w:type="spellEnd"/>
      <w:r w:rsidRPr="00DB35FC">
        <w:t xml:space="preserve">, T., </w:t>
      </w:r>
      <w:proofErr w:type="spellStart"/>
      <w:r w:rsidRPr="00DB35FC">
        <w:t>Hekkert</w:t>
      </w:r>
      <w:proofErr w:type="spellEnd"/>
      <w:r w:rsidRPr="00DB35FC">
        <w:t xml:space="preserve">, M., &amp; </w:t>
      </w:r>
      <w:proofErr w:type="spellStart"/>
      <w:r w:rsidRPr="00DB35FC">
        <w:t>Kirchherr</w:t>
      </w:r>
      <w:proofErr w:type="spellEnd"/>
      <w:r w:rsidRPr="00DB35FC">
        <w:t xml:space="preserve">, J. (2020). </w:t>
      </w:r>
      <w:r w:rsidRPr="00E56C1D">
        <w:t>Circular futures: what will they look like</w:t>
      </w:r>
      <w:proofErr w:type="gramStart"/>
      <w:r w:rsidRPr="00E56C1D">
        <w:t>?.</w:t>
      </w:r>
      <w:proofErr w:type="gramEnd"/>
      <w:r w:rsidRPr="00E56C1D">
        <w:t> </w:t>
      </w:r>
      <w:r w:rsidRPr="00E56C1D">
        <w:rPr>
          <w:i/>
          <w:iCs/>
          <w:lang w:val="pt-PT"/>
        </w:rPr>
        <w:t>Ecological Economics</w:t>
      </w:r>
      <w:r w:rsidRPr="00E56C1D">
        <w:rPr>
          <w:lang w:val="pt-PT"/>
        </w:rPr>
        <w:t>, </w:t>
      </w:r>
      <w:r w:rsidRPr="00E56C1D">
        <w:rPr>
          <w:i/>
          <w:iCs/>
          <w:lang w:val="pt-PT"/>
        </w:rPr>
        <w:t>175</w:t>
      </w:r>
      <w:r w:rsidRPr="00E56C1D">
        <w:rPr>
          <w:lang w:val="pt-PT"/>
        </w:rPr>
        <w:t xml:space="preserve">, 106703. </w:t>
      </w:r>
      <w:r w:rsidR="00C80BFD">
        <w:fldChar w:fldCharType="begin"/>
      </w:r>
      <w:r w:rsidR="00C80BFD">
        <w:instrText xml:space="preserve"> HYPERLINK "https://doi.org/10.1016/j.ecolecon.2020.106703" </w:instrText>
      </w:r>
      <w:r w:rsidR="00C80BFD">
        <w:fldChar w:fldCharType="separate"/>
      </w:r>
      <w:r w:rsidRPr="00D01F4E">
        <w:rPr>
          <w:rStyle w:val="Hyperlink"/>
          <w:lang w:val="pt-PT"/>
        </w:rPr>
        <w:t>https://doi.org/10.1016/j.ecolecon.2020.106703</w:t>
      </w:r>
      <w:r w:rsidR="00C80BFD">
        <w:rPr>
          <w:rStyle w:val="Hyperlink"/>
          <w:lang w:val="pt-PT"/>
        </w:rPr>
        <w:fldChar w:fldCharType="end"/>
      </w:r>
    </w:p>
    <w:p w14:paraId="3E48374E" w14:textId="62666F57" w:rsidR="00E56C1D" w:rsidRPr="00E56C1D" w:rsidRDefault="00E56C1D" w:rsidP="002F7336">
      <w:pPr>
        <w:rPr>
          <w:lang w:val="nl-NL"/>
        </w:rPr>
      </w:pPr>
      <w:r w:rsidRPr="00E56C1D">
        <w:rPr>
          <w:lang w:val="pt-PT"/>
        </w:rPr>
        <w:t xml:space="preserve">Berardi, P. C., &amp; de Brito, R. P. (2021). </w:t>
      </w:r>
      <w:r w:rsidRPr="00E56C1D">
        <w:t xml:space="preserve">Supply chain collaboration for a circular economy - From transition to continuous improvement. </w:t>
      </w:r>
      <w:r w:rsidRPr="00EB38D8">
        <w:rPr>
          <w:lang w:val="nl-NL"/>
        </w:rPr>
        <w:t xml:space="preserve">Journal of Cleaner Production, 328, 129511. </w:t>
      </w:r>
      <w:r w:rsidR="00C80BFD">
        <w:fldChar w:fldCharType="begin"/>
      </w:r>
      <w:r w:rsidR="00C80BFD">
        <w:instrText xml:space="preserve"> HYPERLINK "https://doi.org/10.1016/j.jclepro.2021.129511" </w:instrText>
      </w:r>
      <w:r w:rsidR="00C80BFD">
        <w:fldChar w:fldCharType="separate"/>
      </w:r>
      <w:r w:rsidRPr="00E56C1D">
        <w:rPr>
          <w:rStyle w:val="Hyperlink"/>
          <w:lang w:val="nl-NL"/>
        </w:rPr>
        <w:t>https://doi.org/10.1016/j.jclepro.2021.129511</w:t>
      </w:r>
      <w:r w:rsidR="00C80BFD">
        <w:rPr>
          <w:rStyle w:val="Hyperlink"/>
          <w:lang w:val="nl-NL"/>
        </w:rPr>
        <w:fldChar w:fldCharType="end"/>
      </w:r>
    </w:p>
    <w:p w14:paraId="75A7AA68" w14:textId="7961B3BE" w:rsidR="00E56C1D" w:rsidRPr="00EB38D8" w:rsidRDefault="00E56C1D" w:rsidP="002F7336">
      <w:r w:rsidRPr="00E56C1D">
        <w:rPr>
          <w:lang w:val="nl-NL"/>
        </w:rPr>
        <w:t xml:space="preserve">Bocken, N. M. P., de Pauw, I., Bakker, C., &amp; van der Grinten, B. (2016). </w:t>
      </w:r>
      <w:r w:rsidRPr="00E56C1D">
        <w:t xml:space="preserve">Product design and business model strategies for a circular economy. </w:t>
      </w:r>
      <w:r w:rsidRPr="00EB38D8">
        <w:t xml:space="preserve">Journal of Industrial and Production Engineering, 33(5), 308–320. </w:t>
      </w:r>
      <w:hyperlink r:id="rId22" w:history="1">
        <w:r w:rsidRPr="00EB38D8">
          <w:rPr>
            <w:rStyle w:val="Hyperlink"/>
          </w:rPr>
          <w:t>https://doi.org/10.1080/21681015.2016.1172124</w:t>
        </w:r>
      </w:hyperlink>
    </w:p>
    <w:p w14:paraId="3F54013F" w14:textId="473C76D5" w:rsidR="00AE10CD" w:rsidRDefault="00AE10CD" w:rsidP="002F7336">
      <w:proofErr w:type="spellStart"/>
      <w:r w:rsidRPr="00EB38D8">
        <w:t>Borrello</w:t>
      </w:r>
      <w:proofErr w:type="spellEnd"/>
      <w:r w:rsidRPr="00EB38D8">
        <w:t xml:space="preserve">, M., </w:t>
      </w:r>
      <w:proofErr w:type="spellStart"/>
      <w:r w:rsidRPr="00EB38D8">
        <w:t>Pascucci</w:t>
      </w:r>
      <w:proofErr w:type="spellEnd"/>
      <w:r w:rsidRPr="00EB38D8">
        <w:t xml:space="preserve">, S., &amp; Cembalo, L. (2020). </w:t>
      </w:r>
      <w:r w:rsidRPr="00AE10CD">
        <w:t xml:space="preserve">Three propositions to unify circular economy research: A review. </w:t>
      </w:r>
      <w:r w:rsidRPr="00E56C1D">
        <w:t>Sustainability, 12(10), 4069.</w:t>
      </w:r>
      <w:r w:rsidRPr="00AE10CD">
        <w:t xml:space="preserve"> </w:t>
      </w:r>
      <w:hyperlink r:id="rId23" w:history="1">
        <w:r w:rsidRPr="00D01F4E">
          <w:rPr>
            <w:rStyle w:val="Hyperlink"/>
          </w:rPr>
          <w:t>https://doi.org/10.3390/su12104069</w:t>
        </w:r>
      </w:hyperlink>
    </w:p>
    <w:p w14:paraId="31C266F3" w14:textId="454BB322" w:rsidR="00E56C1D" w:rsidRPr="00EB38D8" w:rsidRDefault="00E56C1D" w:rsidP="002F7336">
      <w:r w:rsidRPr="00EB38D8">
        <w:t xml:space="preserve">Calzolari, T., Genovese, A., &amp; Brint, A. (2021). </w:t>
      </w:r>
      <w:r w:rsidRPr="00E56C1D">
        <w:t>The adoption of circular economy practices in supply chains–An assessment of European Multi-National Enterprises. Journal of Cleaner Production, 312, 127616.</w:t>
      </w:r>
      <w:r>
        <w:t xml:space="preserve"> </w:t>
      </w:r>
      <w:hyperlink r:id="rId24" w:history="1">
        <w:r w:rsidRPr="00EB38D8">
          <w:rPr>
            <w:rStyle w:val="Hyperlink"/>
          </w:rPr>
          <w:t>https://doi.org/10.1016/j.jclepro.2021.127616</w:t>
        </w:r>
      </w:hyperlink>
    </w:p>
    <w:p w14:paraId="50713E3B" w14:textId="08D8CD1C" w:rsidR="00F94E05" w:rsidRDefault="00F94E05" w:rsidP="002F7336">
      <w:r w:rsidRPr="00F94E05">
        <w:t xml:space="preserve">Christopher, M. (2016). Logistics &amp; supply chain management. Pearson </w:t>
      </w:r>
      <w:r w:rsidR="00B651D9" w:rsidRPr="00F94E05">
        <w:t>UK</w:t>
      </w:r>
      <w:r w:rsidRPr="00F94E05">
        <w:t>.</w:t>
      </w:r>
    </w:p>
    <w:p w14:paraId="21A604CA" w14:textId="25372ACA" w:rsidR="00E56C1D" w:rsidRPr="009B4B7B" w:rsidRDefault="00E56C1D" w:rsidP="002F7336">
      <w:r w:rsidRPr="00F94E05">
        <w:rPr>
          <w:lang w:val="nl-NL"/>
        </w:rPr>
        <w:t xml:space="preserve">De Angelis, R., Howard, M., &amp; Miemczyk, J. (2018). </w:t>
      </w:r>
      <w:r w:rsidRPr="00E56C1D">
        <w:t xml:space="preserve">Supply chain management and the circular economy: towards the circular supply chain. Production Planning &amp; Control, 29(6), 425-437. </w:t>
      </w:r>
      <w:hyperlink r:id="rId25" w:history="1">
        <w:r w:rsidRPr="009B4B7B">
          <w:rPr>
            <w:rStyle w:val="Hyperlink"/>
          </w:rPr>
          <w:t>https://doi.org/10.1080/09537287.2018.1449244</w:t>
        </w:r>
      </w:hyperlink>
    </w:p>
    <w:p w14:paraId="1AAD9231" w14:textId="144DAA5E" w:rsidR="00A837E9" w:rsidRPr="00EB38D8" w:rsidRDefault="00A837E9" w:rsidP="002F7336">
      <w:r w:rsidRPr="00EA16DC">
        <w:t xml:space="preserve">Di Maria, E., &amp; De </w:t>
      </w:r>
      <w:proofErr w:type="spellStart"/>
      <w:r w:rsidRPr="00EA16DC">
        <w:t>Marchi</w:t>
      </w:r>
      <w:proofErr w:type="spellEnd"/>
      <w:r w:rsidRPr="00EA16DC">
        <w:t xml:space="preserve">, V. (2022). </w:t>
      </w:r>
      <w:r w:rsidRPr="00A837E9">
        <w:t xml:space="preserve">Industry 4.0 technologies and circular economy: The mediating role of supply chain integration. Business Strategy and the Environment, September 2020, 1-14. </w:t>
      </w:r>
      <w:hyperlink r:id="rId26" w:history="1">
        <w:r w:rsidRPr="00EB38D8">
          <w:rPr>
            <w:rStyle w:val="Hyperlink"/>
          </w:rPr>
          <w:t>https://doi.org/10.1002/bse.2940</w:t>
        </w:r>
      </w:hyperlink>
    </w:p>
    <w:p w14:paraId="7AE95F15" w14:textId="6AC8212C" w:rsidR="00A837E9" w:rsidRDefault="00A837E9" w:rsidP="002F7336">
      <w:r w:rsidRPr="00A837E9">
        <w:rPr>
          <w:lang w:val="it-IT"/>
        </w:rPr>
        <w:lastRenderedPageBreak/>
        <w:t xml:space="preserve">Elia, V., Gnoni, M. G., &amp; Tornese, F. (2020). </w:t>
      </w:r>
      <w:r w:rsidRPr="00A837E9">
        <w:t xml:space="preserve">Evaluating the adoption of circular economy practices in industrial supply chains: an empirical analysis. Journal of Cleaner Production, 273, 122966. </w:t>
      </w:r>
      <w:hyperlink r:id="rId27" w:history="1">
        <w:r w:rsidRPr="00D01F4E">
          <w:rPr>
            <w:rStyle w:val="Hyperlink"/>
          </w:rPr>
          <w:t>https://doi.org/10.1016/j.jclepro.2020.122966</w:t>
        </w:r>
      </w:hyperlink>
    </w:p>
    <w:p w14:paraId="2DB144DC" w14:textId="23BBE914" w:rsidR="00315408" w:rsidRPr="00EB38D8" w:rsidRDefault="00315408" w:rsidP="002F7336">
      <w:r w:rsidRPr="00315408">
        <w:t xml:space="preserve">EMAF. (2015). Growth within: a circular economy vision for a competitive </w:t>
      </w:r>
      <w:proofErr w:type="spellStart"/>
      <w:proofErr w:type="gramStart"/>
      <w:r w:rsidRPr="00315408">
        <w:t>europe</w:t>
      </w:r>
      <w:proofErr w:type="spellEnd"/>
      <w:proofErr w:type="gramEnd"/>
      <w:r w:rsidRPr="00315408">
        <w:t xml:space="preserve">. </w:t>
      </w:r>
      <w:r w:rsidRPr="00EB38D8">
        <w:rPr>
          <w:i/>
          <w:iCs/>
        </w:rPr>
        <w:t>Ellen MacArthur Foundation</w:t>
      </w:r>
      <w:r w:rsidRPr="00EB38D8">
        <w:t xml:space="preserve">, 100. </w:t>
      </w:r>
      <w:hyperlink r:id="rId28" w:history="1">
        <w:r w:rsidRPr="00EB38D8">
          <w:rPr>
            <w:rStyle w:val="Hyperlink"/>
          </w:rPr>
          <w:t>https://doi.org/Article</w:t>
        </w:r>
      </w:hyperlink>
    </w:p>
    <w:p w14:paraId="0CDA57D1" w14:textId="6298FBAA" w:rsidR="00A837E9" w:rsidRPr="009B4B7B" w:rsidRDefault="00A837E9" w:rsidP="002F7336">
      <w:proofErr w:type="spellStart"/>
      <w:r w:rsidRPr="00EB38D8">
        <w:t>Farooque</w:t>
      </w:r>
      <w:proofErr w:type="spellEnd"/>
      <w:r w:rsidRPr="00EB38D8">
        <w:t xml:space="preserve">, M., Zhang, A., </w:t>
      </w:r>
      <w:proofErr w:type="spellStart"/>
      <w:r w:rsidRPr="00EB38D8">
        <w:t>Thürer</w:t>
      </w:r>
      <w:proofErr w:type="spellEnd"/>
      <w:r w:rsidRPr="00EB38D8">
        <w:t xml:space="preserve">, M., Qu, T., &amp; </w:t>
      </w:r>
      <w:proofErr w:type="spellStart"/>
      <w:r w:rsidRPr="00EB38D8">
        <w:t>Huisingh</w:t>
      </w:r>
      <w:proofErr w:type="spellEnd"/>
      <w:r w:rsidRPr="00EB38D8">
        <w:t xml:space="preserve">, D., 2019. </w:t>
      </w:r>
      <w:r w:rsidRPr="00A837E9">
        <w:t xml:space="preserve">Circular supply chain management: A definition and structured literature review. </w:t>
      </w:r>
      <w:r w:rsidRPr="009B4B7B">
        <w:t xml:space="preserve">Journal of Cleaner Production, 228, 882-900. </w:t>
      </w:r>
      <w:hyperlink r:id="rId29" w:history="1">
        <w:r w:rsidRPr="009B4B7B">
          <w:rPr>
            <w:rStyle w:val="Hyperlink"/>
          </w:rPr>
          <w:t>https://doi.org/10.1016/j.jclepro.2019.04.303</w:t>
        </w:r>
      </w:hyperlink>
    </w:p>
    <w:p w14:paraId="67819719" w14:textId="694EBDF5" w:rsidR="00AE10CD" w:rsidRPr="00EB38D8" w:rsidRDefault="00AE10CD" w:rsidP="002F7336">
      <w:pPr>
        <w:rPr>
          <w:lang w:val="sv-SE"/>
        </w:rPr>
      </w:pPr>
      <w:r w:rsidRPr="00DB35FC">
        <w:t xml:space="preserve">Genovese, A., </w:t>
      </w:r>
      <w:proofErr w:type="spellStart"/>
      <w:r w:rsidRPr="00DB35FC">
        <w:t>Acquaye</w:t>
      </w:r>
      <w:proofErr w:type="spellEnd"/>
      <w:r w:rsidRPr="00DB35FC">
        <w:t xml:space="preserve">, A. A., Figueroa, A., &amp; </w:t>
      </w:r>
      <w:proofErr w:type="spellStart"/>
      <w:r w:rsidRPr="00DB35FC">
        <w:t>Koh</w:t>
      </w:r>
      <w:proofErr w:type="spellEnd"/>
      <w:r w:rsidRPr="00DB35FC">
        <w:t xml:space="preserve">, S. L. (2017). </w:t>
      </w:r>
      <w:r w:rsidRPr="00AE10CD">
        <w:t xml:space="preserve">Sustainable supply chain management and the transition towards a circular economy: Evidence and some applications. </w:t>
      </w:r>
      <w:r w:rsidRPr="00AE10CD">
        <w:rPr>
          <w:lang w:val="sv-SE"/>
        </w:rPr>
        <w:t xml:space="preserve">Omega, 66, 344-357. </w:t>
      </w:r>
      <w:r w:rsidR="00C80BFD">
        <w:fldChar w:fldCharType="begin"/>
      </w:r>
      <w:r w:rsidR="00C80BFD">
        <w:instrText xml:space="preserve"> HYPERLINK "https://doi.org/10.1016/j.omega.2015.05.015" </w:instrText>
      </w:r>
      <w:r w:rsidR="00C80BFD">
        <w:fldChar w:fldCharType="separate"/>
      </w:r>
      <w:r w:rsidRPr="00EB38D8">
        <w:rPr>
          <w:rStyle w:val="Hyperlink"/>
          <w:lang w:val="sv-SE"/>
        </w:rPr>
        <w:t>https://doi.org/10.1016/j.omega.2015.05.015</w:t>
      </w:r>
      <w:r w:rsidR="00C80BFD">
        <w:rPr>
          <w:rStyle w:val="Hyperlink"/>
          <w:lang w:val="sv-SE"/>
        </w:rPr>
        <w:fldChar w:fldCharType="end"/>
      </w:r>
    </w:p>
    <w:p w14:paraId="7A8A2E4B" w14:textId="1BCBE2A7" w:rsidR="00E56C1D" w:rsidRDefault="00E56C1D" w:rsidP="002F7336">
      <w:r w:rsidRPr="00EB38D8">
        <w:rPr>
          <w:lang w:val="sv-SE"/>
        </w:rPr>
        <w:t xml:space="preserve">Genovese, A., &amp; Pansera, M. (2020). </w:t>
      </w:r>
      <w:r w:rsidRPr="00E56C1D">
        <w:t xml:space="preserve">The Circular Economy at a Crossroads: Technocratic Eco-Modernism or Convivial Technology for Social Revolution? Capitalism, Nature, Socialism, 0(0), 1–19. </w:t>
      </w:r>
      <w:hyperlink r:id="rId30" w:history="1">
        <w:r w:rsidRPr="00D01F4E">
          <w:rPr>
            <w:rStyle w:val="Hyperlink"/>
          </w:rPr>
          <w:t>https://doi.org/10.1080/10455752.2020.1763414</w:t>
        </w:r>
      </w:hyperlink>
    </w:p>
    <w:p w14:paraId="42E0F160" w14:textId="4E53A913" w:rsidR="00E56C1D" w:rsidRPr="00EB38D8" w:rsidRDefault="00E56C1D" w:rsidP="002F7336">
      <w:r w:rsidRPr="00E56C1D">
        <w:t xml:space="preserve">Govindan, K., &amp; </w:t>
      </w:r>
      <w:proofErr w:type="spellStart"/>
      <w:r w:rsidRPr="00E56C1D">
        <w:t>Hasanagic</w:t>
      </w:r>
      <w:proofErr w:type="spellEnd"/>
      <w:r w:rsidRPr="00E56C1D">
        <w:t xml:space="preserve">, M. (2018). A systematic review on drivers, barriers, and practices towards circular economy: a supply chain perspective. </w:t>
      </w:r>
      <w:r w:rsidRPr="00EB38D8">
        <w:t xml:space="preserve">International Journal of Production Research, 56(1–2), 278–311. </w:t>
      </w:r>
      <w:hyperlink r:id="rId31" w:history="1">
        <w:r w:rsidRPr="00EB38D8">
          <w:rPr>
            <w:rStyle w:val="Hyperlink"/>
          </w:rPr>
          <w:t>https://doi.org/10.1080/00207543.2017.1402141</w:t>
        </w:r>
      </w:hyperlink>
    </w:p>
    <w:p w14:paraId="119FF70E" w14:textId="5F37C730" w:rsidR="00E56C1D" w:rsidRPr="00EB38D8" w:rsidRDefault="00E56C1D" w:rsidP="002F7336">
      <w:r w:rsidRPr="00EB38D8">
        <w:t xml:space="preserve">Herczeg, G., </w:t>
      </w:r>
      <w:proofErr w:type="spellStart"/>
      <w:r w:rsidRPr="00EB38D8">
        <w:t>Akkerman</w:t>
      </w:r>
      <w:proofErr w:type="spellEnd"/>
      <w:r w:rsidRPr="00EB38D8">
        <w:t xml:space="preserve">, R., &amp; </w:t>
      </w:r>
      <w:proofErr w:type="spellStart"/>
      <w:r w:rsidRPr="00EB38D8">
        <w:t>Hauschild</w:t>
      </w:r>
      <w:proofErr w:type="spellEnd"/>
      <w:r w:rsidRPr="00EB38D8">
        <w:t xml:space="preserve">, M. Z. (2018). </w:t>
      </w:r>
      <w:r w:rsidRPr="00E56C1D">
        <w:t xml:space="preserve">Supply chain collaboration in industrial symbiosis networks. </w:t>
      </w:r>
      <w:r w:rsidRPr="00EB38D8">
        <w:t xml:space="preserve">Journal of Cleaner Production, 171, 1058-1067. </w:t>
      </w:r>
      <w:hyperlink r:id="rId32" w:history="1">
        <w:r w:rsidRPr="00EB38D8">
          <w:rPr>
            <w:rStyle w:val="Hyperlink"/>
          </w:rPr>
          <w:t>https://doi.org/10.1016/j.jclepro.2017.10.046</w:t>
        </w:r>
      </w:hyperlink>
    </w:p>
    <w:p w14:paraId="4E18C658" w14:textId="1011B02A" w:rsidR="00290F28" w:rsidRDefault="00315408" w:rsidP="002F7336">
      <w:r w:rsidRPr="00EB38D8">
        <w:t xml:space="preserve">Hickel, J., &amp; Kallis, G. (2019). </w:t>
      </w:r>
      <w:r w:rsidRPr="00315408">
        <w:t xml:space="preserve">Is Green Growth Possible? New Political Economy, 3467. </w:t>
      </w:r>
      <w:hyperlink r:id="rId33" w:history="1">
        <w:r w:rsidRPr="00D01F4E">
          <w:rPr>
            <w:rStyle w:val="Hyperlink"/>
          </w:rPr>
          <w:t>https://doi.org/10.1080/13563467.2019.1598964</w:t>
        </w:r>
      </w:hyperlink>
    </w:p>
    <w:p w14:paraId="2EA71119" w14:textId="3A300EB9" w:rsidR="00315408" w:rsidRDefault="00315408" w:rsidP="002F7336">
      <w:r w:rsidRPr="00315408">
        <w:t xml:space="preserve">Howard, M., Hopkinson, P., &amp; </w:t>
      </w:r>
      <w:proofErr w:type="spellStart"/>
      <w:r w:rsidRPr="00315408">
        <w:t>Miemczyk</w:t>
      </w:r>
      <w:proofErr w:type="spellEnd"/>
      <w:r w:rsidRPr="00315408">
        <w:t>, J. (2019). The regenerative supply chain: a framework for developing circular economy indicators. International Journal of Production Research, 57(23), 7300-7318.</w:t>
      </w:r>
      <w:r>
        <w:t xml:space="preserve"> </w:t>
      </w:r>
      <w:hyperlink r:id="rId34" w:history="1">
        <w:r w:rsidRPr="00D01F4E">
          <w:rPr>
            <w:rStyle w:val="Hyperlink"/>
          </w:rPr>
          <w:t>https://doi.org/10.1080/00207543.2018.1524166</w:t>
        </w:r>
      </w:hyperlink>
    </w:p>
    <w:p w14:paraId="4C12A7B4" w14:textId="05B196E3" w:rsidR="00A837E9" w:rsidRPr="009B4B7B" w:rsidRDefault="00A837E9" w:rsidP="002F7336">
      <w:proofErr w:type="spellStart"/>
      <w:r w:rsidRPr="00A837E9">
        <w:t>Kauppi</w:t>
      </w:r>
      <w:proofErr w:type="spellEnd"/>
      <w:r w:rsidRPr="00A837E9">
        <w:t xml:space="preserve">, K., &amp; </w:t>
      </w:r>
      <w:proofErr w:type="spellStart"/>
      <w:r w:rsidRPr="00A837E9">
        <w:t>Luzzini</w:t>
      </w:r>
      <w:proofErr w:type="spellEnd"/>
      <w:r w:rsidRPr="00A837E9">
        <w:t xml:space="preserve">, D. (2022). Measuring institutional pressures in a supply chain context: scale development and testing. Supply Chain Management: An International Journal, 27(7), 79-107. </w:t>
      </w:r>
      <w:hyperlink r:id="rId35" w:history="1">
        <w:r w:rsidRPr="009B4B7B">
          <w:rPr>
            <w:rStyle w:val="Hyperlink"/>
          </w:rPr>
          <w:t>https://doi.org/10.1108/SCM-04-2021-0169</w:t>
        </w:r>
      </w:hyperlink>
    </w:p>
    <w:p w14:paraId="0BC53687" w14:textId="3823CF74" w:rsidR="00E56C1D" w:rsidRPr="00F94E05" w:rsidRDefault="00E56C1D" w:rsidP="002F7336">
      <w:proofErr w:type="spellStart"/>
      <w:r w:rsidRPr="009B4B7B">
        <w:lastRenderedPageBreak/>
        <w:t>Kirchherr</w:t>
      </w:r>
      <w:proofErr w:type="spellEnd"/>
      <w:r w:rsidRPr="009B4B7B">
        <w:t xml:space="preserve">, J., </w:t>
      </w:r>
      <w:proofErr w:type="spellStart"/>
      <w:r w:rsidRPr="009B4B7B">
        <w:t>Piscicelli</w:t>
      </w:r>
      <w:proofErr w:type="spellEnd"/>
      <w:r w:rsidRPr="009B4B7B">
        <w:t xml:space="preserve">, L., </w:t>
      </w:r>
      <w:proofErr w:type="spellStart"/>
      <w:r w:rsidRPr="009B4B7B">
        <w:t>Bour</w:t>
      </w:r>
      <w:proofErr w:type="spellEnd"/>
      <w:r w:rsidRPr="009B4B7B">
        <w:t xml:space="preserve">, R., </w:t>
      </w:r>
      <w:proofErr w:type="spellStart"/>
      <w:r w:rsidRPr="009B4B7B">
        <w:t>Kostense</w:t>
      </w:r>
      <w:proofErr w:type="spellEnd"/>
      <w:r w:rsidRPr="009B4B7B">
        <w:t xml:space="preserve">-Smit, E., Muller, J., </w:t>
      </w:r>
      <w:proofErr w:type="spellStart"/>
      <w:r w:rsidRPr="009B4B7B">
        <w:t>Huibrechtse-Truijens</w:t>
      </w:r>
      <w:proofErr w:type="spellEnd"/>
      <w:r w:rsidRPr="009B4B7B">
        <w:t xml:space="preserve">, A., &amp; </w:t>
      </w:r>
      <w:proofErr w:type="spellStart"/>
      <w:r w:rsidRPr="009B4B7B">
        <w:t>Hekkert</w:t>
      </w:r>
      <w:proofErr w:type="spellEnd"/>
      <w:r w:rsidRPr="009B4B7B">
        <w:t xml:space="preserve">, M. (2018). Barriers to the circular economy: Evidence from the European Union (EU). </w:t>
      </w:r>
      <w:r w:rsidRPr="00E56C1D">
        <w:t xml:space="preserve">Ecological economics, 150, 264-272. </w:t>
      </w:r>
      <w:hyperlink r:id="rId36" w:history="1">
        <w:r w:rsidRPr="00F94E05">
          <w:rPr>
            <w:rStyle w:val="Hyperlink"/>
          </w:rPr>
          <w:t>https://doi.org/10.1016/j.ecolecon.2018.04.028</w:t>
        </w:r>
      </w:hyperlink>
    </w:p>
    <w:p w14:paraId="7943F829" w14:textId="5C1FDF98" w:rsidR="00E56C1D" w:rsidRPr="00EB38D8" w:rsidRDefault="00E56C1D" w:rsidP="002F7336">
      <w:r w:rsidRPr="00F94E05">
        <w:t xml:space="preserve">Korhonen, J., </w:t>
      </w:r>
      <w:proofErr w:type="spellStart"/>
      <w:r w:rsidRPr="00F94E05">
        <w:t>Honkasalo</w:t>
      </w:r>
      <w:proofErr w:type="spellEnd"/>
      <w:r w:rsidRPr="00F94E05">
        <w:t xml:space="preserve">, A., &amp; </w:t>
      </w:r>
      <w:proofErr w:type="spellStart"/>
      <w:r w:rsidRPr="00F94E05">
        <w:t>Seppälä</w:t>
      </w:r>
      <w:proofErr w:type="spellEnd"/>
      <w:r w:rsidRPr="00F94E05">
        <w:t xml:space="preserve">, J. (2018). </w:t>
      </w:r>
      <w:r w:rsidRPr="00E56C1D">
        <w:t xml:space="preserve">Circular Economy: The Concept and its Limitations. </w:t>
      </w:r>
      <w:r w:rsidRPr="00EB38D8">
        <w:t xml:space="preserve">Ecological Economics, 143(January), 37–46. </w:t>
      </w:r>
      <w:hyperlink r:id="rId37" w:history="1">
        <w:r w:rsidRPr="00EB38D8">
          <w:rPr>
            <w:rStyle w:val="Hyperlink"/>
          </w:rPr>
          <w:t>https://doi.org/10.1016/j.ecolecon.2017.06.041</w:t>
        </w:r>
      </w:hyperlink>
    </w:p>
    <w:p w14:paraId="04E952F0" w14:textId="4D9853AB" w:rsidR="00A837E9" w:rsidRPr="00EB38D8" w:rsidRDefault="00A837E9" w:rsidP="002F7336">
      <w:proofErr w:type="spellStart"/>
      <w:r w:rsidRPr="00A837E9">
        <w:t>Lahane</w:t>
      </w:r>
      <w:proofErr w:type="spellEnd"/>
      <w:r w:rsidRPr="00A837E9">
        <w:t xml:space="preserve">, S., Kant, R., &amp; Shankar, R. (2020). Circular supply chain management: A state-of-art review and future opportunities. </w:t>
      </w:r>
      <w:r w:rsidRPr="00EB38D8">
        <w:t xml:space="preserve">Journal of Cleaner Production, 258, 120859. </w:t>
      </w:r>
      <w:hyperlink r:id="rId38" w:history="1">
        <w:r w:rsidRPr="00EB38D8">
          <w:rPr>
            <w:rStyle w:val="Hyperlink"/>
          </w:rPr>
          <w:t>https://doi.org/10.1016/j.jclepro.2020.120859</w:t>
        </w:r>
      </w:hyperlink>
    </w:p>
    <w:p w14:paraId="217EEA9B" w14:textId="4B2C7DF7" w:rsidR="00315408" w:rsidRDefault="00E56C1D" w:rsidP="002F7336">
      <w:r w:rsidRPr="00EB38D8">
        <w:t xml:space="preserve">Murray, A., Skene, K., &amp; Haynes, K. (2017). </w:t>
      </w:r>
      <w:r w:rsidRPr="00E56C1D">
        <w:t xml:space="preserve">The Circular Economy: An Interdisciplinary Exploration of the Concept and Application in a Global Context. Journal of Business Ethics, 140(3), 369–380. </w:t>
      </w:r>
      <w:hyperlink r:id="rId39" w:history="1">
        <w:r w:rsidRPr="00D01F4E">
          <w:rPr>
            <w:rStyle w:val="Hyperlink"/>
          </w:rPr>
          <w:t>https://doi.org/10.1007/s10551-015-2693-2</w:t>
        </w:r>
      </w:hyperlink>
    </w:p>
    <w:p w14:paraId="6A31B248" w14:textId="5847F17C" w:rsidR="00E56C1D" w:rsidRDefault="00E56C1D" w:rsidP="002F7336">
      <w:r w:rsidRPr="00E56C1D">
        <w:t xml:space="preserve">Pagell, M., &amp; Shevchenko, A. (2014). Why research in sustainable supply chain management should have no future. Journal of Supply Chain Management, 50(1), 44–55. </w:t>
      </w:r>
      <w:hyperlink r:id="rId40" w:history="1">
        <w:r w:rsidRPr="00D01F4E">
          <w:rPr>
            <w:rStyle w:val="Hyperlink"/>
          </w:rPr>
          <w:t>https://doi.org/10.1111/jscm.12037</w:t>
        </w:r>
      </w:hyperlink>
    </w:p>
    <w:p w14:paraId="306128A2" w14:textId="5362A082" w:rsidR="00A837E9" w:rsidRDefault="00A837E9" w:rsidP="002F7336">
      <w:r w:rsidRPr="00A837E9">
        <w:t xml:space="preserve">Pinto, J. T., &amp; </w:t>
      </w:r>
      <w:proofErr w:type="spellStart"/>
      <w:r w:rsidRPr="00A837E9">
        <w:t>Diemer</w:t>
      </w:r>
      <w:proofErr w:type="spellEnd"/>
      <w:r w:rsidRPr="00A837E9">
        <w:t xml:space="preserve">, A. (2020). Supply chain integration strategies and circularity in the European steel industry. Resources, Conservation and Recycling, 153, 104517. </w:t>
      </w:r>
      <w:hyperlink r:id="rId41" w:history="1">
        <w:r w:rsidRPr="00D01F4E">
          <w:rPr>
            <w:rStyle w:val="Hyperlink"/>
          </w:rPr>
          <w:t>https://doi.org/10.1016/j.resconrec.2019.104517</w:t>
        </w:r>
      </w:hyperlink>
    </w:p>
    <w:p w14:paraId="1B4CBABC" w14:textId="6A5A9709" w:rsidR="00E56C1D" w:rsidRDefault="00E56C1D" w:rsidP="002F7336">
      <w:r w:rsidRPr="00E56C1D">
        <w:t xml:space="preserve">Salmenperä, H., </w:t>
      </w:r>
      <w:proofErr w:type="spellStart"/>
      <w:r w:rsidRPr="00E56C1D">
        <w:t>Pitkänen</w:t>
      </w:r>
      <w:proofErr w:type="spellEnd"/>
      <w:r w:rsidRPr="00E56C1D">
        <w:t xml:space="preserve">, K., </w:t>
      </w:r>
      <w:proofErr w:type="spellStart"/>
      <w:r w:rsidRPr="00E56C1D">
        <w:t>Kautto</w:t>
      </w:r>
      <w:proofErr w:type="spellEnd"/>
      <w:r w:rsidRPr="00E56C1D">
        <w:t xml:space="preserve">, P., &amp; </w:t>
      </w:r>
      <w:proofErr w:type="spellStart"/>
      <w:r w:rsidRPr="00E56C1D">
        <w:t>Saikku</w:t>
      </w:r>
      <w:proofErr w:type="spellEnd"/>
      <w:r w:rsidRPr="00E56C1D">
        <w:t xml:space="preserve">, L. (2021). Critical factors for enhancing the circular economy in waste management. Journal of Cleaner Production, 280. </w:t>
      </w:r>
      <w:hyperlink r:id="rId42" w:history="1">
        <w:r w:rsidRPr="00D01F4E">
          <w:rPr>
            <w:rStyle w:val="Hyperlink"/>
          </w:rPr>
          <w:t>https://doi.org/10.1016/j.jclepro.2020.124339</w:t>
        </w:r>
      </w:hyperlink>
    </w:p>
    <w:p w14:paraId="2C471564" w14:textId="63949F01" w:rsidR="00C7220F" w:rsidRDefault="00C7220F" w:rsidP="002F7336">
      <w:r w:rsidRPr="00C7220F">
        <w:t>Smith, A., &amp; Stewart, D. (1963). An Inquiry into the Nature and Causes of the Wealth of Nations. Homewood, Ill: Irwin, I.</w:t>
      </w:r>
    </w:p>
    <w:p w14:paraId="42262528" w14:textId="71F70350" w:rsidR="00E56C1D" w:rsidRDefault="00E56C1D" w:rsidP="002F7336">
      <w:r w:rsidRPr="00E56C1D">
        <w:t xml:space="preserve">Stewart, R., &amp; Niero, M. (2018). Circular economy in corporate sustainability strategies: A review of corporate sustainability reports in the fast-moving consumer goods sector. Business Strategy and the Environment, 27(7), 1005–1022. </w:t>
      </w:r>
      <w:hyperlink r:id="rId43" w:history="1">
        <w:r w:rsidRPr="00D01F4E">
          <w:rPr>
            <w:rStyle w:val="Hyperlink"/>
          </w:rPr>
          <w:t>https://doi.org/10.1002/bse.2048</w:t>
        </w:r>
      </w:hyperlink>
    </w:p>
    <w:p w14:paraId="7FE28E75" w14:textId="7FA398B4" w:rsidR="00315408" w:rsidRDefault="00E56C1D" w:rsidP="002F7336">
      <w:r w:rsidRPr="00E56C1D">
        <w:t>Webster, K. (2017). The circular economy: A wealth of flows (E. M. F. Publishing (</w:t>
      </w:r>
      <w:proofErr w:type="gramStart"/>
      <w:r w:rsidRPr="00E56C1D">
        <w:t>ed</w:t>
      </w:r>
      <w:proofErr w:type="gramEnd"/>
      <w:r w:rsidRPr="00E56C1D">
        <w:t>.)).</w:t>
      </w:r>
    </w:p>
    <w:bookmarkEnd w:id="5"/>
    <w:p w14:paraId="054923BB" w14:textId="77777777" w:rsidR="00E56C1D" w:rsidRPr="00290F28" w:rsidRDefault="00E56C1D" w:rsidP="002F7336"/>
    <w:p w14:paraId="6A59527C" w14:textId="77777777" w:rsidR="006379C0" w:rsidRDefault="006379C0" w:rsidP="002F7336">
      <w:r>
        <w:br w:type="page"/>
      </w:r>
    </w:p>
    <w:p w14:paraId="770A1725" w14:textId="3A6D96E1" w:rsidR="006379C0" w:rsidRPr="00E77360" w:rsidRDefault="006379C0" w:rsidP="00C528D7">
      <w:pPr>
        <w:pStyle w:val="Heading1"/>
      </w:pPr>
      <w:bookmarkStart w:id="14" w:name="_Toc157759479"/>
      <w:bookmarkStart w:id="15" w:name="_Toc49839807"/>
      <w:r w:rsidRPr="00E77360">
        <w:lastRenderedPageBreak/>
        <w:t>The adoption of Circular Economy practices in supply chains – A review of European Multi-National Enterprises</w:t>
      </w:r>
      <w:bookmarkEnd w:id="14"/>
      <w:r w:rsidRPr="00E77360">
        <w:t xml:space="preserve"> </w:t>
      </w:r>
    </w:p>
    <w:p w14:paraId="4499179E" w14:textId="77777777" w:rsidR="006379C0" w:rsidRPr="00F93608" w:rsidRDefault="006379C0" w:rsidP="002F7336">
      <w:pPr>
        <w:rPr>
          <w:b/>
          <w:bCs/>
        </w:rPr>
      </w:pPr>
      <w:r w:rsidRPr="00F93608">
        <w:rPr>
          <w:b/>
          <w:bCs/>
        </w:rPr>
        <w:t xml:space="preserve">Abstract: </w:t>
      </w:r>
    </w:p>
    <w:p w14:paraId="402BF38C" w14:textId="2B1C90EF" w:rsidR="006379C0" w:rsidRPr="009372D8" w:rsidRDefault="006379C0" w:rsidP="002F7336">
      <w:r w:rsidRPr="006E688F">
        <w:t xml:space="preserve">The European Commission Circular Economy Action Plan aims at fostering a society based on sustainable production and consumption. Within this context, industrial organisations are called to implement a wide set of practices to drive this transition: manufacturing easy-to-repair and sustainable products, adopting solutions aimed at extending product lifetime, and promoting remanufacturing and materials’ recycling. A major contribution is expected from Multi-National Enterprises (MNEs), as these organisations dominate the European economy and coordinate global supply networks, which have been deemed responsible for unsustainable use of natural resources. As such, this study aims at assessing the Circular Economy state-of-the-practice by classifying all the Circular Economy-inspired initiatives promoted by the largest European MNEs. Key findings include the degree of implementation, the level of involvement of supply chain partners, and the drivers behind the implementation of </w:t>
      </w:r>
      <w:r w:rsidR="00CD1B08" w:rsidRPr="006E688F">
        <w:t>Circular Econom</w:t>
      </w:r>
      <w:r w:rsidR="00CD1B08">
        <w:t xml:space="preserve">y </w:t>
      </w:r>
      <w:r w:rsidRPr="006E688F">
        <w:t xml:space="preserve">practices. Furthermore, a conceptual framework is proposed, to describe the adoption of </w:t>
      </w:r>
      <w:r w:rsidR="00CD1B08" w:rsidRPr="006E688F">
        <w:t>Circular Econom</w:t>
      </w:r>
      <w:r w:rsidR="00CD1B08">
        <w:t xml:space="preserve">y </w:t>
      </w:r>
      <w:r w:rsidRPr="006E688F">
        <w:t>practices as a supply chain process. A theoretical discussion explores the role of institutional pressures and supply chain integration to shape the transition towards the adoption of Circular Economy practices in global supply chains.</w:t>
      </w:r>
    </w:p>
    <w:p w14:paraId="712B11F4" w14:textId="77777777" w:rsidR="006379C0" w:rsidRPr="009372D8" w:rsidRDefault="006379C0" w:rsidP="002F7336">
      <w:r w:rsidRPr="009372D8">
        <w:rPr>
          <w:b/>
        </w:rPr>
        <w:t>Keywords</w:t>
      </w:r>
      <w:r w:rsidRPr="009372D8">
        <w:t xml:space="preserve">: </w:t>
      </w:r>
      <w:r w:rsidRPr="006379C0">
        <w:t>Circular Economy, Fortune 500, Sustainability, MNEs, Supply Chain Integration, Institutional Theory</w:t>
      </w:r>
    </w:p>
    <w:p w14:paraId="1C5CC484" w14:textId="77777777" w:rsidR="006379C0" w:rsidRDefault="006379C0" w:rsidP="002F7336"/>
    <w:p w14:paraId="2DEBADA2" w14:textId="77777777" w:rsidR="006379C0" w:rsidRPr="00E37590" w:rsidRDefault="006379C0" w:rsidP="002F7336">
      <w:r w:rsidRPr="00E37590">
        <w:br w:type="page"/>
      </w:r>
    </w:p>
    <w:p w14:paraId="4570E3BD" w14:textId="77777777" w:rsidR="006379C0" w:rsidRPr="005035B4" w:rsidRDefault="006379C0" w:rsidP="005035B4">
      <w:pPr>
        <w:pStyle w:val="Heading2"/>
      </w:pPr>
      <w:bookmarkStart w:id="16" w:name="_Toc157759480"/>
      <w:r w:rsidRPr="005035B4">
        <w:lastRenderedPageBreak/>
        <w:t>Introduction</w:t>
      </w:r>
      <w:bookmarkEnd w:id="16"/>
    </w:p>
    <w:p w14:paraId="16DD92DE" w14:textId="77777777" w:rsidR="006379C0" w:rsidRPr="006E688F" w:rsidRDefault="006379C0" w:rsidP="002F7336">
      <w:r w:rsidRPr="006E688F">
        <w:t xml:space="preserve">Multi-National Enterprises (MNEs) dominate European free-market economies, coordinating and commanding global supply networks, actively determining what is produced and consumed. As such, they also contribute to the unsustainable use of natural resources which has caused severe environmental degradation. It has been reported that just a hundred MNEs are responsible for 71% of all the GHG emissions since 1988 (Griffin, &amp; </w:t>
      </w:r>
      <w:proofErr w:type="spellStart"/>
      <w:r w:rsidRPr="006E688F">
        <w:t>Heede</w:t>
      </w:r>
      <w:proofErr w:type="spellEnd"/>
      <w:r w:rsidRPr="006E688F">
        <w:t>, 2017).</w:t>
      </w:r>
    </w:p>
    <w:p w14:paraId="4D5813E2" w14:textId="77777777" w:rsidR="006379C0" w:rsidRPr="006E688F" w:rsidRDefault="006379C0" w:rsidP="002F7336">
      <w:r w:rsidRPr="006E688F">
        <w:t xml:space="preserve">The Circular Economy (CE) paradigm focuses on how to revise unsustainable development patterns by transforming production and consumption systems </w:t>
      </w:r>
      <w:r w:rsidRPr="006E688F">
        <w:fldChar w:fldCharType="begin" w:fldLock="1"/>
      </w:r>
      <w:r w:rsidRPr="006E688F">
        <w:instrText>ADDIN CSL_CITATION {"citationItems":[{"id":"ITEM-1","itemData":{"DOI":"10.1080/09644016.2019.1673996","ISSN":"17438934","abstract":"The circular economy (CE) concept is informing the governance of resource use and waste management on a global scale, leading to widespread policy instrument innovation. However, the recent appearance of CE ‘policy portfolios’ raises questions about whether such policies are genuinely path-breaking or are merely adjustments to existing arrangements. Tracing the emergence of the European Union’s Circular Economy Package shows that, while some measures are genuinely novel, many others are ‘patched’ onto pre-existing instruments and that the overall portfolio exhibits a high degree of institutional ‘layering’. Given the evidence of relative ineffectiveness of past incremental environmental interventions, there is a mismatch between such approaches and the scale, pace, and scope of transformation implied by contemporary articulations of the circular economy concept. Creating the policy conditions for sustainable production and consumption may require more radical policy formulations than CE proponents acknowledge.","author":[{"dropping-particle":"","family":"Fitch-Roy","given":"Oscar","non-dropping-particle":"","parse-names":false,"suffix":""},{"dropping-particle":"","family":"Benson","given":"David","non-dropping-particle":"","parse-names":false,"suffix":""},{"dropping-particle":"","family":"Monciardini","given":"David","non-dropping-particle":"","parse-names":false,"suffix":""}],"container-title":"Environmental Politics","id":"ITEM-1","issue":"6","issued":{"date-parts":[["2020"]]},"page":"983-1003","publisher":"Routledge","title":"Going around in circles? Conceptual recycling, patching and policy layering in the EU circular economy package","type":"article-journal","volume":"29"},"uris":["http://www.mendeley.com/documents/?uuid=36ccac88-f60c-4911-99d6-9fabbca97f82"]}],"mendeley":{"formattedCitation":"(Fitch-Roy et al., 2020)","plainTextFormattedCitation":"(Fitch-Roy et al., 2020)","previouslyFormattedCitation":"(Fitch-Roy et al., 2020)"},"properties":{"noteIndex":0},"schema":"https://github.com/citation-style-language/schema/raw/master/csl-citation.json"}</w:instrText>
      </w:r>
      <w:r w:rsidRPr="006E688F">
        <w:fldChar w:fldCharType="separate"/>
      </w:r>
      <w:r w:rsidRPr="006E688F">
        <w:t>(Fitch-Roy et al., 2020)</w:t>
      </w:r>
      <w:r w:rsidRPr="006E688F">
        <w:fldChar w:fldCharType="end"/>
      </w:r>
      <w:r w:rsidRPr="006E688F">
        <w:t xml:space="preserve">. The end-of-life concept is rethought, as economic activities focus on keeping products and materials in use, so avoiding them becoming waste </w:t>
      </w:r>
      <w:r w:rsidRPr="006E688F">
        <w:fldChar w:fldCharType="begin" w:fldLock="1"/>
      </w:r>
      <w:r w:rsidRPr="006E688F">
        <w:instrText>ADDIN CSL_CITATION {"citationItems":[{"id":"ITEM-1","itemData":{"DOI":"10.1016/j.resconrec.2017.09.005","ISSN":"18790658","abstract":"The circular economy concept has gained momentum both among scholars and practitioners. However, critics claim that it means many different things to different people. This paper provides further evidence for these critics. The aim of this paper is to create transparency regarding the current understandings of the circular economy concept. For this purpose, we have gathered 114 circular economy definitions which were coded on 17 dimensions. Our findings indicate that the circular economy is most frequently depicted as a combination of reduce, reuse and recycle activities, whereas it is oftentimes not highlighted that CE necessitates a systemic shift. We further find that the definitions show few explicit linkages of the circular economy concept to sustainable development. The main aim of the circular economy is considered to be economic prosperity, followed by environmental quality; its impact on social equity and future generations is barely mentioned. Furthermore, neither business models nor consumers are frequently outlined as enablers of the circular economy. We critically discuss the various circular economy conceptualizations throughout this paper. Overall, we hope to contribute via this study towards the coherence of the circular economy concept; we presume that significantly varying circular economy definitions may eventually result in the collapse of the concept.","author":[{"dropping-particle":"","family":"Kirchherr","given":"Julian","non-dropping-particle":"","parse-names":false,"suffix":""},{"dropping-particle":"","family":"Reike","given":"Denise","non-dropping-particle":"","parse-names":false,"suffix":""},{"dropping-particle":"","family":"Hekkert","given":"Marko","non-dropping-particle":"","parse-names":false,"suffix":""}],"container-title":"Resources, Conservation and Recycling","id":"ITEM-1","issue":"April","issued":{"date-parts":[["2017"]]},"page":"221-232","title":"Conceptualizing the circular economy: An analysis of 114 definitions","type":"article-journal","volume":"127"},"uris":["http://www.mendeley.com/documents/?uuid=8ac6eb91-ca98-47d1-8951-38e3c88d7a9e"]}],"mendeley":{"formattedCitation":"(Kirchherr et al., 2017)","plainTextFormattedCitation":"(Kirchherr et al., 2017)","previouslyFormattedCitation":"(Kirchherr et al., 2017)"},"properties":{"noteIndex":0},"schema":"https://github.com/citation-style-language/schema/raw/master/csl-citation.json"}</w:instrText>
      </w:r>
      <w:r w:rsidRPr="006E688F">
        <w:fldChar w:fldCharType="separate"/>
      </w:r>
      <w:r w:rsidRPr="006E688F">
        <w:t>(Kirchherr et al., 2017)</w:t>
      </w:r>
      <w:r w:rsidRPr="006E688F">
        <w:fldChar w:fldCharType="end"/>
      </w:r>
      <w:r w:rsidRPr="006E688F">
        <w:t xml:space="preserve">. It is claimed that by promoting CE-solutions through their global and multi-tier supply chain networks, MNEs could enact a more efficient use of resources and contribute to the United Nations’ Sustainable Development Goals (SDGs). </w:t>
      </w:r>
    </w:p>
    <w:p w14:paraId="46FF98A6" w14:textId="77777777" w:rsidR="006379C0" w:rsidRPr="006E688F" w:rsidRDefault="006379C0" w:rsidP="002F7336">
      <w:r w:rsidRPr="006E688F">
        <w:t xml:space="preserve">Within this context, many MNEs have publicly communicated that they have adopted CE practices </w:t>
      </w:r>
      <w:r w:rsidRPr="006E688F">
        <w:fldChar w:fldCharType="begin" w:fldLock="1"/>
      </w:r>
      <w:r w:rsidRPr="006E688F">
        <w:instrText>ADDIN CSL_CITATION {"citationItems":[{"id":"ITEM-1","itemData":{"DOI":"10.1002/bse.2048","ISSN":"10990836","abstract":"Despite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Environment","id":"ITEM-1","issue":"7","issued":{"date-parts":[["2018"]]},"page":"1005-1022","title":"Circular economy in corporate sustainability strategies: A review of corporate sustainability reports in the fast-moving consumer goods sector","type":"article-journal","volume":"27"},"uris":["http://www.mendeley.com/documents/?uuid=a4245b62-344e-4d4e-bee8-a6f8d7febd42"]},{"id":"ITEM-2","itemData":{"DOI":"10.1016/j.jclepro.2019.03.115","ISSN":"09596526","abstract":"In times of climate change, biodiversity loss, or growing natural resource scarcity, the circular business model (CBM) concept is increasingly attractive, promoting the reorganization of current value creation architectures and supply chains toward a sustainable system of production and consumption. Driven by a vision of continued economic expansion and growth on a planet with finite natural resources, CBMs are endorsed by political institutions, multinational corporations, business consultancies, and academia. Some argue that CBM configurations contribute to a more holistic and radical change in the existing business logics than approaches that achieve incremental resource efficiency improvements. However, how “holistic” and “radical” are CBMs theoretically constituted in academia if we consider the deep structural and paradigmatic shifts in societies necessary to deal with the challenges associated with the Anthropocene? Prior studies do not examine the inherent normative settings and the operational change approaches beneath CBM concepts. To reconstruct the theoretical foundations of CBMs critically, the recent CBM body of academic literature is systematically reviewed according to (1) the legitimacy of CBMs (why should it be done) (2) the modes of value creation and offerings (what should be done), and (3) the core principles of CBM integration into daily business (how should it be done). From this synthesis, the predominant notion of sustainability behind the CBM concept can be revealed. This study argues contemporary scientifically constructed CBMs need to be reconsidered if they are intended to contribute to a profound economic transition toward sustainability. Hence, the paper shows how principles from more “holistic”, “radical”, and pluralistic economic approaches can widen CBMs and how future research can help to diversify the concept.","author":[{"dropping-particle":"","family":"Hofmann","given":"Florian","non-dropping-particle":"","parse-names":false,"suffix":""}],"container-title":"Journal of Cleaner Production","id":"ITEM-2","issued":{"date-parts":[["2019"]]},"page":"361-374","publisher":"Elsevier Ltd","title":"Circular business models: Business approach as driver or obstructer of sustainability transitions?","type":"article-journal","volume":"224"},"uris":["http://www.mendeley.com/documents/?uuid=b545a1ec-38de-4587-b848-b72a89f5ac2c"]}],"mendeley":{"formattedCitation":"(Stewart &amp; Niero, 2018; Hofmann, 2019)","plainTextFormattedCitation":"(Stewart &amp; Niero, 2018; Hofmann, 2019)","previouslyFormattedCitation":"(Stewart &amp; Niero, 2018; Hofmann, 2019)"},"properties":{"noteIndex":0},"schema":"https://github.com/citation-style-language/schema/raw/master/csl-citation.json"}</w:instrText>
      </w:r>
      <w:r w:rsidRPr="006E688F">
        <w:fldChar w:fldCharType="separate"/>
      </w:r>
      <w:r w:rsidRPr="006E688F">
        <w:t>(Stewart &amp; Niero, 2018; Hofmann, 2019)</w:t>
      </w:r>
      <w:r w:rsidRPr="006E688F">
        <w:fldChar w:fldCharType="end"/>
      </w:r>
      <w:r w:rsidRPr="006E688F">
        <w:t xml:space="preserve">. Such practices have emphasised the manufacturing of easy to repair and sustainable goods, the adoption of solutions aimed at extending product lifetimes, the promotion of remanufacturing and recycling in subsequent feedback loops, and the use of renewable energy sources throughout supply chains </w:t>
      </w:r>
      <w:r w:rsidRPr="006E688F">
        <w:fldChar w:fldCharType="begin" w:fldLock="1"/>
      </w:r>
      <w:r w:rsidRPr="006E688F">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applications","type":"article-journal","volume":"66"},"uris":["http://www.mendeley.com/documents/?uuid=5dd8e2c4-fae0-4040-ae7c-ed96e73d9ca4"]}],"mendeley":{"formattedCitation":"(Genovese et al., 2017)","plainTextFormattedCitation":"(Genovese et al., 2017)","previouslyFormattedCitation":"(Genovese et al., 2017)"},"properties":{"noteIndex":0},"schema":"https://github.com/citation-style-language/schema/raw/master/csl-citation.json"}</w:instrText>
      </w:r>
      <w:r w:rsidRPr="006E688F">
        <w:fldChar w:fldCharType="separate"/>
      </w:r>
      <w:r w:rsidRPr="006E688F">
        <w:t>(Genovese et al., 2017)</w:t>
      </w:r>
      <w:r w:rsidRPr="006E688F">
        <w:fldChar w:fldCharType="end"/>
      </w:r>
      <w:r w:rsidRPr="006E688F">
        <w:t xml:space="preserve">. </w:t>
      </w:r>
    </w:p>
    <w:p w14:paraId="568FE016" w14:textId="77777777" w:rsidR="006379C0" w:rsidRPr="006E688F" w:rsidRDefault="006379C0" w:rsidP="002F7336">
      <w:r w:rsidRPr="006E688F">
        <w:t xml:space="preserve">However, research on the circular economy has mainly been characterised by ad-hoc case studies and small samples </w:t>
      </w:r>
      <w:r w:rsidRPr="006E688F">
        <w:fldChar w:fldCharType="begin" w:fldLock="1"/>
      </w:r>
      <w:r w:rsidRPr="006E688F">
        <w:instrText>ADDIN CSL_CITATION {"citationItems":[{"id":"ITEM-1","itemData":{"DOI":"10.1016/j.jclepro.2020.124339","ISSN":"09596526","abstract":"Circular and efficient material use faces challenges stemming from present practices. The current way of managing waste needs revising if material circularity is to increase. Earlier studies on key factors promoting the circular economy (CE) have been theoretically oriented, whereas this study aims to increase understanding of the critical factors faced by practitioners in the transition towards a CE. Practitioners from 25 pilots promoting waste prevention and recycling in various industries were interviewed on the barriers and success factors encountered when implementing pilots. The practitioners were further categorised as developers and intermediaries. Our study showed that different actor groups do not share a similar vision on the barriers. Developers lack systemic thinking, as they primarily only recognise the barriers close to their own development activities, whereas intermediaries identify barriers further along the material supply chain and in different barrier categories. In a CE, the role of waste management is to promote the retention of material value in the cycles through recycling. The findings show that this can be promoted by illustrating the economic benefits of a CE, better sharing of waste-related data, and increasing the dialogue and cooperation between key players. Furthermore, harmonisation of regulations and their interpretations is needed. The waste management sector could take a more diversified role in the implementation of a CE, such as by providing waste processing services for the needs of the manufacturing industry. The study highlights the idea that overcoming barriers requires recognition of their interlinkages and actions at different levels.","author":[{"dropping-particle":"","family":"Salmenperä","given":"Hanna","non-dropping-particle":"","parse-names":false,"suffix":""},{"dropping-particle":"","family":"Pitkänen","given":"Kati","non-dropping-particle":"","parse-names":false,"suffix":""},{"dropping-particle":"","family":"Kautto","given":"Petrus","non-dropping-particle":"","parse-names":false,"suffix":""},{"dropping-particle":"","family":"Saikku","given":"Laura","non-dropping-particle":"","parse-names":false,"suffix":""}],"container-title":"Journal of Cleaner Production","id":"ITEM-1","issued":{"date-parts":[["2021"]]},"title":"Critical factors for enhancing the circular economy in waste management","type":"article-journal","volume":"280"},"uris":["http://www.mendeley.com/documents/?uuid=ad9763ed-91c2-4e32-8555-6e5e911db7ad"]},{"id":"ITEM-2","itemData":{"DOI":"10.1016/j.resconrec.2019.104480","ISSN":"18790658","author":[{"dropping-particle":"","family":"Kirchherr","given":"Julian","non-dropping-particle":"","parse-names":false,"suffix":""},{"dropping-particle":"","family":"Santen","given":"Ralf","non-dropping-particle":"van","parse-names":false,"suffix":""}],"container-title":"Resources, Conservation and Recycling","id":"ITEM-2","issue":"September","issued":{"date-parts":[["2019"]]},"page":"4-5","title":"Research on the circular economy: A critique of the field","type":"article-journal","volume":"151"},"uris":["http://www.mendeley.com/documents/?uuid=881ea84a-383a-4207-9955-c43276497161"]}],"mendeley":{"formattedCitation":"(Kirchherr &amp; van Santen, 2019; Salmenperä et al., 2021)","plainTextFormattedCitation":"(Kirchherr &amp; van Santen, 2019; Salmenperä et al., 2021)","previouslyFormattedCitation":"(Kirchherr &amp; van Santen, 2019; Salmenperä et al., 2021)"},"properties":{"noteIndex":0},"schema":"https://github.com/citation-style-language/schema/raw/master/csl-citation.json"}</w:instrText>
      </w:r>
      <w:r w:rsidRPr="006E688F">
        <w:fldChar w:fldCharType="separate"/>
      </w:r>
      <w:r w:rsidRPr="006E688F">
        <w:t>(Kirchherr &amp; van Santen, 2019; Salmenperä et al., 2021)</w:t>
      </w:r>
      <w:r w:rsidRPr="006E688F">
        <w:fldChar w:fldCharType="end"/>
      </w:r>
      <w:r w:rsidRPr="006E688F">
        <w:t xml:space="preserve">. The adoption of CE practices is usually explored in specific contexts and sectors, rather than through the investigation of large and representative samples. Academic research and business practice seem disconnected </w:t>
      </w:r>
      <w:r w:rsidRPr="006E688F">
        <w:fldChar w:fldCharType="begin" w:fldLock="1"/>
      </w:r>
      <w:r w:rsidRPr="006E688F">
        <w:instrText>ADDIN CSL_CITATION {"citationItems":[{"id":"ITEM-1","itemData":{"DOI":"10.1002/bse.2048","ISSN":"10990836","abstract":"Despite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Environment","id":"ITEM-1","issue":"7","issued":{"date-parts":[["2018"]]},"page":"1005-1022","title":"Circular economy in corporate sustainability strategies: A review of corporate sustainability reports in the fast-moving consumer goods sector","type":"article-journal","volume":"27"},"uris":["http://www.mendeley.com/documents/?uuid=a4245b62-344e-4d4e-bee8-a6f8d7febd42"]},{"id":"ITEM-2","itemData":{"DOI":"10.1111/jscm.12037","ISSN":"1745493X","abstract":"In the last two decades, the topic of sustainability has moved from the fringes of supply chain management research to the mainstream and is now an area of significant research activity. In this paper, we argue that while this increase in acceptance and activity is welcome and has lead to a greater understanding of sustainability, our present knowledge is not sufficient to create truly sustainable supply chains. We build on this insight to identify five main issues that future research needs to address. We argue that when it comes to the theory of sustainable supply chain management, previous research has focused on the synergistic and familiar while overlooking trade-offs and radical innovation. These theoretical issues are compounded by measures that do not truly capture a supply chain's impacts and methods that are better at looking backwards than forwards. The paper concludes by proposing a series of recommendations that address these issues to help in the development of truly sustainable supply chains. © 2014 Institute for Supply Management, Inc.","author":[{"dropping-particle":"","family":"Pagell","given":"Mark","non-dropping-particle":"","parse-names":false,"suffix":""},{"dropping-particle":"","family":"Shevchenko","given":"Anton","non-dropping-particle":"","parse-names":false,"suffix":""}],"container-title":"Journal of Supply Chain Management","id":"ITEM-2","issue":"1","issued":{"date-parts":[["2014"]]},"page":"44-55","title":"Why research in sustainable supply chain management should have no future","type":"article-journal","volume":"50"},"uris":["http://www.mendeley.com/documents/?uuid=92605310-1e03-43bb-8f3f-2fd006ab3fc9"]},{"id":"ITEM-3","itemData":{"DOI":"10.1016/j.ecolecon.2017.06.041","ISSN":"09218009","abstract":"Circular economy (CE) is currently a popular concept promoted by the EU, by several national governments and by many businesses around the world. However, the scientific and research content of the CE concept is superficial and unorganized. CE seems to be a collection of vague and separate ideas from several fields and semi-scientific concepts. The objective of this article is to contribute to the scientific research on CE. First, we will define the concept of CE from the perspective of WCED sustainable development and sustainability science. Second, we will conduct a critical analysis of the concept from the perspective of environmental sustainability. The analysis identifies six challenges, for example those of thermodynamics and system boundaries, that need to be resolved for CE to be able to contribute to global net sustainability. These six challenges also serve as research themes and objectives for scholars interested in making progress in sustainable development through the usage of circular economy. CE is important for its power to attract both the business community and policy-making community to sustainability work, but it needs scientific research to secure that the actual environmental impacts of CE work toward sustainability.","author":[{"dropping-particle":"","family":"Korhonen","given":"Jouni","non-dropping-particle":"","parse-names":false,"suffix":""},{"dropping-particle":"","family":"Honkasalo","given":"Antero","non-dropping-particle":"","parse-names":false,"suffix":""},{"dropping-particle":"","family":"Seppälä","given":"Jyri","non-dropping-particle":"","parse-names":false,"suffix":""}],"container-title":"Ecological Economics","id":"ITEM-3","issue":"January","issued":{"date-parts":[["2018"]]},"page":"37-46","publisher":"Elsevier B.V.","title":"Circular Economy: The Concept and its Limitations","type":"article-journal","volume":"143"},"uris":["http://www.mendeley.com/documents/?uuid=31d96043-329c-4dc0-8cb5-d663b399ff81"]}],"mendeley":{"formattedCitation":"(Pagell &amp; Shevchenko, 2014; Korhonen et al., 2018; Stewart &amp; Niero, 2018)","plainTextFormattedCitation":"(Pagell &amp; Shevchenko, 2014; Korhonen et al., 2018; Stewart &amp; Niero, 2018)","previouslyFormattedCitation":"(Pagell &amp; Shevchenko, 2014; Korhonen et al., 2018; Stewart &amp; Niero, 2018)"},"properties":{"noteIndex":0},"schema":"https://github.com/citation-style-language/schema/raw/master/csl-citation.json"}</w:instrText>
      </w:r>
      <w:r w:rsidRPr="006E688F">
        <w:fldChar w:fldCharType="separate"/>
      </w:r>
      <w:r w:rsidRPr="006E688F">
        <w:t>(Pagell &amp; Shevchenko, 2014; Korhonen et al., 2018; Stewart &amp; Niero, 2018)</w:t>
      </w:r>
      <w:r w:rsidRPr="006E688F">
        <w:fldChar w:fldCharType="end"/>
      </w:r>
      <w:r w:rsidRPr="006E688F">
        <w:t xml:space="preserve"> especially when dealing with production and consumption systems that are dispersed across continents, energy-intensive, and orchestrated by MNEs. This is a significant gap that needs to be investigated. </w:t>
      </w:r>
    </w:p>
    <w:p w14:paraId="68948647" w14:textId="77777777" w:rsidR="006379C0" w:rsidRPr="006E688F" w:rsidRDefault="006379C0" w:rsidP="002F7336">
      <w:r w:rsidRPr="006E688F">
        <w:t xml:space="preserve">In order to fill this gap, this study seeks to address the following research questions: (RQ1) which CE practices have been adopted by European MNEs in the last years; (RQ2) to what extent CE practices were implemented; (RQ3) what factors could drive or enable MNEs bottom-up initiatives in the context of European free-market economies. </w:t>
      </w:r>
    </w:p>
    <w:p w14:paraId="24F04D47" w14:textId="77777777" w:rsidR="006379C0" w:rsidRPr="006E688F" w:rsidRDefault="006379C0" w:rsidP="002F7336">
      <w:r w:rsidRPr="006E688F">
        <w:lastRenderedPageBreak/>
        <w:t>After having determined a representative sample of organisations through the Global Fortune 500 list</w:t>
      </w:r>
      <w:r w:rsidRPr="006E688F">
        <w:rPr>
          <w:vertAlign w:val="superscript"/>
        </w:rPr>
        <w:footnoteReference w:id="1"/>
      </w:r>
      <w:r w:rsidRPr="006E688F">
        <w:t xml:space="preserve">, a comprehensive database of the state-of-the-practice of CE adoption in European MNEs has been created by coding information extracted from sustainability reports; this has allowed performing several analyses aimed at addressing the above-mentioned RQs. </w:t>
      </w:r>
    </w:p>
    <w:p w14:paraId="31D15D75" w14:textId="77777777" w:rsidR="006379C0" w:rsidRPr="006E688F" w:rsidRDefault="006379C0" w:rsidP="002F7336">
      <w:r w:rsidRPr="006E688F">
        <w:t>The remainder of this document is arranged as follows. The next section provides a review of current academic work highlighting the gaps and the area that this study contributes to. Section 3 clarifies the method that will be utilised to tackle the research questions generated by the literature review. In Section 4, the results of the analysis are illustrated. Firstly, the sample is characterised; secondly, the most prominent CE practices across four industrial sectors are presented; then, a CE score is calculated for each MNE based on the level of implementation of the CE practices they have adopted and the extent to which supply chain partners are involved; finally, some preliminary evidence of the relationship between institutional pressures, supply chain integration and the adoption of CE practices is shown. In Section 5, two general propositions are proposed, on the possible relationship between institutional pressures, supply chain integration, and the adoption of CE practices in supply chains. Finally, in Section 6, some conclusions are drawn.</w:t>
      </w:r>
    </w:p>
    <w:p w14:paraId="47FB21FA" w14:textId="77777777" w:rsidR="006379C0" w:rsidRPr="006E688F" w:rsidRDefault="006379C0" w:rsidP="005035B4">
      <w:pPr>
        <w:pStyle w:val="Heading2"/>
      </w:pPr>
      <w:bookmarkStart w:id="17" w:name="_Toc157759481"/>
      <w:r w:rsidRPr="009B5B29">
        <w:t>Literature</w:t>
      </w:r>
      <w:r w:rsidRPr="006E688F">
        <w:t xml:space="preserve"> Review</w:t>
      </w:r>
      <w:bookmarkEnd w:id="17"/>
    </w:p>
    <w:p w14:paraId="085350CF" w14:textId="77777777" w:rsidR="006379C0" w:rsidRPr="006E688F" w:rsidRDefault="006379C0" w:rsidP="002F7336">
      <w:r w:rsidRPr="006E688F">
        <w:t xml:space="preserve">The CE concept has gained traction in academia, policy-making, and business practice; it advocates a deep transformation of the economic system, challenging how modern industrial societies design and produce goods. </w:t>
      </w:r>
    </w:p>
    <w:p w14:paraId="7F4FD8A2" w14:textId="2298658C" w:rsidR="006379C0" w:rsidRPr="006E688F" w:rsidRDefault="006379C0" w:rsidP="002F7336">
      <w:r w:rsidRPr="006E688F">
        <w:t xml:space="preserve">Within this context, Circular Supply Chains represent a building block for the transition towards a CE. The penetration of CE-related concepts in the supply chain management literature can be traced back to distinct, but related, streams </w:t>
      </w:r>
      <w:r w:rsidRPr="006E688F">
        <w:fldChar w:fldCharType="begin" w:fldLock="1"/>
      </w:r>
      <w:r w:rsidRPr="006E688F">
        <w:instrText>ADDIN CSL_CITATION {"citationItems":[{"id":"ITEM-1","itemData":{"DOI":"10.1080/00207543.2018.1524166","author":[{"dropping-particle":"","family":"Howard","given":"Mickey","non-dropping-particle":"","parse-names":false,"suffix":""},{"dropping-particle":"","family":"Hopkinson","given":"Peter","non-dropping-particle":"","parse-names":false,"suffix":""},{"dropping-particle":"","family":"Miemczyk","given":"Joe","non-dropping-particle":"","parse-names":false,"suffix":""}],"id":"ITEM-1","issued":{"date-parts":[["2019"]]},"publisher":"Taylor &amp; Francis","title":"The regenerative supply chain : a framework for developing circular economy indicators","type":"article-journal","volume":"7543"},"uris":["http://www.mendeley.com/documents/?uuid=7c871cf9-b9e1-451e-a58e-5b7fea86a8e9"]}],"mendeley":{"formattedCitation":"(Howard et al., 2019)","plainTextFormattedCitation":"(Howard et al., 2019)","previouslyFormattedCitation":"(Howard et al., 2019)"},"properties":{"noteIndex":0},"schema":"https://github.com/citation-style-language/schema/raw/master/csl-citation.json"}</w:instrText>
      </w:r>
      <w:r w:rsidRPr="006E688F">
        <w:fldChar w:fldCharType="separate"/>
      </w:r>
      <w:r w:rsidRPr="006E688F">
        <w:t>(Howard et al., 2019)</w:t>
      </w:r>
      <w:r w:rsidRPr="006E688F">
        <w:fldChar w:fldCharType="end"/>
      </w:r>
      <w:r w:rsidRPr="006E688F">
        <w:t>.</w:t>
      </w:r>
    </w:p>
    <w:p w14:paraId="3536AAF9" w14:textId="77777777" w:rsidR="006379C0" w:rsidRPr="006E688F" w:rsidRDefault="006379C0" w:rsidP="002F7336">
      <w:r w:rsidRPr="006E688F">
        <w:t xml:space="preserve">The Industrial Ecology (IE) literature has focused on the interchange of resources and waste streams within clusters of firms, giving rise to Industrial Symbiosis networks, which are considered an early prototype of closed-loop supply chains </w:t>
      </w:r>
      <w:r w:rsidRPr="006E688F">
        <w:fldChar w:fldCharType="begin" w:fldLock="1"/>
      </w:r>
      <w:r w:rsidRPr="006E688F">
        <w:instrText>ADDIN CSL_CITATION {"citationItems":[{"id":"ITEM-1","itemData":{"DOI":"10.1016/j.jclepro.2015.09.007","ISSN":"09596526","abstract":"In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Production","id":"ITEM-1","issued":{"date-parts":[["2016"]]},"page":"11-32","publisher":"Elsevier Ltd","title":"A review on circular economy: The expected transition to a balanced interplay of environmental and economic systems","type":"article-journal","volume":"114"},"uris":["http://www.mendeley.com/documents/?uuid=6fc3279a-678e-4520-acd8-f1f9b6916ce4"]}],"mendeley":{"formattedCitation":"(Ghisellini et al., 2016)","manualFormatting":"(Ghisellini et al., 2016; Korhonen et al., 2018)","plainTextFormattedCitation":"(Ghisellini et al., 2016)","previouslyFormattedCitation":"(Ghisellini et al., 2016)"},"properties":{"noteIndex":0},"schema":"https://github.com/citation-style-language/schema/raw/master/csl-citation.json"}</w:instrText>
      </w:r>
      <w:r w:rsidRPr="006E688F">
        <w:fldChar w:fldCharType="separate"/>
      </w:r>
      <w:r w:rsidRPr="006E688F">
        <w:t xml:space="preserve">(Ghisellini et al., 2016; </w:t>
      </w:r>
      <w:r w:rsidRPr="006E688F">
        <w:fldChar w:fldCharType="begin" w:fldLock="1"/>
      </w:r>
      <w:r w:rsidRPr="006E688F">
        <w:instrText>ADDIN CSL_CITATION {"citationItems":[{"id":"ITEM-1","itemData":{"DOI":"10.1016/j.ecolecon.2017.06.041","ISSN":"09218009","abstract":"Circular economy (CE) is currently a popular concept promoted by the EU, by several national governments and by many businesses around the world. However, the scientific and research content of the CE concept is superficial and unorganized. CE seems to be a collection of vague and separate ideas from several fields and semi-scientific concepts. The objective of this article is to contribute to the scientific research on CE. First, we will define the concept of CE from the perspective of WCED sustainable development and sustainability science. Second, we will conduct a critical analysis of the concept from the perspective of environmental sustainability. The analysis identifies six challenges, for example those of thermodynamics and system boundaries, that need to be resolved for CE to be able to contribute to global net sustainability. These six challenges also serve as research themes and objectives for scholars interested in making progress in sustainable development through the usage of circular economy. CE is important for its power to attract both the business community and policy-making community to sustainability work, but it needs scientific research to secure that the actual environmental impacts of CE work toward sustainability.","author":[{"dropping-particle":"","family":"Korhonen","given":"Jouni","non-dropping-particle":"","parse-names":false,"suffix":""},{"dropping-particle":"","family":"Honkasalo","given":"Antero","non-dropping-particle":"","parse-names":false,"suffix":""},{"dropping-particle":"","family":"Seppälä","given":"Jyri","non-dropping-particle":"","parse-names":false,"suffix":""}],"container-title":"Ecological Economics","id":"ITEM-1","issue":"January","issued":{"date-parts":[["2018"]]},"page":"37-46","publisher":"Elsevier B.V.","title":"Circular Economy: The Concept and its Limitations","type":"article-journal","volume":"143"},"uris":["http://www.mendeley.com/documents/?uuid=31d96043-329c-4dc0-8cb5-d663b399ff81"]}],"mendeley":{"formattedCitation":"(Korhonen et al., 2018)","manualFormatting":"Korhonen et al., 2018","plainTextFormattedCitation":"(Korhonen et al., 2018)","previouslyFormattedCitation":"(Korhonen et al., 2018)"},"properties":{"noteIndex":0},"schema":"https://github.com/citation-style-language/schema/raw/master/csl-citation.json"}</w:instrText>
      </w:r>
      <w:r w:rsidRPr="006E688F">
        <w:fldChar w:fldCharType="separate"/>
      </w:r>
      <w:r w:rsidRPr="006E688F">
        <w:t>Korhonen et al., 2018</w:t>
      </w:r>
      <w:r w:rsidRPr="006E688F">
        <w:fldChar w:fldCharType="end"/>
      </w:r>
      <w:r w:rsidRPr="006E688F">
        <w:t>)</w:t>
      </w:r>
      <w:r w:rsidRPr="006E688F">
        <w:fldChar w:fldCharType="end"/>
      </w:r>
      <w:r w:rsidRPr="006E688F">
        <w:t xml:space="preserve">. Sustainable Supply Chain Management (SSCM) has studied how to integrate environmental and social concerns into organisations by reducing unintended negative consequences of production and consumption processes </w:t>
      </w:r>
      <w:r w:rsidRPr="006E688F">
        <w:fldChar w:fldCharType="begin" w:fldLock="1"/>
      </w:r>
      <w:r w:rsidRPr="006E688F">
        <w:instrText>ADDIN CSL_CITATION {"citationItems":[{"id":"ITEM-1","itemData":{"DOI":"10.1108/IJPDLM-01-2017-0049","ISSN":"09600035","abstract":"Purpose: Green supply chain management (GSCM) and the circular economy (CE) overlap but also differ. The purpose of this paper is to clarify linkages between these two concepts. It identifies mutual theory applications used to study GSCM and CE. Design/methodology/approach: A systematic literature review is conducted to identify theories from GSCM and CE studies. A critical analysis explores the theories that can provide mutual applications between GSCM and CE fields. Propositions are developed. Findings: In all, 12 theories are applied in both GSCM and CE studies. Several theories are only applied in GSCM studies, but can help to advance CE study. These theories include complexity, transaction cost economics, agency, and information theories. Each of the eight theories only applied to CE can potentially advance GSCM study. Research limitations/implications: The findings contribute to further theory development for both GSCM and CE study. A methodological review can advance theoretical development and cross-pollination in both fields. Originality/value: This work is the first study to explicitly explore linkages of GSCM and CE from a theoretical perspective.","author":[{"dropping-particle":"","family":"Liu","given":"Junjun","non-dropping-particle":"","parse-names":false,"suffix":""},{"dropping-particle":"","family":"Feng","given":"Yunting","non-dropping-particle":"","parse-names":false,"suffix":""},{"dropping-particle":"","family":"Zhu","given":"Qinghua","non-dropping-particle":"","parse-names":false,"suffix":""},{"dropping-particle":"","family":"Sarkis","given":"Joseph","non-dropping-particle":"","parse-names":false,"suffix":""}],"container-title":"International Journal of Physical Distribution and Logistics Management","id":"ITEM-1","issue":"8","issued":{"date-parts":[["2018"]]},"page":"794-817","title":"Green supply chain management and the circular economy: Reviewing theory for advancement of both fields","type":"article-journal","volume":"48"},"uris":["http://www.mendeley.com/documents/?uuid=cb60bd56-6f70-4f3d-809f-537e586bff97"]}],"mendeley":{"formattedCitation":"(Liu et al., 2018)","plainTextFormattedCitation":"(Liu et al., 2018)","previouslyFormattedCitation":"(Liu et al., 2018)"},"properties":{"noteIndex":0},"schema":"https://github.com/citation-style-language/schema/raw/master/csl-citation.json"}</w:instrText>
      </w:r>
      <w:r w:rsidRPr="006E688F">
        <w:fldChar w:fldCharType="separate"/>
      </w:r>
      <w:r w:rsidRPr="006E688F">
        <w:t>(Liu et al., 2018)</w:t>
      </w:r>
      <w:r w:rsidRPr="006E688F">
        <w:fldChar w:fldCharType="end"/>
      </w:r>
      <w:r w:rsidRPr="006E688F">
        <w:t xml:space="preserve">. Sustainable Supply Chains are an important unit of </w:t>
      </w:r>
      <w:r w:rsidRPr="006E688F">
        <w:lastRenderedPageBreak/>
        <w:t xml:space="preserve">action towards CE, even if an explicit mention of CE practices was absent in this sub-field in the literature, until recently. </w:t>
      </w:r>
    </w:p>
    <w:p w14:paraId="0D49F07F" w14:textId="77777777" w:rsidR="006379C0" w:rsidRPr="006E688F" w:rsidRDefault="006379C0" w:rsidP="002F7336">
      <w:r w:rsidRPr="006E688F">
        <w:t xml:space="preserve">Another relevant literature stream is concerned with reverse logistics (RL) and closed-loop supply chains (CLSCs); RL and CLSCs deal with the practice of taking back products from customers and returning them to the original manufacturer for the recovery of added value by reusing the whole product or part of it (Batista et al., 2018; </w:t>
      </w:r>
      <w:r w:rsidRPr="006E688F">
        <w:fldChar w:fldCharType="begin" w:fldLock="1"/>
      </w:r>
      <w:r w:rsidRPr="006E688F">
        <w:instrText>ADDIN CSL_CITATION {"citationItems":[{"id":"ITEM-1","itemData":{"DOI":"10.1111/jiec.12763","ISSN":"15309290","abstract":"The circular economy (CE) requires companies to rethink their supply chains and business models. Several frameworks found in the academic and practitioner literature propose circular economy business models (CEBMs) to redefine how companies create value while adhering to CE principles. A review of these frameworks shows that some models are frequently discussed, some are framework specific, and some use a different wording to refer to similar CEBMs, pointing to the need to consolidate the current state of the art. We conduct a morphological analysis of 26 current CEBMs from the literature, which includes defining their major business model dimensions and identifying the specific characteristics of these dimensions. Based on this analysis, we identify a broad range of business model design options and propose six major CEBM patterns with the potential to support the closing of resource flows: repair and maintenance; reuse and redistribution; refurbishment and remanufacturing; recycling; cascading and repurposing; and organic feedstock business model patterns. We also discuss different design strategies to support the development of these CEBMs.","author":[{"dropping-particle":"","family":"Lüdeke-Freund","given":"Florian","non-dropping-particle":"","parse-names":false,"suffix":""},{"dropping-particle":"","family":"Gold","given":"Stefan","non-dropping-particle":"","parse-names":false,"suffix":""},{"dropping-particle":"","family":"Bocken","given":"Nancy M.P.","non-dropping-particle":"","parse-names":false,"suffix":""}],"container-title":"Journal of Industrial Ecology","id":"ITEM-1","issue":"1","issued":{"date-parts":[["2019"]]},"page":"36-61","title":"A Review and Typology of Circular Economy Business Model Patterns","type":"article-journal","volume":"23"},"uris":["http://www.mendeley.com/documents/?uuid=940520b8-e4b7-4636-a855-91532ca947e0"]}],"mendeley":{"formattedCitation":"(Lüdeke-Freund et al., 2019)","manualFormatting":"Lüdeke-Freund et al., 2019","plainTextFormattedCitation":"(Lüdeke-Freund et al., 2019)","previouslyFormattedCitation":"(Lüdeke-Freund et al., 2019)"},"properties":{"noteIndex":0},"schema":"https://github.com/citation-style-language/schema/raw/master/csl-citation.json"}</w:instrText>
      </w:r>
      <w:r w:rsidRPr="006E688F">
        <w:fldChar w:fldCharType="separate"/>
      </w:r>
      <w:r w:rsidRPr="006E688F">
        <w:t>Lüdeke-Freund et al., 2019</w:t>
      </w:r>
      <w:r w:rsidRPr="006E688F">
        <w:fldChar w:fldCharType="end"/>
      </w:r>
      <w:r w:rsidRPr="006E688F">
        <w:t xml:space="preserve">). The original objective of the RL and CLSC management literature is strictly related to the economic dimension: to manage the recovery of after-use products (or even, in the case of the fashion industry, the recovery of returned products) to capture additional economic value, which can be obtained by keeping resources in use. </w:t>
      </w:r>
    </w:p>
    <w:p w14:paraId="689BEA09" w14:textId="77777777" w:rsidR="006379C0" w:rsidRPr="006E688F" w:rsidRDefault="006379C0" w:rsidP="002F7336">
      <w:r w:rsidRPr="006E688F">
        <w:t xml:space="preserve">Within this context, the first step of this study consisted of a literature scan aimed at identifying studies that have attempted to characterise the process of adopting CE-inspired practices, along with their drivers and enabling conditions, across large samples of companies, taking the supply chain dimension into account. In order to identify and evaluate the most relevant research, the following procedure was adopted. The literature was firstly screened using the following keywords string: </w:t>
      </w:r>
    </w:p>
    <w:p w14:paraId="406E5A6C" w14:textId="0BE610A4" w:rsidR="006379C0" w:rsidRPr="006E688F" w:rsidRDefault="006379C0" w:rsidP="002F7336">
      <w:r w:rsidRPr="006E688F">
        <w:t>("circular economy" AND ("practice*" OR "driver*" OR "barrier*") AND ("</w:t>
      </w:r>
      <w:proofErr w:type="spellStart"/>
      <w:r w:rsidRPr="006E688F">
        <w:t>compan</w:t>
      </w:r>
      <w:proofErr w:type="spellEnd"/>
      <w:r w:rsidRPr="006E688F">
        <w:t>*"</w:t>
      </w:r>
      <w:r w:rsidR="001713EE">
        <w:t xml:space="preserve"> </w:t>
      </w:r>
      <w:r w:rsidRPr="006E688F">
        <w:t xml:space="preserve">OR "supply chain*")). </w:t>
      </w:r>
    </w:p>
    <w:p w14:paraId="648FC470" w14:textId="77777777" w:rsidR="006379C0" w:rsidRPr="006E688F" w:rsidRDefault="006379C0" w:rsidP="002F7336">
      <w:r w:rsidRPr="006E688F">
        <w:t xml:space="preserve">A first sample of papers was selected; an iterative snowballing phase (looking at papers cited in this first subset) allowed to increase the sample of articles that were finally critically analysed. Two simple selection criteria were applied to abstracts. The first one concerned the unit of analysis: only papers focusing on firms and supply chain as a unit of analysis were included, while those concentrating on the macro level were excluded. The second criterion was related to the sample size: single or multiple case studies were excluded, while empirical papers based on larger samples (with n≥25) were included. </w:t>
      </w:r>
    </w:p>
    <w:p w14:paraId="7A6FE968" w14:textId="0DDD91BA" w:rsidR="006379C0" w:rsidRPr="006E688F" w:rsidRDefault="006379C0" w:rsidP="002F7336">
      <w:r w:rsidRPr="006E688F">
        <w:t xml:space="preserve">Selected studies (shown in Table 1) constitute the most relevant contributions that describe the process of adoption of CE practices through the analysis of larger samples of companies. Some common findings can be found across the literature: CE principles are finding more and more relevance within organisations sustainability agenda </w:t>
      </w:r>
      <w:r w:rsidRPr="006E688F">
        <w:fldChar w:fldCharType="begin" w:fldLock="1"/>
      </w:r>
      <w:r w:rsidRPr="006E688F">
        <w:instrText>ADDIN CSL_CITATION {"citationItems":[{"id":"ITEM-1","itemData":{"DOI":"10.1002/bse.2048","ISSN":"10990836","abstract":"Despite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Environment","id":"ITEM-1","issue":"7","issued":{"date-parts":[["2018"]]},"page":"1005-1022","title":"Circular economy in corporate sustainability strategies: A review of corporate sustainability reports in the fast-moving consumer goods sector","type":"article-journal","volume":"27"},"uris":["http://www.mendeley.com/documents/?uuid=a4245b62-344e-4d4e-bee8-a6f8d7febd42"]}],"mendeley":{"formattedCitation":"(Stewart &amp; Niero, 2018)","plainTextFormattedCitation":"(Stewart &amp; Niero, 2018)","previouslyFormattedCitation":"(Stewart &amp; Niero, 2018)"},"properties":{"noteIndex":0},"schema":"https://github.com/citation-style-language/schema/raw/master/csl-citation.json"}</w:instrText>
      </w:r>
      <w:r w:rsidRPr="006E688F">
        <w:fldChar w:fldCharType="separate"/>
      </w:r>
      <w:r w:rsidRPr="006E688F">
        <w:t>(Stewart &amp; Niero, 2018)</w:t>
      </w:r>
      <w:r w:rsidRPr="006E688F">
        <w:fldChar w:fldCharType="end"/>
      </w:r>
      <w:r w:rsidRPr="006E688F">
        <w:t xml:space="preserve">; companies are setting quantitative targets </w:t>
      </w:r>
      <w:r w:rsidRPr="006E688F">
        <w:fldChar w:fldCharType="begin" w:fldLock="1"/>
      </w:r>
      <w:r w:rsidRPr="006E688F">
        <w:instrText>ADDIN CSL_CITATION {"citationItems":[{"id":"ITEM-1","itemData":{"DOI":"10.1016/j.jclepro.2016.12.047","ISSN":"09596526","abstract":"Circular economy ambitions demand considering lifecycle of products within product development. From the perspective of the circular economy, environmental considerations should, for example, increasingly entail product's use phase not only to increase product's energy-efficiency, but also to prolong the time in use. This paper investigates how these considerations are addressed within information and communications technology (ICT) sector. Drawing from previous research in constructing the hypotheses, it is examined how companies report about their quantitative environmental targets for products, and what topical areas are in focus for their environmentally conscious practices related to products’ reuse. Then, relationships with these published quantitative targets and environmental performance are assessed. Content analysis method is used to derive data from 43 sustainability reports. Our results suggest that being mature enough to publish quantitative environmental targets for products is positively associated with lifecycle thinking, considering the durability of products, and remanufacture. This exploratory study reveals among others, that although published, quantitative environmental targets for products are not yet dominantly present; they are positively associated with environmental performance measures. This includes capability to report quantitatively on flows of reclaimed products, and positions in external ranking. But, we also highlight the need for more discussion around reuse alternatives that are not commonly published among companies in this sample. The paper concludes by discussing the applicability of this research method.","author":[{"dropping-particle":"","family":"Sihvonen","given":"Siru","non-dropping-particle":"","parse-names":false,"suffix":""},{"dropping-particle":"","family":"Partanen","given":"Jouni","non-dropping-particle":"","parse-names":false,"suffix":""}],"container-title":"Journal of Cleaner Production","id":"ITEM-1","issued":{"date-parts":[["2017"]]},"page":"769-783","publisher":"Elsevier Ltd","title":"Eco-design practices with a focus on quantitative environmental targets: An exploratory content analysis within ICT sector","type":"article-journal","volume":"143"},"uris":["http://www.mendeley.com/documents/?uuid=727b240b-0fba-4ec3-b051-c03741e39852"]}],"mendeley":{"formattedCitation":"(Sihvonen &amp; Partanen, 2017)","plainTextFormattedCitation":"(Sihvonen &amp; Partanen, 2017)","previouslyFormattedCitation":"(Sihvonen &amp; Partanen, 2017)"},"properties":{"noteIndex":0},"schema":"https://github.com/citation-style-language/schema/raw/master/csl-citation.json"}</w:instrText>
      </w:r>
      <w:r w:rsidRPr="006E688F">
        <w:fldChar w:fldCharType="separate"/>
      </w:r>
      <w:r w:rsidRPr="006E688F">
        <w:t>(Sihvonen &amp; Partanen, 2017)</w:t>
      </w:r>
      <w:r w:rsidRPr="006E688F">
        <w:fldChar w:fldCharType="end"/>
      </w:r>
      <w:r w:rsidRPr="006E688F">
        <w:t xml:space="preserve">, and communicating more and more CE related practices, of different types </w:t>
      </w:r>
      <w:r w:rsidRPr="006E688F">
        <w:fldChar w:fldCharType="begin" w:fldLock="1"/>
      </w:r>
      <w:r w:rsidRPr="006E688F">
        <w:instrText>ADDIN CSL_CITATION {"citationItems":[{"id":"ITEM-1","itemData":{"DOI":"10.1016/j.jclepro.2019.118360","ISSN":"09596526","abstract":"This study evaluates the transition to CE in Italy on a sample of 292 organizations after introducing a brief overview of the main principles of CE (reduction, repair, reuse, recover, remanufacturing, recycling) as well as how they are implemented at macro level. With regard to the sample we analysed the data related to the circular business models adopted by the selected organizations, with also a focus on CE implementation at the meso levels given that it also entails the adoption of cooperation strategies between companies. The results point out that several types of organizations (companies for profit and non-profit, research centres/universities) are involved in the transition to CE with different sizes (small, medium and large) and economic sector's specializations. Recycling resulted to be, among the so called 6R practical framework, the preferred practice of most of the organizations involved over the whole supply chain, from the collection of post-consumption waste to the recovery, recycling and production of secondary raw materials. The other “principles” such as repair, reuse, remanufacturing are progressing well, mainly within small companies, where several laboratories deal with the reuse of products and their selling in second hand shops, or in the recovery and redistribution of food surplus and the remanufacturing of personal computers. The “reuse”, in particular, has constantly increased in the last five years thanks to the on-line sales. Some companies also deal with the dissemination of the CE culture (by means of different channels such as cultural events, actions and best practices to avoid plastic abuse, repair cafés, urban regeneration and urban mining projects) that includes the diffusion of all its principles and concepts such as in particular the prevention and reduction of waste and the maintenance of the value of products. In that, such companies and their activities provide with the opportunity of shifting the concept of CE beyond the current social political debate centred on recycling. Hopefully, this will contribute to unlock and promote the preventive vision of the CE.","author":[{"dropping-particle":"","family":"Ghisellini","given":"Patrizia","non-dropping-particle":"","parse-names":false,"suffix":""},{"dropping-particle":"","family":"Ulgiati","given":"Sergio","non-dropping-particle":"","parse-names":false,"suffix":""}],"container-title":"Journal of Cleaner Production","id":"ITEM-1","issued":{"date-parts":[["2020"]]},"page":"118360","publisher":"Elsevier Ltd","title":"Circular economy transition in Italy. Achievements, perspectives and constraints","type":"article-journal","volume":"243"},"uris":["http://www.mendeley.com/documents/?uuid=257df610-0f14-43c3-b5f6-053ea12ea09c"]},{"id":"ITEM-2","itemData":{"DOI":"10.1002/bse.2048","ISSN":"10990836","abstract":"Despite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Environment","id":"ITEM-2","issue":"7","issued":{"date-parts":[["2018"]]},"page":"1005-1022","title":"Circular economy in corporate sustainability strategies: A review of corporate sustainability reports in the fast-moving consumer goods sector","type":"article-journal","volume":"27"},"uris":["http://www.mendeley.com/documents/?uuid=a4245b62-344e-4d4e-bee8-a6f8d7febd42"]}],"mendeley":{"formattedCitation":"(Stewart &amp; Niero, 2018; Ghisellini &amp; Ulgiati, 2020)","plainTextFormattedCitation":"(Stewart &amp; Niero, 2018; Ghisellini &amp; Ulgiati, 2020)","previouslyFormattedCitation":"(Stewart &amp; Niero, 2018; Ghisellini &amp; Ulgiati, 2020)"},"properties":{"noteIndex":0},"schema":"https://github.com/citation-style-language/schema/raw/master/csl-citation.json"}</w:instrText>
      </w:r>
      <w:r w:rsidRPr="006E688F">
        <w:fldChar w:fldCharType="separate"/>
      </w:r>
      <w:r w:rsidRPr="006E688F">
        <w:t>(Stewart &amp; Niero, 2018; Ghisellini &amp; Ulgiati, 2020)</w:t>
      </w:r>
      <w:r w:rsidRPr="006E688F">
        <w:fldChar w:fldCharType="end"/>
      </w:r>
      <w:r w:rsidRPr="006E688F">
        <w:t xml:space="preserve">. A first aspect that </w:t>
      </w:r>
      <w:r w:rsidRPr="006E688F">
        <w:lastRenderedPageBreak/>
        <w:t>emerges is that available secondary data (</w:t>
      </w:r>
      <w:r w:rsidR="001713EE" w:rsidRPr="006E688F">
        <w:t>e.g.,</w:t>
      </w:r>
      <w:r w:rsidRPr="006E688F">
        <w:t xml:space="preserve"> companies’ public Corporate Sustainability reports) have been increasingly employed to review CE adoption in the industrial practice, more frequently than primary data (</w:t>
      </w:r>
      <w:r w:rsidR="006532FB" w:rsidRPr="006E688F">
        <w:t>e.g.,</w:t>
      </w:r>
      <w:r w:rsidRPr="006E688F">
        <w:t xml:space="preserve"> surveys and questionnaires, see Table 1). </w:t>
      </w:r>
    </w:p>
    <w:p w14:paraId="325A2A20" w14:textId="77777777" w:rsidR="006379C0" w:rsidRPr="006E688F" w:rsidRDefault="006379C0" w:rsidP="002F7336">
      <w:r w:rsidRPr="006E688F">
        <w:t xml:space="preserve">Independently from considered countries and sectors, the majority of companies seem to have a low level of adoption of CE principles </w:t>
      </w:r>
      <w:r w:rsidRPr="006E688F">
        <w:fldChar w:fldCharType="begin" w:fldLock="1"/>
      </w:r>
      <w:r w:rsidRPr="006E688F">
        <w:instrText>ADDIN CSL_CITATION {"citationItems":[{"id":"ITEM-1","itemData":{"DOI":"10.1080/09537287.2018.1449246","ISSN":"13665871","abstract":"The circular economy (CE) proposes an economic framework based on circular flows of products and materials. Transition towards a CE is underway, therefore, understanding the nature and state of this transition is important for creating effective policies and business strategies. Some studies have focused on specific contexts and pockets of good practice. This exploratory, survey-based study of 77 companies investigates the shift towards the CE using a taxonomy of practices and barriers. Results show that firms favour practices related to resource and energy utilisation efficiency, while practices related to investment recovery, green purchasing and customer cooperation are less prevalent. Eco-design and internal environmental management practices have a medium level of implementation. The significant upfront investment cost, lack of awareness or sense of urgency were identified as implementation barriers. Results suggest the CE is driven by economic not environmental considerations, and the deployment of practices remains within a firm rather than across the supply chain.","author":[{"dropping-particle":"","family":"Masi","given":"Donato","non-dropping-particle":"","parse-names":false,"suffix":""},{"dropping-particle":"","family":"Kumar","given":"Vikas","non-dropping-particle":"","parse-names":false,"suffix":""},{"dropping-particle":"","family":"Garza-Reyes","given":"Jose Arturo","non-dropping-particle":"","parse-names":false,"suffix":""},{"dropping-particle":"","family":"Godsell","given":"Janet","non-dropping-particle":"","parse-names":false,"suffix":""}],"container-title":"Production Planning and Control","id":"ITEM-1","issue":"6","issued":{"date-parts":[["2018"]]},"page":"539-550","publisher":"Taylor &amp; Francis","title":"Towards a more circular economy: exploring the awareness, practices, and barriers from a focal firm perspective","type":"article-journal","volume":"29"},"uris":["http://www.mendeley.com/documents/?uuid=029a547a-2bbc-46c5-90ce-760a1c73caf5"]},{"id":"ITEM-2","itemData":{"DOI":"10.1002/bse.2048","ISSN":"10990836","abstract":"Despite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Environment","id":"ITEM-2","issue":"7","issued":{"date-parts":[["2018"]]},"page":"1005-1022","title":"Circular economy in corporate sustainability strategies: A review of corporate sustainability reports in the fast-moving consumer goods sector","type":"article-journal","volume":"27"},"uris":["http://www.mendeley.com/documents/?uuid=a4245b62-344e-4d4e-bee8-a6f8d7febd42"]}],"mendeley":{"formattedCitation":"(Masi et al., 2018; Stewart &amp; Niero, 2018)","plainTextFormattedCitation":"(Masi et al., 2018; Stewart &amp; Niero, 2018)","previouslyFormattedCitation":"(Masi et al., 2018; Stewart &amp; Niero, 2018)"},"properties":{"noteIndex":0},"schema":"https://github.com/citation-style-language/schema/raw/master/csl-citation.json"}</w:instrText>
      </w:r>
      <w:r w:rsidRPr="006E688F">
        <w:fldChar w:fldCharType="separate"/>
      </w:r>
      <w:r w:rsidRPr="006E688F">
        <w:t>(Masi et al., 2018; Stewart &amp; Niero, 2018)</w:t>
      </w:r>
      <w:r w:rsidRPr="006E688F">
        <w:fldChar w:fldCharType="end"/>
      </w:r>
      <w:r w:rsidRPr="006E688F">
        <w:t>; the most common CE practices concern the recycling of end-of-life materials and incremental efficiency improvements in the use of resources (materials, energy) by production and logistics processes. On the other hand, disruptive product innovations linked to product design and new business models are not so common.</w:t>
      </w:r>
    </w:p>
    <w:p w14:paraId="480EE477" w14:textId="77777777" w:rsidR="006379C0" w:rsidRPr="006E688F" w:rsidRDefault="006379C0" w:rsidP="002F7336">
      <w:r w:rsidRPr="006E688F">
        <w:t xml:space="preserve">These results seem to be confirmed by </w:t>
      </w:r>
      <w:proofErr w:type="spellStart"/>
      <w:r w:rsidRPr="006E688F">
        <w:t>Gusmerotti</w:t>
      </w:r>
      <w:proofErr w:type="spellEnd"/>
      <w:r w:rsidRPr="006E688F">
        <w:t xml:space="preserve"> et al. (2019), which concluded that most of the CE-related activities at the firm level are related to communications and marketing actions (not linked to the real adoption of CE practices) or to optimisation of logistical processes and value recovery activities. Findings also suggest that the involvement of supply chain partners is often marginal </w:t>
      </w:r>
      <w:r w:rsidRPr="006E688F">
        <w:fldChar w:fldCharType="begin" w:fldLock="1"/>
      </w:r>
      <w:r w:rsidRPr="006E688F">
        <w:instrText>ADDIN CSL_CITATION {"citationItems":[{"id":"ITEM-1","itemData":{"DOI":"10.1080/09537287.2018.1449246","ISSN":"13665871","abstract":"The circular economy (CE) proposes an economic framework based on circular flows of products and materials. Transition towards a CE is underway, therefore, understanding the nature and state of this transition is important for creating effective policies and business strategies. Some studies have focused on specific contexts and pockets of good practice. This exploratory, survey-based study of 77 companies investigates the shift towards the CE using a taxonomy of practices and barriers. Results show that firms favour practices related to resource and energy utilisation efficiency, while practices related to investment recovery, green purchasing and customer cooperation are less prevalent. Eco-design and internal environmental management practices have a medium level of implementation. The significant upfront investment cost, lack of awareness or sense of urgency were identified as implementation barriers. Results suggest the CE is driven by economic not environmental considerations, and the deployment of practices remains within a firm rather than across the supply chain.","author":[{"dropping-particle":"","family":"Masi","given":"Donato","non-dropping-particle":"","parse-names":false,"suffix":""},{"dropping-particle":"","family":"Kumar","given":"Vikas","non-dropping-particle":"","parse-names":false,"suffix":""},{"dropping-particle":"","family":"Garza-Reyes","given":"Jose Arturo","non-dropping-particle":"","parse-names":false,"suffix":""},{"dropping-particle":"","family":"Godsell","given":"Janet","non-dropping-particle":"","parse-names":false,"suffix":""}],"container-title":"Production Planning and Control","id":"ITEM-1","issue":"6","issued":{"date-parts":[["2018"]]},"page":"539-550","publisher":"Taylor &amp; Francis","title":"Towards a more circular economy: exploring the awareness, practices, and barriers from a focal firm perspective","type":"article-journal","volume":"29"},"uris":["http://www.mendeley.com/documents/?uuid=029a547a-2bbc-46c5-90ce-760a1c73caf5"]}],"mendeley":{"formattedCitation":"(Masi et al., 2018)","plainTextFormattedCitation":"(Masi et al., 2018)","previouslyFormattedCitation":"(Masi et al., 2018)"},"properties":{"noteIndex":0},"schema":"https://github.com/citation-style-language/schema/raw/master/csl-citation.json"}</w:instrText>
      </w:r>
      <w:r w:rsidRPr="006E688F">
        <w:fldChar w:fldCharType="separate"/>
      </w:r>
      <w:r w:rsidRPr="006E688F">
        <w:t>(Masi et al., 2018)</w:t>
      </w:r>
      <w:r w:rsidRPr="006E688F">
        <w:fldChar w:fldCharType="end"/>
      </w:r>
      <w:r w:rsidRPr="006E688F">
        <w:t xml:space="preserve">. </w:t>
      </w:r>
    </w:p>
    <w:p w14:paraId="7E5F9712" w14:textId="77777777" w:rsidR="006379C0" w:rsidRPr="006E688F" w:rsidRDefault="006379C0" w:rsidP="002F7336">
      <w:r w:rsidRPr="006E688F">
        <w:t xml:space="preserve">Other than enumerating practices and activities, papers also reflect upon the process of adoption of CE practices, identifying drivers, predictors, and contextual variables which in general could help or hinder the adoption of CE practices. Economic drivers seem to be more important than regulatory ones for companies </w:t>
      </w:r>
      <w:r w:rsidRPr="006E688F">
        <w:fldChar w:fldCharType="begin" w:fldLock="1"/>
      </w:r>
      <w:r w:rsidRPr="006E688F">
        <w:instrText>ADDIN CSL_CITATION {"citationItems":[{"id":"ITEM-1","itemData":{"DOI":"10.1111/j.1530-9290.2011.00332.x","ISSN":"10881980","abstract":"Eco-industrial initiatives, which close industrial loops by turning wastes at one point in a value chain into inputs at another point, are attracting growing interest as a solution to the problem of sustainability of industrial systems. Although Germany and Japan have made important advances in building recycling incentives into their industrial systems and sought competitive advantage from doing so, China is arguably taking the issue even further (in principle) through its pursuit of a circular economy, now enshrined in law as an official national development goal. In this article, we review a number of the eco-industrial initiatives taken in China and compare them using a common graphical representation with comparable initiatives taken in the West and elsewhere in East Asia. Our aim is to demonstrate some common themes across the case studies, such as the transformation from the former linear economy to a circular economy and the evolutionary processes in which dynamic linkages are gradually established over time. We discuss the drivers of these eco-industrial initiatives as well as the inhibitors, setting the initiatives in an evolutionary framework and introducing a notion of Pareto eco-efficiency to evaluate them. We make the argument that China might be capturing latecomer advantages through its systematic promotion of eco-industrial initiatives within a circular economy framework. © 2011 by Yale University.","author":[{"dropping-particle":"","family":"Mathews","given":"John A.","non-dropping-particle":"","parse-names":false,"suffix":""},{"dropping-particle":"","family":"Tan","given":"Hao","non-dropping-particle":"","parse-names":false,"suffix":""}],"container-title":"Journal of Industrial Ecology","id":"ITEM-1","issue":"3","issued":{"date-parts":[["2011"]]},"page":"435-457","title":"Progress toward a circular economy in China: The drivers (and inhibitors) of eco-industrial initiative","type":"article-journal","volume":"15"},"uris":["http://www.mendeley.com/documents/?uuid=617f8dbf-d52d-45c2-be20-c9ba6cf489c1"]},{"id":"ITEM-2","itemData":{"DOI":"10.1016/j.jclepro.2019.05.044","ISSN":"09596526","abstract":"Much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adopt more circular business models. On the other hand, no significant evidence was found of any influence exerted by the drivers related to regulatory pressure, resource exploitation risks, and the pursuit of environmental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Production","id":"ITEM-2","issued":{"date-parts":[["2019"]]},"page":"314-327","publisher":"Elsevier Ltd","title":"Drivers and approaches to the circular economy in manufacturing firms","type":"article-journal","volume":"230"},"uris":["http://www.mendeley.com/documents/?uuid=dba2b38b-10ca-4ca4-9ac5-fec8ed7d491b"]}],"mendeley":{"formattedCitation":"(Mathews &amp; Tan, 2011; Gusmerotti et al., 2019)","plainTextFormattedCitation":"(Mathews &amp; Tan, 2011; Gusmerotti et al., 2019)","previouslyFormattedCitation":"(Mathews &amp; Tan, 2011; Gusmerotti et al., 2019)"},"properties":{"noteIndex":0},"schema":"https://github.com/citation-style-language/schema/raw/master/csl-citation.json"}</w:instrText>
      </w:r>
      <w:r w:rsidRPr="006E688F">
        <w:fldChar w:fldCharType="separate"/>
      </w:r>
      <w:r w:rsidRPr="006E688F">
        <w:t>(Mathews &amp; Tan, 2011; Gusmerotti et al., 2019)</w:t>
      </w:r>
      <w:r w:rsidRPr="006E688F">
        <w:fldChar w:fldCharType="end"/>
      </w:r>
      <w:r w:rsidRPr="006E688F">
        <w:t xml:space="preserve">. The main barriers are related to technological limitations, institutional contexts, consumers’ acceptance of used products, and lack of supply chain visibility </w:t>
      </w:r>
      <w:r w:rsidRPr="006E688F">
        <w:fldChar w:fldCharType="begin" w:fldLock="1"/>
      </w:r>
      <w:r w:rsidRPr="006E688F">
        <w:instrText>ADDIN CSL_CITATION {"citationItems":[{"id":"ITEM-1","itemData":{"DOI":"10.1080/00207543.2018.1542176","ISSN":"1366588X","abstract":"Despite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Research","id":"ITEM-1","issue":"23","issued":{"date-parts":[["2019"]]},"page":"7395-7422","publisher":"Taylor &amp; Francis","title":"Challenges in supply chain redesign for the Circular Economy: a literature review and a multiple case study","type":"article-journal","volume":"57"},"uris":["http://www.mendeley.com/documents/?uuid=66ed4a77-74f5-4258-a3a6-d2c5ce0085d1"]},{"id":"ITEM-2","itemData":{"DOI":"10.1080/00207543.2017.1402141","ISSN":"1366588X","abstract":"In the last few years, the circular economy has received considerable attention worldwide because it offers an opportunity to optimise and promote sustainable production and consumption through new models based on continuous growth and limitless resources. Although various advantages have been identified that emerge from the application of a circular economy, no concrete studies exist that investigate current state-of-the-art drivers, barriers and practices in this relevant field. An in-depth exploration of current practices would enhance the circular economy’s significance and would help understand its present level of implementation. With this concern, this study provides an analysis of the drivers, barriers and practices that influence the implementation of the circular economy in the context of supply chains through a systematic review. In order to analyse the circular economy’s level of implementation, we correlate stakeholders’ perspectives with drivers, barriers, and practices; thus, a multi-perspective framework is proposed. From the results, it is evident that among various stakeholders, the governmental perspective has the maximum positive impact on the implementation of the circular economy in supply chains. Specifically, the circular economy can be promoted through laws, policies, risk reduction (through tax levies) and strict governance.","author":[{"dropping-particle":"","family":"Govindan","given":"Kannan","non-dropping-particle":"","parse-names":false,"suffix":""},{"dropping-particle":"","family":"Hasanagic","given":"Mia","non-dropping-particle":"","parse-names":false,"suffix":""}],"container-title":"International Journal of Production Research","id":"ITEM-2","issue":"1-2","issued":{"date-parts":[["2018"]]},"page":"278-311","publisher":"Taylor &amp; Francis","title":"A systematic review on drivers, barriers, and practices towards circular economy: a supply chain perspective","type":"article-journal","volume":"56"},"uris":["http://www.mendeley.com/documents/?uuid=ed71e2c9-a156-48c2-a01b-2889609ef16f"]},{"id":"ITEM-3","itemData":{"DOI":"10.1080/09537287.2018.1449246","ISSN":"13665871","abstract":"The circular economy (CE) proposes an economic framework based on circular flows of products and materials. Transition towards a CE is underway, therefore, understanding the nature and state of this transition is important for creating effective policies and business strategies. Some studies have focused on specific contexts and pockets of good practice. This exploratory, survey-based study of 77 companies investigates the shift towards the CE using a taxonomy of practices and barriers. Results show that firms favour practices related to resource and energy utilisation efficiency, while practices related to investment recovery, green purchasing and customer cooperation are less prevalent. Eco-design and internal environmental management practices have a medium level of implementation. The significant upfront investment cost, lack of awareness or sense of urgency were identified as implementation barriers. Results suggest the CE is driven by economic not environmental considerations, and the deployment of practices remains within a firm rather than across the supply chain.","author":[{"dropping-particle":"","family":"Masi","given":"Donato","non-dropping-particle":"","parse-names":false,"suffix":""},{"dropping-particle":"","family":"Kumar","given":"Vikas","non-dropping-particle":"","parse-names":false,"suffix":""},{"dropping-particle":"","family":"Garza-Reyes","given":"Jose Arturo","non-dropping-particle":"","parse-names":false,"suffix":""},{"dropping-particle":"","family":"Godsell","given":"Janet","non-dropping-particle":"","parse-names":false,"suffix":""}],"container-title":"Production Planning and Control","id":"ITEM-3","issue":"6","issued":{"date-parts":[["2018"]]},"page":"539-550","publisher":"Taylor &amp; Francis","title":"Towards a more circular economy: exploring the awareness, practices, and barriers from a focal firm perspective","type":"article-journal","volume":"29"},"uris":["http://www.mendeley.com/documents/?uuid=029a547a-2bbc-46c5-90ce-760a1c73caf5"]}],"mendeley":{"formattedCitation":"(Govindan &amp; Hasanagic, 2018; Masi et al., 2018; Bressanelli et al., 2019)","plainTextFormattedCitation":"(Govindan &amp; Hasanagic, 2018; Masi et al., 2018; Bressanelli et al., 2019)","previouslyFormattedCitation":"(Govindan &amp; Hasanagic, 2018; Masi et al., 2018; Bressanelli et al., 2019)"},"properties":{"noteIndex":0},"schema":"https://github.com/citation-style-language/schema/raw/master/csl-citation.json"}</w:instrText>
      </w:r>
      <w:r w:rsidRPr="006E688F">
        <w:fldChar w:fldCharType="separate"/>
      </w:r>
      <w:r w:rsidRPr="006E688F">
        <w:t>(Govindan &amp; Hasanagic, 2018; Masi et al., 2018; Bressanelli et al., 2019)</w:t>
      </w:r>
      <w:r w:rsidRPr="006E688F">
        <w:fldChar w:fldCharType="end"/>
      </w:r>
      <w:r w:rsidRPr="006E688F">
        <w:t xml:space="preserve">. </w:t>
      </w:r>
    </w:p>
    <w:p w14:paraId="343398AF" w14:textId="77777777" w:rsidR="006379C0" w:rsidRPr="006E688F" w:rsidRDefault="006379C0" w:rsidP="002F7336">
      <w:pPr>
        <w:rPr>
          <w:lang w:val="fr-FR"/>
        </w:rPr>
      </w:pPr>
      <w:r w:rsidRPr="006E688F">
        <w:t xml:space="preserve">Some theoretical constructs seem to be relevant when analysing the problem of adoption of CE practices from a supply chain management perspective: predictors of environmental management and green practices (institutional pressures and resource dependence) are being initially tested for CE practices, with institutional environments playing a key role </w:t>
      </w:r>
      <w:r w:rsidRPr="006E688F">
        <w:fldChar w:fldCharType="begin" w:fldLock="1"/>
      </w:r>
      <w:r w:rsidRPr="006E688F">
        <w:instrText>ADDIN CSL_CITATION {"citationItems":[{"id":"ITEM-1","itemData":{"DOI":"10.1016/j.jclepro.2019.05.044","ISSN":"09596526","abstract":"Much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adopt more circular business models. On the other hand, no significant evidence was found of any influence exerted by the drivers related to regulatory pressure, resource exploitation risks, and the pursuit of environmental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Production","id":"ITEM-1","issued":{"date-parts":[["2019"]]},"page":"314-327","publisher":"Elsevier Ltd","title":"Drivers and approaches to the circular economy in manufacturing firms","type":"article-journal","volume":"230"},"uris":["http://www.mendeley.com/documents/?uuid=dba2b38b-10ca-4ca4-9ac5-fec8ed7d491b"]},{"id":"ITEM-2","itemData":{"DOI":"10.1016/j.resconrec.2017.08.017","ISSN":"18790658","abstract":"The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Recycling","id":"ITEM-2","issue":"August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Europe","type":"article-journal","volume":"135"},"uris":["http://www.mendeley.com/documents/?uuid=9e3263bd-e8a0-4a47-9772-35fddaf67ff7"]},{"id":"ITEM-3","itemData":{"DOI":"10.1002/bse.2593","ISSN":"10990836","abstract":"The pressures to make business operations sustainable have been pushing organizations to adopt circular economy (CE) principles. With depleting fossil resources, the oil and gas (O&amp;G) sector is pushed towards recycling limited resources available with it by leveraging CE principles. However, not many studies have been taken up how institutional pressures influence CE-targeted environmental and economic performances. Drawing on institutional theory, this study examines the moderated-mediation role of organization flexibility on the effects of institutional pressures on CE performance through environmental management systems (EMSs). Data are collected from 280 firms in Indian O&amp;G sector using questionnaire-based survey method. The study reveals that organizations leverage EMS to achieve CE performance, and flexible organizations compared with rigid ones are more effective in dealing with coercive pressures by leveraging EMS. These i</w:instrText>
      </w:r>
      <w:r w:rsidRPr="006E688F">
        <w:rPr>
          <w:lang w:val="fr-FR"/>
        </w:rPr>
        <w:instrText>nsights may help policymakers to formulate regulatory framework judiciously that encourages firms to adopt EMS in making their operations environmentally sustainable.","author":[{"dropping-particle":"","family":"Jain","given":"Nikunj Kumar","non-dropping-particle":"","parse-names":false,"suffix":""},{"dropping-particle":"","family":"Panda","given":"Abinash","non-dropping-particle":"","parse-names":false,"suffix":""},{"dropping-particle":"","family":"Choudhary","given":"Piyush","non-dropping-particle":"","parse-names":false,"suffix":""}],"container-title":"Business Strategy and the Environment","id":"ITEM-3","issue":"8","issued":{"date-parts":[["2020"]]},"page":"3509-3525","title":"Institutional pressures and circular economy performance: The role of environmental management system and organizational flexibility in oil and gas sector","type":"article-journal","volume":"29"},"uris":["http://www.mendeley.com/documents/?uuid=de13da22-10d7-4e8e-b0a8-7a0b28ea49ec"]}],"mendeley":{"formattedCitation":"(Ranta et al., 2018; Gusmerotti et al., 2019; Jain et al., 2020)","manualFormatting":"(De Angelis et al., 2018; Ranta et al., 2018; Gusmerotti et al., 2019; Jain et al., 2020)","plainTextFormattedCitation":"(Ranta et al., 2018; Gusmerotti et al., 2019; Jain et al., 2020)","previouslyFormattedCitation":"(Ranta et al., 2018; Gusmerotti et al., 2019; Jain et al., 2020)"},"properties":{"noteIndex":0},"schema":"https://github.com/citation-style-language/schema/raw/master/csl-citation.json"}</w:instrText>
      </w:r>
      <w:r w:rsidRPr="006E688F">
        <w:fldChar w:fldCharType="separate"/>
      </w:r>
      <w:r w:rsidRPr="006E688F">
        <w:rPr>
          <w:lang w:val="fr-FR"/>
        </w:rPr>
        <w:t>(De Angelis et al., 2018; Ranta et al., 2018; Gusmerotti et al., 2019; Jain et al., 2020)</w:t>
      </w:r>
      <w:r w:rsidRPr="006E688F">
        <w:fldChar w:fldCharType="end"/>
      </w:r>
      <w:r w:rsidRPr="006E688F">
        <w:rPr>
          <w:lang w:val="fr-FR"/>
        </w:rPr>
        <w:t>.</w:t>
      </w:r>
    </w:p>
    <w:p w14:paraId="3A7530E4" w14:textId="77777777" w:rsidR="006379C0" w:rsidRPr="006E688F" w:rsidRDefault="006379C0" w:rsidP="002F7336">
      <w:r w:rsidRPr="006E688F">
        <w:t xml:space="preserve">Other authors are looking at supply chain configurations, which could enable the implementation of CE practices. Key organizational and operational requirements include the coordination and transparency of the supply chain; shared cultural norms; communication and strategic alignment with suppliers and customers </w:t>
      </w:r>
      <w:r w:rsidRPr="006E688F">
        <w:fldChar w:fldCharType="begin" w:fldLock="1"/>
      </w:r>
      <w:r w:rsidRPr="006E688F">
        <w:instrText>ADDIN CSL_CITATION {"citationItems":[{"id":"ITEM-1","itemData":{"DOI":"10.1016/j.jclepro.2017.10.046","ISSN":"09596526","abstract":"A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Production","id":"ITEM-1","issued":{"date-parts":[["2018"]]},"page":"1058-1067","title":"Supply chain collaboration in industrial symbiosis networks","type":"article-journal","volume":"171"},"uris":["http://www.mendeley.com/documents/?uuid=20a570de-bacf-423c-a7ed-fc4796e6dabf"]},{"id":"ITEM-2","itemData":{"DOI":"10.1080/00207543.2018.1542176","ISSN":"1366588X","abstract":"Despite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Research","id":"ITEM-2","issue":"23","issued":{"date-parts":[["2019"]]},"page":"7395-7422","publisher":"Taylor &amp; Francis","title":"Challenges in supply chain redesign for the Circular Economy: a literature review and a multiple case study","type":"article-journal","volume":"57"},"uris":["http://www.mendeley.com/documents/?uuid=66ed4a77-74f5-4258-a3a6-d2c5ce0085d1"]},{"id":"ITEM-3","itemData":{"DOI":"10.1080/00207543.2018.1524166","author":[{"dropping-particle":"","family":"Howard","given":"Mickey","non-dropping-particle":"","parse-names":false,"suffix":""},{"dropping-particle":"","family":"Hopkinson","given":"Peter","non-dropping-particle":"","parse-names":false,"suffix":""},{"dropping-particle":"","family":"Miemczyk","given":"Joe","non-dropping-particle":"","parse-names":false,"suffix":""}],"id":"ITEM-3","issued":{"date-parts":[["2019"]]},"publisher":"Taylor &amp; Francis","title":"The regenerative supply chain : a framework for developing circular economy indicators","type":"article-journal","volume":"7543"},"uris":["http://www.mendeley.com/documents/?uuid=7c871cf9-b9e1-451e-a58e-5b7fea86a8e9"]}],"mendeley":{"formattedCitation":"(Herczeg et al., 2018; Bressanelli et al., 2019; Howard et al., 2019)","plainTextFormattedCitation":"(Herczeg et al., 2018; Bressanelli et al., 2019; Howard et al., 2019)","previouslyFormattedCitation":"(Herczeg et al., 2018; Bressanelli et al., 2019; Howard et al., 2019)"},"properties":{"noteIndex":0},"schema":"https://github.com/citation-style-language/schema/raw/master/csl-citation.json"}</w:instrText>
      </w:r>
      <w:r w:rsidRPr="006E688F">
        <w:fldChar w:fldCharType="separate"/>
      </w:r>
      <w:r w:rsidRPr="006E688F">
        <w:t>(Herczeg et al., 2018; Bressanelli et al., 2019; Howard et al., 2019)</w:t>
      </w:r>
      <w:r w:rsidRPr="006E688F">
        <w:fldChar w:fldCharType="end"/>
      </w:r>
      <w:r w:rsidRPr="006E688F">
        <w:t xml:space="preserve">. Many of these constructs can be associated to the concept of supply chain integration. </w:t>
      </w:r>
    </w:p>
    <w:p w14:paraId="3CE160F6" w14:textId="77777777" w:rsidR="006379C0" w:rsidRPr="006E688F" w:rsidRDefault="006379C0" w:rsidP="002F7336">
      <w:r w:rsidRPr="006E688F">
        <w:lastRenderedPageBreak/>
        <w:t>Some gaps can also be highlighted: CE practices are commonly characterised for groups of companies that are at the forefront in circular economy innovation (such as the Ellen MacArthur CE100 list</w:t>
      </w:r>
      <w:r w:rsidRPr="006E688F">
        <w:rPr>
          <w:vertAlign w:val="superscript"/>
        </w:rPr>
        <w:footnoteReference w:id="2"/>
      </w:r>
      <w:r w:rsidRPr="006E688F">
        <w:t xml:space="preserve"> or CONAI</w:t>
      </w:r>
      <w:r w:rsidRPr="006E688F">
        <w:rPr>
          <w:vertAlign w:val="superscript"/>
        </w:rPr>
        <w:footnoteReference w:id="3"/>
      </w:r>
      <w:r w:rsidRPr="006E688F">
        <w:t xml:space="preserve">), or that have explicitly shown at least some formal interest for CE practices </w:t>
      </w:r>
      <w:r w:rsidRPr="006E688F">
        <w:fldChar w:fldCharType="begin" w:fldLock="1"/>
      </w:r>
      <w:r w:rsidRPr="006E688F">
        <w:instrText>ADDIN CSL_CITATION {"citationItems":[{"id":"ITEM-1","itemData":{"DOI":"10.1002/bse.2048","ISSN":"10990836","abstract":"Despite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Environment","id":"ITEM-1","issue":"7","issued":{"date-parts":[["2018"]]},"page":"1005-1022","title":"Circular economy in corporate sustainability strategies: A review of corporate sustainability reports in the fast-moving consumer goods sector","type":"article-journal","volume":"27"},"uris":["http://www.mendeley.com/documents/?uuid=a4245b62-344e-4d4e-bee8-a6f8d7febd42"]}],"mendeley":{"formattedCitation":"(Stewart &amp; Niero, 2018)","plainTextFormattedCitation":"(Stewart &amp; Niero, 2018)","previouslyFormattedCitation":"(Stewart &amp; Niero, 2018)"},"properties":{"noteIndex":0},"schema":"https://github.com/citation-style-language/schema/raw/master/csl-citation.json"}</w:instrText>
      </w:r>
      <w:r w:rsidRPr="006E688F">
        <w:fldChar w:fldCharType="separate"/>
      </w:r>
      <w:r w:rsidRPr="006E688F">
        <w:t>(Stewart &amp; Niero, 2018)</w:t>
      </w:r>
      <w:r w:rsidRPr="006E688F">
        <w:fldChar w:fldCharType="end"/>
      </w:r>
      <w:r w:rsidRPr="006E688F">
        <w:t xml:space="preserve"> – e.g. including some keywords in their public reports. The result is that</w:t>
      </w:r>
      <w:r w:rsidRPr="006E688F">
        <w:rPr>
          <w:b/>
          <w:bCs/>
        </w:rPr>
        <w:t xml:space="preserve"> </w:t>
      </w:r>
      <w:r w:rsidRPr="006E688F">
        <w:t xml:space="preserve">samples tend to be </w:t>
      </w:r>
      <w:r w:rsidRPr="006E688F">
        <w:rPr>
          <w:i/>
        </w:rPr>
        <w:t>positively biased</w:t>
      </w:r>
      <w:r w:rsidRPr="006E688F">
        <w:t xml:space="preserve"> and not</w:t>
      </w:r>
      <w:r w:rsidRPr="006E688F">
        <w:rPr>
          <w:b/>
          <w:bCs/>
        </w:rPr>
        <w:t xml:space="preserve"> </w:t>
      </w:r>
      <w:r w:rsidRPr="006E688F">
        <w:t xml:space="preserve">adequately representative of the general population of companies. </w:t>
      </w:r>
    </w:p>
    <w:p w14:paraId="2D5197CF" w14:textId="77777777" w:rsidR="006379C0" w:rsidRPr="006E688F" w:rsidRDefault="006379C0" w:rsidP="002F7336">
      <w:pPr>
        <w:sectPr w:rsidR="006379C0" w:rsidRPr="006E688F" w:rsidSect="00116B90">
          <w:headerReference w:type="even" r:id="rId44"/>
          <w:headerReference w:type="default" r:id="rId45"/>
          <w:headerReference w:type="first" r:id="rId46"/>
          <w:footerReference w:type="first" r:id="rId47"/>
          <w:pgSz w:w="11901" w:h="16840" w:code="9"/>
          <w:pgMar w:top="1985" w:right="1418" w:bottom="1418" w:left="1418" w:header="709" w:footer="709" w:gutter="0"/>
          <w:pgNumType w:start="1"/>
          <w:cols w:space="708"/>
          <w:titlePg/>
          <w:docGrid w:linePitch="360"/>
        </w:sectPr>
      </w:pPr>
      <w:r w:rsidRPr="006E688F">
        <w:t xml:space="preserve">Secondly, some of the mentioned articles from Table 1, as well as a good part of the CE literature have primarily a descriptive purpose. Excluding a few studies from the industrial ecology tradition </w:t>
      </w:r>
      <w:r w:rsidRPr="006E688F">
        <w:fldChar w:fldCharType="begin" w:fldLock="1"/>
      </w:r>
      <w:r w:rsidRPr="006E688F">
        <w:instrText>ADDIN CSL_CITATION {"citationItems":[{"id":"ITEM-1","itemData":{"DOI":"10.1111/j.1530-9290.2011.00332.x","ISSN":"10881980","abstract":"Eco-industrial initiatives, which close industrial loops by turning wastes at one point in a value chain into inputs at another point, are attracting growing interest as a solution to the problem of sustainability of industrial systems. Although Germany and Japan have made important advances in building recycling incentives into their industrial systems and sought competitive advantage from doing so, China is arguably taking the issue even further (in principle) through its pursuit of a circular economy, now enshrined in law as an official national development goal. In this article, we review a number of the eco-industrial initiatives taken in China and compare them using a common graphical representation with comparable initiatives taken in the West and elsewhere in East Asia. Our aim is to demonstrate some common themes across the case studies, such as the transformation from the former linear economy to a circular economy and the evolutionary processes in which dynamic linkages are gradually established over time. We discuss the drivers of these eco-industrial initiatives as well as the inhibitors, setting the initiatives in an evolutionary framework and introducing a notion of Pareto eco-efficiency to evaluate them. We make the argument that China might be capturing latecomer advantages through its systematic promotion of eco-industrial initiatives within a circular economy framework. © 2011 by Yale University.","author":[{"dropping-particle":"","family":"Mathews","given":"John A.","non-dropping-particle":"","parse-names":false,"suffix":""},{"dropping-particle":"","family":"Tan","given":"Hao","non-dropping-particle":"","parse-names":false,"suffix":""}],"container-title":"Journal of Industrial Ecology","id":"ITEM-1","issue":"3","issued":{"date-parts":[["2011"]]},"page":"435-457","title":"Progress toward a circular economy in China: The drivers (and inhibitors) of eco-industrial initiative","type":"article-journal","volume":"15"},"uris":["http://www.mendeley.com/documents/?uuid=617f8dbf-d52d-45c2-be20-c9ba6cf489c1"]},{"id":"ITEM-2","itemData":{"DOI":"10.1016/j.jclepro.2017.10.046","ISSN":"09596526","abstract":"A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Production","id":"ITEM-2","issued":{"date-parts":[["2018"]]},"page":"1058-1067","title":"Supply chain collaboration in industrial symbiosis networks","type":"article-journal","volume":"171"},"uris":["http://www.mendeley.com/documents/?uuid=20a570de-bacf-423c-a7ed-fc4796e6dabf"]}],"mendeley":{"formattedCitation":"(Mathews &amp; Tan, 2011; Herczeg et al., 2018)","plainTextFormattedCitation":"(Mathews &amp; Tan, 2011; Herczeg et al., 2018)","previouslyFormattedCitation":"(Mathews &amp; Tan, 2011; Herczeg et al., 2018)"},"properties":{"noteIndex":0},"schema":"https://github.com/citation-style-language/schema/raw/master/csl-citation.json"}</w:instrText>
      </w:r>
      <w:r w:rsidRPr="006E688F">
        <w:fldChar w:fldCharType="separate"/>
      </w:r>
      <w:r w:rsidRPr="006E688F">
        <w:t>(Mathews &amp; Tan, 2011; Herczeg et al., 2018)</w:t>
      </w:r>
      <w:r w:rsidRPr="006E688F">
        <w:fldChar w:fldCharType="end"/>
      </w:r>
      <w:r w:rsidRPr="006E688F">
        <w:t xml:space="preserve">, CE publications do not explore the factors behind the transition of supply chains towards the CE from a theoretical point of view. Also, the few studies adopting a theoretical lens to make sense of the adoption of CE practices </w:t>
      </w:r>
      <w:r w:rsidRPr="006E688F">
        <w:fldChar w:fldCharType="begin" w:fldLock="1"/>
      </w:r>
      <w:r w:rsidRPr="006E688F">
        <w:instrText>ADDIN CSL_CITATION {"citationItems":[{"id":"ITEM-1","itemData":{"DOI":"10.1016/j.jclepro.2019.05.044","ISSN":"09596526","abstract":"Much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adopt more circular business models. On the other hand, no significant evidence was found of any influence exerted by the drivers related to regulatory pressure, resource exploitation risks, and the pursuit of environmental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Production","id":"ITEM-1","issued":{"date-parts":[["2019"]]},"page":"314-327","publisher":"Elsevier Ltd","title":"Drivers and approaches to the circular economy in manufacturing firms","type":"article-journal","volume":"230"},"uris":["http://www.mendeley.com/documents/?uuid=dba2b38b-10ca-4ca4-9ac5-fec8ed7d491b"]},{"id":"ITEM-2","itemData":{"DOI":"10.1016/j.jclepro.2016.12.047","ISSN":"09596526","abstract":"Circular economy ambitions demand considering lifecycle of products within product development. From the perspective of the circular economy, environmental considerations should, for example, increasingly entail product's use phase not only to increase product's energy-efficiency, but also to prolong the time in use. This paper investigates how these considerations are addressed within information and communications technology (ICT) sector. Drawing from previous research in constructing the hypotheses, it is examined how companies report about their quantitative environmental targets for products, and what topical areas are in focus for their environmentally conscious practices related to products’ reuse. Then, relationships with these published quantitative targets and environmental performance are assessed. Content analysis method is used to derive data from 43 sustainability reports. Our results suggest that being mature enough to publish quantitative environmental targets for products is positively associated with lifecycle thinking, considering the durability of products, and remanufacture. This exploratory study reveals among others, that although published, quantitative environmental targets for products are not yet dominantly present; they are positively associated with environmental performance measures. This includes capability to report quantitatively on flows of reclaimed products, and positions in external ranking. But, we also highlight the need for more discussion around reuse alternatives that are not commonly published among companies in this sample. The paper concludes by discussing the applicability of this research method.","author":[{"dropping-particle":"","family":"Sihvonen","given":"Siru","non-dropping-particle":"","parse-names":false,"suffix":""},{"dropping-particle":"","family":"Partanen","given":"Jouni","non-dropping-particle":"","parse-names":false,"suffix":""}],"container-title":"Journal of Cleaner Production","id":"ITEM-2","issued":{"date-parts":[["2017"]]},"page":"769-783","publisher":"Elsevier Ltd","title":"Eco-design practices with a focus on quantitative environmental targets: An exploratory content analysis within ICT sector","type":"article-journal","volume":"143"},"uris":["http://www.mendeley.com/documents/?uuid=727b240b-0fba-4ec3-b051-c03741e39852"]},{"id":"ITEM-3","itemData":{"DOI":"10.1016/j.resconrec.2017.08.017","ISSN":"18790658","abstract":"The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Recycling","id":"ITEM-3","issue":"August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Europe","type":"article-journal","volume":"135"},"uris":["http://www.mendeley.com/documents/?uuid=9e3263bd-e8a0-4a47-9772-35fddaf67ff7"]}],"mendeley":{"formattedCitation":"(Sihvonen &amp; Partanen, 2017; Ranta et al., 2018; Gusmerotti et al., 2019)","plainTextFormattedCitation":"(Sihvonen &amp; Partanen, 2017; Ranta et al., 2018; Gusmerotti et al., 2019)","previouslyFormattedCitation":"(Sihvonen &amp; Partanen, 2017; Ranta et al., 2018; Gusmerotti et al., 2019)"},"properties":{"noteIndex":0},"schema":"https://github.com/citation-style-language/schema/raw/master/csl-citation.json"}</w:instrText>
      </w:r>
      <w:r w:rsidRPr="006E688F">
        <w:fldChar w:fldCharType="separate"/>
      </w:r>
      <w:r w:rsidRPr="006E688F">
        <w:t>(Sihvonen &amp; Partanen, 2017; Ranta et al., 2018; Gusmerotti et al., 2019)</w:t>
      </w:r>
      <w:r w:rsidRPr="006E688F">
        <w:fldChar w:fldCharType="end"/>
      </w:r>
      <w:r w:rsidRPr="006E688F">
        <w:t xml:space="preserve"> often lack a supply chain perspective. It is worth mentioning that studies in other research streams in the SCM domain (such as SSCM) have attempted to determine and test antecedents of practices adoption; many authors have started to explore relationships among such research streams in order to derive useful implications </w:t>
      </w:r>
      <w:r w:rsidRPr="006E688F">
        <w:fldChar w:fldCharType="begin" w:fldLock="1"/>
      </w:r>
      <w:r w:rsidRPr="006E688F">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applications","type":"article-journal","volume":"66"},"uris":["http://www.mendeley.com/documents/?uuid=5dd8e2c4-fae0-4040-ae7c-ed96e73d9ca4"]},{"id":"ITEM-2","itemData":{"DOI":"10.1016/j.jclepro.2017.10.046","ISSN":"09596526","abstract":"A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Production","id":"ITEM-2","issued":{"date-parts":[["2018"]]},"page":"1058-1067","title":"Supply chain collaboration in industrial symbiosis networks","type":"article-journal","volume":"171"},"uris":["http://www.mendeley.com/documents/?uuid=20a570de-bacf-423c-a7ed-fc4796e6dabf"]},{"id":"ITEM-3","itemData":{"DOI":"10.1016/j.jclepro.2020.120859","ISSN":"09596526","abstract":"The notion of circular economy (CE) has gained considerable attention recently among researchers, practitioners, and policymakers due to the enormous waste generation at all phases of a product life cycle. CE acts as alternative solutions to the dominant linear economic model of production and consumption. The incorporation of the CE into supply chain management is known as circular supply chain management (CSCM). The objective of this study is to conduct a state-of-art review of CSCM using content analysis methodology. This review covers the available circular supply chain literature, highlights the research trends, gaps and set up the potential research directions for future studies. Total 125 CSCM articles published in journals covering the span of last one decade (2010 to July 2019) are selected. The CSCM research articles are evaluated and segregated in 13 pre-defined structural dimensions and analytics. The result shows that there exist ample scope and open doors for the growth of CSCM which should be investigated with the help of advanced quantitative modeling approaches, highly developed optimization techniques, integrated multi-criteria decision making techniques, and proficient algorithms. Also, CSCM research needs to recognize enablers/drivers/critical success factors, barriers/obstacles, new circular business models and innovative frameworks. Therefore, this examination will prop up new opportunities for researchers to figure out the novel dimensions in the field of CSCM.","author":[{"dropping-particle":"","family":"Lahane","given":"Swapnil","non-dropping-particle":"","parse-names":false,"suffix":""},{"dropping-particle":"","family":"Kant","given":"Ravi","non-dropping-particle":"","parse-names":false,"suffix":""},{"dropping-particle":"","family":"Shankar","given":"Ravi","non-dropping-particle":"","parse-names":false,"suffix":""}],"container-title":"Journal of Cleaner Production","id":"ITEM-3","issued":{"date-parts":[["2020"]]},"page":"120859","publisher":"Elsevier Ltd","title":"Circular supply chain management: A state-of-art review and future opportunities","type":"article-journal","volume":"258"},"uris":["http://www.mendeley.com/documents/?uuid=23330932-4a53-4d51-948c-e152a0244a6f"]}],"mendeley":{"formattedCitation":"(Genovese et al., 2017; Herczeg et al., 2018; Lahane et al., 2020)","plainTextFormattedCitation":"(Genovese et al., 2017; Herczeg et al., 2018; Lahane et al., 2020)","previouslyFormattedCitation":"(Genovese et al., 2017; Herczeg et al., 2018; Lahane et al., 2020)"},"properties":{"noteIndex":0},"schema":"https://github.com/citation-style-language/schema/raw/master/csl-citation.json"}</w:instrText>
      </w:r>
      <w:r w:rsidRPr="006E688F">
        <w:fldChar w:fldCharType="separate"/>
      </w:r>
      <w:r w:rsidRPr="006E688F">
        <w:t>(Genovese et al., 2017; Herczeg et al., 2018; Lahane et al., 2020)</w:t>
      </w:r>
      <w:r w:rsidRPr="006E688F">
        <w:fldChar w:fldCharType="end"/>
      </w:r>
      <w:r w:rsidRPr="006E688F">
        <w:t xml:space="preserve">.  </w:t>
      </w:r>
    </w:p>
    <w:p w14:paraId="2E399CE4" w14:textId="77777777" w:rsidR="006379C0" w:rsidRPr="00DB00A3" w:rsidRDefault="006379C0" w:rsidP="002F7336">
      <w:pPr>
        <w:pStyle w:val="Figurecaption"/>
      </w:pPr>
      <w:r w:rsidRPr="00DB00A3">
        <w:lastRenderedPageBreak/>
        <w:t xml:space="preserve">Table </w:t>
      </w:r>
      <w:fldSimple w:instr=" SEQ Table \* ARABIC ">
        <w:r w:rsidRPr="00DB00A3">
          <w:t>1</w:t>
        </w:r>
      </w:fldSimple>
      <w:r w:rsidRPr="00DB00A3">
        <w:t xml:space="preserve"> – Selected publications that attempted to review the adoption of CE in industrial practice. Abbreviations. IT: Institutional Theory; RBV: Resource Based View; DC: Dynamic capabilities; CS report: Corporate Sustainability report; CDP: Carbon Disclosure Program; GRI: Global Reporting Initiative. </w:t>
      </w:r>
    </w:p>
    <w:tbl>
      <w:tblPr>
        <w:tblStyle w:val="TableGrid2"/>
        <w:tblW w:w="0" w:type="auto"/>
        <w:tblLook w:val="04A0" w:firstRow="1" w:lastRow="0" w:firstColumn="1" w:lastColumn="0" w:noHBand="0" w:noVBand="1"/>
      </w:tblPr>
      <w:tblGrid>
        <w:gridCol w:w="1282"/>
        <w:gridCol w:w="2196"/>
        <w:gridCol w:w="1496"/>
        <w:gridCol w:w="1483"/>
        <w:gridCol w:w="857"/>
        <w:gridCol w:w="1400"/>
        <w:gridCol w:w="1068"/>
        <w:gridCol w:w="1519"/>
        <w:gridCol w:w="924"/>
        <w:gridCol w:w="1202"/>
      </w:tblGrid>
      <w:tr w:rsidR="006379C0" w:rsidRPr="00D14B56" w14:paraId="15470462" w14:textId="77777777" w:rsidTr="00D14B56">
        <w:trPr>
          <w:trHeight w:val="459"/>
        </w:trPr>
        <w:tc>
          <w:tcPr>
            <w:tcW w:w="0" w:type="auto"/>
            <w:hideMark/>
          </w:tcPr>
          <w:p w14:paraId="7344B59C" w14:textId="77777777" w:rsidR="006379C0" w:rsidRPr="00D14B56" w:rsidRDefault="006379C0" w:rsidP="0001016B">
            <w:pPr>
              <w:pStyle w:val="Tabletext"/>
            </w:pPr>
            <w:r w:rsidRPr="00D14B56">
              <w:t>Authors, year</w:t>
            </w:r>
          </w:p>
        </w:tc>
        <w:tc>
          <w:tcPr>
            <w:tcW w:w="0" w:type="auto"/>
            <w:hideMark/>
          </w:tcPr>
          <w:p w14:paraId="2DF81942" w14:textId="77777777" w:rsidR="006379C0" w:rsidRPr="00D14B56" w:rsidRDefault="006379C0" w:rsidP="0001016B">
            <w:pPr>
              <w:pStyle w:val="Tabletext"/>
            </w:pPr>
            <w:r w:rsidRPr="00D14B56">
              <w:t>Title</w:t>
            </w:r>
          </w:p>
        </w:tc>
        <w:tc>
          <w:tcPr>
            <w:tcW w:w="0" w:type="auto"/>
            <w:hideMark/>
          </w:tcPr>
          <w:p w14:paraId="21EDCEEC" w14:textId="77777777" w:rsidR="006379C0" w:rsidRPr="00D14B56" w:rsidRDefault="006379C0" w:rsidP="0001016B">
            <w:pPr>
              <w:pStyle w:val="Tabletext"/>
            </w:pPr>
            <w:r w:rsidRPr="00D14B56">
              <w:t>Journal</w:t>
            </w:r>
          </w:p>
        </w:tc>
        <w:tc>
          <w:tcPr>
            <w:tcW w:w="0" w:type="auto"/>
            <w:hideMark/>
          </w:tcPr>
          <w:p w14:paraId="3B27F453" w14:textId="77777777" w:rsidR="006379C0" w:rsidRPr="00D14B56" w:rsidRDefault="006379C0" w:rsidP="0001016B">
            <w:pPr>
              <w:pStyle w:val="Tabletext"/>
            </w:pPr>
            <w:r w:rsidRPr="00D14B56">
              <w:t>Sampling technique</w:t>
            </w:r>
          </w:p>
        </w:tc>
        <w:tc>
          <w:tcPr>
            <w:tcW w:w="0" w:type="auto"/>
          </w:tcPr>
          <w:p w14:paraId="06D4DDA9" w14:textId="77777777" w:rsidR="006379C0" w:rsidRPr="00D14B56" w:rsidRDefault="006379C0" w:rsidP="0001016B">
            <w:pPr>
              <w:pStyle w:val="Tabletext"/>
            </w:pPr>
            <w:r w:rsidRPr="00D14B56">
              <w:t>Sample size</w:t>
            </w:r>
          </w:p>
        </w:tc>
        <w:tc>
          <w:tcPr>
            <w:tcW w:w="0" w:type="auto"/>
          </w:tcPr>
          <w:p w14:paraId="2F485724" w14:textId="77777777" w:rsidR="006379C0" w:rsidRPr="00D14B56" w:rsidRDefault="006379C0" w:rsidP="0001016B">
            <w:pPr>
              <w:pStyle w:val="Tabletext"/>
            </w:pPr>
            <w:r w:rsidRPr="00D14B56">
              <w:t>Geographical context</w:t>
            </w:r>
          </w:p>
        </w:tc>
        <w:tc>
          <w:tcPr>
            <w:tcW w:w="0" w:type="auto"/>
            <w:hideMark/>
          </w:tcPr>
          <w:p w14:paraId="0543C325" w14:textId="77777777" w:rsidR="006379C0" w:rsidRPr="00D14B56" w:rsidRDefault="006379C0" w:rsidP="0001016B">
            <w:pPr>
              <w:pStyle w:val="Tabletext"/>
            </w:pPr>
            <w:r w:rsidRPr="00D14B56">
              <w:t xml:space="preserve">Variables </w:t>
            </w:r>
          </w:p>
        </w:tc>
        <w:tc>
          <w:tcPr>
            <w:tcW w:w="0" w:type="auto"/>
            <w:hideMark/>
          </w:tcPr>
          <w:p w14:paraId="13A2055C" w14:textId="77777777" w:rsidR="006379C0" w:rsidRPr="00D14B56" w:rsidRDefault="006379C0" w:rsidP="0001016B">
            <w:pPr>
              <w:pStyle w:val="Tabletext"/>
            </w:pPr>
            <w:r w:rsidRPr="00D14B56">
              <w:t>Data Source</w:t>
            </w:r>
          </w:p>
        </w:tc>
        <w:tc>
          <w:tcPr>
            <w:tcW w:w="0" w:type="auto"/>
          </w:tcPr>
          <w:p w14:paraId="49B466A0" w14:textId="77777777" w:rsidR="006379C0" w:rsidRPr="00D14B56" w:rsidRDefault="006379C0" w:rsidP="0001016B">
            <w:pPr>
              <w:pStyle w:val="Tabletext"/>
            </w:pPr>
            <w:r w:rsidRPr="00D14B56">
              <w:t>Unit of analysis</w:t>
            </w:r>
          </w:p>
        </w:tc>
        <w:tc>
          <w:tcPr>
            <w:tcW w:w="0" w:type="auto"/>
            <w:hideMark/>
          </w:tcPr>
          <w:p w14:paraId="28D1D78D" w14:textId="77777777" w:rsidR="006379C0" w:rsidRPr="00D14B56" w:rsidRDefault="006379C0" w:rsidP="0001016B">
            <w:pPr>
              <w:pStyle w:val="Tabletext"/>
            </w:pPr>
            <w:r w:rsidRPr="00D14B56">
              <w:t>Theoretical lens</w:t>
            </w:r>
          </w:p>
        </w:tc>
      </w:tr>
      <w:tr w:rsidR="006379C0" w:rsidRPr="00D14B56" w14:paraId="712A868C" w14:textId="77777777" w:rsidTr="00D14B56">
        <w:trPr>
          <w:trHeight w:val="163"/>
        </w:trPr>
        <w:tc>
          <w:tcPr>
            <w:tcW w:w="0" w:type="auto"/>
            <w:hideMark/>
          </w:tcPr>
          <w:p w14:paraId="607FD401" w14:textId="77777777" w:rsidR="006379C0" w:rsidRPr="00D14B56" w:rsidRDefault="006379C0" w:rsidP="0001016B">
            <w:pPr>
              <w:pStyle w:val="Tabletext"/>
            </w:pPr>
            <w:proofErr w:type="spellStart"/>
            <w:r w:rsidRPr="00D14B56">
              <w:t>Ghisellini</w:t>
            </w:r>
            <w:proofErr w:type="spellEnd"/>
            <w:r w:rsidRPr="00D14B56">
              <w:t xml:space="preserve"> &amp; </w:t>
            </w:r>
            <w:proofErr w:type="spellStart"/>
            <w:r w:rsidRPr="00D14B56">
              <w:t>Ulgiati</w:t>
            </w:r>
            <w:proofErr w:type="spellEnd"/>
            <w:r w:rsidRPr="00D14B56">
              <w:t>, 2020</w:t>
            </w:r>
          </w:p>
        </w:tc>
        <w:tc>
          <w:tcPr>
            <w:tcW w:w="0" w:type="auto"/>
            <w:hideMark/>
          </w:tcPr>
          <w:p w14:paraId="22F5113E" w14:textId="77777777" w:rsidR="006379C0" w:rsidRPr="00D14B56" w:rsidRDefault="006379C0" w:rsidP="0001016B">
            <w:pPr>
              <w:pStyle w:val="Tabletext"/>
            </w:pPr>
            <w:r w:rsidRPr="00D14B56">
              <w:t>Circular economy transition in Italy. Achievements, perspectives and constraints</w:t>
            </w:r>
          </w:p>
        </w:tc>
        <w:tc>
          <w:tcPr>
            <w:tcW w:w="0" w:type="auto"/>
            <w:hideMark/>
          </w:tcPr>
          <w:p w14:paraId="2EA33A10" w14:textId="77777777" w:rsidR="006379C0" w:rsidRPr="00D14B56" w:rsidRDefault="006379C0" w:rsidP="0001016B">
            <w:pPr>
              <w:pStyle w:val="Tabletext"/>
            </w:pPr>
            <w:r w:rsidRPr="00D14B56">
              <w:t>Journal of Cleaner Production</w:t>
            </w:r>
          </w:p>
        </w:tc>
        <w:tc>
          <w:tcPr>
            <w:tcW w:w="0" w:type="auto"/>
            <w:hideMark/>
          </w:tcPr>
          <w:p w14:paraId="46F736AD" w14:textId="77777777" w:rsidR="006379C0" w:rsidRPr="00D14B56" w:rsidRDefault="006379C0" w:rsidP="0001016B">
            <w:pPr>
              <w:pStyle w:val="Tabletext"/>
            </w:pPr>
            <w:r w:rsidRPr="00D14B56">
              <w:t>3 different Databases</w:t>
            </w:r>
          </w:p>
        </w:tc>
        <w:tc>
          <w:tcPr>
            <w:tcW w:w="0" w:type="auto"/>
          </w:tcPr>
          <w:p w14:paraId="14F973E6" w14:textId="77777777" w:rsidR="006379C0" w:rsidRPr="00D14B56" w:rsidRDefault="006379C0" w:rsidP="0001016B">
            <w:pPr>
              <w:pStyle w:val="Tabletext"/>
            </w:pPr>
            <w:r w:rsidRPr="00D14B56">
              <w:t>292</w:t>
            </w:r>
          </w:p>
        </w:tc>
        <w:tc>
          <w:tcPr>
            <w:tcW w:w="0" w:type="auto"/>
          </w:tcPr>
          <w:p w14:paraId="40E00B5B" w14:textId="77777777" w:rsidR="006379C0" w:rsidRPr="00D14B56" w:rsidRDefault="006379C0" w:rsidP="0001016B">
            <w:pPr>
              <w:pStyle w:val="Tabletext"/>
            </w:pPr>
            <w:r w:rsidRPr="00D14B56">
              <w:t>Italy</w:t>
            </w:r>
          </w:p>
        </w:tc>
        <w:tc>
          <w:tcPr>
            <w:tcW w:w="0" w:type="auto"/>
            <w:hideMark/>
          </w:tcPr>
          <w:p w14:paraId="6E2082DD" w14:textId="77777777" w:rsidR="006379C0" w:rsidRPr="00D14B56" w:rsidRDefault="006379C0" w:rsidP="0001016B">
            <w:pPr>
              <w:pStyle w:val="Tabletext"/>
            </w:pPr>
            <w:r w:rsidRPr="00D14B56">
              <w:t>CE practices</w:t>
            </w:r>
          </w:p>
        </w:tc>
        <w:tc>
          <w:tcPr>
            <w:tcW w:w="0" w:type="auto"/>
            <w:hideMark/>
          </w:tcPr>
          <w:p w14:paraId="70494C32" w14:textId="77777777" w:rsidR="006379C0" w:rsidRPr="00D14B56" w:rsidRDefault="006379C0" w:rsidP="0001016B">
            <w:pPr>
              <w:pStyle w:val="Tabletext"/>
            </w:pPr>
            <w:r w:rsidRPr="00D14B56">
              <w:t>Secondary sources</w:t>
            </w:r>
          </w:p>
        </w:tc>
        <w:tc>
          <w:tcPr>
            <w:tcW w:w="0" w:type="auto"/>
          </w:tcPr>
          <w:p w14:paraId="46FD1A5E" w14:textId="77777777" w:rsidR="006379C0" w:rsidRPr="00D14B56" w:rsidRDefault="006379C0" w:rsidP="0001016B">
            <w:pPr>
              <w:pStyle w:val="Tabletext"/>
            </w:pPr>
            <w:r w:rsidRPr="00D14B56">
              <w:t>Firm</w:t>
            </w:r>
          </w:p>
        </w:tc>
        <w:tc>
          <w:tcPr>
            <w:tcW w:w="0" w:type="auto"/>
            <w:hideMark/>
          </w:tcPr>
          <w:p w14:paraId="76E959E4" w14:textId="77777777" w:rsidR="006379C0" w:rsidRPr="00D14B56" w:rsidRDefault="006379C0" w:rsidP="0001016B">
            <w:pPr>
              <w:pStyle w:val="Tabletext"/>
            </w:pPr>
            <w:r w:rsidRPr="00D14B56">
              <w:t>/</w:t>
            </w:r>
          </w:p>
        </w:tc>
      </w:tr>
      <w:tr w:rsidR="006379C0" w:rsidRPr="00D14B56" w14:paraId="113E4D9A" w14:textId="77777777" w:rsidTr="00D14B56">
        <w:trPr>
          <w:trHeight w:val="163"/>
        </w:trPr>
        <w:tc>
          <w:tcPr>
            <w:tcW w:w="0" w:type="auto"/>
          </w:tcPr>
          <w:p w14:paraId="0778997B" w14:textId="77777777" w:rsidR="006379C0" w:rsidRPr="00D14B56" w:rsidRDefault="006379C0" w:rsidP="0001016B">
            <w:pPr>
              <w:pStyle w:val="Tabletext"/>
            </w:pPr>
            <w:r w:rsidRPr="00D14B56">
              <w:t>Jain et al., 2020</w:t>
            </w:r>
          </w:p>
        </w:tc>
        <w:tc>
          <w:tcPr>
            <w:tcW w:w="0" w:type="auto"/>
          </w:tcPr>
          <w:p w14:paraId="38A4B776" w14:textId="77777777" w:rsidR="006379C0" w:rsidRPr="00D14B56" w:rsidRDefault="006379C0" w:rsidP="0001016B">
            <w:pPr>
              <w:pStyle w:val="Tabletext"/>
            </w:pPr>
            <w:r w:rsidRPr="00D14B56">
              <w:t>Institutional pressures and circular economy performance: The role of environmental management system and organizational flexibility in oil and gas sector</w:t>
            </w:r>
          </w:p>
        </w:tc>
        <w:tc>
          <w:tcPr>
            <w:tcW w:w="0" w:type="auto"/>
          </w:tcPr>
          <w:p w14:paraId="221EF10D" w14:textId="77777777" w:rsidR="006379C0" w:rsidRPr="00D14B56" w:rsidRDefault="006379C0" w:rsidP="0001016B">
            <w:pPr>
              <w:pStyle w:val="Tabletext"/>
            </w:pPr>
            <w:r w:rsidRPr="00D14B56">
              <w:t>Business Strategy and the Environment</w:t>
            </w:r>
          </w:p>
        </w:tc>
        <w:tc>
          <w:tcPr>
            <w:tcW w:w="0" w:type="auto"/>
          </w:tcPr>
          <w:p w14:paraId="181248A1" w14:textId="77777777" w:rsidR="006379C0" w:rsidRPr="00D14B56" w:rsidRDefault="006379C0" w:rsidP="0001016B">
            <w:pPr>
              <w:pStyle w:val="Tabletext"/>
            </w:pPr>
            <w:r w:rsidRPr="00D14B56">
              <w:t>Indian Ministry National list</w:t>
            </w:r>
          </w:p>
        </w:tc>
        <w:tc>
          <w:tcPr>
            <w:tcW w:w="0" w:type="auto"/>
          </w:tcPr>
          <w:p w14:paraId="10791837" w14:textId="77777777" w:rsidR="006379C0" w:rsidRPr="00D14B56" w:rsidRDefault="006379C0" w:rsidP="0001016B">
            <w:pPr>
              <w:pStyle w:val="Tabletext"/>
            </w:pPr>
            <w:r w:rsidRPr="00D14B56">
              <w:t>280</w:t>
            </w:r>
          </w:p>
        </w:tc>
        <w:tc>
          <w:tcPr>
            <w:tcW w:w="0" w:type="auto"/>
          </w:tcPr>
          <w:p w14:paraId="10A2B3A6" w14:textId="77777777" w:rsidR="006379C0" w:rsidRPr="00D14B56" w:rsidRDefault="006379C0" w:rsidP="0001016B">
            <w:pPr>
              <w:pStyle w:val="Tabletext"/>
            </w:pPr>
            <w:r w:rsidRPr="00D14B56">
              <w:t>India</w:t>
            </w:r>
          </w:p>
        </w:tc>
        <w:tc>
          <w:tcPr>
            <w:tcW w:w="0" w:type="auto"/>
          </w:tcPr>
          <w:p w14:paraId="4CD2AD96" w14:textId="77777777" w:rsidR="006379C0" w:rsidRPr="00D14B56" w:rsidRDefault="006379C0" w:rsidP="0001016B">
            <w:pPr>
              <w:pStyle w:val="Tabletext"/>
            </w:pPr>
            <w:r w:rsidRPr="00D14B56">
              <w:t>CE practices</w:t>
            </w:r>
          </w:p>
        </w:tc>
        <w:tc>
          <w:tcPr>
            <w:tcW w:w="0" w:type="auto"/>
          </w:tcPr>
          <w:p w14:paraId="495A3BDE" w14:textId="77777777" w:rsidR="006379C0" w:rsidRPr="00D14B56" w:rsidRDefault="006379C0" w:rsidP="0001016B">
            <w:pPr>
              <w:pStyle w:val="Tabletext"/>
            </w:pPr>
            <w:r w:rsidRPr="00D14B56">
              <w:t>Questionnaires</w:t>
            </w:r>
          </w:p>
        </w:tc>
        <w:tc>
          <w:tcPr>
            <w:tcW w:w="0" w:type="auto"/>
          </w:tcPr>
          <w:p w14:paraId="25B78E77" w14:textId="77777777" w:rsidR="006379C0" w:rsidRPr="00D14B56" w:rsidRDefault="006379C0" w:rsidP="0001016B">
            <w:pPr>
              <w:pStyle w:val="Tabletext"/>
            </w:pPr>
            <w:r w:rsidRPr="00D14B56">
              <w:t>Firm</w:t>
            </w:r>
          </w:p>
        </w:tc>
        <w:tc>
          <w:tcPr>
            <w:tcW w:w="0" w:type="auto"/>
          </w:tcPr>
          <w:p w14:paraId="0DE12467" w14:textId="77777777" w:rsidR="006379C0" w:rsidRPr="00D14B56" w:rsidRDefault="006379C0" w:rsidP="0001016B">
            <w:pPr>
              <w:pStyle w:val="Tabletext"/>
            </w:pPr>
            <w:r w:rsidRPr="00D14B56">
              <w:t>IT</w:t>
            </w:r>
          </w:p>
        </w:tc>
      </w:tr>
      <w:tr w:rsidR="006379C0" w:rsidRPr="00D14B56" w14:paraId="6826244E" w14:textId="77777777" w:rsidTr="00D14B56">
        <w:trPr>
          <w:trHeight w:val="247"/>
        </w:trPr>
        <w:tc>
          <w:tcPr>
            <w:tcW w:w="0" w:type="auto"/>
            <w:hideMark/>
          </w:tcPr>
          <w:p w14:paraId="1E33B9AE" w14:textId="77777777" w:rsidR="006379C0" w:rsidRPr="00D14B56" w:rsidRDefault="006379C0" w:rsidP="0001016B">
            <w:pPr>
              <w:pStyle w:val="Tabletext"/>
            </w:pPr>
            <w:proofErr w:type="spellStart"/>
            <w:r w:rsidRPr="00D14B56">
              <w:t>Gusmerotti</w:t>
            </w:r>
            <w:proofErr w:type="spellEnd"/>
            <w:r w:rsidRPr="00D14B56">
              <w:t xml:space="preserve"> et al., 2019</w:t>
            </w:r>
          </w:p>
        </w:tc>
        <w:tc>
          <w:tcPr>
            <w:tcW w:w="0" w:type="auto"/>
            <w:hideMark/>
          </w:tcPr>
          <w:p w14:paraId="41670C8C" w14:textId="77777777" w:rsidR="006379C0" w:rsidRPr="00D14B56" w:rsidRDefault="006379C0" w:rsidP="0001016B">
            <w:pPr>
              <w:pStyle w:val="Tabletext"/>
            </w:pPr>
            <w:r w:rsidRPr="00D14B56">
              <w:t>Drivers and approaches to the circular economy in manufacturing firms</w:t>
            </w:r>
          </w:p>
        </w:tc>
        <w:tc>
          <w:tcPr>
            <w:tcW w:w="0" w:type="auto"/>
            <w:hideMark/>
          </w:tcPr>
          <w:p w14:paraId="29592383" w14:textId="77777777" w:rsidR="006379C0" w:rsidRPr="00D14B56" w:rsidRDefault="006379C0" w:rsidP="0001016B">
            <w:pPr>
              <w:pStyle w:val="Tabletext"/>
            </w:pPr>
            <w:r w:rsidRPr="00D14B56">
              <w:t>Journal of Cleaner Production</w:t>
            </w:r>
          </w:p>
        </w:tc>
        <w:tc>
          <w:tcPr>
            <w:tcW w:w="0" w:type="auto"/>
            <w:hideMark/>
          </w:tcPr>
          <w:p w14:paraId="5BB42B76" w14:textId="77777777" w:rsidR="006379C0" w:rsidRPr="00D14B56" w:rsidRDefault="006379C0" w:rsidP="0001016B">
            <w:pPr>
              <w:pStyle w:val="Tabletext"/>
            </w:pPr>
            <w:r w:rsidRPr="00D14B56">
              <w:t>CONAI consortium list</w:t>
            </w:r>
          </w:p>
        </w:tc>
        <w:tc>
          <w:tcPr>
            <w:tcW w:w="0" w:type="auto"/>
          </w:tcPr>
          <w:p w14:paraId="29F423A9" w14:textId="77777777" w:rsidR="006379C0" w:rsidRPr="00D14B56" w:rsidRDefault="006379C0" w:rsidP="0001016B">
            <w:pPr>
              <w:pStyle w:val="Tabletext"/>
            </w:pPr>
            <w:r w:rsidRPr="00D14B56">
              <w:t>821</w:t>
            </w:r>
          </w:p>
        </w:tc>
        <w:tc>
          <w:tcPr>
            <w:tcW w:w="0" w:type="auto"/>
          </w:tcPr>
          <w:p w14:paraId="1608E36A" w14:textId="77777777" w:rsidR="006379C0" w:rsidRPr="00D14B56" w:rsidRDefault="006379C0" w:rsidP="0001016B">
            <w:pPr>
              <w:pStyle w:val="Tabletext"/>
            </w:pPr>
            <w:r w:rsidRPr="00D14B56">
              <w:t>Italy</w:t>
            </w:r>
          </w:p>
        </w:tc>
        <w:tc>
          <w:tcPr>
            <w:tcW w:w="0" w:type="auto"/>
            <w:hideMark/>
          </w:tcPr>
          <w:p w14:paraId="6E0904E4" w14:textId="77777777" w:rsidR="006379C0" w:rsidRPr="00D14B56" w:rsidRDefault="006379C0" w:rsidP="0001016B">
            <w:pPr>
              <w:pStyle w:val="Tabletext"/>
            </w:pPr>
            <w:r w:rsidRPr="00D14B56">
              <w:t>CE practices, drivers</w:t>
            </w:r>
          </w:p>
        </w:tc>
        <w:tc>
          <w:tcPr>
            <w:tcW w:w="0" w:type="auto"/>
            <w:hideMark/>
          </w:tcPr>
          <w:p w14:paraId="6B0D7F2F" w14:textId="77777777" w:rsidR="006379C0" w:rsidRPr="00D14B56" w:rsidRDefault="006379C0" w:rsidP="0001016B">
            <w:pPr>
              <w:pStyle w:val="Tabletext"/>
            </w:pPr>
            <w:r w:rsidRPr="00D14B56">
              <w:t>Questionnaires</w:t>
            </w:r>
          </w:p>
        </w:tc>
        <w:tc>
          <w:tcPr>
            <w:tcW w:w="0" w:type="auto"/>
          </w:tcPr>
          <w:p w14:paraId="7FD51EB0" w14:textId="77777777" w:rsidR="006379C0" w:rsidRPr="00D14B56" w:rsidRDefault="006379C0" w:rsidP="0001016B">
            <w:pPr>
              <w:pStyle w:val="Tabletext"/>
            </w:pPr>
            <w:r w:rsidRPr="00D14B56">
              <w:t>Firm – supply chain</w:t>
            </w:r>
          </w:p>
        </w:tc>
        <w:tc>
          <w:tcPr>
            <w:tcW w:w="0" w:type="auto"/>
            <w:hideMark/>
          </w:tcPr>
          <w:p w14:paraId="2E074671" w14:textId="77777777" w:rsidR="006379C0" w:rsidRPr="00D14B56" w:rsidRDefault="006379C0" w:rsidP="0001016B">
            <w:pPr>
              <w:pStyle w:val="Tabletext"/>
            </w:pPr>
            <w:r w:rsidRPr="00D14B56">
              <w:t>IT, RBV</w:t>
            </w:r>
          </w:p>
        </w:tc>
      </w:tr>
      <w:tr w:rsidR="006379C0" w:rsidRPr="00D14B56" w14:paraId="069D67C8" w14:textId="77777777" w:rsidTr="00D14B56">
        <w:trPr>
          <w:trHeight w:val="615"/>
        </w:trPr>
        <w:tc>
          <w:tcPr>
            <w:tcW w:w="0" w:type="auto"/>
            <w:hideMark/>
          </w:tcPr>
          <w:p w14:paraId="1A4BBA93" w14:textId="77777777" w:rsidR="006379C0" w:rsidRPr="00D14B56" w:rsidRDefault="006379C0" w:rsidP="0001016B">
            <w:pPr>
              <w:pStyle w:val="Tabletext"/>
            </w:pPr>
            <w:r w:rsidRPr="00D14B56">
              <w:t>Masi et al., 2018</w:t>
            </w:r>
          </w:p>
        </w:tc>
        <w:tc>
          <w:tcPr>
            <w:tcW w:w="0" w:type="auto"/>
            <w:hideMark/>
          </w:tcPr>
          <w:p w14:paraId="66416501" w14:textId="77777777" w:rsidR="006379C0" w:rsidRPr="00D14B56" w:rsidRDefault="006379C0" w:rsidP="0001016B">
            <w:pPr>
              <w:pStyle w:val="Tabletext"/>
            </w:pPr>
            <w:r w:rsidRPr="00D14B56">
              <w:t>Towards a more circular economy: exploring the awareness, practices, and barriers from a focal firm perspective</w:t>
            </w:r>
          </w:p>
        </w:tc>
        <w:tc>
          <w:tcPr>
            <w:tcW w:w="0" w:type="auto"/>
            <w:hideMark/>
          </w:tcPr>
          <w:p w14:paraId="75CCBBC4" w14:textId="77777777" w:rsidR="006379C0" w:rsidRPr="00D14B56" w:rsidRDefault="006379C0" w:rsidP="0001016B">
            <w:pPr>
              <w:pStyle w:val="Tabletext"/>
            </w:pPr>
            <w:r w:rsidRPr="00D14B56">
              <w:t>Production Planning &amp; Control</w:t>
            </w:r>
          </w:p>
        </w:tc>
        <w:tc>
          <w:tcPr>
            <w:tcW w:w="0" w:type="auto"/>
            <w:hideMark/>
          </w:tcPr>
          <w:p w14:paraId="4A4C3754" w14:textId="77777777" w:rsidR="006379C0" w:rsidRPr="00D14B56" w:rsidRDefault="006379C0" w:rsidP="0001016B">
            <w:pPr>
              <w:pStyle w:val="Tabletext"/>
            </w:pPr>
            <w:r w:rsidRPr="00D14B56">
              <w:t>LinkedIn groups professionals</w:t>
            </w:r>
          </w:p>
        </w:tc>
        <w:tc>
          <w:tcPr>
            <w:tcW w:w="0" w:type="auto"/>
          </w:tcPr>
          <w:p w14:paraId="68F3655C" w14:textId="77777777" w:rsidR="006379C0" w:rsidRPr="00D14B56" w:rsidRDefault="006379C0" w:rsidP="0001016B">
            <w:pPr>
              <w:pStyle w:val="Tabletext"/>
            </w:pPr>
            <w:r w:rsidRPr="00D14B56">
              <w:t>77</w:t>
            </w:r>
          </w:p>
        </w:tc>
        <w:tc>
          <w:tcPr>
            <w:tcW w:w="0" w:type="auto"/>
          </w:tcPr>
          <w:p w14:paraId="5C845E13" w14:textId="77777777" w:rsidR="006379C0" w:rsidRPr="00D14B56" w:rsidRDefault="006379C0" w:rsidP="0001016B">
            <w:pPr>
              <w:pStyle w:val="Tabletext"/>
            </w:pPr>
            <w:r w:rsidRPr="00D14B56">
              <w:t>Global</w:t>
            </w:r>
          </w:p>
        </w:tc>
        <w:tc>
          <w:tcPr>
            <w:tcW w:w="0" w:type="auto"/>
            <w:hideMark/>
          </w:tcPr>
          <w:p w14:paraId="5D19EF12" w14:textId="77777777" w:rsidR="006379C0" w:rsidRPr="00D14B56" w:rsidRDefault="006379C0" w:rsidP="0001016B">
            <w:pPr>
              <w:pStyle w:val="Tabletext"/>
            </w:pPr>
            <w:r w:rsidRPr="00D14B56">
              <w:t>GSCM practices</w:t>
            </w:r>
          </w:p>
        </w:tc>
        <w:tc>
          <w:tcPr>
            <w:tcW w:w="0" w:type="auto"/>
            <w:hideMark/>
          </w:tcPr>
          <w:p w14:paraId="46F55C28" w14:textId="77777777" w:rsidR="006379C0" w:rsidRPr="00D14B56" w:rsidRDefault="006379C0" w:rsidP="0001016B">
            <w:pPr>
              <w:pStyle w:val="Tabletext"/>
            </w:pPr>
            <w:r w:rsidRPr="00D14B56">
              <w:t>Questionnaires</w:t>
            </w:r>
          </w:p>
        </w:tc>
        <w:tc>
          <w:tcPr>
            <w:tcW w:w="0" w:type="auto"/>
          </w:tcPr>
          <w:p w14:paraId="4DDD4378" w14:textId="77777777" w:rsidR="006379C0" w:rsidRPr="00D14B56" w:rsidRDefault="006379C0" w:rsidP="0001016B">
            <w:pPr>
              <w:pStyle w:val="Tabletext"/>
            </w:pPr>
            <w:r w:rsidRPr="00D14B56">
              <w:t>Firm – supply chain</w:t>
            </w:r>
          </w:p>
        </w:tc>
        <w:tc>
          <w:tcPr>
            <w:tcW w:w="0" w:type="auto"/>
            <w:hideMark/>
          </w:tcPr>
          <w:p w14:paraId="3C7243BC" w14:textId="77777777" w:rsidR="006379C0" w:rsidRPr="00D14B56" w:rsidRDefault="006379C0" w:rsidP="0001016B">
            <w:pPr>
              <w:pStyle w:val="Tabletext"/>
            </w:pPr>
            <w:r w:rsidRPr="00D14B56">
              <w:t>/</w:t>
            </w:r>
          </w:p>
        </w:tc>
      </w:tr>
      <w:tr w:rsidR="006379C0" w:rsidRPr="00D14B56" w14:paraId="766FAABE" w14:textId="77777777" w:rsidTr="00D14B56">
        <w:trPr>
          <w:trHeight w:val="556"/>
        </w:trPr>
        <w:tc>
          <w:tcPr>
            <w:tcW w:w="0" w:type="auto"/>
            <w:hideMark/>
          </w:tcPr>
          <w:p w14:paraId="5FA30705" w14:textId="77777777" w:rsidR="006379C0" w:rsidRPr="00D14B56" w:rsidRDefault="006379C0" w:rsidP="0001016B">
            <w:pPr>
              <w:pStyle w:val="Tabletext"/>
            </w:pPr>
            <w:r w:rsidRPr="00D14B56">
              <w:t>Stewart &amp; Niero, 2019 </w:t>
            </w:r>
          </w:p>
        </w:tc>
        <w:tc>
          <w:tcPr>
            <w:tcW w:w="0" w:type="auto"/>
            <w:hideMark/>
          </w:tcPr>
          <w:p w14:paraId="0C5140D5" w14:textId="77777777" w:rsidR="006379C0" w:rsidRPr="00D14B56" w:rsidRDefault="006379C0" w:rsidP="0001016B">
            <w:pPr>
              <w:pStyle w:val="Tabletext"/>
            </w:pPr>
            <w:r w:rsidRPr="00D14B56">
              <w:t>Circular economy in corporate sustainability strategies: A review of corporate sustainability reports in the fast-moving consumer goods sector</w:t>
            </w:r>
          </w:p>
        </w:tc>
        <w:tc>
          <w:tcPr>
            <w:tcW w:w="0" w:type="auto"/>
            <w:hideMark/>
          </w:tcPr>
          <w:p w14:paraId="2430E214" w14:textId="77777777" w:rsidR="006379C0" w:rsidRPr="00D14B56" w:rsidRDefault="006379C0" w:rsidP="0001016B">
            <w:pPr>
              <w:pStyle w:val="Tabletext"/>
            </w:pPr>
            <w:r w:rsidRPr="00D14B56">
              <w:t>Business Strategy and the Environment</w:t>
            </w:r>
          </w:p>
        </w:tc>
        <w:tc>
          <w:tcPr>
            <w:tcW w:w="0" w:type="auto"/>
            <w:hideMark/>
          </w:tcPr>
          <w:p w14:paraId="025DE3AC" w14:textId="77777777" w:rsidR="006379C0" w:rsidRPr="00D14B56" w:rsidRDefault="006379C0" w:rsidP="0001016B">
            <w:pPr>
              <w:pStyle w:val="Tabletext"/>
            </w:pPr>
            <w:r w:rsidRPr="00D14B56">
              <w:t>CE 100 directory</w:t>
            </w:r>
          </w:p>
        </w:tc>
        <w:tc>
          <w:tcPr>
            <w:tcW w:w="0" w:type="auto"/>
          </w:tcPr>
          <w:p w14:paraId="66F3FF1F" w14:textId="77777777" w:rsidR="006379C0" w:rsidRPr="00D14B56" w:rsidRDefault="006379C0" w:rsidP="0001016B">
            <w:pPr>
              <w:pStyle w:val="Tabletext"/>
            </w:pPr>
            <w:r w:rsidRPr="00D14B56">
              <w:t>46</w:t>
            </w:r>
          </w:p>
        </w:tc>
        <w:tc>
          <w:tcPr>
            <w:tcW w:w="0" w:type="auto"/>
          </w:tcPr>
          <w:p w14:paraId="398F2699" w14:textId="77777777" w:rsidR="006379C0" w:rsidRPr="00D14B56" w:rsidRDefault="006379C0" w:rsidP="0001016B">
            <w:pPr>
              <w:pStyle w:val="Tabletext"/>
            </w:pPr>
            <w:r w:rsidRPr="00D14B56">
              <w:t>Global</w:t>
            </w:r>
          </w:p>
        </w:tc>
        <w:tc>
          <w:tcPr>
            <w:tcW w:w="0" w:type="auto"/>
            <w:hideMark/>
          </w:tcPr>
          <w:p w14:paraId="43C8A05C" w14:textId="77777777" w:rsidR="006379C0" w:rsidRPr="00D14B56" w:rsidRDefault="006379C0" w:rsidP="0001016B">
            <w:pPr>
              <w:pStyle w:val="Tabletext"/>
            </w:pPr>
            <w:r w:rsidRPr="00D14B56">
              <w:t>CE practices</w:t>
            </w:r>
          </w:p>
        </w:tc>
        <w:tc>
          <w:tcPr>
            <w:tcW w:w="0" w:type="auto"/>
            <w:hideMark/>
          </w:tcPr>
          <w:p w14:paraId="02BCCF07" w14:textId="77777777" w:rsidR="006379C0" w:rsidRPr="00D14B56" w:rsidRDefault="006379C0" w:rsidP="0001016B">
            <w:pPr>
              <w:pStyle w:val="Tabletext"/>
              <w:rPr>
                <w:lang w:val="fr-FR"/>
              </w:rPr>
            </w:pPr>
            <w:r w:rsidRPr="00D14B56">
              <w:t>CS reports</w:t>
            </w:r>
          </w:p>
        </w:tc>
        <w:tc>
          <w:tcPr>
            <w:tcW w:w="0" w:type="auto"/>
          </w:tcPr>
          <w:p w14:paraId="205EFEB6" w14:textId="77777777" w:rsidR="006379C0" w:rsidRPr="00D14B56" w:rsidRDefault="006379C0" w:rsidP="0001016B">
            <w:pPr>
              <w:pStyle w:val="Tabletext"/>
            </w:pPr>
            <w:r w:rsidRPr="00D14B56">
              <w:t>Firm</w:t>
            </w:r>
          </w:p>
        </w:tc>
        <w:tc>
          <w:tcPr>
            <w:tcW w:w="0" w:type="auto"/>
            <w:hideMark/>
          </w:tcPr>
          <w:p w14:paraId="775E4450" w14:textId="77777777" w:rsidR="006379C0" w:rsidRPr="00D14B56" w:rsidRDefault="006379C0" w:rsidP="0001016B">
            <w:pPr>
              <w:pStyle w:val="Tabletext"/>
            </w:pPr>
            <w:r w:rsidRPr="00D14B56">
              <w:t>/</w:t>
            </w:r>
          </w:p>
        </w:tc>
      </w:tr>
      <w:tr w:rsidR="006379C0" w:rsidRPr="00D14B56" w14:paraId="61234875" w14:textId="77777777" w:rsidTr="00D14B56">
        <w:trPr>
          <w:trHeight w:val="828"/>
        </w:trPr>
        <w:tc>
          <w:tcPr>
            <w:tcW w:w="0" w:type="auto"/>
            <w:hideMark/>
          </w:tcPr>
          <w:p w14:paraId="34F63AA1" w14:textId="77777777" w:rsidR="006379C0" w:rsidRPr="00D14B56" w:rsidRDefault="006379C0" w:rsidP="0001016B">
            <w:pPr>
              <w:pStyle w:val="Tabletext"/>
            </w:pPr>
            <w:proofErr w:type="spellStart"/>
            <w:r w:rsidRPr="00D14B56">
              <w:lastRenderedPageBreak/>
              <w:t>Sihvonen</w:t>
            </w:r>
            <w:proofErr w:type="spellEnd"/>
            <w:r w:rsidRPr="00D14B56">
              <w:t xml:space="preserve"> &amp; </w:t>
            </w:r>
            <w:proofErr w:type="spellStart"/>
            <w:r w:rsidRPr="00D14B56">
              <w:t>Partanen</w:t>
            </w:r>
            <w:proofErr w:type="spellEnd"/>
            <w:r w:rsidRPr="00D14B56">
              <w:t>, 2017</w:t>
            </w:r>
          </w:p>
        </w:tc>
        <w:tc>
          <w:tcPr>
            <w:tcW w:w="0" w:type="auto"/>
            <w:hideMark/>
          </w:tcPr>
          <w:p w14:paraId="6533F2DA" w14:textId="77777777" w:rsidR="006379C0" w:rsidRPr="00D14B56" w:rsidRDefault="006379C0" w:rsidP="0001016B">
            <w:pPr>
              <w:pStyle w:val="Tabletext"/>
            </w:pPr>
            <w:r w:rsidRPr="00D14B56">
              <w:t>Eco-design practices with a focus on quantitative environmental targets: An exploratory content analysis within ICT sector</w:t>
            </w:r>
          </w:p>
        </w:tc>
        <w:tc>
          <w:tcPr>
            <w:tcW w:w="0" w:type="auto"/>
            <w:hideMark/>
          </w:tcPr>
          <w:p w14:paraId="14F87029" w14:textId="77777777" w:rsidR="006379C0" w:rsidRPr="00D14B56" w:rsidRDefault="006379C0" w:rsidP="0001016B">
            <w:pPr>
              <w:pStyle w:val="Tabletext"/>
            </w:pPr>
            <w:r w:rsidRPr="00D14B56">
              <w:t>Journal of Cleaner Production</w:t>
            </w:r>
          </w:p>
        </w:tc>
        <w:tc>
          <w:tcPr>
            <w:tcW w:w="0" w:type="auto"/>
            <w:hideMark/>
          </w:tcPr>
          <w:p w14:paraId="19F39C01" w14:textId="77777777" w:rsidR="006379C0" w:rsidRPr="00D14B56" w:rsidRDefault="006379C0" w:rsidP="0001016B">
            <w:pPr>
              <w:pStyle w:val="Tabletext"/>
            </w:pPr>
            <w:r w:rsidRPr="00D14B56">
              <w:t>quality disclosure requirements CDP, GRI</w:t>
            </w:r>
          </w:p>
        </w:tc>
        <w:tc>
          <w:tcPr>
            <w:tcW w:w="0" w:type="auto"/>
          </w:tcPr>
          <w:p w14:paraId="31B4944D" w14:textId="77777777" w:rsidR="006379C0" w:rsidRPr="00D14B56" w:rsidRDefault="006379C0" w:rsidP="0001016B">
            <w:pPr>
              <w:pStyle w:val="Tabletext"/>
            </w:pPr>
            <w:r w:rsidRPr="00D14B56">
              <w:t>43</w:t>
            </w:r>
          </w:p>
        </w:tc>
        <w:tc>
          <w:tcPr>
            <w:tcW w:w="0" w:type="auto"/>
          </w:tcPr>
          <w:p w14:paraId="77AA21D0" w14:textId="77777777" w:rsidR="006379C0" w:rsidRPr="00D14B56" w:rsidRDefault="006379C0" w:rsidP="0001016B">
            <w:pPr>
              <w:pStyle w:val="Tabletext"/>
            </w:pPr>
            <w:r w:rsidRPr="00D14B56">
              <w:t>Finland</w:t>
            </w:r>
          </w:p>
        </w:tc>
        <w:tc>
          <w:tcPr>
            <w:tcW w:w="0" w:type="auto"/>
            <w:hideMark/>
          </w:tcPr>
          <w:p w14:paraId="54E03294" w14:textId="77777777" w:rsidR="006379C0" w:rsidRPr="00D14B56" w:rsidRDefault="006379C0" w:rsidP="0001016B">
            <w:pPr>
              <w:pStyle w:val="Tabletext"/>
            </w:pPr>
            <w:r w:rsidRPr="00D14B56">
              <w:t>Eco-design practices</w:t>
            </w:r>
          </w:p>
        </w:tc>
        <w:tc>
          <w:tcPr>
            <w:tcW w:w="0" w:type="auto"/>
            <w:hideMark/>
          </w:tcPr>
          <w:p w14:paraId="38014815" w14:textId="77777777" w:rsidR="006379C0" w:rsidRPr="00D14B56" w:rsidRDefault="006379C0" w:rsidP="0001016B">
            <w:pPr>
              <w:pStyle w:val="Tabletext"/>
            </w:pPr>
            <w:r w:rsidRPr="00D14B56">
              <w:t>CS reports</w:t>
            </w:r>
          </w:p>
        </w:tc>
        <w:tc>
          <w:tcPr>
            <w:tcW w:w="0" w:type="auto"/>
          </w:tcPr>
          <w:p w14:paraId="2437322F" w14:textId="77777777" w:rsidR="006379C0" w:rsidRPr="00D14B56" w:rsidRDefault="006379C0" w:rsidP="0001016B">
            <w:pPr>
              <w:pStyle w:val="Tabletext"/>
            </w:pPr>
            <w:r w:rsidRPr="00D14B56">
              <w:t>Firm</w:t>
            </w:r>
          </w:p>
        </w:tc>
        <w:tc>
          <w:tcPr>
            <w:tcW w:w="0" w:type="auto"/>
            <w:hideMark/>
          </w:tcPr>
          <w:p w14:paraId="748D05C5" w14:textId="77777777" w:rsidR="006379C0" w:rsidRPr="00D14B56" w:rsidRDefault="006379C0" w:rsidP="0001016B">
            <w:pPr>
              <w:pStyle w:val="Tabletext"/>
            </w:pPr>
            <w:r w:rsidRPr="00D14B56">
              <w:t>DC, IT</w:t>
            </w:r>
          </w:p>
        </w:tc>
      </w:tr>
    </w:tbl>
    <w:p w14:paraId="219F8DF1" w14:textId="77777777" w:rsidR="006379C0" w:rsidRPr="00D14B56" w:rsidRDefault="006379C0" w:rsidP="00D14B56">
      <w:pPr>
        <w:spacing w:after="0" w:line="240" w:lineRule="auto"/>
        <w:rPr>
          <w:sz w:val="22"/>
          <w:szCs w:val="22"/>
        </w:rPr>
        <w:sectPr w:rsidR="006379C0" w:rsidRPr="00D14B56" w:rsidSect="00116B90">
          <w:pgSz w:w="16840" w:h="11901" w:orient="landscape" w:code="9"/>
          <w:pgMar w:top="1418" w:right="1985" w:bottom="1418" w:left="1418" w:header="709" w:footer="709" w:gutter="0"/>
          <w:cols w:space="708"/>
          <w:titlePg/>
          <w:docGrid w:linePitch="360"/>
        </w:sectPr>
      </w:pPr>
    </w:p>
    <w:p w14:paraId="01151D70" w14:textId="77777777" w:rsidR="006379C0" w:rsidRPr="006E688F" w:rsidRDefault="006379C0" w:rsidP="002F7336">
      <w:r w:rsidRPr="006E688F">
        <w:lastRenderedPageBreak/>
        <w:t xml:space="preserve">Furthermore, in most cases, the unit of analysis is the single firm. This is problematic as the literature has recognised the involvement of supply networks as fundamental to the design and operation of circular supply chains </w:t>
      </w:r>
      <w:r w:rsidRPr="006E688F">
        <w:fldChar w:fldCharType="begin" w:fldLock="1"/>
      </w:r>
      <w:r w:rsidRPr="006E688F">
        <w:instrText>ADDIN CSL_CITATION {"citationItems":[{"id":"ITEM-1","itemData":{"DOI":"Article","ISBN":"00178012","ISSN":"00178012","PMID":"803973233","abstract":"The circular economy is gaining increasing attention in Europe and around the world as a potential way for our society to increase prosperity, while reducing dependence on primary materials and energy. The European Commission is expected to propose a “circular economy package” by the end of 2015, and many business leaders embrace the circular economy as a path to increasing growth and profitability. At the same time, a lively debate is going on about the attractiveness of a circular economy for different stakeholders and its implications for employment, growth, and the environment. This report aims to contribute to a fact base to inform this debate, especially in Europe. The report suggests what a circular European economy could look like and compares its potential impact with the current development path. The report models potential European economic and environmental outcomes in both scenarios. It also examines how a more circular way of satisfying human needs could play out in three of the largest and most resource-intensive European value chains: mobility, food, and the built environment. In aggregate, the circular scenarios suggest that the opportunity for Europe’s economy could be large. The report does not aim to provide final answers or projections for a circular economy—this would be impossible given the major uncertainties involved in the transition. Rather, the report tries to identify and describe major differences that circularity could bring to the European economy and offers directional quantification of the most important differences. In doing so, the report builds on previous circular economy research, including work by the Ellen MacArthur Foundation and the McKinsey Center for Business and Environment. This report is the product of a knowledge partnership between the Ellen MacArthur Foundation, Stiftungsfonds für Umweltökonomie und Nachhaltigkeit (SUN),the new environmental economics branch of the Deutsche Post Foundation, and the McKinsey Center for Business and Environment. We encourage policy-makers inspired by the vision presented in this report to read the Ellen MacArthur Foundation’s new and complementary report, Delivering the circular economy: A toolkit for policy-makers. The toolkit offers an actionable, step-by-step methodology to help transition towards a circular economy. We are grateful to our numerous partners and advisors for their insights and support throughout this project, as acknowledged in the pages that follow. Th…","author":[{"dropping-particle":"","family":"EMAF","given":"","non-dropping-particle":"","parse-names":false,"suffix":""}],"container-title":"Ellen MacArthur Foundation","id":"ITEM-1","issued":{"date-parts":[["2015"]]},"page":"100","title":"Growth within: a circular economy vision for a competitive europe","type":"article-journal"},"uris":["http://www.mendeley.com/documents/?uuid=2aa20ca8-59e8-4d34-8a5f-30b9fe01eef2"]},{"id":"ITEM-2","itemData":{"DOI":"10.1080/09537287.2017.1343502","ISSN":"13665871","abstract":"This paper addresses questions of how extant research discourses concerning the sustainability of supply chains contribute to understanding about circularity in supply chain configurations that support restorative and regenerative processes, as espoused by the Circular Economy ideal. In response to these questions, we develop a content-based literature analysis to progress theoretical body of knowledge and conceptualise the notion of a circular supply chain. We derive an archetypal form from four antecedent sustainable supply chain narratives–‘reverse logistics’, ‘green supply chains’, ‘sustainable supply chain management’ and ‘closed-loop supply chains’. This paper offers five propositions about what the circular supply chain archetype represents in terms of its scope, focus and impact. Novel insights lead to a definition of circular supply chain and a more coherent foundation for future inquiry and practice.","author":[{"dropping-particle":"","family":"Batista","given":"Luciano","non-dropping-particle":"","parse-names":false,"suffix":""},{"dropping-particle":"","family":"Bourlakis","given":"Michael","non-dropping-particle":"","parse-names":false,"suffix":""},{"dropping-particle":"","family":"Smart","given":"Palie","non-dropping-particle":"","parse-names":false,"suffix":""},{"dropping-particle":"","family":"Maull","given":"Roger","non-dropping-particle":"","parse-names":false,"suffix":""}],"container-title":"Production Planning and Control","id":"ITEM-2","issue":"6","issued":{"date-parts":[["2018"]]},"page":"438-451","publisher":"Taylor &amp; Francis","title":"In search of a circular supply chain archetype–a content-analysis-based literature review","type":"article-journal","volume":"29"},"uris":["http://www.mendeley.com/documents/?uuid=1dd9d687-2ea2-4618-9014-a69d9be00bf2"]},{"id":"ITEM-3","itemData":{"DOI":"10.1080/00207543.2017.1402141","ISSN":"1366588X","abstract":"In the last few years, the circular economy has received considerable attention worldwide because it offers an opportunity to optimise and promote sustainable production and consumption through new models based on continuous growth and limitless resources. Although various advantages have been identified that emerge from the application of a circular economy, no concrete studies exist that investigate current state-of-the-art drivers, barriers and practices in this relevant field. An in-depth exploration of current practices would enhance the circular economy’s significance and would help understand its present level of implementation. With this concern, this study provides an analysis of the drivers, barriers and practices that influence the implementation of the circular economy in the context of supply chains through a systematic review. In order to analyse the circular economy’s level of implementation, we correlate stakeholders’ perspectives with drivers, barriers, and practices; thus, a multi-perspective framework is proposed. From the results, it is evident that among various stakeholders, the governmental perspective has the maximum positive impact on the implementation of the circular economy in supply chains. Specifically, the circular economy can be promoted through laws, policies, risk reduction (through tax levies) and strict governance.","author":[{"dropping-particle":"","family":"Govindan","given":"Kannan","non-dropping-particle":"","parse-names":false,"suffix":""},{"dropping-particle":"","family":"Hasanagic","given":"Mia","non-dropping-particle":"","parse-names":false,"suffix":""}],"container-title":"International Journal of Production Research","id":"ITEM-3","issue":"1-2","issued":{"date-parts":[["2018"]]},"page":"278-311","publisher":"Taylor &amp; Francis","title":"A systematic review on drivers, barriers, and practices towards circular economy: a supply chain perspective","type":"article-journal","volume":"56"},"uris":["http://www.mendeley.com/documents/?uuid=ed71e2c9-a156-48c2-a01b-2889609ef16f"]},{"id":"ITEM-4","itemData":{"DOI":"10.1016/j.omega.2015.05.015","ISSN":"03050483","abstract":"In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Kingdom)","id":"ITEM-4","issued":{"date-parts":[["2017"]]},"page":"344-357","publisher":"Elsevier","title":"Sustainable supply chain management and the transition towards a circular economy: Evidence and some applications","type":"article-journal","volume":"66"},"uris":["http://www.mendeley.com/documents/?uuid=5dd8e2c4-fae0-4040-ae7c-ed96e73d9ca4"]}],"mendeley":{"formattedCitation":"(EMAF, 2015; Genovese et al., 2017; Batista et al., 2018; Govindan &amp; Hasanagic, 2018)","plainTextFormattedCitation":"(EMAF, 2015; Genovese et al., 2017; Batista et al., 2018; Govindan &amp; Hasanagic, 2018)","previouslyFormattedCitation":"(EMAF, 2015; Genovese et al., 2017; Batista et al., 2018; Govindan &amp; Hasanagic, 2018)"},"properties":{"noteIndex":0},"schema":"https://github.com/citation-style-language/schema/raw/master/csl-citation.json"}</w:instrText>
      </w:r>
      <w:r w:rsidRPr="006E688F">
        <w:fldChar w:fldCharType="separate"/>
      </w:r>
      <w:r w:rsidRPr="006E688F">
        <w:t>(EMAF, 2015; Genovese et al., 2017; Batista et al., 2018; Govindan &amp; Hasanagic, 2018)</w:t>
      </w:r>
      <w:r w:rsidRPr="006E688F">
        <w:fldChar w:fldCharType="end"/>
      </w:r>
      <w:r w:rsidRPr="006E688F">
        <w:t xml:space="preserve"> and the support of wider socio-technical systems </w:t>
      </w:r>
      <w:r w:rsidRPr="006E688F">
        <w:fldChar w:fldCharType="begin" w:fldLock="1"/>
      </w:r>
      <w:r w:rsidRPr="006E688F">
        <w:instrText>ADDIN CSL_CITATION {"citationItems":[{"id":"ITEM-1","itemData":{"DOI":"10.1016/j.ecolecon.2020.106703","ISSN":"09218009","abstract":"The circular economy is argued to hold great promise for achieving sustainability. Yet, there is a dearth of research about what a circular future may look like. To address this gap, this paper proposes different plausible scenarios for a circular future, using a 2 × 2 scenario matrix method developed through a thought experiment and a focus group. Key drivers of change in this matrix are the nature of technologies deployed – high-tech or low-tech innovations – and the configuration of the governance regime – centralized or decentralized. From this, our paper builds four scenario narratives for the future of a circular economy: “planned circularity”, “bottom-up sufficiency”, “circular modernism”, and “peer-to-peer circularity”. It delineates the core characteristics and the upsides and downsides of each scenario. It shows that a circular economy can be organized in very contrasting ways. By generating insights about alternative circular futures, these scenarios may provide a clearer directionality to policy-makers and businesses, helping them both anticipate and understand the consequences of a paradigm shift towards a circular economy and shape policies and strategies, especially in the context of so-called mission-oriented innovation policies. They may also provide a sound basis for quantitatively modelling the impacts of a circular economy.","author":[{"dropping-particle":"","family":"Bauwens","given":"Thomas","non-dropping-particle":"","parse-names":false,"suffix":""},{"dropping-particle":"","family":"Hekkert","given":"Marko","non-dropping-particle":"","parse-names":false,"suffix":""},{"dropping-particle":"","family":"Kirchherr","given":"Julian","non-dropping-particle":"","parse-names":false,"suffix":""}],"container-title":"Ecological Economics","id":"ITEM-1","issue":"April","issued":{"date-parts":[["2020"]]},"page":"106703","publisher":"Elsevier","title":"Circular futures: What Will They Look Like?","type":"article-journal","volume":"175"},"uris":["http://www.mendeley.com/documents/?uuid=309d4a36-871c-4d34-9642-9027ee87daa6"]},{"id":"ITEM-2","itemData":{"DOI":"10.1016/j.ecolecon.2018.04.028","ISSN":"09218009","abstract":"The circular economy concept is much discussed in the European Union (EU), but only limited progress has been accomplished so far regarding its implementation. Most scholarly studies blame this on various technological barriers. Our work rebuts these studies. We present the first large-N-study on circular economy barriers in the EU (208 survey respondents, 47 expert interviews). We find that cultural barriers, particularly a lack of consumer interest and awareness as well as a hesitant company culture, are considered the main circular economy barriers by businesses and policy-makers. These are driven by market barriers which, in turn, are induced by a lack of synergistic governmental interventions to accelerate the transition towards a circular economy. Meanwhile, not a single technological barrier is ranked among the most pressing circular economy barriers, according to our research. Overall, our work suggests that circular economy is a niche discussion among sustainable development professionals at this stage. Significant efforts need to be undertaken for the concept to maintain its momentum.","author":[{"dropping-particle":"","family":"Kirchherr","given":"Julian","non-dropping-particle":"","parse-names":false,"suffix":""},{"dropping-particle":"","family":"Piscicelli","given":"Laura","non-dropping-particle":"","parse-names":false,"suffix":""},{"dropping-particle":"","family":"Bour","given":"Ruben","non-dropping-particle":"","parse-names":false,"suffix":""},{"dropping-particle":"","family":"Kostense-Smit","given":"Erica","non-dropping-particle":"","parse-names":false,"suffix":""},{"dropping-particle":"","family":"Muller","given":"Jennifer","non-dropping-particle":"","parse-names":false,"suffix":""},{"dropping-particle":"","family":"Huibrechtse-Truijens","given":"Anne","non-dropping-particle":"","parse-names":false,"suffix":""},{"dropping-particle":"","family":"Hekkert","given":"Marko","non-dropping-particle":"","parse-names":false,"suffix":""}],"container-title":"Ecological Economics","id":"ITEM-2","issue":"December 2017","issued":{"date-parts":[["2018"]]},"page":"264-272","publisher":"Elsevier","title":"Barriers to the Circular Economy: Evidence From the European Union (EU)","type":"article-journal","volume":"150"},"uris":["http://www.mendeley.com/documents/?uuid=a9277404-ee50-4c75-b7b3-f338cd89b5bb"]}],"mendeley":{"formattedCitation":"(Kirchherr et al., 2018; Bauwens et al., 2020)","plainTextFormattedCitation":"(Kirchherr et al., 2018; Bauwens et al., 2020)","previouslyFormattedCitation":"(Kirchherr et al., 2018; Bauwens et al., 2020)"},"properties":{"noteIndex":0},"schema":"https://github.com/citation-style-language/schema/raw/master/csl-citation.json"}</w:instrText>
      </w:r>
      <w:r w:rsidRPr="006E688F">
        <w:fldChar w:fldCharType="separate"/>
      </w:r>
      <w:r w:rsidRPr="006E688F">
        <w:t>(Kirchherr et al., 2018; Bauwens et al., 2020)</w:t>
      </w:r>
      <w:r w:rsidRPr="006E688F">
        <w:fldChar w:fldCharType="end"/>
      </w:r>
      <w:r w:rsidRPr="006E688F">
        <w:t xml:space="preserve">. In modern production and consumption systems, a single firm usually controls a limited part of the value creation process. Reuse, remanufacturing, and recycle feedback loops, usually require more actors in the same supply chain to collaborate, share information, and make decisions collaboratively. </w:t>
      </w:r>
    </w:p>
    <w:p w14:paraId="2216FEB9" w14:textId="201AA233" w:rsidR="006379C0" w:rsidRPr="006E688F" w:rsidRDefault="006379C0" w:rsidP="002F7336">
      <w:r w:rsidRPr="006E688F">
        <w:t>For all these reasons, a second round of literature search was performed to explore deeper the relationship between the most prominent concepts that emerged (</w:t>
      </w:r>
      <w:r w:rsidR="00E12455" w:rsidRPr="006E688F">
        <w:t>e.g.,</w:t>
      </w:r>
      <w:r w:rsidRPr="006E688F">
        <w:t xml:space="preserve"> institutional pressures and supply chain integration) and the adoption of CE practices. </w:t>
      </w:r>
    </w:p>
    <w:p w14:paraId="396615C1" w14:textId="77777777" w:rsidR="006379C0" w:rsidRPr="005035B4" w:rsidRDefault="006379C0" w:rsidP="005035B4">
      <w:pPr>
        <w:pStyle w:val="Heading3"/>
      </w:pPr>
      <w:bookmarkStart w:id="18" w:name="_Toc157759482"/>
      <w:r w:rsidRPr="005035B4">
        <w:t>Institutional pressures, Supply Chain Integration on the adoption of CE practices</w:t>
      </w:r>
      <w:bookmarkEnd w:id="18"/>
      <w:r w:rsidRPr="005035B4">
        <w:t xml:space="preserve"> </w:t>
      </w:r>
    </w:p>
    <w:p w14:paraId="1C5D702C" w14:textId="77777777" w:rsidR="006379C0" w:rsidRPr="006E688F" w:rsidRDefault="006379C0" w:rsidP="002F7336">
      <w:r w:rsidRPr="006E688F">
        <w:t xml:space="preserve">Also during this second literature search process keywords were chosen to select a first sample of articles, which was then enlarged through a snowballing process. The objective of this process was to investigate the possible relationship between institutional pressures, supply chain integration, and the adoption of CE practices. </w:t>
      </w:r>
    </w:p>
    <w:p w14:paraId="47A50068" w14:textId="77777777" w:rsidR="006379C0" w:rsidRPr="006E688F" w:rsidRDefault="006379C0" w:rsidP="002F7336">
      <w:r w:rsidRPr="006E688F">
        <w:t xml:space="preserve">Research streams that have contributed to the emergence of the CE debate in the Supply Chain Management literature were considered, namely SSCM, IE, and CLSCM. SSCM has already investigated the transition of global supply chains towards less impactful production and consumption paradigms, as well as the requirements at the supply chain level to make this possible; sustainable supply chains have been recently considered a unit of action for implementing CE in supply chains </w:t>
      </w:r>
      <w:r w:rsidRPr="006E688F">
        <w:fldChar w:fldCharType="begin" w:fldLock="1"/>
      </w:r>
      <w:r w:rsidRPr="006E688F">
        <w:instrText>ADDIN CSL_CITATION {"citationItems":[{"id":"ITEM-1","itemData":{"DOI":"10.1108/IJPDLM-01-2017-0049","ISSN":"09600035","abstract":"Purpose: Green supply chain management (GSCM) and the circular economy (CE) overlap but also differ. The purpose of this paper is to clarify linkages between these two concepts. It identifies mutual theory applications used to study GSCM and CE. Design/methodology/approach: A systematic literature review is conducted to identify theories from GSCM and CE studies. A critical analysis explores the theories that can provide mutual applications between GSCM and CE fields. Propositions are developed. Findings: In all, 12 theories are applied in both GSCM and CE studies. Several theories are only applied in GSCM studies, but can help to advance CE study. These theories include complexity, transaction cost economics, agency, and information theories. Each of the eight theories only applied to CE can potentially advance GSCM study. Research limitations/implications: The findings contribute to further theory development for both GSCM and CE study. A methodological review can advance theoretical development and cross-pollination in both fields. Originality/value: This work is the first study to explicitly explore linkages of GSCM and CE from a theoretical perspective.","author":[{"dropping-particle":"","family":"Liu","given":"Junjun","non-dropping-particle":"","parse-names":false,"suffix":""},{"dropping-particle":"","family":"Feng","given":"Yunting","non-dropping-particle":"","parse-names":false,"suffix":""},{"dropping-particle":"","family":"Zhu","given":"Qinghua","non-dropping-particle":"","parse-names":false,"suffix":""},{"dropping-particle":"","family":"Sarkis","given":"Joseph","non-dropping-particle":"","parse-names":false,"suffix":""}],"container-title":"International Journal of Physical Distribution and Logistics Management","id":"ITEM-1","issue":"8","issued":{"date-parts":[["2018"]]},"page":"794-817","title":"Green supply chain management and the circular economy: Reviewing theory for advancement of both fields","type":"article-journal","volume":"48"},"uris":["http://www.mendeley.com/documents/?uuid=cb60bd56-6f70-4f3d-809f-537e586bff97"]}],"mendeley":{"formattedCitation":"(Liu et al., 2018)","plainTextFormattedCitation":"(Liu et al., 2018)","previouslyFormattedCitation":"(Liu et al., 2018)"},"properties":{"noteIndex":0},"schema":"https://github.com/citation-style-language/schema/raw/master/csl-citation.json"}</w:instrText>
      </w:r>
      <w:r w:rsidRPr="006E688F">
        <w:fldChar w:fldCharType="separate"/>
      </w:r>
      <w:r w:rsidRPr="006E688F">
        <w:t>(Liu et al., 2018)</w:t>
      </w:r>
      <w:r w:rsidRPr="006E688F">
        <w:fldChar w:fldCharType="end"/>
      </w:r>
      <w:r w:rsidRPr="006E688F">
        <w:t xml:space="preserve">. </w:t>
      </w:r>
    </w:p>
    <w:p w14:paraId="200D6701" w14:textId="77777777" w:rsidR="006379C0" w:rsidRPr="00821C8F" w:rsidRDefault="006379C0" w:rsidP="002F7336">
      <w:pPr>
        <w:pStyle w:val="Heading4Paragraph"/>
      </w:pPr>
      <w:r w:rsidRPr="00821C8F">
        <w:t>2.1.1 Institutional pressures and the adoption of CE practices</w:t>
      </w:r>
    </w:p>
    <w:p w14:paraId="3D35674E" w14:textId="77777777" w:rsidR="006379C0" w:rsidRPr="006E688F" w:rsidRDefault="006379C0" w:rsidP="002F7336">
      <w:r w:rsidRPr="006E688F">
        <w:rPr>
          <w:i/>
          <w:iCs/>
        </w:rPr>
        <w:t>I</w:t>
      </w:r>
      <w:r w:rsidRPr="006E688F">
        <w:rPr>
          <w:i/>
        </w:rPr>
        <w:t>nstitutional theory</w:t>
      </w:r>
      <w:r w:rsidRPr="006E688F">
        <w:t xml:space="preserve"> and the concept of </w:t>
      </w:r>
      <w:r w:rsidRPr="006E688F">
        <w:rPr>
          <w:i/>
        </w:rPr>
        <w:t>isomorphism</w:t>
      </w:r>
      <w:r w:rsidRPr="006E688F">
        <w:t xml:space="preserve"> </w:t>
      </w:r>
      <w:r w:rsidRPr="006E688F">
        <w:fldChar w:fldCharType="begin" w:fldLock="1"/>
      </w:r>
      <w:r w:rsidRPr="006E688F">
        <w:instrText>ADDIN CSL_CITATION {"citationItems":[{"id":"ITEM-1","itemData":{"abstract":"What makes organizations so similar? We contend that the engine of rationalization and bureaucratization has moved from the competitive marketplace to the state and the professions. Once a set of organizations emerges as a field, a paradox arises: rational actors make their organizations increasingly similar as they try to change them. We describe three isomorphic processes-coercive, mimetic, and normative-leading to this outcome. We then specify hypotheses about the impact of resource centralization and dependency, goal ambiguity and technical uncertainty, and professionalization and structuration on isomorphic change. Finally, we suggest implications for theories of organizations and social change.","author":[{"dropping-particle":"","family":"DiMaggio","given":"Paul J.","non-dropping-particle":"","parse-names":false,"suffix":""},{"dropping-particle":"","family":"Powell","given":"Walter W.","non-dropping-particle":"","parse-names":false,"suffix":""}],"container-title":"American Sociological Review","id":"ITEM-1","issue":"2","issued":{"date-parts":[["1983"]]},"page":"147-160","title":"The Iron Cage Revisited : Institutional Isomorphism and Collective Rationality in Organizational Fields Author ( s ): Paul J . DiMaggio and Walter W . Powell Published by : American Sociological Association Stable URL : http://www.jstor.org/stable/2095101","type":"article-journal","volume":"48"},"uris":["http://www.mendeley.com/documents/?uuid=6717512e-7c25-4bfe-8ce7-03a6221f8d41"]}],"mendeley":{"formattedCitation":"(DiMaggio &amp; Powell, 1983)","plainTextFormattedCitation":"(DiMaggio &amp; Powell, 1983)","previouslyFormattedCitation":"(DiMaggio &amp; Powell, 1983)"},"properties":{"noteIndex":0},"schema":"https://github.com/citation-style-language/schema/raw/master/csl-citation.json"}</w:instrText>
      </w:r>
      <w:r w:rsidRPr="006E688F">
        <w:fldChar w:fldCharType="separate"/>
      </w:r>
      <w:r w:rsidRPr="006E688F">
        <w:t>(DiMaggio &amp; Powell, 1983)</w:t>
      </w:r>
      <w:r w:rsidRPr="006E688F">
        <w:fldChar w:fldCharType="end"/>
      </w:r>
      <w:r w:rsidRPr="006E688F">
        <w:t xml:space="preserve"> could help understand those pressures that define organisations’ practices and implementation strategies, while also taking into account the supply chain management dimension </w:t>
      </w:r>
      <w:r w:rsidRPr="006E688F">
        <w:fldChar w:fldCharType="begin" w:fldLock="1"/>
      </w:r>
      <w:r w:rsidRPr="006E688F">
        <w:instrText>ADDIN CSL_CITATION {"citationItems":[{"id":"ITEM-1","itemData":{"DOI":"10.1016/j.ijpe.2010.11.010","ISSN":"09255273","abstract":"Green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author":[{"dropping-particle":"","family":"Sarkis","given":"Joseph","non-dropping-particle":"","parse-names":false,"suffix":""},{"dropping-particle":"","family":"Zhu","given":"Qinghua","non-dropping-particle":"","parse-names":false,"suffix":""},{"dropping-particle":"","family":"Lai","given":"Kee Hung","non-dropping-particle":"","parse-names":false,"suffix":""}],"container-title":"International Journal of Production Economics","id":"ITEM-1","issue":"1","issued":{"date-parts":[["2011"]]},"page":"1-15","publisher":"Elsevier","title":"An organizational theoretic review of green supply chain management literature","type":"article-journal","volume":"130"},"uris":["http://www.mendeley.com/documents/?uuid=8957105b-d7b9-4460-89c4-91bc5d837cde"]}],"mendeley":{"formattedCitation":"(Sarkis et al., 2011)","plainTextFormattedCitation":"(Sarkis et al., 2011)","previouslyFormattedCitation":"(Sarkis et al., 2011)"},"properties":{"noteIndex":0},"schema":"https://github.com/citation-style-language/schema/raw/master/csl-citation.json"}</w:instrText>
      </w:r>
      <w:r w:rsidRPr="006E688F">
        <w:fldChar w:fldCharType="separate"/>
      </w:r>
      <w:r w:rsidRPr="006E688F">
        <w:t>(Sarkis et al., 2011)</w:t>
      </w:r>
      <w:r w:rsidRPr="006E688F">
        <w:fldChar w:fldCharType="end"/>
      </w:r>
      <w:r w:rsidRPr="006E688F">
        <w:t xml:space="preserve">. </w:t>
      </w:r>
      <w:r w:rsidRPr="006E688F">
        <w:rPr>
          <w:i/>
        </w:rPr>
        <w:t xml:space="preserve">Institutional isomorphism </w:t>
      </w:r>
      <w:r w:rsidRPr="006E688F">
        <w:rPr>
          <w:iCs/>
        </w:rPr>
        <w:t xml:space="preserve">acts through three mechanisms: </w:t>
      </w:r>
      <w:r w:rsidRPr="006E688F">
        <w:t xml:space="preserve">coercive, normative, and mimetic pressures (Table 2). </w:t>
      </w:r>
    </w:p>
    <w:p w14:paraId="44C9024A" w14:textId="7025BE05" w:rsidR="006379C0" w:rsidRPr="006E688F" w:rsidRDefault="006379C0" w:rsidP="002F7336">
      <w:r w:rsidRPr="006E688F">
        <w:t xml:space="preserve">Coercive pressure acts through laws and rules: organisations make decisions based on their fear to avoid sanctions. Normative pressure originates from binding expectations of social norms: </w:t>
      </w:r>
      <w:r w:rsidRPr="006E688F">
        <w:lastRenderedPageBreak/>
        <w:t>organisations are influenced not only by formal rules but also by what is viewed to be appro</w:t>
      </w:r>
      <w:r w:rsidR="00444F93">
        <w:t>priate and socially accepted. Mi</w:t>
      </w:r>
      <w:r w:rsidRPr="006E688F">
        <w:t>metic pressure involves shared conceptions and beliefs: organisations follow taken-for-granted dynamics and imitate best practices from other successful social actors, which have established themselves (Scott, 2003).</w:t>
      </w:r>
    </w:p>
    <w:p w14:paraId="6E699A63" w14:textId="77777777" w:rsidR="006379C0" w:rsidRPr="006E688F" w:rsidRDefault="006379C0" w:rsidP="002F7336">
      <w:r w:rsidRPr="006E688F">
        <w:t xml:space="preserve">According to institutional theory theoretical lenses, institutional pressures are one of the main drivers of ‘sustainable’ practices in organisations and their supply chains </w:t>
      </w:r>
      <w:r w:rsidRPr="006E688F">
        <w:fldChar w:fldCharType="begin" w:fldLock="1"/>
      </w:r>
      <w:r w:rsidRPr="006E688F">
        <w:instrText>ADDIN CSL_CITATION {"citationItems":[{"id":"ITEM-1","itemData":{"DOI":"10.1016/j.ijpe.2010.11.010","ISSN":"09255273","abstract":"Green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author":[{"dropping-particle":"","family":"Sarkis","given":"Joseph","non-dropping-particle":"","parse-names":false,"suffix":""},{"dropping-particle":"","family":"Zhu","given":"Qinghua","non-dropping-particle":"","parse-names":false,"suffix":""},{"dropping-particle":"","family":"Lai","given":"Kee Hung","non-dropping-particle":"","parse-names":false,"suffix":""}],"container-title":"International Journal of Production Economics","id":"ITEM-1","issue":"1","issued":{"date-parts":[["2011"]]},"page":"1-15","publisher":"Elsevier","title":"An organizational theoretic review of green supply chain management literature","type":"article-journal","volume":"130"},"uris":["http://www.mendeley.com/documents/?uuid=8957105b-d7b9-4460-89c4-91bc5d837cde"]},{"id":"ITEM-2","itemData":{"DOI":"10.1108/IJPDLM-05-2013-0106","ISSN":"09600035","abstract":"Purpose - The purpose of this paper is to investigate theoretical perspectives in sustainable supply chain management (SSCM) and contributes to understanding the current state of research in the field and its future development. Design/methodology/approach - This paper conducts a structured literature review and aims at mapping the use of theories in the field. The authors assess the current state of research, looking in more details at popular theories, and propose possible future avenues for the field to develop. Findings - Theory-building efforts in SSCM remain scarce, with the predominance of a few popular imported macro theories (resource-based view (RBV), stakeholder theory and institutional theory) having implications on the conceptualisation of SSCM and the topics researched to date. More theoretical contributions can potentially emerge from the adoption of original methodologies, the investigation of under-explored aspects of SSCM and the testing of recently developed frameworks. Research limitations/implications - Drawing on the analysis the authors propose an overarching map of popular theories in SSCM and define potential avenues towards the maturation of the discipline. A number of propositions are offered to guide future research. This study constitutes a first step towards understanding how theories in SSCM are developing and how SSCM has been conceptualised. Originality/value - The originality of this paper lies in its analytical focus on theories in SSCM, which have not been mapped to date.","author":[{"dropping-particle":"","family":"Touboulic","given":"Anne","non-dropping-particle":"","parse-names":false,"suffix":""},{"dropping-particle":"","family":"Walker","given":"Helen","non-dropping-particle":"","parse-names":false,"suffix":""}],"container-title":"International Journal of Physical Distribution and Logistics Management","id":"ITEM-2","issued":{"date-parts":[["2015","3","2"]]},"page":"16-42","publisher":"Emerald Group Publishing Ltd.","title":"Theories in sustainable supply chain management: A structured literature review","type":"article","volume":"45"},"uris":["http://www.mendeley.com/documents/?uuid=4e98e46a-6d1e-3151-aaea-bd656493cb51"]},{"id":"ITEM-3","itemData":{"DOI":"10.1016/j.pursup.2012.12.001","ISSN":"14784092","abstract":"Green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Management","id":"ITEM-3","issue":"2","issued":{"date-parts":[["2013"]]},"page":"106-117","publisher":"Elsevier","title":"Institutional-based antecedents and performance outcomes of internal and external green supply chain management practices","type":"article-journal","volume":"19"},"uris":["http://www.mendeley.com/documents/?uuid=1da0a602-27b6-41eb-b893-9cf81eeae654"]},{"id":"ITEM-4","itemData":{"DOI":"10.1016/j.resconrec.2017.08.017","ISSN":"18790658","abstract":"The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Recycling","id":"ITEM-4","issue":"August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Europe","type":"article-journal","volume":"135"},"uris":["http://www.mendeley.com/documents/?uuid=9e3263bd-e8a0-4a47-9772-35fddaf67ff7"]}],"mendeley":{"formattedCitation":"(Sarkis et al., 2011; Zhu et al., 2013; Touboulic &amp; Walker, 2015; Ranta et al., 2018)","plainTextFormattedCitation":"(Sarkis et al., 2011; Zhu et al., 2013; Touboulic &amp; Walker, 2015; Ranta et al., 2018)","previouslyFormattedCitation":"(Sarkis et al., 2011; Zhu et al., 2013; Touboulic &amp; Walker, 2015; Ranta et al., 2018)"},"properties":{"noteIndex":0},"schema":"https://github.com/citation-style-language/schema/raw/master/csl-citation.json"}</w:instrText>
      </w:r>
      <w:r w:rsidRPr="006E688F">
        <w:fldChar w:fldCharType="separate"/>
      </w:r>
      <w:r w:rsidRPr="006E688F">
        <w:t>(Sarkis et al., 2011; Zhu et al., 2013; Touboulic &amp; Walker, 2015; Ranta et al., 2018)</w:t>
      </w:r>
      <w:r w:rsidRPr="006E688F">
        <w:fldChar w:fldCharType="end"/>
      </w:r>
      <w:r w:rsidRPr="006E688F">
        <w:t xml:space="preserve">, and the most important factor behind triple-bottom-line integration in corporations strategy in every industrial sector </w:t>
      </w:r>
      <w:r w:rsidRPr="006E688F">
        <w:fldChar w:fldCharType="begin" w:fldLock="1"/>
      </w:r>
      <w:r w:rsidRPr="006E688F">
        <w:instrText>ADDIN CSL_CITATION {"citationItems":[{"id":"ITEM-1","itemData":{"DOI":"10.1111/j.1745-493X.2009.03184.x","ISSN":"15232409","abstract":"Firms are increasingly under pressure from stakeholders to incorporate the triple-bottom line of social, environmental and economic responsibility considerations into operations and supply chain management strategies. This research uses content analysis software that performed centering resonance analysis to examine corporate communication to stakeholders through corporate social responsibility (CSR) reports. The intent is to determine how supply chain strategies factor in to the triple-bottom line of 100 socially and environmentally responsible global companies. This research compares and contrasts the influential words in the CSR reports of firms from a range of industries, sizes and geographical regions. The content analysis revealed ten themes that provide a snapshot of how top global companies integrate and improve the triple-bottom line in internal operations and external supply chains. Findings indicated that while institutional pressure is the major driving force behind strategy development for all of the industries studied, companies emphasize different facets of social, environmental and economic responsibility upstream and downstream in supply chains based on industry, size and geographic location. The analysis revealed unique insights regarding corporate communications that other methodologies would not find. © 2009 Institute for Supply Management, Inc.™.","author":[{"dropping-particle":"","family":"Tate","given":"Wendy L.","non-dropping-particle":"","parse-names":false,"suffix":""},{"dropping-particle":"","family":"Ellram","given":"Lisa M.","non-dropping-particle":"","parse-names":false,"suffix":""},{"dropping-particle":"","family":"Kirchoff","given":"Jon F.","non-dropping-particle":"","parse-names":false,"suffix":""}],"container-title":"Journal of Supply Chain Management","id":"ITEM-1","issue":"1","issued":{"date-parts":[["2010"]]},"page":"19-44","title":"Corporate social responsibility reports: A thematic analysis related to supply chain management","type":"article-journal","volume":"46"},"uris":["http://www.mendeley.com/documents/?uuid=f3336daa-94a4-4b47-8d91-fb4640794e17"]}],"mendeley":{"formattedCitation":"(Tate et al., 2010)","plainTextFormattedCitation":"(Tate et al., 2010)","previouslyFormattedCitation":"(Tate et al., 2010)"},"properties":{"noteIndex":0},"schema":"https://github.com/citation-style-language/schema/raw/master/csl-citation.json"}</w:instrText>
      </w:r>
      <w:r w:rsidRPr="006E688F">
        <w:fldChar w:fldCharType="separate"/>
      </w:r>
      <w:r w:rsidRPr="006E688F">
        <w:t>(Tate et al., 2010)</w:t>
      </w:r>
      <w:r w:rsidRPr="006E688F">
        <w:fldChar w:fldCharType="end"/>
      </w:r>
      <w:r w:rsidRPr="006E688F">
        <w:t xml:space="preserve">. Supply chains adopt sustainable and green practices to gain legitimacy with stakeholders’ groups. </w:t>
      </w:r>
    </w:p>
    <w:p w14:paraId="6454A912" w14:textId="77777777" w:rsidR="006379C0" w:rsidRPr="006E688F" w:rsidRDefault="006379C0" w:rsidP="002F7336">
      <w:r w:rsidRPr="006E688F">
        <w:t xml:space="preserve">Similarly, the adoption of CE practices could be interpreted as an answer to existing changing rules, norms, and beliefs </w:t>
      </w:r>
      <w:r w:rsidRPr="006E688F">
        <w:fldChar w:fldCharType="begin" w:fldLock="1"/>
      </w:r>
      <w:r w:rsidRPr="006E688F">
        <w:instrText>ADDIN CSL_CITATION {"citationItems":[{"id":"ITEM-1","itemData":{"DOI":"10.1016/j.jenvman.2010.02.013","ISSN":"03014797","abstract":"The rapidly growing industrial activities in emerging economies such as China have been causing resource depletion and pollution problems. This reality requires China to adopt an integrated management approach to resolve the conflict between industrial development and environmental protection, and the concept of circular economy (CE) serves this purpose. In this paper, we examine if different types of manufacturing enterprises on environmental-oriented supply chain cooperation (ESCC) exist. We also determine if the Chinese manufacturer types varying in ESCC differ in their implementation of the CE practices towards achieving the CE-targeted goals on improving both environmental and economic performance. Our cluster analytic results with multivariate analysis of variance (MANOVA) among the four identified types of Chinese manufacturers varying in environmental-oriented supply chain cooperation highlight the importance to intensify the cooperation with upstream and downstream supply chain partners for a CE initiative to succeed. © 2010 Elsevier Ltd.","author":[{"dropping-particle":"","family":"Zhu","given":"Qinghua","non-dropping-particle":"","parse-names":false,"suffix":""},{"dropping-particle":"","family":"Geng","given":"Yong","non-dropping-particle":"","parse-names":false,"suffix":""},{"dropping-particle":"","family":"Lai","given":"Kee hung","non-dropping-particle":"","parse-names":false,"suffix":""}],"container-title":"Journal of Environmental Management","id":"ITEM-1","issue":"6","issued":{"date-parts":[["2010"]]},"page":"1324-1331","publisher":"Elsevier Ltd","title":"Circular economy practices among Chinese manufacturers varying in environmental-oriented supply chain cooperation and the performance implications","type":"article-journal","volume":"91"},"uris":["http://www.mendeley.com/documents/?uuid=6c8b9d21-4a9f-488a-8435-6c6e3c15f981"]},{"id":"ITEM-2","itemData":{"DOI":"10.1111/j.1530-9290.2011.00332.x","ISSN":"10881980","abstract":"Eco-industrial initiatives, which close industrial loops by turning wastes at one point in a value chain into inputs at another point, are attracting growing interest as a solution to the problem of sustainability of industrial systems. Although Germany and Japan have made important advances in building recycling incentives into their industrial systems and sought competitive advantage from doing so, China is arguably taking the issue even further (in principle) through its pursuit of a circular economy, now enshrined in law as an official national development goal. In this article, we review a number of the eco-industrial initiatives taken in China and compare them using a common graphical representation with comparable initiatives taken in the West and elsewhere in East Asia. Our aim is to demonstrate some common themes across the case studies, such as the transformation from the former linear economy to a circular economy and the evolutionary processes in which dynamic linkages are gradually established over time. We discuss the drivers of these eco-industrial initiatives as well as the inhibitors, setting the initiatives in an evolutionary framework and introducing a notion of Pareto eco-efficiency to evaluate them. We make the argument that China might be capturing latecomer advantages through its systematic promotion of eco-industrial initiatives within a circular economy framework. © 2011 by Yale University.","author":[{"dropping-particle":"","family":"Mathews","given":"John A.","non-dropping-particle":"","parse-names":false,"suffix":""},{"dropping-particle":"","family":"Tan","given":"Hao","non-dropping-particle":"","parse-names":false,"suffix":""}],"container-title":"Journal of Industrial Ecology","id":"ITEM-2","issue":"3","issued":{"date-parts":[["2011"]]},"page":"435-457","title":"Progress toward a circular economy in China: The drivers (and inhibitors) of eco-industrial initiative","type":"article-journal","volume":"15"},"uris":["http://www.mendeley.com/documents/?uuid=617f8dbf-d52d-45c2-be20-c9ba6cf489c1"]}],"mendeley":{"formattedCitation":"(Zhu et al., 2010; Mathews &amp; Tan, 2011)","plainTextFormattedCitation":"(Zhu et al., 2010; Mathews &amp; Tan, 2011)","previouslyFormattedCitation":"(Zhu et al., 2010; Mathews &amp; Tan, 2011)"},"properties":{"noteIndex":0},"schema":"https://github.com/citation-style-language/schema/raw/master/csl-citation.json"}</w:instrText>
      </w:r>
      <w:r w:rsidRPr="006E688F">
        <w:fldChar w:fldCharType="separate"/>
      </w:r>
      <w:r w:rsidRPr="006E688F">
        <w:t>(Zhu et al., 2010; Mathews &amp; Tan, 2011)</w:t>
      </w:r>
      <w:r w:rsidRPr="006E688F">
        <w:fldChar w:fldCharType="end"/>
      </w:r>
      <w:r w:rsidRPr="006E688F">
        <w:t xml:space="preserve">. Public opinion, legislation, and competing pressures challenge MNEs' reputation </w:t>
      </w:r>
      <w:r w:rsidRPr="006E688F">
        <w:fldChar w:fldCharType="begin" w:fldLock="1"/>
      </w:r>
      <w:r w:rsidRPr="006E688F">
        <w:instrText>ADDIN CSL_CITATION {"citationItems":[{"id":"ITEM-1","itemData":{"abstract":"Purpose: Academia has so far only sparsely investigated the phenomenon of circular economy with the support of organisational theories. We propose an Institutional Perspective to investigate how the new phenomenon influences different aspects of solution business and explain why circular economy principles are adopted or ignored by manufacturers. Design/Methodology/Approach: In this conceptual study based on a literature review of 55 journal articles, we present and unpack core ideas of Institutional Theory and set each of them in the context of circular economy. Findings: Research in circular economy has so far predominantly used institutional pressures and not developed the theory further. We discuss three major constructs of IT, Institutional Isomorphism, Institutional Logics, and Organisational Fields in the context of circular economy to be used in management research and practice. Originality/Value: Institutional Theory is recently under scrutiny as it has become too vague and used inaccurately as a means to get published in management journals. With our study, we propose a way to refocus Institutional Theory and present operationalizable suggestion for a variety of further research in the field of servitization and business development.","author":[{"dropping-particle":"","family":"Widmer","given":"Tobias","non-dropping-particle":"","parse-names":false,"suffix":""},{"dropping-particle":"","family":"Prior","given":"Daniel","non-dropping-particle":"","parse-names":false,"suffix":""}],"container-title":"Proceedings of the Spring Servitization Conference 2019","id":"ITEM-1","issue":"May","issued":{"date-parts":[["2019"]]},"title":"Institutional Isomorphism, Institutional Logics and Organisational Fields: An Institutionalist Perspective on Circular Economy","type":"article-journal"},"uris":["http://www.mendeley.com/documents/?uuid=982cf74d-d85c-41e8-b52f-31f78aa5260a"]},{"id":"ITEM-2","itemData":{"DOI":"10.1016/j.resconrec.2017.08.017","ISSN":"18790658","abstract":"The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Recycling","id":"ITEM-2","issue":"August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Europe","type":"article-journal","volume":"135"},"uris":["http://www.mendeley.com/documents/?uuid=9e3263bd-e8a0-4a47-9772-35fddaf67ff7"]}],"mendeley":{"formattedCitation":"(Ranta et al., 2018; Widmer &amp; Prior, 2019)","plainTextFormattedCitation":"(Ranta et al., 2018; Widmer &amp; Prior, 2019)","previouslyFormattedCitation":"(Ranta et al., 2018; Widmer &amp; Prior, 2019)"},"properties":{"noteIndex":0},"schema":"https://github.com/citation-style-language/schema/raw/master/csl-citation.json"}</w:instrText>
      </w:r>
      <w:r w:rsidRPr="006E688F">
        <w:fldChar w:fldCharType="separate"/>
      </w:r>
      <w:r w:rsidRPr="006E688F">
        <w:t>(Ranta et al., 2018; Widmer &amp; Prior, 2019)</w:t>
      </w:r>
      <w:r w:rsidRPr="006E688F">
        <w:fldChar w:fldCharType="end"/>
      </w:r>
      <w:r w:rsidRPr="006E688F">
        <w:t xml:space="preserve"> and shape their decision-making process. Furthermore, those pressures affect the whole supply network; within the highly specialised, fragmented, and globalised production systems context, competition dynamics occur at the supply chain level rather than the single firm one </w:t>
      </w:r>
      <w:r w:rsidRPr="006E688F">
        <w:fldChar w:fldCharType="begin" w:fldLock="1"/>
      </w:r>
      <w:r w:rsidRPr="006E688F">
        <w:instrText>ADDIN CSL_CITATION {"citationItems":[{"id":"ITEM-1","itemData":{"DOI":"10.1016/j.jom.2006.05.010","ISSN":"02726963","abstract":"Rivalry is increasingly being contested at the supply chain level of analysis. Rather than competing \"firm versus firm,\" today's organizations are battling \"supply chain versus supply chain.\" Within this context, best value supply chains are emerging as a means to create competitive advantages and superior performance. While traditional supply chains often focus primarily on one key outcome such as speed or cost, best value supply chains excel along an array of uniquely integrated priorities-cost, quality, speed, and flexibility. We describe how key organizational theories help to distinguish traditional supply chains from best value supply chains. To provide a foundation for future inquiry, we offer theory-based research questions that are focused on best value supply chains. © 2006 Elsevier B.V. All rights reserved.","author":[{"dropping-particle":"","family":"Ketchen","given":"David J.","non-dropping-particle":"","parse-names":false,"suffix":""},{"dropping-particle":"","family":"Hult","given":"G. Tomas M.","non-dropping-particle":"","parse-names":false,"suffix":""}],"container-title":"Journal of Operations Management","id":"ITEM-1","issue":"2","issued":{"date-parts":[["2007"]]},"page":"573-580","title":"Bridging organization theory and supply chain management: The case of best value supply chains","type":"article-journal","volume":"25"},"uris":["http://www.mendeley.com/documents/?uuid=53d8c53e-a378-4bbe-8e80-74a190fb068e"]}],"mendeley":{"formattedCitation":"(Ketchen &amp; Hult, 2007)","plainTextFormattedCitation":"(Ketchen &amp; Hult, 2007)","previouslyFormattedCitation":"(Ketchen &amp; Hult, 2007)"},"properties":{"noteIndex":0},"schema":"https://github.com/citation-style-language/schema/raw/master/csl-citation.json"}</w:instrText>
      </w:r>
      <w:r w:rsidRPr="006E688F">
        <w:fldChar w:fldCharType="separate"/>
      </w:r>
      <w:r w:rsidRPr="006E688F">
        <w:t>(Ketchen &amp; Hult, 2007)</w:t>
      </w:r>
      <w:r w:rsidRPr="006E688F">
        <w:fldChar w:fldCharType="end"/>
      </w:r>
      <w:r w:rsidRPr="006E688F">
        <w:t xml:space="preserve">. </w:t>
      </w:r>
    </w:p>
    <w:p w14:paraId="1F1CCD03" w14:textId="77777777" w:rsidR="006379C0" w:rsidRPr="006E688F" w:rsidRDefault="006379C0" w:rsidP="002F7336">
      <w:pPr>
        <w:pStyle w:val="Figurecaption"/>
      </w:pPr>
      <w:r w:rsidRPr="006E688F">
        <w:t xml:space="preserve">Table </w:t>
      </w:r>
      <w:r w:rsidR="00C6052A">
        <w:fldChar w:fldCharType="begin"/>
      </w:r>
      <w:r w:rsidR="00C6052A">
        <w:instrText xml:space="preserve"> STYLEREF 1 \s </w:instrText>
      </w:r>
      <w:r w:rsidR="00C6052A">
        <w:fldChar w:fldCharType="separate"/>
      </w:r>
      <w:r w:rsidRPr="006E688F">
        <w:rPr>
          <w:rFonts w:hint="eastAsia"/>
          <w:cs/>
        </w:rPr>
        <w:t>‎</w:t>
      </w:r>
      <w:r w:rsidRPr="006E688F">
        <w:t>2</w:t>
      </w:r>
      <w:r w:rsidR="00C6052A">
        <w:fldChar w:fldCharType="end"/>
      </w:r>
      <w:r w:rsidRPr="006E688F">
        <w:t xml:space="preserve"> – Examples of institutional pressures in SCM literature</w:t>
      </w:r>
    </w:p>
    <w:tbl>
      <w:tblPr>
        <w:tblStyle w:val="TableGrid2"/>
        <w:tblW w:w="0" w:type="auto"/>
        <w:tblLook w:val="04A0" w:firstRow="1" w:lastRow="0" w:firstColumn="1" w:lastColumn="0" w:noHBand="0" w:noVBand="1"/>
      </w:tblPr>
      <w:tblGrid>
        <w:gridCol w:w="1579"/>
        <w:gridCol w:w="5499"/>
        <w:gridCol w:w="1977"/>
      </w:tblGrid>
      <w:tr w:rsidR="006379C0" w:rsidRPr="00D14B56" w14:paraId="16710459" w14:textId="77777777" w:rsidTr="00D14B56">
        <w:tc>
          <w:tcPr>
            <w:tcW w:w="0" w:type="auto"/>
          </w:tcPr>
          <w:p w14:paraId="2EF1B84B" w14:textId="77777777" w:rsidR="006379C0" w:rsidRPr="00D14B56" w:rsidRDefault="006379C0" w:rsidP="0001016B">
            <w:pPr>
              <w:pStyle w:val="Tabletext"/>
            </w:pPr>
            <w:r w:rsidRPr="00D14B56">
              <w:t>Constructs</w:t>
            </w:r>
          </w:p>
        </w:tc>
        <w:tc>
          <w:tcPr>
            <w:tcW w:w="5499" w:type="dxa"/>
          </w:tcPr>
          <w:p w14:paraId="0A37E4AC" w14:textId="77777777" w:rsidR="006379C0" w:rsidRPr="00D14B56" w:rsidRDefault="006379C0" w:rsidP="0001016B">
            <w:pPr>
              <w:pStyle w:val="Tabletext"/>
            </w:pPr>
            <w:r w:rsidRPr="00D14B56">
              <w:t>Examples of pressures</w:t>
            </w:r>
          </w:p>
        </w:tc>
        <w:tc>
          <w:tcPr>
            <w:tcW w:w="1977" w:type="dxa"/>
          </w:tcPr>
          <w:p w14:paraId="1D4C62A5" w14:textId="77777777" w:rsidR="006379C0" w:rsidRPr="00D14B56" w:rsidRDefault="006379C0" w:rsidP="0001016B">
            <w:pPr>
              <w:pStyle w:val="Tabletext"/>
            </w:pPr>
            <w:r w:rsidRPr="00D14B56">
              <w:t>Authors</w:t>
            </w:r>
          </w:p>
        </w:tc>
      </w:tr>
      <w:tr w:rsidR="006379C0" w:rsidRPr="00D14B56" w14:paraId="0BB4E903" w14:textId="77777777" w:rsidTr="00D14B56">
        <w:tc>
          <w:tcPr>
            <w:tcW w:w="0" w:type="auto"/>
          </w:tcPr>
          <w:p w14:paraId="08C08AD9" w14:textId="77777777" w:rsidR="006379C0" w:rsidRPr="00D14B56" w:rsidRDefault="006379C0" w:rsidP="0001016B">
            <w:pPr>
              <w:pStyle w:val="Tabletext"/>
            </w:pPr>
            <w:r w:rsidRPr="00D14B56">
              <w:t>Coercive Pressure</w:t>
            </w:r>
          </w:p>
          <w:p w14:paraId="5D9B695E" w14:textId="77777777" w:rsidR="006379C0" w:rsidRPr="00D14B56" w:rsidRDefault="006379C0" w:rsidP="0001016B">
            <w:pPr>
              <w:pStyle w:val="Tabletext"/>
            </w:pPr>
          </w:p>
        </w:tc>
        <w:tc>
          <w:tcPr>
            <w:tcW w:w="5499" w:type="dxa"/>
          </w:tcPr>
          <w:p w14:paraId="2E262061" w14:textId="77777777" w:rsidR="006379C0" w:rsidRPr="00D14B56" w:rsidRDefault="006379C0" w:rsidP="0001016B">
            <w:pPr>
              <w:pStyle w:val="Tabletext"/>
            </w:pPr>
            <w:r w:rsidRPr="00D14B56">
              <w:t xml:space="preserve">National/Regional environmental regulations (such as waste emission, cleaner production etc.) </w:t>
            </w:r>
          </w:p>
          <w:p w14:paraId="07B4EBEE" w14:textId="77777777" w:rsidR="006379C0" w:rsidRPr="00D14B56" w:rsidRDefault="006379C0" w:rsidP="0001016B">
            <w:pPr>
              <w:pStyle w:val="Tabletext"/>
            </w:pPr>
            <w:r w:rsidRPr="00D14B56">
              <w:t>National/ Regional resource-saving and conservation regulations</w:t>
            </w:r>
          </w:p>
        </w:tc>
        <w:tc>
          <w:tcPr>
            <w:tcW w:w="1977" w:type="dxa"/>
            <w:vMerge w:val="restart"/>
          </w:tcPr>
          <w:p w14:paraId="42CBAFE6" w14:textId="77777777" w:rsidR="006379C0" w:rsidRPr="00D14B56" w:rsidRDefault="006379C0" w:rsidP="0001016B">
            <w:pPr>
              <w:pStyle w:val="Tabletext"/>
            </w:pPr>
            <w:r w:rsidRPr="00D14B56">
              <w:fldChar w:fldCharType="begin" w:fldLock="1"/>
            </w:r>
            <w:r w:rsidRPr="00D14B56">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practices","type":"article-journal","volume":"19"},"uris":["http://www.mendeley.com/documents/?uuid=1da0a602-27b6-41eb-b893-9cf81eeae654"]},{"id":"ITEM-2","itemData":{"DOI":"10.1002/bse.2593","ISSN":"10990836","abstract":"The pressures to make business operations sustainable have been pushing organizations to adopt circular economy (CE) principles. With depleting fossil resources, the oil and gas (O&amp;G) sector is pushed towards recycling limited resources available with it by leveraging CE principles. However, not many studies have been taken up how institutional pressures influence CE-targeted environmental and economic performances. Drawing on institutional theory, this study examines the moderated-mediation role of organization flexibility on the effects of institutional pressures on CE performance through environmental management systems (EMSs). Data are collected from 280 firms in Indian O&amp;G sector using questionnaire-based survey method. The study reveals that organizations leverage EMS to achieve CE performance, and flexible organizations compared with rigid ones are more effective in dealing with coercive pressures by leveraging EMS. These insights may help policymakers to formulate regulatory framework judiciously that encourages firms to adopt EMS in making their operations environmentally sustainable.","author":[{"dropping-particle":"","family":"Jain","given":"Nikunj Kumar","non-dropping-particle":"","parse-names":false,"suffix":""},{"dropping-particle":"","family":"Panda","given":"Abinash","non-dropping-particle":"","parse-names":false,"suffix":""},{"dropping-particle":"","family":"Choudhary","given":"Piyush","non-dropping-particle":"","parse-names":false,"suffix":""}],"container-title":"Business Strategy and the Environment","id":"ITEM-2","issue":"8","issued":{"date-parts":[["2020"]]},"page":"3509-3525","title":"Institutional pressures and circular economy performance: The role of environmental management system and organizational flexibility in oil and gas sector","type":"article-journal","volume":"29"},"uris":["http://www.mendeley.com/documents/?uuid=de13da22-10d7-4e8e-b0a8-7a0b28ea49ec"]},{"id":"ITEM-3","itemData":{"DOI":"10.1016/j.jclepro.2016.10.093","ISSN":"09596526","abstract":"An eco-industrial park is the practical application of sustainable supply chain management at an industrial park level. As the external sustainability of the supply chain becomes more difficult, integrating the circular economy concept into supply chain management is required to achieve an optimal balance of economic, social, and environmental benefits for a company. Based on institutional theory, we construct a concept model according to the paradigm of “institution-conduct-performance.” We then test the mechanism and relationships among institutional pressure, supply chain relationship management, sustainable supply chain design, and circular economy capability using data collected from eco-industrial park firms in China via 363 questionnaires. The findings show that institutional pressure has a significant positive impact on supply chain relationship management and sustainable supply chain design; sustainable supply chain management practice is an important factor promoting the improvement of the circular economy capability of companies, and coercive pressure, normative pressure, and mimetic pressure exert different degrees of negative moderating effects. This study expands our knowledge of variables affecting sustainable supply chain management and also provides theoretical guidance for successful green production practices of eco-industrial park firms.","author":[{"dropping-particle":"","family":"Zeng","given":"Huixiang","non-dropping-particle":"","parse-names":false,"suffix":""},{"dropping-particle":"","family":"Chen","given":"Xiaohong","non-dropping-particle":"","parse-names":false,"suffix":""},{"dropping-particle":"","family":"Xiao","given":"Xu","non-dropping-particle":"","parse-names":false,"suffix":""},{"dropping-particle":"","family":"Zhou","given":"Zhifang","non-dropping-particle":"","parse-names":false,"suffix":""}],"container-title":"Journal of Cleaner Production","id":"ITEM-3","issue":"May 2014","issued":{"date-parts":[["2017"]]},"page":"54-65","publisher":"Elsevier Ltd","title":"Institutional pressures, sustainable supply chain management, and circular economy capability: Empirical evidence from Chinese eco-industrial park firms","type":"article-journal","volume":"155"},"uris":["http://www.mendeley.com/documents/?uuid=8c7c1062-01b5-44cb-976b-2e628c14e352"]}],"mendeley":{"formattedCitation":"(Zhu et al., 2013; Zeng et al., 2017; Jain et al., 2020)","plainTextFormattedCitation":"(Zhu et al., 2013; Zeng et al., 2017; Jain et al., 2020)","previouslyFormattedCitation":"(Zhu et al., 2013; Zeng et al., 2017; Jain et al., 2020)"},"properties":{"noteIndex":0},"schema":"https://github.com/citation-style-language/schema/raw/master/csl-citation.json"}</w:instrText>
            </w:r>
            <w:r w:rsidRPr="00D14B56">
              <w:fldChar w:fldCharType="separate"/>
            </w:r>
            <w:r w:rsidRPr="00D14B56">
              <w:t>(Zhu et al., 2013; Zeng et al., 2017; Jain et al., 2020)</w:t>
            </w:r>
            <w:r w:rsidRPr="00D14B56">
              <w:fldChar w:fldCharType="end"/>
            </w:r>
          </w:p>
          <w:p w14:paraId="1B27EB5D" w14:textId="77777777" w:rsidR="006379C0" w:rsidRPr="00D14B56" w:rsidRDefault="006379C0" w:rsidP="0001016B">
            <w:pPr>
              <w:pStyle w:val="Tabletext"/>
            </w:pPr>
          </w:p>
          <w:p w14:paraId="657D1C55" w14:textId="77777777" w:rsidR="006379C0" w:rsidRPr="00D14B56" w:rsidRDefault="006379C0" w:rsidP="0001016B">
            <w:pPr>
              <w:pStyle w:val="Tabletext"/>
            </w:pPr>
          </w:p>
        </w:tc>
      </w:tr>
      <w:tr w:rsidR="006379C0" w:rsidRPr="00D14B56" w14:paraId="74585467" w14:textId="77777777" w:rsidTr="00D14B56">
        <w:tc>
          <w:tcPr>
            <w:tcW w:w="0" w:type="auto"/>
          </w:tcPr>
          <w:p w14:paraId="365BBC6E" w14:textId="77777777" w:rsidR="006379C0" w:rsidRPr="00D14B56" w:rsidRDefault="006379C0" w:rsidP="0001016B">
            <w:pPr>
              <w:pStyle w:val="Tabletext"/>
            </w:pPr>
            <w:r w:rsidRPr="00D14B56">
              <w:t>Normative Pressure</w:t>
            </w:r>
          </w:p>
          <w:p w14:paraId="7858A578" w14:textId="77777777" w:rsidR="006379C0" w:rsidRPr="00D14B56" w:rsidRDefault="006379C0" w:rsidP="0001016B">
            <w:pPr>
              <w:pStyle w:val="Tabletext"/>
            </w:pPr>
          </w:p>
        </w:tc>
        <w:tc>
          <w:tcPr>
            <w:tcW w:w="5499" w:type="dxa"/>
          </w:tcPr>
          <w:p w14:paraId="7BD0E0CE" w14:textId="77777777" w:rsidR="006379C0" w:rsidRPr="00D14B56" w:rsidRDefault="006379C0" w:rsidP="0001016B">
            <w:pPr>
              <w:pStyle w:val="Tabletext"/>
            </w:pPr>
            <w:r w:rsidRPr="00D14B56">
              <w:t xml:space="preserve">Environmental requirements from customers </w:t>
            </w:r>
          </w:p>
          <w:p w14:paraId="174D348D" w14:textId="77777777" w:rsidR="006379C0" w:rsidRPr="00D14B56" w:rsidRDefault="006379C0" w:rsidP="0001016B">
            <w:pPr>
              <w:pStyle w:val="Tabletext"/>
            </w:pPr>
            <w:r w:rsidRPr="00D14B56">
              <w:t>Environmental awareness of customers’ organisations</w:t>
            </w:r>
          </w:p>
          <w:p w14:paraId="07E5C67D" w14:textId="77777777" w:rsidR="006379C0" w:rsidRPr="00D14B56" w:rsidRDefault="006379C0" w:rsidP="0001016B">
            <w:pPr>
              <w:pStyle w:val="Tabletext"/>
            </w:pPr>
            <w:r w:rsidRPr="00D14B56">
              <w:t xml:space="preserve">Media scrutiny of the industry </w:t>
            </w:r>
          </w:p>
          <w:p w14:paraId="14FC64E8" w14:textId="77777777" w:rsidR="006379C0" w:rsidRPr="00D14B56" w:rsidRDefault="006379C0" w:rsidP="0001016B">
            <w:pPr>
              <w:pStyle w:val="Tabletext"/>
            </w:pPr>
            <w:r w:rsidRPr="00D14B56">
              <w:t>Public environmental awareness (community, NGO etc.)</w:t>
            </w:r>
          </w:p>
        </w:tc>
        <w:tc>
          <w:tcPr>
            <w:tcW w:w="1977" w:type="dxa"/>
            <w:vMerge/>
          </w:tcPr>
          <w:p w14:paraId="31B7D44D" w14:textId="77777777" w:rsidR="006379C0" w:rsidRPr="00D14B56" w:rsidRDefault="006379C0" w:rsidP="0001016B">
            <w:pPr>
              <w:pStyle w:val="Tabletext"/>
            </w:pPr>
          </w:p>
        </w:tc>
      </w:tr>
      <w:tr w:rsidR="006379C0" w:rsidRPr="00D14B56" w14:paraId="436508A9" w14:textId="77777777" w:rsidTr="00D14B56">
        <w:tc>
          <w:tcPr>
            <w:tcW w:w="0" w:type="auto"/>
          </w:tcPr>
          <w:p w14:paraId="7BAAE9BA" w14:textId="77777777" w:rsidR="006379C0" w:rsidRPr="00D14B56" w:rsidRDefault="006379C0" w:rsidP="0001016B">
            <w:pPr>
              <w:pStyle w:val="Tabletext"/>
            </w:pPr>
            <w:r w:rsidRPr="00D14B56">
              <w:t>Mimetic Pressure</w:t>
            </w:r>
          </w:p>
          <w:p w14:paraId="66D57D94" w14:textId="77777777" w:rsidR="006379C0" w:rsidRPr="00D14B56" w:rsidRDefault="006379C0" w:rsidP="0001016B">
            <w:pPr>
              <w:pStyle w:val="Tabletext"/>
            </w:pPr>
          </w:p>
        </w:tc>
        <w:tc>
          <w:tcPr>
            <w:tcW w:w="5499" w:type="dxa"/>
          </w:tcPr>
          <w:p w14:paraId="273F7E18" w14:textId="77777777" w:rsidR="006379C0" w:rsidRPr="00D14B56" w:rsidRDefault="006379C0" w:rsidP="0001016B">
            <w:pPr>
              <w:pStyle w:val="Tabletext"/>
            </w:pPr>
            <w:r w:rsidRPr="00D14B56">
              <w:t>Competitors’ adoption of ‘green’ practices</w:t>
            </w:r>
          </w:p>
          <w:p w14:paraId="49D524B4" w14:textId="77777777" w:rsidR="006379C0" w:rsidRPr="00D14B56" w:rsidRDefault="006379C0" w:rsidP="0001016B">
            <w:pPr>
              <w:pStyle w:val="Tabletext"/>
            </w:pPr>
            <w:r w:rsidRPr="00D14B56">
              <w:t xml:space="preserve">Green strategies of direct competitors </w:t>
            </w:r>
          </w:p>
          <w:p w14:paraId="10EDD9E5" w14:textId="77777777" w:rsidR="006379C0" w:rsidRPr="00D14B56" w:rsidRDefault="006379C0" w:rsidP="0001016B">
            <w:pPr>
              <w:pStyle w:val="Tabletext"/>
            </w:pPr>
            <w:r w:rsidRPr="00D14B56">
              <w:t>Green strategies of substitute products manufacturers</w:t>
            </w:r>
          </w:p>
        </w:tc>
        <w:tc>
          <w:tcPr>
            <w:tcW w:w="1977" w:type="dxa"/>
            <w:vMerge/>
          </w:tcPr>
          <w:p w14:paraId="0FCCEB21" w14:textId="77777777" w:rsidR="006379C0" w:rsidRPr="00D14B56" w:rsidRDefault="006379C0" w:rsidP="0001016B">
            <w:pPr>
              <w:pStyle w:val="Tabletext"/>
            </w:pPr>
          </w:p>
        </w:tc>
      </w:tr>
    </w:tbl>
    <w:p w14:paraId="160A13AA" w14:textId="77777777" w:rsidR="006379C0" w:rsidRPr="006E688F" w:rsidRDefault="006379C0" w:rsidP="002F7336"/>
    <w:p w14:paraId="1BA11330" w14:textId="77777777" w:rsidR="006379C0" w:rsidRPr="006E688F" w:rsidRDefault="006379C0" w:rsidP="002F7336">
      <w:r w:rsidRPr="006E688F">
        <w:t xml:space="preserve">2.1.2 Supply Chain integration and adoption of CE practices </w:t>
      </w:r>
    </w:p>
    <w:p w14:paraId="0D69D548" w14:textId="77777777" w:rsidR="006379C0" w:rsidRPr="006E688F" w:rsidRDefault="006379C0" w:rsidP="002F7336">
      <w:r w:rsidRPr="006E688F">
        <w:t>Once a firm has decided to implement CE-inspired practices, the way its supply chain</w:t>
      </w:r>
      <w:r w:rsidRPr="006E688F" w:rsidDel="00A80679">
        <w:t xml:space="preserve"> </w:t>
      </w:r>
      <w:r w:rsidRPr="006E688F">
        <w:t xml:space="preserve">is organised and configured plays an important role as to how these practices can be spread in the supply chain </w:t>
      </w:r>
      <w:r w:rsidRPr="006E688F">
        <w:fldChar w:fldCharType="begin" w:fldLock="1"/>
      </w:r>
      <w:r w:rsidRPr="006E688F">
        <w:instrText>ADDIN CSL_CITATION {"citationItems":[{"id":"ITEM-1","itemData":{"DOI":"10.1016/j.pursup.2014.07.002","ISSN":"14784092","abstract":"Little is known about buyers' decisions to implement 'green' supply chain management (GSCM) through either coercive or cooperative approaches. This is an important area of study as buyers are increasingly expected to improve and ensure that their purchasing and supply chain practices are environmentally sound. Pressuring and monitoring suppliers to become more environmentally responsible dominates the coercive approach to GSCM. In contrast, a cooperative approach is associated with training and helping suppliers to become 'greener'. In this study we draw on institutional theory, and argue that the decision to implement such practices and the choice between them will be contingent upon institutional pressures (mimetic, normative and coercive), and downstream customer requirements for GSCM. Using primary survey data from 198 UK-based companies, we find compelling evidence to suggest that coercive and cooperative GSCM practices are driven by substantially different factors. Institutional pressures significantly determine cooperative approaches to GSCM while coercive practices are, to a larger extent, driven by downstream customer demands. Customer pressure is also found to moderate the influence of institutional factors on cooperative practices; no significant effect was found for coercive practices.","author":[{"dropping-particle":"","family":"Hoejmose","given":"Stefan U.","non-dropping-particle":"","parse-names":false,"suffix":""},{"dropping-particle":"","family":"Grosvold","given":"Johanne","non-dropping-particle":"","parse-names":false,"suffix":""},{"dropping-particle":"","family":"Millington","given":"Andrew","non-dropping-particle":"","parse-names":false,"suffix":""}],"container-title":"Journal of Purchasing and Supply Management","id":"ITEM-1","issue":"4","issued":{"date-parts":[["2014"]]},"page":"215-224","publisher":"Elsevier","title":"The effect of institutional pressure on cooperative and coercive 'green' supply chain practices","type":"article-journal","volume":"20"},"uris":["http://www.mendeley.com/documents/?uuid=d8ea6f4f-a8c5-4d75-95cf-59e42bbc93da"]}],"mendeley":{"formattedCitation":"(Hoejmose et al., 2014)","plainTextFormattedCitation":"(Hoejmose et al., 2014)","previouslyFormattedCitation":"(Hoejmose et al., 2014)"},"properties":{"noteIndex":0},"schema":"https://github.com/citation-style-language/schema/raw/master/csl-citation.json"}</w:instrText>
      </w:r>
      <w:r w:rsidRPr="006E688F">
        <w:fldChar w:fldCharType="separate"/>
      </w:r>
      <w:r w:rsidRPr="006E688F">
        <w:t>(Hoejmose et al., 2014)</w:t>
      </w:r>
      <w:r w:rsidRPr="006E688F">
        <w:fldChar w:fldCharType="end"/>
      </w:r>
      <w:r w:rsidRPr="006E688F">
        <w:t xml:space="preserve">. </w:t>
      </w:r>
    </w:p>
    <w:p w14:paraId="3027F184" w14:textId="77777777" w:rsidR="006379C0" w:rsidRPr="006E688F" w:rsidRDefault="006379C0" w:rsidP="002F7336">
      <w:r w:rsidRPr="006E688F">
        <w:lastRenderedPageBreak/>
        <w:t xml:space="preserve">Supply chain actors can be involved through integration and collaboration, using a cooperative approach in reducing risk, sustaining costs and investments, and sharing information and knowledge. A higher supply chain integration is generally associated with many benefits. The ability to work together with supply chain partners supports the development of inter-organisational resources with supply chain partners, which could bring a competitive advantage </w:t>
      </w:r>
      <w:r w:rsidRPr="006E688F">
        <w:fldChar w:fldCharType="begin" w:fldLock="1"/>
      </w:r>
      <w:r w:rsidRPr="006E688F">
        <w:instrText>ADDIN CSL_CITATION {"citationItems":[{"id":"ITEM-1","itemData":{"DOI":"10.1002/csr.207","ISSN":"15353958","abstract":"On the basis of a content analysis, this paper explores the role of sustainable supply chain management as a catalyst of generating valuable inter-organizational resources and thus possible sustained inter-firm competitive advantage through collaboration on environmental and social issues. Drawing on the resource-based view and its extension, the relational view, this paper highlights that partner-focused supply management capabilities evolve to corporate core competences as competition shifts from an inter-firm to an inter-supplychain level. The 'collaborative paradigm' in supply chain management regards strategic collaboration as a crucial source of competitive advantage. Collaboration is even more essential when supply chains aim at ensuring simultaneously economic, environmental and social performance on a product's total life-cycle basis. Inter-firm resources and capabilities emerging from supply-chain-wide collaboration are prone to become sources of sustained inter-firm competitive advantage, since they are socially complex, causally ambiguous and historically grown and hence particularly difficult to imitate by competitors. © 2009 John Wiley &amp; Sons, Ltd and ERP Environment.","author":[{"dropping-particle":"","family":"Gold","given":"Stefan","non-dropping-particle":"","parse-names":false,"suffix":""},{"dropping-particle":"","family":"Seuring","given":"Stefan","non-dropping-particle":"","parse-names":false,"suffix":""},{"dropping-particle":"","family":"Beske","given":"Philip","non-dropping-particle":"","parse-names":false,"suffix":""}],"container-title":"Corporate Social Responsibility and Environmental Management","id":"ITEM-1","issue":"4","issued":{"date-parts":[["2010"]]},"page":"230-245","title":"Sustainable supply chain management and inter-organizational resources: A literature review","type":"article-journal","volume":"17"},"uris":["http://www.mendeley.com/documents/?uuid=4ef60901-4c7c-4d17-bc83-9f00ea52041d"]}],"mendeley":{"formattedCitation":"(Gold et al., 2010)","plainTextFormattedCitation":"(Gold et al., 2010)","previouslyFormattedCitation":"(Gold et al., 2010)"},"properties":{"noteIndex":0},"schema":"https://github.com/citation-style-language/schema/raw/master/csl-citation.json"}</w:instrText>
      </w:r>
      <w:r w:rsidRPr="006E688F">
        <w:fldChar w:fldCharType="separate"/>
      </w:r>
      <w:r w:rsidRPr="006E688F">
        <w:t>(Gold et al., 2010)</w:t>
      </w:r>
      <w:r w:rsidRPr="006E688F">
        <w:fldChar w:fldCharType="end"/>
      </w:r>
      <w:r w:rsidRPr="006E688F">
        <w:t xml:space="preserve">, enable radical and incremental innovation </w:t>
      </w:r>
      <w:r w:rsidRPr="006E688F">
        <w:fldChar w:fldCharType="begin" w:fldLock="1"/>
      </w:r>
      <w:r w:rsidRPr="006E688F">
        <w:instrText>ADDIN CSL_CITATION {"citationItems":[{"id":"ITEM-1","itemData":{"DOI":"10.1108/13598540810860994","ISBN":"1359854081086","ISSN":"13598546","abstract":"Purpose - The purpose of this study is to investigate how collaborative relationships enhance continuous innovation in the supply chain using case studies. Design/methodology/approach - The data were collected from semi-structured interviews with 23 managers in ten case studies. The main intention was to comprehend how these firms engaged in collaborative relationships and their importance for successful innovation. The study adopted a qualitative approach to investigating these factors. Findings - The findings demonstrate how differing relationships can impact on the operation of firms and their capacities to innovate. The ability to work together with partners has enabled firms to integrate and link operations for increased effectiveness as well as embark on both radical and incremental innovation. Research limitations/implications - The research into the initiatives and strategies for collaboration was essentially exploratory. A qualitative approach using case studies acknowledged that the responses from managers were difficult to quantify or gauge the extent of these factors. Practical implications - The findings have shown various methods where firms integrated with customers and suppliers in the supply chain. This was evident in the views of managers across all the firms examined, supporting the importance of collaboration and efficient allocation of resources throughout the supply chain. They were able to set procedures in their dealings with partners, sharing knowledge and processes, and subsequently joint-planning and investing with them for better operations, systems and processes in the supply chain. Originality/value - The case studies serve as examples for managers in logistics organisation who are contemplating strategies and issues on collaborative relationships. The study provides important lessons on how such relationships can impact on the operation of firms and their capability to innovate. © Emerald Group Publishing Limited.","author":[{"dropping-particle":"","family":"Soosay","given":"Claudine A.","non-dropping-particle":"","parse-names":false,"suffix":""},{"dropping-particle":"","family":"Hyland","given":"Paul W.","non-dropping-particle":"","parse-names":false,"suffix":""},{"dropping-particle":"","family":"Ferrer","given":"Mario","non-dropping-particle":"","parse-names":false,"suffix":""}],"container-title":"Supply Chain Management","id":"ITEM-1","issue":"2","issued":{"date-parts":[["2008"]]},"page":"160-169","title":"Supply chain collaboration: Capabilities for continuous innovation","type":"article-journal","volume":"13"},"uris":["http://www.mendeley.com/documents/?uuid=e55c45ea-e129-4bfb-bb74-9262d6ff2d35"]}],"mendeley":{"formattedCitation":"(Soosay et al., 2008)","plainTextFormattedCitation":"(Soosay et al., 2008)","previouslyFormattedCitation":"(Soosay et al., 2008)"},"properties":{"noteIndex":0},"schema":"https://github.com/citation-style-language/schema/raw/master/csl-citation.json"}</w:instrText>
      </w:r>
      <w:r w:rsidRPr="006E688F">
        <w:fldChar w:fldCharType="separate"/>
      </w:r>
      <w:r w:rsidRPr="006E688F">
        <w:t>(Soosay et al., 2008)</w:t>
      </w:r>
      <w:r w:rsidRPr="006E688F">
        <w:fldChar w:fldCharType="end"/>
      </w:r>
      <w:r w:rsidRPr="006E688F">
        <w:t xml:space="preserve">, and reduce uncertain outcomes of green product and process innovation </w:t>
      </w:r>
      <w:r w:rsidRPr="006E688F">
        <w:fldChar w:fldCharType="begin" w:fldLock="1"/>
      </w:r>
      <w:r w:rsidRPr="006E688F">
        <w:instrText>ADDIN CSL_CITATION {"citationItems":[{"id":"ITEM-1","itemData":{"DOI":"10.1080/00207543.2020.1756510","ISSN":"xxxx-xxxx","abstract":"This paper argues that mechanisms such as information sharing and collaboration used in green supply chain integration (GSCI) to improve information processing capacity can reduce uncertain outcomes of green product and process innovation. Based on data from a survey of Chinese (Hong Kong) firms, the paper tests whether the three dimensions of GSCI (green internal, customer and supplier integration) improve environmental performance and cost reduction by facilitating green product and process innovation. The results show that green customer integration improves cost and environmental performance through green process innovation (not green product innovation). Both green product and process innovations are facilitated by green customer integration (not green supplier integration), while both green customer and supplier integration significantly depend on green internal integration. These suggest that the distinctive information processing capacity created by green internal and customer integration can facilitate the green process innovation required to improve environmental and cost efficiency, while green product innovation and green supplier integration cannot create such efficiencies.","author":[{"dropping-particle":"","family":"Wong","given":"Chee Yew","non-dropping-particle":"","parse-names":false,"suffix":""},{"dropping-particle":"","family":"Wong","given":"Christina W.Y.","non-dropping-particle":"","parse-names":false,"suffix":""},{"dropping-particle":"","family":"Boon-itt","given":"Sakun","non-dropping-particle":"","parse-names":false,"suffix":""}],"container-title":"International Journal of Production Research","id":"ITEM-1","issue":"0","issued":{"date-parts":[["2020"]]},"page":"1-21","publisher":"Taylor &amp; Francis","title":"Effects of green supply chain integration and green innovation on environmental and cost performance","type":"article-journal","volume":"0"},"uris":["http://www.mendeley.com/documents/?uuid=fec488cc-8306-4952-9cbd-6b5433d87b9c"]}],"mendeley":{"formattedCitation":"(Wong et al., 2020)","plainTextFormattedCitation":"(Wong et al., 2020)","previouslyFormattedCitation":"(Wong et al., 2020)"},"properties":{"noteIndex":0},"schema":"https://github.com/citation-style-language/schema/raw/master/csl-citation.json"}</w:instrText>
      </w:r>
      <w:r w:rsidRPr="006E688F">
        <w:fldChar w:fldCharType="separate"/>
      </w:r>
      <w:r w:rsidRPr="006E688F">
        <w:t>(Wong et al., 2020)</w:t>
      </w:r>
      <w:r w:rsidRPr="006E688F">
        <w:fldChar w:fldCharType="end"/>
      </w:r>
      <w:r w:rsidRPr="006E688F">
        <w:t>.</w:t>
      </w:r>
    </w:p>
    <w:p w14:paraId="07691DF0" w14:textId="2DB8D227" w:rsidR="006379C0" w:rsidRPr="006E688F" w:rsidRDefault="006379C0" w:rsidP="002F7336">
      <w:r w:rsidRPr="006E688F">
        <w:t xml:space="preserve">Cooperating with first-tier or second-tier suppliers, can mitigate their difficulties in responding to environmental pressures and enable the diffusion of practices throughout the supply chain </w:t>
      </w:r>
      <w:r w:rsidRPr="006E688F">
        <w:fldChar w:fldCharType="begin" w:fldLock="1"/>
      </w:r>
      <w:r w:rsidRPr="006E688F">
        <w:instrText>ADDIN CSL_CITATION {"citationItems":[{"id":"ITEM-1","itemData":{"DOI":"10.1016/j.ijpe.2016.08.033","ISSN":"09255273","abstract":"This paper aims to understand and analyze how different institutional pressures created by stakeholders tend to promote the green bullwhip effect and the consequent adoption of green supply chain management (GSCM) practices across a supply chain. It examines GSCM practices adopted in the supply chain as a result of pressures from primary stakeholders, and how they exert environmental/institutional pressures. A case study methodology has been adopted to study a focal company (an automotive battery company located in Brazil) and its stakeholders, including customers, its supplier, and the government. The results, synthesized through eight propositions, highlight the effect that the institutional environment exercises on generating the green bullwhip effect in the supply chain.","author":[{"dropping-particle":"","family":"Seles","given":"Bruno Michel Roman Pais","non-dropping-particle":"","parse-names":false,"suffix":""},{"dropping-particle":"","family":"Sousa Jabbour","given":"Ana Beatriz Lopes","non-dropping-particle":"de","parse-names":false,"suffix":""},{"dropping-particle":"","family":"Jabbour","given":"Charbel José Chiappetta","non-dropping-particle":"","parse-names":false,"suffix":""},{"dropping-particle":"","family":"Dangelico","given":"Rosa Maria","non-dropping-particle":"","parse-names":false,"suffix":""}],"container-title":"International Journal of Production Economics","id":"ITEM-1","issued":{"date-parts":[["2016"]]},"page":"342-355","publisher":"Elsevier","title":"The green bullwhip effect, the diffusion of green supply chain practices, and institutional pressures: Evidence from the automotive sector","type":"article-journal","volume":"182"},"uris":["http://www.mendeley.com/documents/?uuid=896d2c85-c766-4dd9-b178-612ea28d994f"]},{"id":"ITEM-2","itemData":{"DOI":"10.1080/00207543.2018.1542176","ISSN":"1366588X","abstract":"Despite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Research","id":"ITEM-2","issue":"23","issued":{"date-parts":[["2019"]]},"page":"7395-7422","publisher":"Taylor &amp; Francis","title":"Challenges in supply chain redesign for the Circular Economy: a literature review and a multiple case study","type":"article-journal","volume":"57"},"uris":["http://www.mendeley.com/documents/?uuid=66ed4a77-74f5-4258-a3a6-d2c5ce0085d1"]}],"mendeley":{"formattedCitation":"(Seles et al., 2016; Bressanelli et al., 2019)","plainTextFormattedCitation":"(Seles et al., 2016; Bressanelli et al., 2019)","previouslyFormattedCitation":"(Seles et al., 2016; Bressanelli et al., 2019)"},"properties":{"noteIndex":0},"schema":"https://github.com/citation-style-language/schema/raw/master/csl-citation.json"}</w:instrText>
      </w:r>
      <w:r w:rsidRPr="006E688F">
        <w:fldChar w:fldCharType="separate"/>
      </w:r>
      <w:r w:rsidRPr="006E688F">
        <w:t>(Seles et al., 2016; Bressanelli et al., 2019)</w:t>
      </w:r>
      <w:r w:rsidRPr="006E688F">
        <w:fldChar w:fldCharType="end"/>
      </w:r>
      <w:r w:rsidRPr="006E688F">
        <w:t>. SCI (Table 3) is considered as an enabling capability in global s</w:t>
      </w:r>
      <w:r w:rsidR="00444F93">
        <w:t>upply chains. In this context mi</w:t>
      </w:r>
      <w:r w:rsidRPr="006E688F">
        <w:t xml:space="preserve">metic isomorphism can explain MNEs' adoption of sustainable practices </w:t>
      </w:r>
      <w:r w:rsidRPr="006E688F">
        <w:fldChar w:fldCharType="begin" w:fldLock="1"/>
      </w:r>
      <w:r w:rsidRPr="006E688F">
        <w:instrText>ADDIN CSL_CITATION {"citationItems":[{"id":"ITEM-1","itemData":{"DOI":"10.1007/s10551-010-0534-x","ISSN":"01674544","abstract":"Sustainable development is often framed as a social issue to which corporations should pay attention because it offers both opportunities and challenges. Through the use of institutional theory and the resource-based view of the firm, we shed some light on why, more than 20 years after sustainable development was first introduced, we see neither the adoption of this business model as dominant nor its converse, that is the total abandonment of the model as unworkable and unprofitable. We focus on multinational corporations (MNCs) because they were among the organizations first called to take action. In order to illustrate the institutional pressures MNCs face and their strategic response to these pressures, we analysed four major oil and gas multinationals subject to similar sustainable development pressures - climate change, biodiversity, renewable energy development and social investment. We argue that normative and coercive isomorphism does not occur at the global level because sustainable development is largely a stakeholder-driven rather than a broad social pressure. That is, host country interpretation of sustainable development pressures varies across an MNC's subsidiary network. Based on the analysis of the four major MNCs' annual reports from 2000 to 2005, we argue that mimetic isomorphism may occur, but since it implies the use of complex and intangible resources, mimetic processes are slow, rare and discretionary. © 2010 Springer Science+Business Media B.V.","author":[{"dropping-particle":"","family":"Escobar","given":"Luis Fernando","non-dropping-particle":"","parse-names":false,"suffix":""},{"dropping-particle":"","family":"Vredenburg","given":"Harrie","non-dropping-particle":"","parse-names":false,"suffix":""}],"container-title":"Journal of Business Ethics","id":"ITEM-1","issue":"1","issued":{"date-parts":[["2011"]]},"page":"39-65","title":"Multinational Oil Companies and the Adoption of Sustainable Development: A Resource-Based and Institutional Theory Interpretation of Adoption Heterogeneity","type":"article-journal","volume":"98"},"uris":["http://www.mendeley.com/documents/?uuid=6173ea6c-8b45-45b8-9102-6c1cab4a49ff"]}],"mendeley":{"formattedCitation":"(Escobar &amp; Vredenburg, 2011)","plainTextFormattedCitation":"(Escobar &amp; Vredenburg, 2011)","previouslyFormattedCitation":"(Escobar &amp; Vredenburg, 2011)"},"properties":{"noteIndex":0},"schema":"https://github.com/citation-style-language/schema/raw/master/csl-citation.json"}</w:instrText>
      </w:r>
      <w:r w:rsidRPr="006E688F">
        <w:fldChar w:fldCharType="separate"/>
      </w:r>
      <w:r w:rsidRPr="006E688F">
        <w:t>(Escobar &amp; Vredenburg, 2011)</w:t>
      </w:r>
      <w:r w:rsidRPr="006E688F">
        <w:fldChar w:fldCharType="end"/>
      </w:r>
      <w:r w:rsidRPr="006E688F">
        <w:t xml:space="preserve">, while coercive and normative pressures have no effect </w:t>
      </w:r>
      <w:r w:rsidRPr="006E688F">
        <w:fldChar w:fldCharType="begin" w:fldLock="1"/>
      </w:r>
      <w:r w:rsidRPr="006E688F">
        <w:instrText>ADDIN CSL_CITATION {"citationItems":[{"id":"ITEM-1","itemData":{"DOI":"10.1016/j.pursup.2014.12.004","ISSN":"14784092","abstract":"The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Management","id":"ITEM-1","issue":"2","issued":{"date-parts":[["2015"]]},"page":"95-102","publisher":"Elsevier","title":"Sustainable supplier development practices: Drivers and enablers in a global context","type":"article-journal","volume":"21"},"uris":["http://www.mendeley.com/documents/?uuid=121cabff-e9cf-4ff0-bbb3-eebcc9a65ad2"]}],"mendeley":{"formattedCitation":"(Sancha et al., 2015)","plainTextFormattedCitation":"(Sancha et al., 2015)","previouslyFormattedCitation":"(Sancha et al., 2015)"},"properties":{"noteIndex":0},"schema":"https://github.com/citation-style-language/schema/raw/master/csl-citation.json"}</w:instrText>
      </w:r>
      <w:r w:rsidRPr="006E688F">
        <w:fldChar w:fldCharType="separate"/>
      </w:r>
      <w:r w:rsidRPr="006E688F">
        <w:t>(Sancha et al., 2015)</w:t>
      </w:r>
      <w:r w:rsidRPr="006E688F">
        <w:fldChar w:fldCharType="end"/>
      </w:r>
      <w:r w:rsidRPr="006E688F">
        <w:t>; furthermore, SCI could positivel</w:t>
      </w:r>
      <w:r w:rsidR="00444F93">
        <w:t>y moderate the effect of mi</w:t>
      </w:r>
      <w:r w:rsidRPr="006E688F">
        <w:t xml:space="preserve">metic pressure on the adoption of sustainable supplier practices </w:t>
      </w:r>
      <w:r w:rsidRPr="006E688F">
        <w:fldChar w:fldCharType="begin" w:fldLock="1"/>
      </w:r>
      <w:r w:rsidRPr="006E688F">
        <w:instrText>ADDIN CSL_CITATION {"citationItems":[{"id":"ITEM-1","itemData":{"DOI":"10.1016/j.pursup.2014.12.004","ISSN":"14784092","abstract":"The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Management","id":"ITEM-1","issue":"2","issued":{"date-parts":[["2015"]]},"page":"95-102","publisher":"Elsevier","title":"Sustainable supplier development practices: Drivers and enablers in a global context","type":"article-journal","volume":"21"},"uris":["http://www.mendeley.com/documents/?uuid=121cabff-e9cf-4ff0-bbb3-eebcc9a65ad2"]}],"mendeley":{"formattedCitation":"(Sancha et al., 2015)","plainTextFormattedCitation":"(Sancha et al., 2015)","previouslyFormattedCitation":"(Sancha et al., 2015)"},"properties":{"noteIndex":0},"schema":"https://github.com/citation-style-language/schema/raw/master/csl-citation.json"}</w:instrText>
      </w:r>
      <w:r w:rsidRPr="006E688F">
        <w:fldChar w:fldCharType="separate"/>
      </w:r>
      <w:r w:rsidRPr="006E688F">
        <w:t>(Sancha et al., 2015)</w:t>
      </w:r>
      <w:r w:rsidRPr="006E688F">
        <w:fldChar w:fldCharType="end"/>
      </w:r>
      <w:r w:rsidRPr="006E688F">
        <w:t>. No study has been developed to date about the role played by SCI in the adoption process of CE practices, both at the single firm and at the supply chain levels.</w:t>
      </w:r>
    </w:p>
    <w:p w14:paraId="438817DD" w14:textId="77777777" w:rsidR="006379C0" w:rsidRPr="006E688F" w:rsidRDefault="006379C0" w:rsidP="00E12455">
      <w:pPr>
        <w:pStyle w:val="Figurecaption"/>
      </w:pPr>
      <w:r w:rsidRPr="006E688F">
        <w:t>Table 3 – Supply chain integration dimensions</w:t>
      </w:r>
    </w:p>
    <w:tbl>
      <w:tblPr>
        <w:tblStyle w:val="TableGrid2"/>
        <w:tblW w:w="0" w:type="auto"/>
        <w:tblLook w:val="04A0" w:firstRow="1" w:lastRow="0" w:firstColumn="1" w:lastColumn="0" w:noHBand="0" w:noVBand="1"/>
      </w:tblPr>
      <w:tblGrid>
        <w:gridCol w:w="2947"/>
        <w:gridCol w:w="3422"/>
        <w:gridCol w:w="2686"/>
      </w:tblGrid>
      <w:tr w:rsidR="006379C0" w:rsidRPr="00D14B56" w14:paraId="4157A764" w14:textId="77777777" w:rsidTr="00D14B56">
        <w:tc>
          <w:tcPr>
            <w:tcW w:w="0" w:type="auto"/>
          </w:tcPr>
          <w:p w14:paraId="57083FF1" w14:textId="77777777" w:rsidR="006379C0" w:rsidRPr="00D14B56" w:rsidRDefault="006379C0" w:rsidP="0001016B">
            <w:pPr>
              <w:pStyle w:val="Tabletext"/>
            </w:pPr>
            <w:r w:rsidRPr="00D14B56">
              <w:t>SCI dimension</w:t>
            </w:r>
          </w:p>
        </w:tc>
        <w:tc>
          <w:tcPr>
            <w:tcW w:w="3422" w:type="dxa"/>
          </w:tcPr>
          <w:p w14:paraId="7289E567" w14:textId="77777777" w:rsidR="006379C0" w:rsidRPr="00D14B56" w:rsidRDefault="006379C0" w:rsidP="0001016B">
            <w:pPr>
              <w:pStyle w:val="Tabletext"/>
            </w:pPr>
            <w:r w:rsidRPr="00D14B56">
              <w:t xml:space="preserve">Examples </w:t>
            </w:r>
          </w:p>
        </w:tc>
        <w:tc>
          <w:tcPr>
            <w:tcW w:w="2686" w:type="dxa"/>
          </w:tcPr>
          <w:p w14:paraId="2F328CFE" w14:textId="77777777" w:rsidR="006379C0" w:rsidRPr="00D14B56" w:rsidRDefault="006379C0" w:rsidP="0001016B">
            <w:pPr>
              <w:pStyle w:val="Tabletext"/>
            </w:pPr>
            <w:r w:rsidRPr="00D14B56">
              <w:t>Authors</w:t>
            </w:r>
          </w:p>
        </w:tc>
      </w:tr>
      <w:tr w:rsidR="006379C0" w:rsidRPr="00D14B56" w14:paraId="48AB6E50" w14:textId="77777777" w:rsidTr="00D14B56">
        <w:tc>
          <w:tcPr>
            <w:tcW w:w="0" w:type="auto"/>
          </w:tcPr>
          <w:p w14:paraId="5ABD8D3B" w14:textId="77777777" w:rsidR="006379C0" w:rsidRPr="00D14B56" w:rsidRDefault="006379C0" w:rsidP="0001016B">
            <w:pPr>
              <w:pStyle w:val="Tabletext"/>
            </w:pPr>
            <w:r w:rsidRPr="00D14B56">
              <w:t>Sharing information with key suppliers/customers</w:t>
            </w:r>
          </w:p>
        </w:tc>
        <w:tc>
          <w:tcPr>
            <w:tcW w:w="3422" w:type="dxa"/>
          </w:tcPr>
          <w:p w14:paraId="34DFEB79" w14:textId="77777777" w:rsidR="006379C0" w:rsidRPr="00D14B56" w:rsidRDefault="006379C0" w:rsidP="0001016B">
            <w:pPr>
              <w:pStyle w:val="Tabletext"/>
            </w:pPr>
            <w:r w:rsidRPr="00D14B56">
              <w:t>sales forecast</w:t>
            </w:r>
          </w:p>
          <w:p w14:paraId="0D594F09" w14:textId="77777777" w:rsidR="006379C0" w:rsidRPr="00D14B56" w:rsidRDefault="006379C0" w:rsidP="0001016B">
            <w:pPr>
              <w:pStyle w:val="Tabletext"/>
            </w:pPr>
            <w:r w:rsidRPr="00D14B56">
              <w:t>production plans</w:t>
            </w:r>
          </w:p>
          <w:p w14:paraId="3639CA16" w14:textId="77777777" w:rsidR="006379C0" w:rsidRPr="00D14B56" w:rsidRDefault="006379C0" w:rsidP="0001016B">
            <w:pPr>
              <w:pStyle w:val="Tabletext"/>
            </w:pPr>
            <w:r w:rsidRPr="00D14B56">
              <w:t>order tracking and tracing</w:t>
            </w:r>
          </w:p>
          <w:p w14:paraId="620A8236" w14:textId="77777777" w:rsidR="006379C0" w:rsidRPr="00D14B56" w:rsidRDefault="006379C0" w:rsidP="0001016B">
            <w:pPr>
              <w:pStyle w:val="Tabletext"/>
            </w:pPr>
            <w:r w:rsidRPr="00D14B56">
              <w:t>stock levels</w:t>
            </w:r>
          </w:p>
        </w:tc>
        <w:tc>
          <w:tcPr>
            <w:tcW w:w="2686" w:type="dxa"/>
            <w:vMerge w:val="restart"/>
          </w:tcPr>
          <w:p w14:paraId="483231C0" w14:textId="77777777" w:rsidR="006379C0" w:rsidRPr="00D14B56" w:rsidRDefault="006379C0" w:rsidP="0001016B">
            <w:pPr>
              <w:pStyle w:val="Tabletext"/>
            </w:pPr>
            <w:r w:rsidRPr="00D14B56">
              <w:fldChar w:fldCharType="begin" w:fldLock="1"/>
            </w:r>
            <w:r w:rsidRPr="00D14B56">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strategies","type":"article-journal","volume":"19"},"uris":["http://www.mendeley.com/documents/?uuid=7dab76ac-81c3-4b68-9d23-87ca23782cf9"]},{"id":"ITEM-2","itemData":{"DOI":"10.1016/j.jom.2011.09.001","ISSN":"02726963","abstract":"This paper revisits Frohlich and Westbrook's arcs of integration concept [Arcs of integration: an international study of supply chain strategies. Journal of Operations Management 2001, 19 (2) pp. 185-200]. Using survey responses from 403 supply chain professionals, we compare the arcs of integration group memberships generated with our sample to the original study, rationalize the classification scheme, and assess the impact of supply chain integration strategies on quality, delivery, flexibility and cost performance. In doing so we cross-validate Frohlich and Westbrook's framework with a more recent and broader sample of data utilizing multi-dimensional performance measures collected from supply chain managers. We ground these relationships in the relational and resource-based views of the firm. We also extend Frohlich and Westbrook's study by investigating the moderating role of internal integration on the relationships between arcs of integration and performance. In accordance with information processing theory, the results indicate that internal integration strengthens the positive impacts of external integration on both delivery and flexibility performance. However, the theory is not supported for either quality or cost performance. Overall, our study confirms and extends the work of Frohlich and Westbrook, augments theories used to describe supply chain integration efforts, and provides practical implications for managers. © 2011 Elsevier B.V. All rights reserved.","author":[{"dropping-particle":"","family":"Schoenherr","given":"Tobias","non-dropping-particle":"","parse-names":false,"suffix":""},{"dropping-particle":"","family":"Swink","given":"Morgan","non-dropping-particle":"","parse-names":false,"suffix":""}],"container-title":"Journal of Operations Management","id":"ITEM-2","issue":"1-2","issued":{"date-parts":[["2012"]]},"page":"99-115","title":"Revisiting the arcs of integration: Cross-validations and extensions","type":"article-journal","volume":"30"},"uris":["http://www.mendeley.com/documents/?uuid=c3b19ce0-0aef-421b-8d4c-a0c9c19dcca4"]},{"id":"ITEM-3","itemData":{"DOI":"10.1108/SCM-04-2014-0120","ISSN":"13598546","abstract":"Purpose-This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Management","id":"ITEM-3","issue":"2","issued":{"date-parts":[["2015"]]},"page":"139-150","title":"A nuanced view on supply chain integration: A coordinative and collaborative approach to operational and sustainability performance improvement","type":"article-journal","volume":"20"},"uris":["http://www.mendeley.com/documents/?uuid=174b8afa-dd16-4160-947a-5442a28b75d4"]},{"id":"ITEM-4","itemData":{"DOI":"10.1108/SCM-05-2018-0189","ISSN":"13598546","abstract":"Purpose: This paper aims to explore the performance implications of supply chain integration (SCI) taking a strategic perspective. Thus, this paper is set to provide answers to the following research questions: Does a higher degree of SCI always lead to greater firm performance improvements? As the answer to this question is likely to be no, the authors explore the performance implications from a strategic perspective: Is the SCI–performance relationship contingent on a company’s competitive priorities (i.e. operations strategy)? Design/methodology/approach: The authors explore their questions through multiple quasi-independent data sets to test the impact of SCI on firm performance. Furthermore, the authors provide a more nuanced conceptual and empirical view to explore the previously uncovered contradictory results and contingent relationship challenging the “more integration equals higher firm performance” proposition. Findings: The results only provide partial support for the proposition that more integration is always beneficial in the supply chain context. The authors also identified that the impact of SCI on financial performance is contingent on a company’s competitive priorities. Originality/value: This study provides a much-needed comprehensive assessment of the SCI–performance relationship through critically re-evaluating one of the most popular propositions in the field of supply chain management. The results can be extrapolated beyond the dyad, as the authors conceptualise integration simultaneously from an upstream and downstream perspective.","author":[{"dropping-particle":"","family":"Wiengarten","given":"Frank","non-dropping-particle":"","parse-names":false,"suffix":""},{"dropping-particle":"","family":"Li","given":"Huashan","non-dropping-particle":"","parse-names":false,"suffix":""},{"dropping-particle":"","family":"Singh","given":"Prakash J.","non-dropping-particle":"","parse-names":false,"suffix":""},{"dropping-particle":"","family":"Fynes","given":"Brian","non-dropping-particle":"","parse-names":false,"suffix":""}],"container-title":"Supply Chain Management","id":"ITEM-4","issue":"4","issued":{"date-parts":[["2019"]]},"page":"540-559","title":"Re-evaluating supply chain integration and firm performance: linking operations strategy to supply chain strategy","type":"article-journal","volume":"24"},"uris":["http://www.mendeley.com/documents/?uuid=09f6dc6d-47e2-4711-9e9f-9cb14a68a6bf"]}],"mendeley":{"formattedCitation":"(Frohlich &amp; Westbrook, 2001; Schoenherr &amp; Swink, 2012; Wiengarten &amp; Longoni, 2015; Wiengarten et al., 2019)","plainTextFormattedCitation":"(Frohlich &amp; Westbrook, 2001; Schoenherr &amp; Swink, 2012; Wiengarten &amp; Longoni, 2015; Wiengarten et al., 2019)","previouslyFormattedCitation":"(Frohlich &amp; Westbrook, 2001; Schoenherr &amp; Swink, 2012; Wiengarten &amp; Longoni, 2015; Wiengarten et al., 2019)"},"properties":{"noteIndex":0},"schema":"https://github.com/citation-style-language/schema/raw/master/csl-citation.json"}</w:instrText>
            </w:r>
            <w:r w:rsidRPr="00D14B56">
              <w:fldChar w:fldCharType="separate"/>
            </w:r>
            <w:r w:rsidRPr="00D14B56">
              <w:t>(Frohlich &amp; Westbrook, 2001; Schoenherr &amp; Swink, 2012; Wiengarten &amp; Longoni, 2015; Wiengarten et al., 2019)</w:t>
            </w:r>
            <w:r w:rsidRPr="00D14B56">
              <w:fldChar w:fldCharType="end"/>
            </w:r>
          </w:p>
        </w:tc>
      </w:tr>
      <w:tr w:rsidR="006379C0" w:rsidRPr="00D14B56" w14:paraId="5A1B968B" w14:textId="77777777" w:rsidTr="00D14B56">
        <w:tc>
          <w:tcPr>
            <w:tcW w:w="0" w:type="auto"/>
          </w:tcPr>
          <w:p w14:paraId="73B3CB8D" w14:textId="77777777" w:rsidR="006379C0" w:rsidRPr="00D14B56" w:rsidRDefault="006379C0" w:rsidP="0001016B">
            <w:pPr>
              <w:pStyle w:val="Tabletext"/>
            </w:pPr>
            <w:r w:rsidRPr="00D14B56">
              <w:t>Developing collaborative approaches with key suppliers/customers</w:t>
            </w:r>
          </w:p>
        </w:tc>
        <w:tc>
          <w:tcPr>
            <w:tcW w:w="3422" w:type="dxa"/>
          </w:tcPr>
          <w:p w14:paraId="5394CDEB" w14:textId="77777777" w:rsidR="006379C0" w:rsidRPr="00D14B56" w:rsidRDefault="006379C0" w:rsidP="0001016B">
            <w:pPr>
              <w:pStyle w:val="Tabletext"/>
            </w:pPr>
            <w:r w:rsidRPr="00D14B56">
              <w:t>supplier development</w:t>
            </w:r>
          </w:p>
          <w:p w14:paraId="0EAC8737" w14:textId="77777777" w:rsidR="006379C0" w:rsidRPr="00D14B56" w:rsidRDefault="006379C0" w:rsidP="0001016B">
            <w:pPr>
              <w:pStyle w:val="Tabletext"/>
            </w:pPr>
            <w:r w:rsidRPr="00D14B56">
              <w:t>risk/ revenue sharing</w:t>
            </w:r>
          </w:p>
          <w:p w14:paraId="0BCC1077" w14:textId="77777777" w:rsidR="006379C0" w:rsidRPr="00D14B56" w:rsidRDefault="006379C0" w:rsidP="0001016B">
            <w:pPr>
              <w:pStyle w:val="Tabletext"/>
            </w:pPr>
            <w:r w:rsidRPr="00D14B56">
              <w:t>long-term agreements</w:t>
            </w:r>
          </w:p>
        </w:tc>
        <w:tc>
          <w:tcPr>
            <w:tcW w:w="2686" w:type="dxa"/>
            <w:vMerge/>
          </w:tcPr>
          <w:p w14:paraId="2EA063A6" w14:textId="77777777" w:rsidR="006379C0" w:rsidRPr="00D14B56" w:rsidRDefault="006379C0" w:rsidP="0001016B">
            <w:pPr>
              <w:pStyle w:val="Tabletext"/>
            </w:pPr>
          </w:p>
        </w:tc>
      </w:tr>
      <w:tr w:rsidR="006379C0" w:rsidRPr="00D14B56" w14:paraId="433153AE" w14:textId="77777777" w:rsidTr="00D14B56">
        <w:tc>
          <w:tcPr>
            <w:tcW w:w="0" w:type="auto"/>
          </w:tcPr>
          <w:p w14:paraId="6F6B3805" w14:textId="77777777" w:rsidR="006379C0" w:rsidRPr="00D14B56" w:rsidRDefault="006379C0" w:rsidP="0001016B">
            <w:pPr>
              <w:pStyle w:val="Tabletext"/>
            </w:pPr>
            <w:r w:rsidRPr="00D14B56">
              <w:t xml:space="preserve">Joint decision-making with key suppliers/customers </w:t>
            </w:r>
          </w:p>
        </w:tc>
        <w:tc>
          <w:tcPr>
            <w:tcW w:w="3422" w:type="dxa"/>
          </w:tcPr>
          <w:p w14:paraId="7F511CBC" w14:textId="77777777" w:rsidR="006379C0" w:rsidRPr="00D14B56" w:rsidRDefault="006379C0" w:rsidP="0001016B">
            <w:pPr>
              <w:pStyle w:val="Tabletext"/>
            </w:pPr>
            <w:r w:rsidRPr="00D14B56">
              <w:t>product design/modifications</w:t>
            </w:r>
          </w:p>
          <w:p w14:paraId="65C8617D" w14:textId="77777777" w:rsidR="006379C0" w:rsidRPr="00D14B56" w:rsidRDefault="006379C0" w:rsidP="0001016B">
            <w:pPr>
              <w:pStyle w:val="Tabletext"/>
            </w:pPr>
            <w:r w:rsidRPr="00D14B56">
              <w:t>process design/ modifications</w:t>
            </w:r>
          </w:p>
          <w:p w14:paraId="5350E8BA" w14:textId="77777777" w:rsidR="006379C0" w:rsidRPr="00D14B56" w:rsidRDefault="006379C0" w:rsidP="0001016B">
            <w:pPr>
              <w:pStyle w:val="Tabletext"/>
            </w:pPr>
            <w:r w:rsidRPr="00D14B56">
              <w:t xml:space="preserve">quality improvement </w:t>
            </w:r>
          </w:p>
          <w:p w14:paraId="61FD0C1F" w14:textId="77777777" w:rsidR="006379C0" w:rsidRPr="00D14B56" w:rsidRDefault="006379C0" w:rsidP="0001016B">
            <w:pPr>
              <w:pStyle w:val="Tabletext"/>
            </w:pPr>
            <w:r w:rsidRPr="00D14B56">
              <w:t>cost control</w:t>
            </w:r>
          </w:p>
        </w:tc>
        <w:tc>
          <w:tcPr>
            <w:tcW w:w="2686" w:type="dxa"/>
            <w:vMerge/>
          </w:tcPr>
          <w:p w14:paraId="43C6F853" w14:textId="77777777" w:rsidR="006379C0" w:rsidRPr="00D14B56" w:rsidRDefault="006379C0" w:rsidP="0001016B">
            <w:pPr>
              <w:pStyle w:val="Tabletext"/>
            </w:pPr>
          </w:p>
        </w:tc>
      </w:tr>
      <w:tr w:rsidR="006379C0" w:rsidRPr="00D14B56" w14:paraId="468B74CD" w14:textId="77777777" w:rsidTr="00D14B56">
        <w:trPr>
          <w:trHeight w:val="77"/>
        </w:trPr>
        <w:tc>
          <w:tcPr>
            <w:tcW w:w="0" w:type="auto"/>
          </w:tcPr>
          <w:p w14:paraId="566417A5" w14:textId="77777777" w:rsidR="006379C0" w:rsidRPr="00D14B56" w:rsidRDefault="006379C0" w:rsidP="0001016B">
            <w:pPr>
              <w:pStyle w:val="Tabletext"/>
            </w:pPr>
            <w:r w:rsidRPr="00D14B56">
              <w:t xml:space="preserve">System coupling with key suppliers/customers </w:t>
            </w:r>
          </w:p>
        </w:tc>
        <w:tc>
          <w:tcPr>
            <w:tcW w:w="3422" w:type="dxa"/>
          </w:tcPr>
          <w:p w14:paraId="58EC0230" w14:textId="77777777" w:rsidR="006379C0" w:rsidRPr="00D14B56" w:rsidRDefault="006379C0" w:rsidP="0001016B">
            <w:pPr>
              <w:pStyle w:val="Tabletext"/>
            </w:pPr>
            <w:r w:rsidRPr="00D14B56">
              <w:t>vendor-managed inventory</w:t>
            </w:r>
          </w:p>
          <w:p w14:paraId="711CBED4" w14:textId="77777777" w:rsidR="006379C0" w:rsidRPr="00D14B56" w:rsidRDefault="006379C0" w:rsidP="0001016B">
            <w:pPr>
              <w:pStyle w:val="Tabletext"/>
            </w:pPr>
            <w:r w:rsidRPr="00D14B56">
              <w:t>just-in-time systems</w:t>
            </w:r>
          </w:p>
          <w:p w14:paraId="76D1D195" w14:textId="77777777" w:rsidR="006379C0" w:rsidRPr="00D14B56" w:rsidRDefault="006379C0" w:rsidP="0001016B">
            <w:pPr>
              <w:pStyle w:val="Tabletext"/>
            </w:pPr>
            <w:r w:rsidRPr="00D14B56">
              <w:t>Kanban systems</w:t>
            </w:r>
          </w:p>
          <w:p w14:paraId="6A624A05" w14:textId="77777777" w:rsidR="006379C0" w:rsidRPr="00D14B56" w:rsidRDefault="006379C0" w:rsidP="0001016B">
            <w:pPr>
              <w:pStyle w:val="Tabletext"/>
            </w:pPr>
            <w:r w:rsidRPr="00D14B56">
              <w:t>continuous replenishment</w:t>
            </w:r>
          </w:p>
        </w:tc>
        <w:tc>
          <w:tcPr>
            <w:tcW w:w="2686" w:type="dxa"/>
            <w:vMerge/>
          </w:tcPr>
          <w:p w14:paraId="57BE9C9F" w14:textId="77777777" w:rsidR="006379C0" w:rsidRPr="00D14B56" w:rsidRDefault="006379C0" w:rsidP="0001016B">
            <w:pPr>
              <w:pStyle w:val="Tabletext"/>
            </w:pPr>
          </w:p>
        </w:tc>
      </w:tr>
    </w:tbl>
    <w:p w14:paraId="6F0CABAB" w14:textId="77777777" w:rsidR="006379C0" w:rsidRPr="006E688F" w:rsidRDefault="006379C0" w:rsidP="002F7336"/>
    <w:p w14:paraId="5422BF19" w14:textId="77777777" w:rsidR="006379C0" w:rsidRPr="006E688F" w:rsidRDefault="006379C0" w:rsidP="005035B4">
      <w:pPr>
        <w:pStyle w:val="Heading3"/>
      </w:pPr>
      <w:bookmarkStart w:id="19" w:name="_Toc157759483"/>
      <w:r w:rsidRPr="006E688F">
        <w:t>Research Gaps and Research Questions</w:t>
      </w:r>
      <w:bookmarkEnd w:id="19"/>
    </w:p>
    <w:p w14:paraId="540A0536" w14:textId="77777777" w:rsidR="006379C0" w:rsidRPr="006E688F" w:rsidRDefault="006379C0" w:rsidP="002F7336">
      <w:r w:rsidRPr="006E688F">
        <w:t xml:space="preserve">While providing interesting perspectives and mentioning important concepts, the current CE literature exhibits some gaps which have inspired this work and shaped the research questions. In </w:t>
      </w:r>
      <w:r w:rsidRPr="006E688F">
        <w:lastRenderedPageBreak/>
        <w:t>synthesis, CE literature struggles to assess the real state-of-the</w:t>
      </w:r>
      <w:r w:rsidRPr="006E688F" w:rsidDel="007F0E0C">
        <w:t xml:space="preserve"> </w:t>
      </w:r>
      <w:r w:rsidRPr="006E688F">
        <w:t xml:space="preserve">practice of the adoption of CE, as well as of the involvement of global supply chains, within a context that is still dominated by a linear paradigm of production and consumption. Despite MNEs having a key role in promoting more circular and sustainable production and consumption systems in their supply chains, their adoption of CE practices has not been assessed in a systematic way. </w:t>
      </w:r>
    </w:p>
    <w:p w14:paraId="1F76CE5F" w14:textId="77777777" w:rsidR="006379C0" w:rsidRPr="006E688F" w:rsidRDefault="006379C0" w:rsidP="002F7336">
      <w:r w:rsidRPr="006E688F">
        <w:t>Additionally, little evidence is discussed of the antecedents to the adoption of CE practices in MNEs and of how practices are spread across supply chain networks. The literature on the CE topic often neglects the supply chain level of analysis. The SSCM literature has already explored the process of the adoption of sustainable and green practices in global supply chains as well as its antecedents; however, these aspects are not explicitly discussed in the CE literature.</w:t>
      </w:r>
    </w:p>
    <w:p w14:paraId="2BD7DF9D" w14:textId="77777777" w:rsidR="006379C0" w:rsidRPr="006E688F" w:rsidRDefault="006379C0" w:rsidP="002F7336">
      <w:r w:rsidRPr="006E688F">
        <w:t>On the basis of the identified gaps, the following research questions will be addressed in this study:</w:t>
      </w:r>
    </w:p>
    <w:p w14:paraId="13AA605B" w14:textId="77777777" w:rsidR="006379C0" w:rsidRPr="006E688F" w:rsidRDefault="006379C0" w:rsidP="002F7336">
      <w:r w:rsidRPr="006E688F">
        <w:t>RQ1: Which CE practices have been adopted by European MNEs in the last years?</w:t>
      </w:r>
    </w:p>
    <w:p w14:paraId="0A3F4021" w14:textId="77777777" w:rsidR="006379C0" w:rsidRPr="006E688F" w:rsidRDefault="006379C0" w:rsidP="002F7336">
      <w:r w:rsidRPr="006E688F">
        <w:t xml:space="preserve">RQ2: To what extent are CE practices implemented? </w:t>
      </w:r>
    </w:p>
    <w:p w14:paraId="378BE6E3" w14:textId="77777777" w:rsidR="006379C0" w:rsidRPr="006E688F" w:rsidRDefault="006379C0" w:rsidP="002F7336">
      <w:r w:rsidRPr="006E688F">
        <w:t>RQ3: What factors can drive or enable MNEs bottom-up initiatives in the context of European free-market economies?</w:t>
      </w:r>
    </w:p>
    <w:p w14:paraId="0D257573" w14:textId="77777777" w:rsidR="006379C0" w:rsidRPr="006E688F" w:rsidRDefault="006379C0" w:rsidP="002F7336">
      <w:r w:rsidRPr="006E688F">
        <w:t xml:space="preserve">The next section details the research method which has been designed in order to address such research questions.  </w:t>
      </w:r>
    </w:p>
    <w:p w14:paraId="71176E3A" w14:textId="77777777" w:rsidR="006379C0" w:rsidRPr="006E688F" w:rsidRDefault="006379C0" w:rsidP="005035B4">
      <w:pPr>
        <w:pStyle w:val="Heading2"/>
      </w:pPr>
      <w:bookmarkStart w:id="20" w:name="_Toc157759484"/>
      <w:r w:rsidRPr="006E688F">
        <w:t>Method</w:t>
      </w:r>
      <w:bookmarkEnd w:id="20"/>
    </w:p>
    <w:p w14:paraId="2AECA2C7" w14:textId="77777777" w:rsidR="006379C0" w:rsidRPr="006E688F" w:rsidRDefault="006379C0" w:rsidP="002F7336">
      <w:r w:rsidRPr="006E688F">
        <w:t xml:space="preserve">In order to address the mentioned RQs, this paper seeks to review the adoption of CE practices, and related antecedents and drivers, in a large sample of prominent European MNEs using secondary data from Corporate Sustainability (CS) reports. </w:t>
      </w:r>
    </w:p>
    <w:p w14:paraId="532D81EF" w14:textId="2BC77048" w:rsidR="006379C0" w:rsidRPr="006E688F" w:rsidRDefault="006379C0" w:rsidP="002F7336">
      <w:r w:rsidRPr="006E688F">
        <w:t xml:space="preserve">Many authors have called for new methods and approaches in the supply chain management discipline </w:t>
      </w:r>
      <w:r w:rsidRPr="006E688F">
        <w:fldChar w:fldCharType="begin" w:fldLock="1"/>
      </w:r>
      <w:r w:rsidRPr="006E688F">
        <w:instrText>ADDIN CSL_CITATION {"citationItems":[{"id":"ITEM-1","itemData":{"DOI":"10.1016/j.pursup.2016.08.005","ISSN":"14784092","abstract":"The use of secondary data, data that has been gathered for another purpose but may be suitable for research, is growing in relevance and importance in purchasing and supply management research. This paper presents issues associated with using secondary data as a principal source of data or as supplemental to other data or methods. As editors increasingly call for multiple data sources in research publications, secondary data become even more relevant. Secondary data have many benefits, and some secondary data sets are well established and highly credible. The authors describe some of the ways that secondary data has been used in purchasing and supply management research, as well as some of the sources of data. Secondary data does have its limitations, ranging from bias in collection and reporting to difficulty in identifying and accessing appropriate sources of secondary data to dealing with its predominantly unstructured nature. Suggestions for improving the reliability and validity of secondary data are provided, as well advice for dealing with big data.","author":[{"dropping-particle":"","family":"Ellram","given":"Lisa M.","non-dropping-particle":"","parse-names":false,"suffix":""},{"dropping-particle":"","family":"Tate","given":"Wendy L.","non-dropping-particle":"","parse-names":false,"suffix":""}],"container-title":"Journal of Purchasing and Supply Management","id":"ITEM-1","issue":"4","issued":{"date-parts":[["2016"]]},"page":"250-254","publisher":"Elsevier","title":"The use of secondary data in purchasing and supply management (P/SM) research","type":"article-journal","volume":"22"},"uris":["http://www.mendeley.com/documents/?uuid=4194ad81-cd5f-4166-baef-51e9aaeaa05c"]},{"id":"ITEM-2","itemData":{"DOI":"10.1287/msom.2019.0829","ISBN":"0000000248","ISSN":"15265498","abstract":"In this paper, we examine the rise of empirical operations management research in Manufacturing &amp; Service Operations Management (M&amp;SOM). We review 91 empirically focused papers published in M&amp;SOM since its inception in 1999, classifying them based on data type and data collection methodology. The results show that although empirical operations management research has made great strides thus far, empirical research still lags analytic modeling, and much work remains to be done. We call on operations management scholars to broaden and increase their use of empirical tools as a vital source of new knowledge creation; and we highlight the benefits of filling methodological gaps, especially in case and survey research. Drawing on the dynamics associated with paradigm shifts, we offer a new research paradigm that we term combinative research value, in which these two empirical techniques, coupled with other approaches (e.g., web scraping, analyses of big data, and/or analytic modeling), can help accelerate our understanding of changing operating strategies and practices. We advocate for a tighter integration of analytical and empirical operations management knowledge in order to address the challenges and opportunities of the fast-paced, enormous forces of change in the 21st century.","author":[{"dropping-particle":"","family":"Roth","given":"Aleda","non-dropping-particle":"","parse-names":false,"suffix":""},{"dropping-particle":"","family":"Rosenzweig","given":"Eve","non-dropping-particle":"","parse-names":false,"suffix":""}],"container-title":"Manufacturing and Service Operations Management","id":"ITEM-2","issue":"1","issued":{"date-parts":[["2020"]]},"page":"179-190","title":"Advancing empirical science in operations management research: A clarion call to action","type":"article-journal","volume":"22"},"uris":["http://www.mendeley.com/documents/?uuid=c42be991-4c9f-4dc2-9650-4afd14c12b2e"]}],"mendeley":{"formattedCitation":"(Ellram &amp; Tate, 2016; Roth &amp; Rosenzweig, 2020)","plainTextFormattedCitation":"(Ellram &amp; Tate, 2016; Roth &amp; Rosenzweig, 2020)","previouslyFormattedCitation":"(Ellram &amp; Tate, 2016; Roth &amp; Rosenzweig, 2020)"},"properties":{"noteIndex":0},"schema":"https://github.com/citation-style-language/schema/raw/master/csl-citation.json"}</w:instrText>
      </w:r>
      <w:r w:rsidRPr="006E688F">
        <w:fldChar w:fldCharType="separate"/>
      </w:r>
      <w:r w:rsidRPr="006E688F">
        <w:t>(Ellram &amp; Tate, 2016; Roth &amp; Rosenzweig, 2020)</w:t>
      </w:r>
      <w:r w:rsidRPr="006E688F">
        <w:fldChar w:fldCharType="end"/>
      </w:r>
      <w:r w:rsidRPr="006E688F">
        <w:t xml:space="preserve">. Fast-paced changes in paradigms, along with environmental and social pressures require scholars to broaden their research strategies, integrate better analytical and empirical approaches </w:t>
      </w:r>
      <w:r w:rsidRPr="006E688F">
        <w:fldChar w:fldCharType="begin" w:fldLock="1"/>
      </w:r>
      <w:r w:rsidRPr="006E688F">
        <w:instrText>ADDIN CSL_CITATION {"citationItems":[{"id":"ITEM-1","itemData":{"DOI":"10.1287/msom.2019.0829","ISBN":"0000000248","ISSN":"15265498","abstract":"In this paper, we examine the rise of empirical operations management research in Manufacturing &amp; Service Operations Management (M&amp;SOM). We review 91 empirically focused papers published in M&amp;SOM since its inception in 1999, classifying them based on data type and data collection methodology. The results show that although empirical operations management research has made great strides thus far, empirical research still lags analytic modeling, and much work remains to be done. We call on operations management scholars to broaden and increase their use of empirical tools as a vital source of new knowledge creation; and we highlight the benefits of filling methodological gaps, especially in case and survey research. Drawing on the dynamics associated with paradigm shifts, we offer a new research paradigm that we term combinative research value, in which these two empirical techniques, coupled with other approaches (e.g., web scraping, analyses of big data, and/or analytic modeling), can help accelerate our understanding of changing operating strategies and practices. We advocate for a tighter integration of analytical and empirical operations management knowledge in order to address the challenges and opportunities of the fast-paced, enormous forces of change in the 21st century.","author":[{"dropping-particle":"","family":"Roth","given":"Aleda","non-dropping-particle":"","parse-names":false,"suffix":""},{"dropping-particle":"","family":"Rosenzweig","given":"Eve","non-dropping-particle":"","parse-names":false,"suffix":""}],"container-title":"Manufacturing and Service Operations Management","id":"ITEM-1","issue":"1","issued":{"date-parts":[["2020"]]},"page":"179-190","title":"Advancing empirical science in operations management research: A clarion call to action","type":"article-journal","volume":"22"},"uris":["http://www.mendeley.com/documents/?uuid=c42be991-4c9f-4dc2-9650-4afd14c12b2e"]}],"mendeley":{"formattedCitation":"(Roth &amp; Rosenzweig, 2020)","plainTextFormattedCitation":"(Roth &amp; Rosenzweig, 2020)","previouslyFormattedCitation":"(Roth &amp; Rosenzweig, 2020)"},"properties":{"noteIndex":0},"schema":"https://github.com/citation-style-language/schema/raw/master/csl-citation.json"}</w:instrText>
      </w:r>
      <w:r w:rsidRPr="006E688F">
        <w:fldChar w:fldCharType="separate"/>
      </w:r>
      <w:r w:rsidRPr="006E688F">
        <w:t>(Roth &amp; Rosenzweig, 2020)</w:t>
      </w:r>
      <w:r w:rsidRPr="006E688F">
        <w:fldChar w:fldCharType="end"/>
      </w:r>
      <w:r w:rsidRPr="006E688F">
        <w:t xml:space="preserve">, and overcome issues related to survey-based research </w:t>
      </w:r>
      <w:r w:rsidRPr="006E688F">
        <w:fldChar w:fldCharType="begin" w:fldLock="1"/>
      </w:r>
      <w:r w:rsidRPr="006E688F">
        <w:instrText>ADDIN CSL_CITATION {"citationItems":[{"id":"ITEM-1","itemData":{"DOI":"10.1016/j.pursup.2016.08.005","ISSN":"14784092","abstract":"The use of secondary data, data that has been gathered for another purpose but may be suitable for research, is growing in relevance and importance in purchasing and supply management research. This paper presents issues associated with using secondary data as a principal source of data or as supplemental to other data or methods. As editors increasingly call for multiple data sources in research publications, secondary data become even more relevant. Secondary data have many benefits, and some secondary data sets are well established and highly credible. The authors describe some of the ways that secondary data has been used in purchasing and supply management research, as well as some of the sources of data. Secondary data does have its limitations, ranging from bias in collection and reporting to difficulty in identifying and accessing appropriate sources of secondary data to dealing with its predominantly unstructured nature. Suggestions for improving the reliability and validity of secondary data are provided, as well advice for dealing with big data.","author":[{"dropping-particle":"","family":"Ellram","given":"Lisa M.","non-dropping-particle":"","parse-names":false,"suffix":""},{"dropping-particle":"","family":"Tate","given":"Wendy L.","non-dropping-particle":"","parse-names":false,"suffix":""}],"container-title":"Journal of Purchasing and Supply Management","id":"ITEM-1","issue":"4","issued":{"date-parts":[["2016"]]},"page":"250-254","publisher":"Elsevier","title":"The use of secondary data in purchasing and supply management (P/SM) research","type":"article-journal","volume":"22"},"uris":["http://www.mendeley.com/documents/?uuid=4194ad81-cd5f-4166-baef-51e9aaeaa05c"]},{"id":"ITEM-2","itemData":{"DOI":"10.1111/jscm.12161","ISSN":"1745493X","abstract":"Survey research in supply chain management has been and will continue to be an important methodology in advancing theory and practice. However, supply chain scholars have multiple, divergent views regarding what is acceptable in terms of survey design, especially regarding respondents. We build on insights and commentaries provided by JSCM associate editors to develop and share general guidelines we will use during our tenure as editors to consider the rigor of survey research designs. We also outline ways that survey designs for supply chain research can be strengthened. The aim of this editorial was to clearly communicate expectations to the JSCM community, so that authors and reviewers can be more successful in advancing the theory and practice of supply chain management.","author":[{"dropping-particle":"","family":"Flynn","given":"Barbara","non-dropping-particle":"","parse-names":false,"suffix":""},{"dropping-particle":"","family":"Pagell","given":"Mark","non-dropping-particle":"","parse-names":false,"suffix":""},{"dropping-particle":"","family":"Fugate","given":"Brian","non-dropping-particle":"","parse-names":false,"suffix":""}],"container-title":"Journal of Supply Chain Management","id":"ITEM-2","issue":"1","issued":{"date-parts":[["2018"]]},"page":"1-15","title":"Editorial: Survey Research Design in Supply Chain Management: The Need for Evolution in Our Expectations","type":"article-journal","volume":"54"},"uris":["http://www.mendeley.com/documents/?uuid=2ca06bd8-045f-42b2-9e89-ff553e6c7475"]}],"mendeley":{"formattedCitation":"(Ellram &amp; Tate, 2016; Flynn et al., 2018)","plainTextFormattedCitation":"(Ellram &amp; Tate, 2016; Flynn et al., 2018)","previouslyFormattedCitation":"(Ellram &amp; Tate, 2016; Flynn et al., 2018)"},"properties":{"noteIndex":0},"schema":"https://github.com/citation-style-language/schema/raw/master/csl-citation.json"}</w:instrText>
      </w:r>
      <w:r w:rsidRPr="006E688F">
        <w:fldChar w:fldCharType="separate"/>
      </w:r>
      <w:r w:rsidRPr="006E688F">
        <w:t>(Ellram &amp; Tate, 2016; Flynn et al., 2018)</w:t>
      </w:r>
      <w:r w:rsidRPr="006E688F">
        <w:fldChar w:fldCharType="end"/>
      </w:r>
      <w:r w:rsidRPr="006E688F">
        <w:t xml:space="preserve">. A greater methodological pluralism might be suitable to answer some research questions, in contexts where surveys have huge problems with data dependability, and with the reliability of data often collected from a single respondent. This is even truer when it comes to asking individuals to auto-evaluate </w:t>
      </w:r>
      <w:r w:rsidRPr="006E688F">
        <w:lastRenderedPageBreak/>
        <w:t>their own companies’ (or supply chain) at higher level of abstraction (</w:t>
      </w:r>
      <w:r w:rsidR="00B651D9" w:rsidRPr="006E688F">
        <w:t>e.g.,</w:t>
      </w:r>
      <w:r w:rsidRPr="006E688F">
        <w:t xml:space="preserve"> sustainability practices without having complete visibility over the whole supply chain process). Even the most prepared and competent respondents might lack for an overview of a whole process (</w:t>
      </w:r>
      <w:proofErr w:type="spellStart"/>
      <w:r w:rsidRPr="006E688F">
        <w:t>Ketokivi</w:t>
      </w:r>
      <w:proofErr w:type="spellEnd"/>
      <w:r w:rsidRPr="006E688F">
        <w:t xml:space="preserve">, 2019) or find cognitive or perceptual difficulties in being accurate (Flynn et al., 2018). </w:t>
      </w:r>
    </w:p>
    <w:p w14:paraId="13DE9F45" w14:textId="77777777" w:rsidR="006379C0" w:rsidRPr="006E688F" w:rsidRDefault="006379C0" w:rsidP="002F7336">
      <w:r w:rsidRPr="006E688F">
        <w:t xml:space="preserve">In parallel, companies are demanded to share more and more information with their stakeholders and in general to the public concerning their sustainability practices and their impacts. The amount and the quality of data that organisations make public, regarding their economic social, and environmental impacts and actions, has been enhanced. 80% of the largest 250 global organisations publish a Sustainability report </w:t>
      </w:r>
      <w:r w:rsidRPr="006E688F">
        <w:fldChar w:fldCharType="begin" w:fldLock="1"/>
      </w:r>
      <w:r w:rsidRPr="006E688F">
        <w:instrText>ADDIN CSL_CITATION {"citationItems":[{"id":"ITEM-1","itemData":{"DOI":"10.6004/jnccn.2019.0020","ISSN":"15401413","PMID":"30959464","abstract":"This is the 11th edition of The KPMG Survey of Sustainability Reporting. It provides a snapshot of current trends in corporate sustainability reporting, based on a review of reporting from 5,200 companies in 52 different countries and jurisdictions. This edition explores current trends in reporting on biodiversity risk, climate risk and carbon reduction, and the UN Sustainable Development Goals among others. It is intended primarily to help corporate reporting, investor relations and sustainability professionals shape their own company’s reporting. Some or all of the services described herein may not be permissible for KPMG audit clients and their affiliates or related entities.","author":[{"dropping-particle":"","family":"KPMG","given":"","non-dropping-particle":"","parse-names":false,"suffix":""}],"container-title":"Available at (https://assets.kpmg/content/dam/kpmg/xx/pdf/2020/11/the-time-has-come.pdf)","id":"ITEM-1","issued":{"date-parts":[["2020"]]},"title":"The KPMG Survey of Sustainability Reporting 2020","type":"article-journal"},"uris":["http://www.mendeley.com/documents/?uuid=3c2a7528-2df9-47b9-99b1-291fed3afc42"]}],"mendeley":{"formattedCitation":"(KPMG, 2020)","plainTextFormattedCitation":"(KPMG, 2020)","previouslyFormattedCitation":"(KPMG, 2020)"},"properties":{"noteIndex":0},"schema":"https://github.com/citation-style-language/schema/raw/master/csl-citation.json"}</w:instrText>
      </w:r>
      <w:r w:rsidRPr="006E688F">
        <w:fldChar w:fldCharType="separate"/>
      </w:r>
      <w:r w:rsidRPr="006E688F">
        <w:t>(KPMG, 2020)</w:t>
      </w:r>
      <w:r w:rsidRPr="006E688F">
        <w:fldChar w:fldCharType="end"/>
      </w:r>
      <w:r w:rsidRPr="006E688F">
        <w:t xml:space="preserve"> using increasingly standardised formats. For instance, the </w:t>
      </w:r>
      <w:r w:rsidRPr="006E688F">
        <w:rPr>
          <w:bCs/>
        </w:rPr>
        <w:t>Global Reporting Initiative (GRI) framework</w:t>
      </w:r>
      <w:r w:rsidRPr="006E688F">
        <w:rPr>
          <w:vertAlign w:val="superscript"/>
        </w:rPr>
        <w:footnoteReference w:id="4"/>
      </w:r>
      <w:r w:rsidRPr="006E688F">
        <w:rPr>
          <w:bCs/>
        </w:rPr>
        <w:t xml:space="preserve"> has provided a standardised format, which </w:t>
      </w:r>
      <w:r w:rsidRPr="006E688F">
        <w:t>has improved the quality of reporting and the comparability of the results among different organisations</w:t>
      </w:r>
      <w:r w:rsidRPr="006E688F">
        <w:rPr>
          <w:bCs/>
        </w:rPr>
        <w:t>.</w:t>
      </w:r>
      <w:r w:rsidRPr="006E688F">
        <w:t xml:space="preserve"> </w:t>
      </w:r>
    </w:p>
    <w:p w14:paraId="5E90CDB1" w14:textId="77777777" w:rsidR="006379C0" w:rsidRPr="006E688F" w:rsidRDefault="006379C0" w:rsidP="002F7336">
      <w:r w:rsidRPr="006E688F">
        <w:t xml:space="preserve">MNEs have the interest to disclose all their sustainability practices, actions, and impacts related to their sustainability strategy, in order to increase customers’ trust, improve brand value, and gain legitimacy from those stakeholders (Hofmann et al., 2019). Even though self-reported information is often presented in a favourable light </w:t>
      </w:r>
      <w:r w:rsidRPr="006E688F">
        <w:fldChar w:fldCharType="begin" w:fldLock="1"/>
      </w:r>
      <w:r w:rsidRPr="006E688F">
        <w:instrText>ADDIN CSL_CITATION {"citationItems":[{"id":"ITEM-1","itemData":{"DOI":"10.1016/j.jclepro.2013.07.005","ISSN":"09596526","abstract":"Since the end of the 1990s, sustainability reporting has become an increasingly relevant topic in business and academia. However, literature is still limited in quantity and no major reviews of the latest developments have thus far been presented. This paper provides a review of 178 articles dating from 1999 to 2011 from journals related to business, management, and accounting. Our aim is to identify what determinants of sustainability reporting are examined in the literature and to identify (in)consistencies, gaps, and opportunities for future research. We specifically illuminate factors influencing the adoption, the extent, and the quality of reporting. Based on our findings we provide an otherwise often missing link to theory (especially legitimacy, stakeholder, signaling, and institutional theory). Finally, possible future research themes are discussed by illuminating gaps and underexposed themes in the area of regulation and governance as well as reporting quality and stakeholder perception. © 2013 Elsevier Ltd. All rights reserved.","author":[{"dropping-particle":"","family":"Hahn","given":"Rüdiger","non-dropping-particle":"","parse-names":false,"suffix":""},{"dropping-particle":"","family":"Kühnen","given":"Michael","non-dropping-particle":"","parse-names":false,"suffix":""}],"container-title":"Journal of Cleaner Production","id":"ITEM-1","issued":{"date-parts":[["2013"]]},"page":"5-21","publisher":"Elsevier Ltd","title":"Determinants of sustainability reporting: A review of results, trends, theory, and opportunities in an expanding field of research","type":"article-journal","volume":"59"},"uris":["http://www.mendeley.com/documents/?uuid=c3574463-535c-4610-8afc-2f6d933a1d06"]}],"mendeley":{"formattedCitation":"(Hahn &amp; Kühnen, 2013)","plainTextFormattedCitation":"(Hahn &amp; Kühnen, 2013)","previouslyFormattedCitation":"(Hahn &amp; Kühnen, 2013)"},"properties":{"noteIndex":0},"schema":"https://github.com/citation-style-language/schema/raw/master/csl-citation.json"}</w:instrText>
      </w:r>
      <w:r w:rsidRPr="006E688F">
        <w:fldChar w:fldCharType="separate"/>
      </w:r>
      <w:r w:rsidRPr="006E688F">
        <w:t>(Hahn &amp; Kühnen, 2013)</w:t>
      </w:r>
      <w:r w:rsidRPr="006E688F">
        <w:fldChar w:fldCharType="end"/>
      </w:r>
      <w:r w:rsidRPr="006E688F">
        <w:t xml:space="preserve">, using already available and validated information provides a number of advantages in the context of the research objectives of this paper, such as the possibility of pre-defining a sample of relevant MNEs. </w:t>
      </w:r>
    </w:p>
    <w:p w14:paraId="742FDEE8" w14:textId="77777777" w:rsidR="006379C0" w:rsidRPr="006E688F" w:rsidRDefault="006379C0" w:rsidP="002F7336">
      <w:r w:rsidRPr="006E688F">
        <w:t xml:space="preserve">Based on this rationale, in order to address the mentioned RQs, the content of CS reports from a representative sample was systematically analysed, using content analysis and a mapping approach (see Figure 1), in a similar way to recent studies </w:t>
      </w:r>
      <w:r w:rsidRPr="006E688F">
        <w:fldChar w:fldCharType="begin" w:fldLock="1"/>
      </w:r>
      <w:r w:rsidRPr="006E688F">
        <w:instrText>ADDIN CSL_CITATION {"citationItems":[{"id":"ITEM-1","itemData":{"DOI":"10.1002/bse.2048","ISSN":"10990836","abstract":"Despite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Environment","id":"ITEM-1","issue":"7","issued":{"date-parts":[["2018"]]},"page":"1005-1022","title":"Circular economy in corporate sustainability strategies: A review of corporate sustainability reports in the fast-moving consumer goods sector","type":"article-journal","volume":"27"},"uris":["http://www.mendeley.com/documents/?uuid=a4245b62-344e-4d4e-bee8-a6f8d7febd42"]},{"id":"ITEM-2","itemData":{"DOI":"10.1016/j.ijpe.2019.03.022","ISSN":"09255273","abstract":"Fast fashion companies have been working over the last decade to reduce harmful impacts in their global supply chains (SC); nevertheless, the literature shows that the sustainability of operations in their multi-tier SC beyond the traditional tier-1 level is still a challenge. This paper aims to contribute to filling this gap: first, by finding out how leading fast fashion companies are promoting sustainability in terms of relationships and practices developed upstream in SC. Second, by assessing the level of commitment with their Code of Conduct that those four companies perceive in their suppliers, aiming at identifying the factors that may contribute to achieve the best performance. With this purpose, we conduct a content analysis on the last six sustainability reports of the four largest companies in the fast fashion industry. We have developed a multi-criteria decision-making approach to assess which company has reached the best performance according to sustainability criteria, checking the robustness of the assessment with a sensitivity analysis. Results show companies are mainly implementing traceability management systems, training and capacity building teams, and joint long-term planning programmes to improve SC performance. However, performance assessment is no easy task due to the lack of transparency about the level of identification, compliance with CoC and relationships developed in the tier-1 position and beyond.","author":[{"dropping-particle":"","family":"Mejías","given":"Ana M.","non-dropping-particle":"","parse-names":false,"suffix":""},{"dropping-particle":"","family":"Bellas","given":"Roberto","non-dropping-particle":"","parse-names":false,"suffix":""},{"dropping-particle":"","family":"Pardo","given":"Juan E.","non-dropping-particle":"","parse-names":false,"suffix":""},{"dropping-particle":"","family":"Paz","given":"Enrique","non-dropping-particle":"","parse-names":false,"suffix":""}],"container-title":"International Journal of Production Economics","id":"ITEM-2","issue":"March","issued":{"date-parts":[["2019"]]},"page":"143-158","publisher":"Elsevier B.V.","title":"Traceability management systems and capacity building as new approaches for improving sustainability in the fashion multi-tier supply chain","type":"article-journal","volume":"217"},"uris":["http://www.mendeley.com/documents/?uuid=e3bcb73b-90af-49b3-892a-4bd515586fdb"]}],"mendeley":{"formattedCitation":"(Stewart &amp; Niero, 2018; Mejías et al., 2019)","plainTextFormattedCitation":"(Stewart &amp; Niero, 2018; Mejías et al., 2019)","previouslyFormattedCitation":"(Stewart &amp; Niero, 2018; Mejías et al., 2019)"},"properties":{"noteIndex":0},"schema":"https://github.com/citation-style-language/schema/raw/master/csl-citation.json"}</w:instrText>
      </w:r>
      <w:r w:rsidRPr="006E688F">
        <w:fldChar w:fldCharType="separate"/>
      </w:r>
      <w:r w:rsidRPr="006E688F">
        <w:t>(Stewart &amp; Niero, 2018; Mejías et al., 2019)</w:t>
      </w:r>
      <w:r w:rsidRPr="006E688F">
        <w:fldChar w:fldCharType="end"/>
      </w:r>
      <w:r w:rsidRPr="006E688F">
        <w:t xml:space="preserve">. An </w:t>
      </w:r>
      <w:proofErr w:type="spellStart"/>
      <w:r w:rsidRPr="006E688F">
        <w:rPr>
          <w:i/>
        </w:rPr>
        <w:t>abductive</w:t>
      </w:r>
      <w:proofErr w:type="spellEnd"/>
      <w:r w:rsidRPr="006E688F">
        <w:t xml:space="preserve"> approach was adopted, where multiple waves of coding were preferred to the employment of previously selected keywords. A similar technique has been described by King and Brooks (2018) as </w:t>
      </w:r>
      <w:r w:rsidRPr="006E688F">
        <w:rPr>
          <w:i/>
        </w:rPr>
        <w:t>template analysis technique</w:t>
      </w:r>
      <w:r w:rsidRPr="006E688F">
        <w:t xml:space="preserve">, where deductive and inductive phases are alternated and initial classification categories are modified and adapted </w:t>
      </w:r>
      <w:r w:rsidRPr="006E688F">
        <w:fldChar w:fldCharType="begin" w:fldLock="1"/>
      </w:r>
      <w:r w:rsidRPr="006E688F">
        <w:instrText>ADDIN CSL_CITATION {"citationItems":[{"id":"ITEM-1","itemData":{"DOI":"10.4135/9781473983304.n3","ISBN":"9781473911574","author":[{"dropping-particle":"","family":"King","given":"Nigel","non-dropping-particle":"","parse-names":false,"suffix":""},{"dropping-particle":"","family":"Brooks","given":"Joanna M.","non-dropping-particle":"","parse-names":false,"suffix":""}],"container-title":"Template Analysis for Business and Management Students","id":"ITEM-1","issued":{"date-parts":[["2018"]]},"page":"25-46","title":"Doing Template Analysis: A Guide to the Main Components and Procedures","type":"article-journal"},"uris":["http://www.mendeley.com/documents/?uuid=b6f8798c-1e49-4afb-94dd-988f2b81a749"]}],"mendeley":{"formattedCitation":"(King &amp; Brooks, 2018)","plainTextFormattedCitation":"(King &amp; Brooks, 2018)"},"properties":{"noteIndex":0},"schema":"https://github.com/citation-style-language/schema/raw/master/csl-citation.json"}</w:instrText>
      </w:r>
      <w:r w:rsidRPr="006E688F">
        <w:fldChar w:fldCharType="separate"/>
      </w:r>
      <w:r w:rsidRPr="006E688F">
        <w:t>(King &amp; Brooks, 2018)</w:t>
      </w:r>
      <w:r w:rsidRPr="006E688F">
        <w:fldChar w:fldCharType="end"/>
      </w:r>
      <w:r w:rsidRPr="006E688F">
        <w:t xml:space="preserve">. </w:t>
      </w:r>
    </w:p>
    <w:p w14:paraId="6B8761CA" w14:textId="2A7A53BD" w:rsidR="006379C0" w:rsidRPr="006E688F" w:rsidRDefault="006379C0" w:rsidP="002F7336">
      <w:r w:rsidRPr="006E688F">
        <w:t>While most of the constructs of interest (</w:t>
      </w:r>
      <w:r w:rsidR="00E12455" w:rsidRPr="006E688F">
        <w:t>e.g.,</w:t>
      </w:r>
      <w:r w:rsidRPr="006E688F">
        <w:t xml:space="preserve"> CE practices, institutional pressures, supply chain integration) were coded with reference to 2018 reports, a longitudinal approach was adopted, in order to highlight how the interpretation of the CE concept has evolved in the 2016, 2017, and 2018 financial years. </w:t>
      </w:r>
    </w:p>
    <w:p w14:paraId="43BF77CC" w14:textId="77777777" w:rsidR="006379C0" w:rsidRPr="006E688F" w:rsidRDefault="006379C0" w:rsidP="002F7336">
      <w:r w:rsidRPr="006E688F">
        <w:lastRenderedPageBreak/>
        <w:t>The review consisted of four main phases (Figure 1): (</w:t>
      </w:r>
      <w:proofErr w:type="spellStart"/>
      <w:r w:rsidRPr="006E688F">
        <w:t>i</w:t>
      </w:r>
      <w:proofErr w:type="spellEnd"/>
      <w:r w:rsidRPr="006E688F">
        <w:t>) sample definition, (ii) content extraction, (iii) data coding, and (</w:t>
      </w:r>
      <w:proofErr w:type="gramStart"/>
      <w:r w:rsidRPr="006E688F">
        <w:t>vi</w:t>
      </w:r>
      <w:proofErr w:type="gramEnd"/>
      <w:r w:rsidRPr="006E688F">
        <w:t>) data analysis. The following sub-sections describe these steps in detail.</w:t>
      </w:r>
    </w:p>
    <w:p w14:paraId="3EEC2243" w14:textId="77777777" w:rsidR="006379C0" w:rsidRPr="006E688F" w:rsidRDefault="006379C0" w:rsidP="005035B4">
      <w:pPr>
        <w:pStyle w:val="Heading3"/>
      </w:pPr>
      <w:bookmarkStart w:id="21" w:name="_Toc157759485"/>
      <w:r w:rsidRPr="006E688F">
        <w:t xml:space="preserve">Sample </w:t>
      </w:r>
      <w:r w:rsidRPr="009B5B29">
        <w:t>Definition</w:t>
      </w:r>
      <w:bookmarkEnd w:id="21"/>
    </w:p>
    <w:p w14:paraId="03EB453A" w14:textId="77777777" w:rsidR="006379C0" w:rsidRPr="006E688F" w:rsidRDefault="006379C0" w:rsidP="002F7336">
      <w:r w:rsidRPr="006E688F">
        <w:t>As discussed in the literature review section, existing studies have limitations in defining samples that can be representative of wider sections of economic systems. This major limitation hinders the ability to generalise results; in particular, existing papers do not clarify to what extent CE initiatives could be applied to major global supply chains. For this reason, a representative sample was defined in advance. The Global Fortune 500 list</w:t>
      </w:r>
      <w:r w:rsidRPr="006E688F">
        <w:rPr>
          <w:vertAlign w:val="superscript"/>
        </w:rPr>
        <w:footnoteReference w:id="5"/>
      </w:r>
      <w:r w:rsidRPr="006E688F">
        <w:t xml:space="preserve"> (2019 edition) was used to select the sample – which includes the Top-50 companies in the list from the European Economic Area</w:t>
      </w:r>
      <w:r w:rsidRPr="006E688F">
        <w:rPr>
          <w:vertAlign w:val="superscript"/>
        </w:rPr>
        <w:footnoteReference w:id="6"/>
      </w:r>
      <w:r w:rsidRPr="006E688F">
        <w:t xml:space="preserve"> (EEA). </w:t>
      </w:r>
    </w:p>
    <w:p w14:paraId="73CB7039" w14:textId="77777777" w:rsidR="006379C0" w:rsidRPr="006E688F" w:rsidRDefault="006379C0" w:rsidP="002F7336">
      <w:r w:rsidRPr="006E688F">
        <w:t xml:space="preserve">Data was extracted from CS reports, which were assumed a suitable reliable source to address the research questions, in line with recent similar papers </w:t>
      </w:r>
      <w:r w:rsidRPr="006E688F">
        <w:fldChar w:fldCharType="begin" w:fldLock="1"/>
      </w:r>
      <w:r w:rsidRPr="006E688F">
        <w:instrText>ADDIN CSL_CITATION {"citationItems":[{"id":"ITEM-1","itemData":{"DOI":"10.1002/bse.2048","ISSN":"10990836","abstract":"Despite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Environment","id":"ITEM-1","issue":"7","issued":{"date-parts":[["2018"]]},"page":"1005-1022","title":"Circular economy in corporate sustainability strategies: A review of corporate sustainability reports in the fast-moving consumer goods sector","type":"article-journal","volume":"27"},"uris":["http://www.mendeley.com/documents/?uuid=a4245b62-344e-4d4e-bee8-a6f8d7febd42"]},{"id":"ITEM-2","itemData":{"DOI":"10.1016/j.jclepro.2016.12.047","ISSN":"09596526","abstract":"Circular economy ambitions demand considering lifecycle of products within product development. From the perspective of the circular economy, environmental considerations should, for example, increasingly entail product's use phase not only to increase product's energy-efficiency, but also to prolong the time in use. This paper investigates how these considerations are addressed within information and communications technology (ICT) sector. Drawing from previous research in constructing the hypotheses, it is examined how companies report about their quantitative environmental targets for products, and what topical areas are in focus for their environmentally conscious practices related to products’ reuse. Then, relationships with these published quantitative targets and environmental performance are assessed. Content analysis method is used to derive data from 43 sustainability reports. Our results suggest that being mature enough to publish quantitative environmental targets for products is positively associated with lifecycle thinking, considering the durability of products, and remanufacture. This exploratory study reveals among others, that although published, quantitative environmental targets for products are not yet dominantly present; they are positively associated with environmental performance measures. This includes capability to report quantitatively on flows of reclaimed products, and positions in external ranking. But, we also highlight the need for more discussion around reuse alternatives that are not commonly published among companies in this sample. The paper concludes by discussing the applicability of this research method.","author":[{"dropping-particle":"","family":"Sihvonen","given":"Siru","non-dropping-particle":"","parse-names":false,"suffix":""},{"dropping-particle":"","family":"Partanen","given":"Jouni","non-dropping-particle":"","parse-names":false,"suffix":""}],"container-title":"Journal of Cleaner Production","id":"ITEM-2","issued":{"date-parts":[["2017"]]},"page":"769-783","publisher":"Elsevier Ltd","title":"Eco-design practices with a focus on quantitative environmental targets: An exploratory content analysis within ICT sector","type":"article-journal","volume":"143"},"uris":["http://www.mendeley.com/documents/?uuid=727b240b-0fba-4ec3-b051-c03741e39852"]},{"id":"ITEM-3","itemData":{"DOI":"10.1016/j.ijpe.2019.03.022","ISSN":"09255273","abstract":"Fast fashion companies have been working over the last decade to reduce harmful impacts in their global supply chains (SC); nevertheless, the literature shows that the sustainability of operations in their multi-tier SC beyond the traditional tier-1 level is still a challenge. This paper aims to contribute to filling this gap: first, by finding out how leading fast fashion companies are promoting sustainability in terms of relationships and practices developed upstream in SC. Second, by assessing the level of commitment with their Code of Conduct that those four companies perceive in their suppliers, aiming at identifying the factors that may contribute to achieve the best performance. With this purpose, we conduct a content analysis on the last six sustainability reports of the four largest companies in the fast fashion industry. We have developed a multi-criteria decision-making approach to assess which company has reached the best performance according to sustainability criteria, checking the robustness of the assessment with a sensitivity analysis. Results show companies are mainly implementing traceability management systems, training and capacity building teams, and joint long-term planning programmes to improve SC performance. However, performance assessment is no easy task due to the lack of transparency about the level of identification, compliance with CoC and relationships developed in the tier-1 position and beyond.","author":[{"dropping-particle":"","family":"Mejías","given":"Ana M.","non-dropping-particle":"","parse-names":false,"suffix":""},{"dropping-particle":"","family":"Bellas","given":"Roberto","non-dropping-particle":"","parse-names":false,"suffix":""},{"dropping-particle":"","family":"Pardo","given":"Juan E.","non-dropping-particle":"","parse-names":false,"suffix":""},{"dropping-particle":"","family":"Paz","given":"Enrique","non-dropping-particle":"","parse-names":false,"suffix":""}],"container-title":"International Journal of Production Economics","id":"ITEM-3","issue":"March","issued":{"date-parts":[["2019"]]},"page":"143-158","publisher":"Elsevier B.V.","title":"Traceability management systems and capacity building as new approaches for improving sustainability in the fashion multi-tier supply chain","type":"article-journal","volume":"217"},"uris":["http://www.mendeley.com/documents/?uuid=e3bcb73b-90af-49b3-892a-4bd515586fdb"]}],"mendeley":{"formattedCitation":"(Sihvonen &amp; Partanen, 2017; Stewart &amp; Niero, 2018; Mejías et al., 2019)","plainTextFormattedCitation":"(Sihvonen &amp; Partanen, 2017; Stewart &amp; Niero, 2018; Mejías et al., 2019)","previouslyFormattedCitation":"(Sihvonen &amp; Partanen, 2017; Stewart &amp; Niero, 2018; Mejías et al., 2019)"},"properties":{"noteIndex":0},"schema":"https://github.com/citation-style-language/schema/raw/master/csl-citation.json"}</w:instrText>
      </w:r>
      <w:r w:rsidRPr="006E688F">
        <w:fldChar w:fldCharType="separate"/>
      </w:r>
      <w:r w:rsidRPr="006E688F">
        <w:t>(Sihvonen &amp; Partanen, 2017; Stewart &amp; Niero, 2018; Mejías et al., 2019)</w:t>
      </w:r>
      <w:r w:rsidRPr="006E688F">
        <w:fldChar w:fldCharType="end"/>
      </w:r>
      <w:r w:rsidRPr="006E688F">
        <w:t xml:space="preserve">. </w:t>
      </w:r>
    </w:p>
    <w:p w14:paraId="5E9D36B6" w14:textId="42E3CDC3" w:rsidR="006379C0" w:rsidRDefault="006379C0" w:rsidP="002F7336">
      <w:r w:rsidRPr="006E688F">
        <w:t xml:space="preserve">CS Reports for the 2016, 2017, and 2018 financial years were retrieved for all the companies in the subset. In the absence of a dedicated sustainability report, sustainability information was analysed in annual reports and company websites. Documents – the vast majority of which were in English, with a few notable exceptions in French – have been reviewed regardless of language. A first exploratory search assessed the presence of specific keywords (“circular economy”, “circularity”, “closed-loop”) in all the reports. This phase had purely a quantitative nature, aimed at performing some preliminary analysis prior to the extraction and qualitative analysis of content. </w:t>
      </w:r>
    </w:p>
    <w:p w14:paraId="53184007" w14:textId="77777777" w:rsidR="00E12455" w:rsidRPr="006E688F" w:rsidRDefault="00E12455" w:rsidP="00E12455">
      <w:pPr>
        <w:pStyle w:val="Heading3"/>
      </w:pPr>
      <w:bookmarkStart w:id="22" w:name="_Toc157759486"/>
      <w:r w:rsidRPr="006E688F">
        <w:t xml:space="preserve">Content </w:t>
      </w:r>
      <w:r w:rsidRPr="006379C0">
        <w:t>Extraction</w:t>
      </w:r>
      <w:bookmarkEnd w:id="22"/>
    </w:p>
    <w:p w14:paraId="645D25DB" w14:textId="77777777" w:rsidR="00E12455" w:rsidRPr="006E688F" w:rsidRDefault="00E12455" w:rsidP="00E12455">
      <w:r w:rsidRPr="006E688F">
        <w:t xml:space="preserve">During the data extraction phase, each report (2018) was read in its entirety. Text of interest for each of the research questions was identified, extracted, collected through the NVivo software package, and then organised using an Excel spreadsheet. A deductive preliminary template was initially employed to classify content according to macro-themes and their classifications: CE practices, supply chain integration, and institutional pressures.  </w:t>
      </w:r>
    </w:p>
    <w:p w14:paraId="34E548B0" w14:textId="57735D6F" w:rsidR="006379C0" w:rsidRDefault="006379C0" w:rsidP="002F7336">
      <w:r w:rsidRPr="006E688F">
        <w:rPr>
          <w:noProof/>
          <w:lang w:eastAsia="zh-CN"/>
        </w:rPr>
        <w:lastRenderedPageBreak/>
        <w:drawing>
          <wp:inline distT="0" distB="0" distL="0" distR="0" wp14:anchorId="595E23F2" wp14:editId="0B95E70A">
            <wp:extent cx="5528310" cy="3248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34019" cy="3252071"/>
                    </a:xfrm>
                    <a:prstGeom prst="rect">
                      <a:avLst/>
                    </a:prstGeom>
                    <a:noFill/>
                  </pic:spPr>
                </pic:pic>
              </a:graphicData>
            </a:graphic>
          </wp:inline>
        </w:drawing>
      </w:r>
    </w:p>
    <w:p w14:paraId="0CC49590" w14:textId="77777777" w:rsidR="00DB00A3" w:rsidRPr="006E688F" w:rsidRDefault="00DB00A3" w:rsidP="002F7336">
      <w:pPr>
        <w:pStyle w:val="Figurecaption"/>
      </w:pPr>
      <w:r w:rsidRPr="006E688F">
        <w:t xml:space="preserve">Figure 1 – Method flowchart. The activities for each phase are specified together with their nature: (D) indicates a deductive approach, (I) an inductive one. </w:t>
      </w:r>
    </w:p>
    <w:p w14:paraId="415FD134" w14:textId="77777777" w:rsidR="006379C0" w:rsidRPr="006E688F" w:rsidRDefault="006379C0" w:rsidP="005035B4">
      <w:pPr>
        <w:pStyle w:val="Heading3"/>
      </w:pPr>
      <w:bookmarkStart w:id="23" w:name="_Toc157759487"/>
      <w:r w:rsidRPr="006E688F">
        <w:t xml:space="preserve">Data </w:t>
      </w:r>
      <w:r w:rsidRPr="009B5B29">
        <w:t>Coding</w:t>
      </w:r>
      <w:bookmarkEnd w:id="23"/>
    </w:p>
    <w:p w14:paraId="13E99BA0" w14:textId="21CAF5EE" w:rsidR="006379C0" w:rsidRPr="006E688F" w:rsidRDefault="006379C0" w:rsidP="002F7336">
      <w:r w:rsidRPr="006379C0">
        <w:t>In this phase, the extracted content was interpreted across multiple waves of coding and classified into modified templates. During the first wave of coding,</w:t>
      </w:r>
      <w:r w:rsidRPr="006379C0">
        <w:footnoteReference w:id="7"/>
      </w:r>
      <w:r w:rsidRPr="006379C0">
        <w:t xml:space="preserve"> all the collected extracts for each macro-theme were evaluated and the information was further classified into more specific sub-categories. These categories were predefined, such as the type of practice according to the Waste Hierarchy</w:t>
      </w:r>
      <w:r w:rsidRPr="006E688F">
        <w:t xml:space="preserve"> Framework </w:t>
      </w:r>
      <w:r w:rsidRPr="006E688F">
        <w:fldChar w:fldCharType="begin" w:fldLock="1"/>
      </w:r>
      <w:r w:rsidRPr="006E688F">
        <w:instrText xml:space="preserve">ADDIN CSL_CITATION {"citationItems":[{"id":"ITEM-1","itemData":{"author":[{"dropping-particle":"","family":"European Commission","given":"","non-dropping-particle":"","parse-names":false,"suffix":""}],"id":"ITEM-1","issued":{"date-parts":[["2020"]]},"title":"A new Circular Economy Action Plan For a cleaner and more competitive Europe. Available online at: https://eur-lex.europa.eu/legal-content/EN/TXT/?qid=1583933814386&amp;uri=COM:2020:98:FIN. Last accessed: 11/06/2020","type":"article-journal"},"uris":["http://www.mendeley.com/documents/?uuid=80927fc1-a7b0-4e03-aa0a-7f0c5cce5d72"]},{"id":"ITEM-2","itemData":{"author":[{"dropping-particle":"","family":"European Commission","given":"","non-dropping-particle":"","parse-names":false,"suffix":""}],"id":"ITEM-2","issued":{"date-parts":[["2015"]]},"publisher-place":"Brussels, Belgium","title":"Closing the loop </w:instrText>
      </w:r>
      <w:r w:rsidRPr="006E688F">
        <w:rPr>
          <w:rFonts w:ascii="Times New Roman" w:hAnsi="Times New Roman" w:cs="Times New Roman"/>
        </w:rPr>
        <w:instrText>‐</w:instrText>
      </w:r>
      <w:r w:rsidRPr="006E688F">
        <w:instrText xml:space="preserve"> An EU action plan for the Circular Economy. Available online at: https://eur-lex.europa.eu/legal-content/EN/TXT/?uri=CELEX%3A52015DC0614. Last accessed: 11/06/2020","type":"report"},"uris":["http://www.mendeley.com/documents/?uuid=e418fe96-9958-4da4-a7c1-96a1801488db"]},{"id":"ITEM-3","itemData":{"author":[{"dropping-particle":"","family":"European Commission","given":"","non-dropping-particle":"","parse-names":false,"suffix":""}],"id":"ITEM-3","issued":{"date-parts":[["2008"]]},"title":"Directive 2008/98/EC of the European Parliament and of the Council of 19 November 2008 on waste and repealing certain Directives. Available online at: https://eur-lex.europa.eu/legal-con. Last accessed: 11/06/2020","type":"article-journal"},"uris":["http://www.mendeley.com/documents/?uuid=90922bc2-0766-4375-8d45-b5e54643b0fc"]}],"mendeley":{"formattedCitation":"(European Commission, 2008, 2015, 2020)","plainTextFormattedCitation":"(European Commission, 2008, 2015, 2020)","previouslyFormattedCitation":"(European Commission, 2008, 2015, 2020)"},"properties":{"noteIndex":0},"schema":"https://github.com/citation-style-language/schema/raw/master/csl-citation.json"}</w:instrText>
      </w:r>
      <w:r w:rsidRPr="006E688F">
        <w:fldChar w:fldCharType="separate"/>
      </w:r>
      <w:r w:rsidRPr="006E688F">
        <w:t>(European Commission, 2008, 2015, 2020)</w:t>
      </w:r>
      <w:r w:rsidRPr="006E688F">
        <w:fldChar w:fldCharType="end"/>
      </w:r>
      <w:r w:rsidRPr="006E688F">
        <w:t xml:space="preserve">, the type of SCI dimension according to the research database International Manufacturing Strategy Survey </w:t>
      </w:r>
      <w:r w:rsidRPr="006E688F">
        <w:fldChar w:fldCharType="begin" w:fldLock="1"/>
      </w:r>
      <w:r w:rsidRPr="006E688F">
        <w:instrText>ADDIN CSL_CITATION {"citationItems":[{"id":"ITEM-1","itemData":{"DOI":"10.1108/SCM-04-2014-0120","ISSN":"13598546","abstract":"Purpose-This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Management","id":"ITEM-1","issue":"2","issued":{"date-parts":[["2015"]]},"page":"139-150","title":"A nuanced view on supply chain integration: A coordinative and collaborative approach to operational and sustainability performance improvement","type":"article-journal","volume":"20"},"uris":["http://www.mendeley.com/documents/?uuid=174b8afa-dd16-4160-947a-5442a28b75d4"]}],"mendeley":{"formattedCitation":"(Wiengarten &amp; Longoni, 2015)","plainTextFormattedCitation":"(Wiengarten &amp; Longoni, 2015)","previouslyFormattedCitation":"(Wiengarten &amp; Longoni, 2015)"},"properties":{"noteIndex":0},"schema":"https://github.com/citation-style-language/schema/raw/master/csl-citation.json"}</w:instrText>
      </w:r>
      <w:r w:rsidRPr="006E688F">
        <w:fldChar w:fldCharType="separate"/>
      </w:r>
      <w:r w:rsidRPr="006E688F">
        <w:t>(Wiengarten &amp; Longoni, 2015)</w:t>
      </w:r>
      <w:r w:rsidRPr="006E688F">
        <w:fldChar w:fldCharType="end"/>
      </w:r>
      <w:r w:rsidRPr="006E688F">
        <w:t>, the type of institutional p</w:t>
      </w:r>
      <w:r w:rsidR="00444F93">
        <w:t>ressure (coercive, normative, mi</w:t>
      </w:r>
      <w:r w:rsidRPr="006E688F">
        <w:t xml:space="preserve">metic). </w:t>
      </w:r>
    </w:p>
    <w:p w14:paraId="0403F38A" w14:textId="77777777" w:rsidR="006379C0" w:rsidRPr="006E688F" w:rsidRDefault="006379C0" w:rsidP="002F7336">
      <w:r w:rsidRPr="006E688F">
        <w:t xml:space="preserve">It was recognised, however, that organisations sometimes referred to the same CE practice using different terminologies (which could also depend on industrial and geographical contexts) </w:t>
      </w:r>
      <w:r w:rsidRPr="006E688F">
        <w:fldChar w:fldCharType="begin" w:fldLock="1"/>
      </w:r>
      <w:r w:rsidRPr="006E688F">
        <w:instrText>ADDIN CSL_CITATION {"citationItems":[{"id":"ITEM-1","itemData":{"DOI":"10.1016/j.pursup.2016.08.005","ISSN":"14784092","abstract":"The use of secondary data, data that has been gathered for another purpose but may be suitable for research, is growing in relevance and importance in purchasing and supply management research. This paper presents issues associated with using secondary data as a principal source of data or as supplemental to other data or methods. As editors increasingly call for multiple data sources in research publications, secondary data become even more relevant. Secondary data have many benefits, and some secondary data sets are well established and highly credible. The authors describe some of the ways that secondary data has been used in purchasing and supply management research, as well as some of the sources of data. Secondary data does have its limitations, ranging from bias in collection and reporting to difficulty in identifying and accessing appropriate sources of secondary data to dealing with its predominantly unstructured nature. Suggestions for improving the reliability and validity of secondary data are provided, as well advice for dealing with big data.","author":[{"dropping-particle":"","family":"Ellram","given":"Lisa M.","non-dropping-particle":"","parse-names":false,"suffix":""},{"dropping-particle":"","family":"Tate","given":"Wendy L.","non-dropping-particle":"","parse-names":false,"suffix":""}],"container-title":"Journal of Purchasing and Supply Management","id":"ITEM-1","issue":"4","issued":{"date-parts":[["2016"]]},"page":"250-254","publisher":"Elsevier","title":"The use of secondary data in purchasing and supply management (P/SM) research","type":"article-journal","volume":"22"},"uris":["http://www.mendeley.com/documents/?uuid=4194ad81-cd5f-4166-baef-51e9aaeaa05c"]}],"mendeley":{"formattedCitation":"(Ellram &amp; Tate, 2016)","plainTextFormattedCitation":"(Ellram &amp; Tate, 2016)","previouslyFormattedCitation":"(Ellram &amp; Tate, 2016)"},"properties":{"noteIndex":0},"schema":"https://github.com/citation-style-language/schema/raw/master/csl-citation.json"}</w:instrText>
      </w:r>
      <w:r w:rsidRPr="006E688F">
        <w:fldChar w:fldCharType="separate"/>
      </w:r>
      <w:r w:rsidRPr="006E688F">
        <w:t>(Ellram &amp; Tate, 2016)</w:t>
      </w:r>
      <w:r w:rsidRPr="006E688F">
        <w:fldChar w:fldCharType="end"/>
      </w:r>
      <w:r w:rsidRPr="006E688F">
        <w:t xml:space="preserve">. Hence, during this phase CE practices were re-classified in </w:t>
      </w:r>
      <w:r w:rsidRPr="006E688F">
        <w:rPr>
          <w:i/>
        </w:rPr>
        <w:t>reduce</w:t>
      </w:r>
      <w:r w:rsidRPr="006E688F">
        <w:t xml:space="preserve">, </w:t>
      </w:r>
      <w:r w:rsidRPr="006E688F">
        <w:rPr>
          <w:i/>
        </w:rPr>
        <w:t>reuse</w:t>
      </w:r>
      <w:r w:rsidRPr="006E688F">
        <w:t xml:space="preserve">, </w:t>
      </w:r>
      <w:r w:rsidRPr="006E688F">
        <w:rPr>
          <w:i/>
        </w:rPr>
        <w:t>recycle</w:t>
      </w:r>
      <w:r w:rsidRPr="006E688F">
        <w:t xml:space="preserve"> and </w:t>
      </w:r>
      <w:r w:rsidRPr="006E688F">
        <w:rPr>
          <w:i/>
        </w:rPr>
        <w:t>recover</w:t>
      </w:r>
      <w:r w:rsidRPr="006E688F">
        <w:t xml:space="preserve"> actions, independently of the original classification provided in the surveyed reports. In this new classification phase, sub-category values (for example the different types of “</w:t>
      </w:r>
      <w:r w:rsidRPr="006E688F">
        <w:rPr>
          <w:i/>
          <w:iCs/>
        </w:rPr>
        <w:t>reduce</w:t>
      </w:r>
      <w:r w:rsidRPr="006E688F">
        <w:t xml:space="preserve">” practices) </w:t>
      </w:r>
      <w:r w:rsidRPr="006E688F">
        <w:lastRenderedPageBreak/>
        <w:t xml:space="preserve">were identified through an iterative process, starting from a critical reading of the collected text; consistent codes were used within the same sectors, to increase the level of homogeneity and comparability between the companies in the sample. </w:t>
      </w:r>
    </w:p>
    <w:p w14:paraId="26A2A144" w14:textId="57907541" w:rsidR="006379C0" w:rsidRPr="006E688F" w:rsidRDefault="006379C0" w:rsidP="002F7336">
      <w:r w:rsidRPr="006E688F">
        <w:t xml:space="preserve">During the </w:t>
      </w:r>
      <w:r w:rsidRPr="006E688F">
        <w:rPr>
          <w:i/>
          <w:iCs/>
        </w:rPr>
        <w:t>second wave of coding,</w:t>
      </w:r>
      <w:r w:rsidRPr="006E688F">
        <w:t xml:space="preserve"> CE practices were further characterised, and the template was inductively enriched with some details (Table 4). Firstly, another type of practice was added to the 4-R framework – </w:t>
      </w:r>
      <w:r w:rsidRPr="006E688F">
        <w:rPr>
          <w:i/>
          <w:iCs/>
        </w:rPr>
        <w:t>renewable energy &amp; resource efficiency</w:t>
      </w:r>
      <w:r w:rsidRPr="006E688F">
        <w:t xml:space="preserve">. This category includes incremental improvement of the efficiency in production systems, and the adoption of renewables as a source of energy, both of which are quite commonly mentioned in CS Reports. They were in this way unbundled from </w:t>
      </w:r>
      <w:r w:rsidRPr="006E688F">
        <w:rPr>
          <w:i/>
          <w:iCs/>
        </w:rPr>
        <w:t>reduce</w:t>
      </w:r>
      <w:r w:rsidRPr="006E688F">
        <w:t xml:space="preserve"> practices, which in our classification are more linked to radical changes in product design and functionality, which can lead to a substantial reduction in the total use of resources (rather than just an increase in their </w:t>
      </w:r>
      <w:r w:rsidRPr="006E688F">
        <w:rPr>
          <w:i/>
        </w:rPr>
        <w:t>productivity</w:t>
      </w:r>
      <w:r w:rsidRPr="006E688F">
        <w:t xml:space="preserve">). This distinction had the objective of recognising, to a broader extent, the strength and the weaknesses of the currently implemented approaches. Secondly, the level of implementation of each practice, in each firm, was also evaluated (see Appendix </w:t>
      </w:r>
      <w:r w:rsidR="00602B25">
        <w:t>2</w:t>
      </w:r>
      <w:r w:rsidRPr="006E688F">
        <w:t xml:space="preserve">B), taking inspiration from similar studies evaluating secondary data </w:t>
      </w:r>
      <w:r w:rsidRPr="006E688F">
        <w:fldChar w:fldCharType="begin" w:fldLock="1"/>
      </w:r>
      <w:r w:rsidRPr="006E688F">
        <w:instrText>ADDIN CSL_CITATION {"citationItems":[{"id":"ITEM-1","itemData":{"DOI":"10.1108/IJOPM-01-2019-0095","ISBN":"0120190095","ISSN":"17586593","abstract":"Purpose: The internet of things (IoT) is one of the pillars of Industry 4.0. Prior OM research has conceptualized IoT, and analyzed potential applications and risks and challenges associated with its adoption. However, little empirical evidence exists on the main types of IoT projects undertaken by organizations and on their impacts. The purpose of this paper is to close this gap by searching for a taxonomy of IoT projects that may be associated to different IoT readiness levels. The dynamic capability lens is used as the theoretical background for the analysis. Design/methodology/approach: A database of secondary IoT case studies is used to identify an IoT project taxonomy through two-step cluster analysis. The taxonomy obtained allows classifying projects into homogenous groups by technological novelty, IoT capabilities and functional areas of application. ANOVA is then used to test for the association between cluster membership and alternative operational impacts. Finally, the analysis of selected case studies from the database allows throwing light on the nature of the projects typical of each cluster. Findings: Five clusters of projects have been identified and positioned along varying degrees of capabilities, novelty and scope. The taxonomy is consistent with a three layer IoT technological readiness model. In turn, the three IoT readiness levels correspond to three managerial capabilities: monitoring, control and optimization. Combining cluster results with detailed case analysis suggests that IoT technological readiness can be interpreted as a dynamic capability enabling knowledge creation that can support competitive advantage. Originality/value: This is a first attempt to describe projects firms undertake when adopting IoT. Building on cluster analysis, the study suggests that different IoT readiness levels are needed to reach different impacts.","author":[{"dropping-particle":"","family":"Ancarani","given":"Alessandro","non-dropping-particle":"","parse-names":false,"suffix":""},{"dropping-particle":"","family":"Mauro","given":"Carmela","non-dropping-particle":"Di","parse-names":false,"suffix":""},{"dropping-particle":"","family":"Legenvre","given":"Hervé","non-dropping-particle":"","parse-names":false,"suffix":""},{"dropping-particle":"","family":"Cardella","given":"Marco Stefano","non-dropping-particle":"","parse-names":false,"suffix":""}],"container-title":"International Journal of Operations and Production Management","id":"ITEM-1","issued":{"date-parts":[["2019"]]},"title":"Internet of things adoption: a typology of projects","type":"article-journal"},"uris":["http://www.mendeley.com/documents/?uuid=e6465be7-7c5a-495f-83a3-4163a016a818"]}],"mendeley":{"formattedCitation":"(Ancarani, Di Mauro, Legenvre, et al., 2019)","manualFormatting":"(Ancarani et al., 2019b; Mejías et al., 2019)","plainTextFormattedCitation":"(Ancarani, Di Mauro, Legenvre, et al., 2019)","previouslyFormattedCitation":"(Ancarani, Di Mauro, Legenvre, et al., 2019)"},"properties":{"noteIndex":0},"schema":"https://github.com/citation-style-language/schema/raw/master/csl-citation.json"}</w:instrText>
      </w:r>
      <w:r w:rsidRPr="006E688F">
        <w:fldChar w:fldCharType="separate"/>
      </w:r>
      <w:r w:rsidRPr="006E688F">
        <w:t>(Ancarani et al., 2019b; Mejías et al., 2019)</w:t>
      </w:r>
      <w:r w:rsidRPr="006E688F">
        <w:fldChar w:fldCharType="end"/>
      </w:r>
      <w:r w:rsidRPr="006E688F">
        <w:t xml:space="preserve">. Five incremental implementation stages have been considered based on an objective evaluation of the level of adoption of that specific practice (Table 4). Finally, a third dimension was added to measure the involvement of supply chain partners and distinguish internal CE practices from Circular Supply Chain ones.  A complete overview of all the categories can be found in Appendix </w:t>
      </w:r>
      <w:r w:rsidR="00602B25">
        <w:t>2</w:t>
      </w:r>
      <w:r w:rsidRPr="006E688F">
        <w:t xml:space="preserve">A. </w:t>
      </w:r>
    </w:p>
    <w:p w14:paraId="48118704" w14:textId="77777777" w:rsidR="006379C0" w:rsidRPr="006E688F" w:rsidRDefault="006379C0" w:rsidP="002F7336"/>
    <w:p w14:paraId="63759212" w14:textId="77777777" w:rsidR="006379C0" w:rsidRPr="006E688F" w:rsidRDefault="006379C0" w:rsidP="002F7336">
      <w:pPr>
        <w:sectPr w:rsidR="006379C0" w:rsidRPr="006E688F" w:rsidSect="00116B90">
          <w:footerReference w:type="default" r:id="rId49"/>
          <w:footerReference w:type="first" r:id="rId50"/>
          <w:pgSz w:w="11901" w:h="16840" w:code="9"/>
          <w:pgMar w:top="1985" w:right="1418" w:bottom="1418" w:left="1418" w:header="709" w:footer="709" w:gutter="0"/>
          <w:cols w:space="708"/>
          <w:titlePg/>
          <w:docGrid w:linePitch="360"/>
        </w:sectPr>
      </w:pPr>
    </w:p>
    <w:p w14:paraId="3071B2C7" w14:textId="77777777" w:rsidR="006379C0" w:rsidRPr="006E688F" w:rsidRDefault="006379C0" w:rsidP="002F7336">
      <w:pPr>
        <w:pStyle w:val="Figurecaption"/>
        <w:rPr>
          <w:lang w:val="fr-FR"/>
        </w:rPr>
      </w:pPr>
      <w:r w:rsidRPr="006E688F">
        <w:rPr>
          <w:lang w:val="fr-FR"/>
        </w:rPr>
        <w:lastRenderedPageBreak/>
        <w:t>Table 4 – CE practices dimensions of classification</w:t>
      </w:r>
    </w:p>
    <w:tbl>
      <w:tblPr>
        <w:tblStyle w:val="TableGrid2"/>
        <w:tblW w:w="0" w:type="auto"/>
        <w:tblLook w:val="04A0" w:firstRow="1" w:lastRow="0" w:firstColumn="1" w:lastColumn="0" w:noHBand="0" w:noVBand="1"/>
      </w:tblPr>
      <w:tblGrid>
        <w:gridCol w:w="1818"/>
        <w:gridCol w:w="2137"/>
        <w:gridCol w:w="7450"/>
        <w:gridCol w:w="2022"/>
      </w:tblGrid>
      <w:tr w:rsidR="006379C0" w:rsidRPr="00D14B56" w14:paraId="27467659" w14:textId="77777777" w:rsidTr="00D14B56">
        <w:trPr>
          <w:trHeight w:val="536"/>
        </w:trPr>
        <w:tc>
          <w:tcPr>
            <w:tcW w:w="0" w:type="auto"/>
          </w:tcPr>
          <w:p w14:paraId="14E447E6" w14:textId="77777777" w:rsidR="006379C0" w:rsidRPr="00D14B56" w:rsidRDefault="006379C0" w:rsidP="0001016B">
            <w:pPr>
              <w:pStyle w:val="Tabletext"/>
            </w:pPr>
            <w:r w:rsidRPr="00D14B56">
              <w:t>Dimension of classification</w:t>
            </w:r>
          </w:p>
        </w:tc>
        <w:tc>
          <w:tcPr>
            <w:tcW w:w="0" w:type="auto"/>
          </w:tcPr>
          <w:p w14:paraId="14A70099" w14:textId="77777777" w:rsidR="006379C0" w:rsidRPr="00D14B56" w:rsidRDefault="006379C0" w:rsidP="0001016B">
            <w:pPr>
              <w:pStyle w:val="Tabletext"/>
            </w:pPr>
            <w:r w:rsidRPr="00D14B56">
              <w:t>Value</w:t>
            </w:r>
          </w:p>
        </w:tc>
        <w:tc>
          <w:tcPr>
            <w:tcW w:w="0" w:type="auto"/>
            <w:hideMark/>
          </w:tcPr>
          <w:p w14:paraId="65CEB057" w14:textId="77777777" w:rsidR="006379C0" w:rsidRPr="00D14B56" w:rsidRDefault="006379C0" w:rsidP="0001016B">
            <w:pPr>
              <w:pStyle w:val="Tabletext"/>
            </w:pPr>
            <w:r w:rsidRPr="00D14B56">
              <w:t>Description</w:t>
            </w:r>
          </w:p>
        </w:tc>
        <w:tc>
          <w:tcPr>
            <w:tcW w:w="0" w:type="auto"/>
          </w:tcPr>
          <w:p w14:paraId="454FF3BD" w14:textId="77777777" w:rsidR="006379C0" w:rsidRPr="00D14B56" w:rsidRDefault="006379C0" w:rsidP="0001016B">
            <w:pPr>
              <w:pStyle w:val="Tabletext"/>
            </w:pPr>
            <w:r w:rsidRPr="00D14B56">
              <w:t>Source</w:t>
            </w:r>
          </w:p>
        </w:tc>
      </w:tr>
      <w:tr w:rsidR="006379C0" w:rsidRPr="00D14B56" w14:paraId="0620D59E" w14:textId="77777777" w:rsidTr="00D14B56">
        <w:trPr>
          <w:trHeight w:val="536"/>
        </w:trPr>
        <w:tc>
          <w:tcPr>
            <w:tcW w:w="0" w:type="auto"/>
            <w:vMerge w:val="restart"/>
          </w:tcPr>
          <w:p w14:paraId="55370242" w14:textId="77777777" w:rsidR="006379C0" w:rsidRPr="00D14B56" w:rsidRDefault="006379C0" w:rsidP="0001016B">
            <w:pPr>
              <w:pStyle w:val="Tabletext"/>
            </w:pPr>
            <w:r w:rsidRPr="00D14B56">
              <w:t>Type of CE practice</w:t>
            </w:r>
          </w:p>
        </w:tc>
        <w:tc>
          <w:tcPr>
            <w:tcW w:w="0" w:type="auto"/>
          </w:tcPr>
          <w:p w14:paraId="3A5E7438" w14:textId="77777777" w:rsidR="006379C0" w:rsidRPr="00D14B56" w:rsidRDefault="006379C0" w:rsidP="0001016B">
            <w:pPr>
              <w:pStyle w:val="Tabletext"/>
            </w:pPr>
            <w:r w:rsidRPr="00D14B56">
              <w:t>Reduce</w:t>
            </w:r>
          </w:p>
        </w:tc>
        <w:tc>
          <w:tcPr>
            <w:tcW w:w="0" w:type="auto"/>
          </w:tcPr>
          <w:p w14:paraId="549D64CE" w14:textId="77777777" w:rsidR="006379C0" w:rsidRPr="00D14B56" w:rsidRDefault="006379C0" w:rsidP="0001016B">
            <w:pPr>
              <w:pStyle w:val="Tabletext"/>
            </w:pPr>
            <w:r w:rsidRPr="00D14B56">
              <w:t xml:space="preserve">Products are innovated to make more intensive use of resources. Product functions are re-thought and re-defined. </w:t>
            </w:r>
          </w:p>
        </w:tc>
        <w:tc>
          <w:tcPr>
            <w:tcW w:w="0" w:type="auto"/>
            <w:vMerge w:val="restart"/>
          </w:tcPr>
          <w:p w14:paraId="35311238" w14:textId="77777777" w:rsidR="006379C0" w:rsidRPr="00D14B56" w:rsidRDefault="006379C0" w:rsidP="0001016B">
            <w:pPr>
              <w:pStyle w:val="Tabletext"/>
              <w:rPr>
                <w:lang w:val="it-IT"/>
              </w:rPr>
            </w:pPr>
            <w:r w:rsidRPr="00D14B56">
              <w:fldChar w:fldCharType="begin" w:fldLock="1"/>
            </w:r>
            <w:r w:rsidRPr="00D14B56">
              <w:rPr>
                <w:lang w:val="it-IT"/>
              </w:rPr>
              <w:instrText>ADDIN CSL_CITATION {"citationItems":[{"id":"ITEM-1","itemData":{"author":[{"dropping-particle":"","family":"European Commission","given":"","non-dropping-particle":"","parse-names":false,"suffix":""}],"id":"ITEM-1","issued":{"date-parts":[["2015"]]},"publ</w:instrText>
            </w:r>
            <w:r w:rsidRPr="00D14B56">
              <w:rPr>
                <w:rFonts w:hint="eastAsia"/>
                <w:lang w:val="it-IT"/>
              </w:rPr>
              <w:instrText xml:space="preserve">isher-place":"Brussels, Belgium","title":"Closing the loop </w:instrText>
            </w:r>
            <w:r w:rsidRPr="00D14B56">
              <w:rPr>
                <w:rFonts w:hint="eastAsia"/>
                <w:lang w:val="it-IT"/>
              </w:rPr>
              <w:instrText>‐</w:instrText>
            </w:r>
            <w:r w:rsidRPr="00D14B56">
              <w:rPr>
                <w:rFonts w:hint="eastAsia"/>
                <w:lang w:val="it-IT"/>
              </w:rPr>
              <w:instrText xml:space="preserve"> An EU action plan for the Circular Economy. Available online at: https://eur-lex.europa.eu/legal-content/EN/TXT/?uri=CELEX%3A52015DC0614. Last accessed: 11/06/2020","type":"report"},"uris":["htt</w:instrText>
            </w:r>
            <w:r w:rsidRPr="00D14B56">
              <w:rPr>
                <w:lang w:val="it-IT"/>
              </w:rPr>
              <w:instrText>p://www.mendeley.com/documents/?uuid=e418fe96-9958-4da4-a7c1-96a1801488db"]},{"id":"ITEM-2","itemData":{"author":[{"dropping-particle":"","family":"European Commission","given":"","non-dropping-particle":"","parse-names":false,"suffix":""}],"id":"ITEM-2","issued":{"date-parts":[["2020"]]},"title":"A new Circular Economy Action Plan For a cleaner and more competitive Europe. Available online at: https://eur-lex.europa.eu/legal-content/EN/TXT/?qid=1583933814386&amp;uri=COM:2020:98:FIN. Last accessed: 11/06/2020","type":"article-journal"},"uris":["http://www.mendeley.com/documents/?uuid=80927fc1-a7b0-4e03-aa0a-7f0c5cce5d72"]},{"id":"ITEM-3","itemData":{"author":[{"dropping-particle":"","family":"European Commission","given":"","non-dropping-particle":"","parse-names":false,"suffix":""}],"id":"ITEM-3","issued":{"date-parts":[["2008"]]},"title":"Directive 2008/98/EC of the European Parliament and of the Council of 19 November 2008 on waste and repealing certain Directives. Available online at: https://eur-lex.europa.eu/legal-con. Last accessed: 11/06/2020","type":"article-journal"},"uris":["http://www.mendeley.com/documents/?uuid=90922bc2-0766-4375-8d45-b5e54643b0fc"]}],"mendeley":{"formattedCitation":"(European Commission, 2008, 2015, 2020)","plainTextFormattedCitation":"(European Commission, 2008, 2015, 2020)","previouslyFormattedCitation":"(European Commission, 2008, 2015, 2020)"},"properties":{"noteIndex":0},"schema":"https://github.com/citation-style-language/schema/raw/master/csl-citation.json"}</w:instrText>
            </w:r>
            <w:r w:rsidRPr="00D14B56">
              <w:fldChar w:fldCharType="separate"/>
            </w:r>
            <w:r w:rsidRPr="00D14B56">
              <w:rPr>
                <w:lang w:val="it-IT"/>
              </w:rPr>
              <w:t>(European Commission, 2008, 2015, 2020)</w:t>
            </w:r>
            <w:r w:rsidRPr="00D14B56">
              <w:fldChar w:fldCharType="end"/>
            </w:r>
            <w:r w:rsidRPr="00D14B56">
              <w:rPr>
                <w:lang w:val="it-IT"/>
              </w:rPr>
              <w:t xml:space="preserve">; </w:t>
            </w:r>
          </w:p>
          <w:p w14:paraId="3694D0F3" w14:textId="77777777" w:rsidR="006379C0" w:rsidRPr="00D14B56" w:rsidRDefault="006379C0" w:rsidP="0001016B">
            <w:pPr>
              <w:pStyle w:val="Tabletext"/>
              <w:rPr>
                <w:lang w:val="it-IT"/>
              </w:rPr>
            </w:pPr>
            <w:r w:rsidRPr="00D14B56">
              <w:fldChar w:fldCharType="begin" w:fldLock="1"/>
            </w:r>
            <w:r w:rsidRPr="00D14B56">
              <w:rPr>
                <w:lang w:val="it-IT"/>
              </w:rPr>
              <w:instrText>ADDIN CSL_CITATION {"citationItems":[{"id":"ITEM-1","itemData":{"DOI":"10.1016/j.resconrec.2017.09.005","ISSN":"18790658","abstract":"The circular economy concept has gained momentum both among scholars and practitioners. However, critics claim that it means many different things to different people. This paper provides further evidence for these critics. The aim of this paper is to create transparency regarding the current understandings of the circular economy concept. For this purpose, we have gathered 114 circular economy definitions which were coded on 17 dimensions. Our findings indicate that the circular economy is most frequently depicted as a combination of reduce, reuse and recycle activities, whereas it is oftentimes not highlighted that CE necessitates a systemic shift. We further find that the definitions show few explicit linkages of the circular economy concept to sustainable development. The main aim of the circular economy is considered to be economic prosperity, followed by environmental quality; its impact on social equity and future generations is barely mentioned. Furthermore, neither business models nor consumers are frequently outlined as enablers of the circular economy. We critically discuss the various circular economy conceptualizations throughout this paper. Overall, we hope to contribute via this study towards the coherence of the circular economy concept; we presume that significantly varying circular economy definitions may eventually result in the collapse of the concept.","author":[{"dropping-particle":"","family":"Kirchherr","given":"Julian","non-dropping-particle":"","parse-names":false,"suffix":""},{"dropping-particle":"","family":"Reike","given":"Denise","non-dropping-particle":"","parse-names":false,"suffix":""},{"dropping-particle":"","family":"Hekkert","given":"Marko","non-dropping-particle":"","parse-names":false,"suffix":""}],"container-title":"Resources, Conservation and Recycling","id":"ITEM-1","issue":"April","issued":{"date-parts":[["2017"]]},"page":"221-232","title":"Conceptualizing the circular economy: An analysis of 114 definitions","type":"article-journal","volume":"127"},"uris":["http://www.mendeley.com/documents/?uuid=8ac6eb91-ca98-47d1-8951-38e3c88d7a9e"]}],"mendeley":{"formattedCitation":"(Kirchherr et al., 2017)","plainTextFormattedCitation":"(Kirchherr et al., 2017)","previouslyFormattedCitation":"(Kirchherr et al., 2017)"},"properties":{"noteIndex":0},"schema":"https://github.com/citation-style-language/schema/raw/master/csl-citation.json"}</w:instrText>
            </w:r>
            <w:r w:rsidRPr="00D14B56">
              <w:fldChar w:fldCharType="separate"/>
            </w:r>
            <w:r w:rsidRPr="00D14B56">
              <w:rPr>
                <w:lang w:val="it-IT"/>
              </w:rPr>
              <w:t>(Kirchherr et al., 2017)</w:t>
            </w:r>
            <w:r w:rsidRPr="00D14B56">
              <w:fldChar w:fldCharType="end"/>
            </w:r>
          </w:p>
        </w:tc>
      </w:tr>
      <w:tr w:rsidR="006379C0" w:rsidRPr="00D14B56" w14:paraId="17E796E9" w14:textId="77777777" w:rsidTr="00D14B56">
        <w:trPr>
          <w:trHeight w:val="536"/>
        </w:trPr>
        <w:tc>
          <w:tcPr>
            <w:tcW w:w="0" w:type="auto"/>
            <w:vMerge/>
          </w:tcPr>
          <w:p w14:paraId="34AFD1FC" w14:textId="77777777" w:rsidR="006379C0" w:rsidRPr="00D14B56" w:rsidRDefault="006379C0" w:rsidP="0001016B">
            <w:pPr>
              <w:pStyle w:val="Tabletext"/>
              <w:rPr>
                <w:lang w:val="it-IT"/>
              </w:rPr>
            </w:pPr>
          </w:p>
        </w:tc>
        <w:tc>
          <w:tcPr>
            <w:tcW w:w="0" w:type="auto"/>
          </w:tcPr>
          <w:p w14:paraId="5817843E" w14:textId="77777777" w:rsidR="006379C0" w:rsidRPr="00D14B56" w:rsidRDefault="006379C0" w:rsidP="0001016B">
            <w:pPr>
              <w:pStyle w:val="Tabletext"/>
            </w:pPr>
            <w:r w:rsidRPr="00D14B56">
              <w:t>Reuse</w:t>
            </w:r>
          </w:p>
        </w:tc>
        <w:tc>
          <w:tcPr>
            <w:tcW w:w="0" w:type="auto"/>
          </w:tcPr>
          <w:p w14:paraId="1939143E" w14:textId="77777777" w:rsidR="006379C0" w:rsidRPr="00D14B56" w:rsidRDefault="006379C0" w:rsidP="0001016B">
            <w:pPr>
              <w:pStyle w:val="Tabletext"/>
            </w:pPr>
            <w:r w:rsidRPr="00D14B56">
              <w:t>Products' life is extended through repairing, preventive maintenance, and refurbishing actions; products and components are reutilised for their original function.</w:t>
            </w:r>
          </w:p>
        </w:tc>
        <w:tc>
          <w:tcPr>
            <w:tcW w:w="0" w:type="auto"/>
            <w:vMerge/>
          </w:tcPr>
          <w:p w14:paraId="3DCA6092" w14:textId="77777777" w:rsidR="006379C0" w:rsidRPr="00D14B56" w:rsidRDefault="006379C0" w:rsidP="0001016B">
            <w:pPr>
              <w:pStyle w:val="Tabletext"/>
            </w:pPr>
          </w:p>
        </w:tc>
      </w:tr>
      <w:tr w:rsidR="006379C0" w:rsidRPr="00D14B56" w14:paraId="7D45B943" w14:textId="77777777" w:rsidTr="00D14B56">
        <w:trPr>
          <w:trHeight w:val="536"/>
        </w:trPr>
        <w:tc>
          <w:tcPr>
            <w:tcW w:w="0" w:type="auto"/>
            <w:vMerge/>
          </w:tcPr>
          <w:p w14:paraId="2A952244" w14:textId="77777777" w:rsidR="006379C0" w:rsidRPr="00D14B56" w:rsidRDefault="006379C0" w:rsidP="0001016B">
            <w:pPr>
              <w:pStyle w:val="Tabletext"/>
            </w:pPr>
          </w:p>
        </w:tc>
        <w:tc>
          <w:tcPr>
            <w:tcW w:w="0" w:type="auto"/>
          </w:tcPr>
          <w:p w14:paraId="36505854" w14:textId="77777777" w:rsidR="006379C0" w:rsidRPr="00D14B56" w:rsidRDefault="006379C0" w:rsidP="0001016B">
            <w:pPr>
              <w:pStyle w:val="Tabletext"/>
            </w:pPr>
            <w:r w:rsidRPr="00D14B56">
              <w:t>Recycle</w:t>
            </w:r>
          </w:p>
        </w:tc>
        <w:tc>
          <w:tcPr>
            <w:tcW w:w="0" w:type="auto"/>
          </w:tcPr>
          <w:p w14:paraId="43596F40" w14:textId="77777777" w:rsidR="006379C0" w:rsidRPr="00D14B56" w:rsidRDefault="006379C0" w:rsidP="0001016B">
            <w:pPr>
              <w:pStyle w:val="Tabletext"/>
            </w:pPr>
            <w:r w:rsidRPr="00D14B56">
              <w:t xml:space="preserve">End-of-life products, parts, components, and materials are reprocessed to make new products, parts, components, and materials. Includes also remanufacturing and recycling. </w:t>
            </w:r>
          </w:p>
        </w:tc>
        <w:tc>
          <w:tcPr>
            <w:tcW w:w="0" w:type="auto"/>
            <w:vMerge/>
          </w:tcPr>
          <w:p w14:paraId="590DB0D5" w14:textId="77777777" w:rsidR="006379C0" w:rsidRPr="00D14B56" w:rsidRDefault="006379C0" w:rsidP="0001016B">
            <w:pPr>
              <w:pStyle w:val="Tabletext"/>
            </w:pPr>
          </w:p>
        </w:tc>
      </w:tr>
      <w:tr w:rsidR="006379C0" w:rsidRPr="00D14B56" w14:paraId="1FE260D7" w14:textId="77777777" w:rsidTr="00D14B56">
        <w:trPr>
          <w:trHeight w:val="536"/>
        </w:trPr>
        <w:tc>
          <w:tcPr>
            <w:tcW w:w="0" w:type="auto"/>
            <w:vMerge/>
          </w:tcPr>
          <w:p w14:paraId="76E13007" w14:textId="77777777" w:rsidR="006379C0" w:rsidRPr="00D14B56" w:rsidRDefault="006379C0" w:rsidP="0001016B">
            <w:pPr>
              <w:pStyle w:val="Tabletext"/>
            </w:pPr>
          </w:p>
        </w:tc>
        <w:tc>
          <w:tcPr>
            <w:tcW w:w="0" w:type="auto"/>
          </w:tcPr>
          <w:p w14:paraId="37FC83F0" w14:textId="77777777" w:rsidR="006379C0" w:rsidRPr="00D14B56" w:rsidRDefault="006379C0" w:rsidP="0001016B">
            <w:pPr>
              <w:pStyle w:val="Tabletext"/>
            </w:pPr>
            <w:r w:rsidRPr="00D14B56">
              <w:t>Recover</w:t>
            </w:r>
          </w:p>
        </w:tc>
        <w:tc>
          <w:tcPr>
            <w:tcW w:w="0" w:type="auto"/>
          </w:tcPr>
          <w:p w14:paraId="6D5E70B7" w14:textId="77777777" w:rsidR="006379C0" w:rsidRPr="00D14B56" w:rsidRDefault="006379C0" w:rsidP="0001016B">
            <w:pPr>
              <w:pStyle w:val="Tabletext"/>
            </w:pPr>
            <w:r w:rsidRPr="00D14B56">
              <w:t>Energy is recovered from by-products or waste, either directly or through the production of alternative fuels like biofuels.</w:t>
            </w:r>
          </w:p>
        </w:tc>
        <w:tc>
          <w:tcPr>
            <w:tcW w:w="0" w:type="auto"/>
            <w:vMerge/>
          </w:tcPr>
          <w:p w14:paraId="5B171736" w14:textId="77777777" w:rsidR="006379C0" w:rsidRPr="00D14B56" w:rsidRDefault="006379C0" w:rsidP="0001016B">
            <w:pPr>
              <w:pStyle w:val="Tabletext"/>
            </w:pPr>
          </w:p>
        </w:tc>
      </w:tr>
      <w:tr w:rsidR="006379C0" w:rsidRPr="00D14B56" w14:paraId="2B2FBFE0" w14:textId="77777777" w:rsidTr="00D14B56">
        <w:trPr>
          <w:trHeight w:val="536"/>
        </w:trPr>
        <w:tc>
          <w:tcPr>
            <w:tcW w:w="0" w:type="auto"/>
            <w:vMerge/>
          </w:tcPr>
          <w:p w14:paraId="4AA9D300" w14:textId="77777777" w:rsidR="006379C0" w:rsidRPr="00D14B56" w:rsidRDefault="006379C0" w:rsidP="0001016B">
            <w:pPr>
              <w:pStyle w:val="Tabletext"/>
            </w:pPr>
          </w:p>
        </w:tc>
        <w:tc>
          <w:tcPr>
            <w:tcW w:w="0" w:type="auto"/>
          </w:tcPr>
          <w:p w14:paraId="701077FF" w14:textId="77777777" w:rsidR="006379C0" w:rsidRPr="00D14B56" w:rsidRDefault="006379C0" w:rsidP="0001016B">
            <w:pPr>
              <w:pStyle w:val="Tabletext"/>
            </w:pPr>
            <w:r w:rsidRPr="00D14B56">
              <w:t>Renewable energy &amp; Resource efficiency</w:t>
            </w:r>
          </w:p>
        </w:tc>
        <w:tc>
          <w:tcPr>
            <w:tcW w:w="0" w:type="auto"/>
          </w:tcPr>
          <w:p w14:paraId="42D8590A" w14:textId="77777777" w:rsidR="006379C0" w:rsidRPr="00D14B56" w:rsidRDefault="006379C0" w:rsidP="0001016B">
            <w:pPr>
              <w:pStyle w:val="Tabletext"/>
            </w:pPr>
            <w:r w:rsidRPr="00D14B56">
              <w:t>Incremental efficiency improvement of production or logistics processes, or adoption of renewables as a source of energy. Linear flows of materials are not challenged.</w:t>
            </w:r>
          </w:p>
        </w:tc>
        <w:tc>
          <w:tcPr>
            <w:tcW w:w="0" w:type="auto"/>
            <w:vMerge/>
          </w:tcPr>
          <w:p w14:paraId="00DCA197" w14:textId="77777777" w:rsidR="006379C0" w:rsidRPr="00D14B56" w:rsidRDefault="006379C0" w:rsidP="0001016B">
            <w:pPr>
              <w:pStyle w:val="Tabletext"/>
            </w:pPr>
          </w:p>
        </w:tc>
      </w:tr>
      <w:tr w:rsidR="006379C0" w:rsidRPr="00D14B56" w14:paraId="712D29AC" w14:textId="77777777" w:rsidTr="00D14B56">
        <w:trPr>
          <w:trHeight w:val="580"/>
        </w:trPr>
        <w:tc>
          <w:tcPr>
            <w:tcW w:w="0" w:type="auto"/>
            <w:vMerge w:val="restart"/>
          </w:tcPr>
          <w:p w14:paraId="61E0B9AF" w14:textId="77777777" w:rsidR="006379C0" w:rsidRPr="00D14B56" w:rsidRDefault="006379C0" w:rsidP="0001016B">
            <w:pPr>
              <w:pStyle w:val="Tabletext"/>
            </w:pPr>
            <w:r w:rsidRPr="00D14B56">
              <w:t>Level of implementation</w:t>
            </w:r>
          </w:p>
        </w:tc>
        <w:tc>
          <w:tcPr>
            <w:tcW w:w="0" w:type="auto"/>
          </w:tcPr>
          <w:p w14:paraId="05405498" w14:textId="77777777" w:rsidR="006379C0" w:rsidRPr="00D14B56" w:rsidRDefault="006379C0" w:rsidP="0001016B">
            <w:pPr>
              <w:pStyle w:val="Tabletext"/>
            </w:pPr>
            <w:r w:rsidRPr="00D14B56">
              <w:t>No mention of CE practices (0)</w:t>
            </w:r>
          </w:p>
        </w:tc>
        <w:tc>
          <w:tcPr>
            <w:tcW w:w="0" w:type="auto"/>
            <w:hideMark/>
          </w:tcPr>
          <w:p w14:paraId="0FF9F721" w14:textId="77777777" w:rsidR="006379C0" w:rsidRPr="00D14B56" w:rsidRDefault="006379C0" w:rsidP="0001016B">
            <w:pPr>
              <w:pStyle w:val="Tabletext"/>
            </w:pPr>
            <w:r w:rsidRPr="00D14B56">
              <w:t>Absence of any practice that can be associated to the Circular Economy.</w:t>
            </w:r>
          </w:p>
        </w:tc>
        <w:tc>
          <w:tcPr>
            <w:tcW w:w="0" w:type="auto"/>
            <w:vMerge w:val="restart"/>
          </w:tcPr>
          <w:p w14:paraId="038A7167" w14:textId="77777777" w:rsidR="006379C0" w:rsidRPr="00D14B56" w:rsidRDefault="006379C0" w:rsidP="0001016B">
            <w:pPr>
              <w:pStyle w:val="Tabletext"/>
            </w:pPr>
            <w:r w:rsidRPr="00D14B56">
              <w:rPr>
                <w:lang w:val="it-IT"/>
              </w:rPr>
              <w:fldChar w:fldCharType="begin" w:fldLock="1"/>
            </w:r>
            <w:r w:rsidRPr="00D14B56">
              <w:rPr>
                <w:lang w:val="it-IT"/>
              </w:rPr>
              <w:instrText>ADDIN CSL_CITATION {"citationItems":[{"id":"ITEM-1","itemData":{"DOI":"10.1016/j.ijpe.2019.03.022","ISSN":"09255273","abstract":"Fast fashion companies have been working over the last decade to reduce harmful impacts in their global supply chains (SC); nevertheless, the literature shows that the sustainability of operations in their multi-tier SC beyond the traditional tier-1 level is still a challenge. This paper aims to contribute to filling this gap: first, by finding out how leading fast fashion companies are promoting sustainability in terms of relationships and practices developed upstream in SC. Second, by assessing the level of commitment with their Code of Conduct that those four companies perceive in their suppliers, aiming at identifying the factors that may contribute to achieve the best performance. With this purpose, we conduct a content analysis on the last six sustainability reports of the four largest companies in the fast fashion industry. We have developed a multi-criteria decision-making approach to assess which company has reached the best performance according to sustainability criteria, checking the robustness of the assessment with a sensitivity analysis. Results show companies are mainly implementing traceability management systems, training and capacity building teams, and joint long-term planning programmes to improve SC performance. However, performance assessment is no easy task due to the lack of transparency about the level of identification, compliance with CoC and relationships developed in the tier-1 position and beyond.","author":[{"dropping-particle":"","family":"Mejías","given":"Ana M.","non-dropping-particle":"","parse-names":false,"suffix":""},{"dropping-particle":"","family":"Bellas","given":"Roberto","non-dropping-particle":"","parse-names":false,"suffix":""},{"dropping-particle":"","family":"Pardo","given":"Juan E.","non-dropping-particle":"","parse-names":false,"suffix":""},{"dropping-particle":"","family":"Paz","given":"Enrique","non-dropping-particle":"","parse-names":false,"suffix":""}],"container-title":"International Journal of Production Economics","id":"ITEM-1","issue":"March","issued":{"date-parts":[["2019"]]},"page":"143-158","publisher":"Elsevier B.V.","title":"Traceability management systems and capacity building as new approaches for improving sustainability in the fashion multi-tier supply chain","type":"article-journal","volume":"217"},"uris":["http://www.mendeley.com/documents/?uuid=e3bcb73b-90af-49b3-892a-4bd515586fdb"]}],"mendeley":{"formattedCitation":"(Mejías et al., 2019)","plainTextFormattedCitation":"(Mejías et al., 2019)","previouslyFormattedCitation":"(Mejías et al., 2019)"},"properties":{"noteIndex":0},"schema":"https://github.com/citation-style-language/schema/raw/master/csl-citation.json"}</w:instrText>
            </w:r>
            <w:r w:rsidRPr="00D14B56">
              <w:rPr>
                <w:lang w:val="it-IT"/>
              </w:rPr>
              <w:fldChar w:fldCharType="separate"/>
            </w:r>
            <w:r w:rsidRPr="00D14B56">
              <w:rPr>
                <w:lang w:val="it-IT"/>
              </w:rPr>
              <w:t>(Mejías et al., 2019)</w:t>
            </w:r>
            <w:r w:rsidRPr="00D14B56">
              <w:fldChar w:fldCharType="end"/>
            </w:r>
            <w:r w:rsidRPr="00D14B56">
              <w:rPr>
                <w:lang w:val="it-IT"/>
              </w:rPr>
              <w:t xml:space="preserve">; </w:t>
            </w:r>
            <w:r w:rsidRPr="00D14B56">
              <w:rPr>
                <w:lang w:val="it-IT"/>
              </w:rPr>
              <w:fldChar w:fldCharType="begin" w:fldLock="1"/>
            </w:r>
            <w:r w:rsidRPr="00D14B56">
              <w:rPr>
                <w:lang w:val="it-IT"/>
              </w:rPr>
              <w:instrText>ADDIN CSL_CITATION {"citationItems":[{"id":"ITEM-1","itemData":{"DOI":"10.1016/j.jwb.2019.04.003","ISSN":"10909516","abstract":"An analysis of the competitive priorities that may lead backshoring companies to adopt new technologies is developed and tested using secondary data from 495 relocation initiatives to Europe. Findings suggest that backshoring is associated with the adoption of Industry 4.0 when the firm's priorities are high quality and the reduction of costs tied to non-conformance. Backshoring initiatives prioritizing the reduction of direct costs or responsiveness are not significantly tied to Industry 4.0 adoption. The analysis further highlights that the adoption of new technology by firms that compete on quality is more likely when they are involved in product innovation.","author":[{"dropping-particle":"","family":"Ancarani","given":"Alessandro","non-dropping-particle":"","parse-names":false,"suffix":""},{"dropping-particle":"","family":"Mauro","given":"Carmela","non-dropping-particle":"Di","parse-names":false,"suffix":""},{"dropping-particle":"","family":"Mascali","given":"Francesco","non-dropping-particle":"","parse-names":false,"suffix":""}],"container-title":"Journal of World Business","id":"ITEM-1","issued":{"date-parts":[["2019"]]},"title":"Backshoring strategy and the adoption of Industry 4.0: Evidence from Europe","type":"article-journal"},"uris":["http://www.mendeley.com/documents/?uuid=3a0c8cfc-1ea8-3b72-ba2e-ef83abb39e5a"]}],"mendeley":{"formattedCitation":"(Ancarani, Di Mauro, &amp; Mascali, 2019)","manualFormatting":"(Ancarani et al., 2019a)","plainTextFormattedCitation":"(Ancarani, Di Mauro, &amp; Mascali, 2019)","previouslyFormattedCitation":"(Ancarani, Di Mauro, &amp; Mascali, 2019)"},"properties":{"noteIndex":0},"schema":"https://github.com/citation-style-language/schema/raw/master/csl-citation.json"}</w:instrText>
            </w:r>
            <w:r w:rsidRPr="00D14B56">
              <w:rPr>
                <w:lang w:val="it-IT"/>
              </w:rPr>
              <w:fldChar w:fldCharType="separate"/>
            </w:r>
            <w:r w:rsidRPr="00D14B56">
              <w:t>(Ancarani et al., 2019a)</w:t>
            </w:r>
            <w:r w:rsidRPr="00D14B56">
              <w:fldChar w:fldCharType="end"/>
            </w:r>
          </w:p>
        </w:tc>
      </w:tr>
      <w:tr w:rsidR="006379C0" w:rsidRPr="00D14B56" w14:paraId="7E6E97F1" w14:textId="77777777" w:rsidTr="00D14B56">
        <w:trPr>
          <w:trHeight w:val="631"/>
        </w:trPr>
        <w:tc>
          <w:tcPr>
            <w:tcW w:w="0" w:type="auto"/>
            <w:vMerge/>
          </w:tcPr>
          <w:p w14:paraId="6CA4A098" w14:textId="77777777" w:rsidR="006379C0" w:rsidRPr="00D14B56" w:rsidRDefault="006379C0" w:rsidP="0001016B">
            <w:pPr>
              <w:pStyle w:val="Tabletext"/>
            </w:pPr>
          </w:p>
        </w:tc>
        <w:tc>
          <w:tcPr>
            <w:tcW w:w="0" w:type="auto"/>
          </w:tcPr>
          <w:p w14:paraId="02B1E3D4" w14:textId="77777777" w:rsidR="006379C0" w:rsidRPr="00D14B56" w:rsidRDefault="006379C0" w:rsidP="0001016B">
            <w:pPr>
              <w:pStyle w:val="Tabletext"/>
            </w:pPr>
            <w:r w:rsidRPr="00D14B56">
              <w:t>Exploratory and conceptual (1)</w:t>
            </w:r>
          </w:p>
        </w:tc>
        <w:tc>
          <w:tcPr>
            <w:tcW w:w="0" w:type="auto"/>
            <w:hideMark/>
          </w:tcPr>
          <w:p w14:paraId="7D7DF22F" w14:textId="77777777" w:rsidR="006379C0" w:rsidRPr="00D14B56" w:rsidRDefault="006379C0" w:rsidP="0001016B">
            <w:pPr>
              <w:pStyle w:val="Tabletext"/>
            </w:pPr>
            <w:r w:rsidRPr="00D14B56">
              <w:t>CE practices are just mentioned as an aspiration; the concept is mentioned symbolically with no clear link with an operational implementation.</w:t>
            </w:r>
          </w:p>
        </w:tc>
        <w:tc>
          <w:tcPr>
            <w:tcW w:w="0" w:type="auto"/>
            <w:vMerge/>
          </w:tcPr>
          <w:p w14:paraId="63C101CA" w14:textId="77777777" w:rsidR="006379C0" w:rsidRPr="00D14B56" w:rsidRDefault="006379C0" w:rsidP="0001016B">
            <w:pPr>
              <w:pStyle w:val="Tabletext"/>
            </w:pPr>
          </w:p>
        </w:tc>
      </w:tr>
      <w:tr w:rsidR="006379C0" w:rsidRPr="00D14B56" w14:paraId="06AFEF34" w14:textId="77777777" w:rsidTr="00D14B56">
        <w:trPr>
          <w:trHeight w:val="829"/>
        </w:trPr>
        <w:tc>
          <w:tcPr>
            <w:tcW w:w="0" w:type="auto"/>
            <w:vMerge/>
          </w:tcPr>
          <w:p w14:paraId="73C7F887" w14:textId="77777777" w:rsidR="006379C0" w:rsidRPr="00D14B56" w:rsidRDefault="006379C0" w:rsidP="0001016B">
            <w:pPr>
              <w:pStyle w:val="Tabletext"/>
            </w:pPr>
          </w:p>
        </w:tc>
        <w:tc>
          <w:tcPr>
            <w:tcW w:w="0" w:type="auto"/>
          </w:tcPr>
          <w:p w14:paraId="5996362C" w14:textId="77777777" w:rsidR="006379C0" w:rsidRPr="00D14B56" w:rsidRDefault="006379C0" w:rsidP="0001016B">
            <w:pPr>
              <w:pStyle w:val="Tabletext"/>
            </w:pPr>
            <w:r w:rsidRPr="00D14B56">
              <w:t>Testing (2)</w:t>
            </w:r>
          </w:p>
        </w:tc>
        <w:tc>
          <w:tcPr>
            <w:tcW w:w="0" w:type="auto"/>
            <w:hideMark/>
          </w:tcPr>
          <w:p w14:paraId="72A91BCF" w14:textId="77777777" w:rsidR="006379C0" w:rsidRPr="00D14B56" w:rsidRDefault="006379C0" w:rsidP="0001016B">
            <w:pPr>
              <w:pStyle w:val="Tabletext"/>
            </w:pPr>
            <w:r w:rsidRPr="00D14B56">
              <w:t xml:space="preserve">Presence of R&amp;D activities, which are being conducted on the implementation of CE practices. It is the case of pilot projects in specific plants, offices, around the world. Strategic acquisitions of start-up companies were considered as being part of this level of implementation. </w:t>
            </w:r>
          </w:p>
        </w:tc>
        <w:tc>
          <w:tcPr>
            <w:tcW w:w="0" w:type="auto"/>
            <w:vMerge/>
          </w:tcPr>
          <w:p w14:paraId="5C9CCEA1" w14:textId="77777777" w:rsidR="006379C0" w:rsidRPr="00D14B56" w:rsidRDefault="006379C0" w:rsidP="0001016B">
            <w:pPr>
              <w:pStyle w:val="Tabletext"/>
            </w:pPr>
          </w:p>
        </w:tc>
      </w:tr>
      <w:tr w:rsidR="006379C0" w:rsidRPr="00D14B56" w14:paraId="1CC9303A" w14:textId="77777777" w:rsidTr="00D14B56">
        <w:trPr>
          <w:trHeight w:val="462"/>
        </w:trPr>
        <w:tc>
          <w:tcPr>
            <w:tcW w:w="0" w:type="auto"/>
            <w:vMerge/>
          </w:tcPr>
          <w:p w14:paraId="267842E8" w14:textId="77777777" w:rsidR="006379C0" w:rsidRPr="00D14B56" w:rsidRDefault="006379C0" w:rsidP="0001016B">
            <w:pPr>
              <w:pStyle w:val="Tabletext"/>
            </w:pPr>
          </w:p>
        </w:tc>
        <w:tc>
          <w:tcPr>
            <w:tcW w:w="0" w:type="auto"/>
          </w:tcPr>
          <w:p w14:paraId="6EAB8DC7" w14:textId="77777777" w:rsidR="006379C0" w:rsidRPr="00D14B56" w:rsidRDefault="006379C0" w:rsidP="0001016B">
            <w:pPr>
              <w:pStyle w:val="Tabletext"/>
            </w:pPr>
            <w:r w:rsidRPr="00D14B56">
              <w:t>Early Implementation (3)</w:t>
            </w:r>
          </w:p>
        </w:tc>
        <w:tc>
          <w:tcPr>
            <w:tcW w:w="0" w:type="auto"/>
            <w:hideMark/>
          </w:tcPr>
          <w:p w14:paraId="466B00C8" w14:textId="77777777" w:rsidR="006379C0" w:rsidRPr="00D14B56" w:rsidRDefault="006379C0" w:rsidP="0001016B">
            <w:pPr>
              <w:pStyle w:val="Tabletext"/>
            </w:pPr>
            <w:r w:rsidRPr="00D14B56">
              <w:t>Evidence of CE practices adoptions can be identified in some product/service lines. Small impacts and plans for future extensions are reported.</w:t>
            </w:r>
          </w:p>
        </w:tc>
        <w:tc>
          <w:tcPr>
            <w:tcW w:w="0" w:type="auto"/>
            <w:vMerge/>
          </w:tcPr>
          <w:p w14:paraId="1209CB4E" w14:textId="77777777" w:rsidR="006379C0" w:rsidRPr="00D14B56" w:rsidRDefault="006379C0" w:rsidP="0001016B">
            <w:pPr>
              <w:pStyle w:val="Tabletext"/>
            </w:pPr>
          </w:p>
        </w:tc>
      </w:tr>
      <w:tr w:rsidR="006379C0" w:rsidRPr="00D14B56" w14:paraId="5202B7D2" w14:textId="77777777" w:rsidTr="00D14B56">
        <w:trPr>
          <w:trHeight w:val="462"/>
        </w:trPr>
        <w:tc>
          <w:tcPr>
            <w:tcW w:w="0" w:type="auto"/>
            <w:vMerge/>
          </w:tcPr>
          <w:p w14:paraId="6D4BE015" w14:textId="77777777" w:rsidR="006379C0" w:rsidRPr="00D14B56" w:rsidRDefault="006379C0" w:rsidP="0001016B">
            <w:pPr>
              <w:pStyle w:val="Tabletext"/>
            </w:pPr>
          </w:p>
        </w:tc>
        <w:tc>
          <w:tcPr>
            <w:tcW w:w="0" w:type="auto"/>
          </w:tcPr>
          <w:p w14:paraId="12E07C9E" w14:textId="77777777" w:rsidR="006379C0" w:rsidRPr="00D14B56" w:rsidRDefault="006379C0" w:rsidP="0001016B">
            <w:pPr>
              <w:pStyle w:val="Tabletext"/>
            </w:pPr>
            <w:r w:rsidRPr="00D14B56">
              <w:t>Company-wide implementation (4)</w:t>
            </w:r>
          </w:p>
        </w:tc>
        <w:tc>
          <w:tcPr>
            <w:tcW w:w="0" w:type="auto"/>
          </w:tcPr>
          <w:p w14:paraId="49197DF5" w14:textId="77777777" w:rsidR="006379C0" w:rsidRPr="00D14B56" w:rsidRDefault="006379C0" w:rsidP="0001016B">
            <w:pPr>
              <w:pStyle w:val="Tabletext"/>
            </w:pPr>
            <w:r w:rsidRPr="00D14B56">
              <w:t>The CE practice is part of company culture and is widely implemented in different geographical areas. A clear evaluation of the overall impact is provided.</w:t>
            </w:r>
          </w:p>
        </w:tc>
        <w:tc>
          <w:tcPr>
            <w:tcW w:w="0" w:type="auto"/>
            <w:vMerge/>
          </w:tcPr>
          <w:p w14:paraId="7202018F" w14:textId="77777777" w:rsidR="006379C0" w:rsidRPr="00D14B56" w:rsidRDefault="006379C0" w:rsidP="0001016B">
            <w:pPr>
              <w:pStyle w:val="Tabletext"/>
            </w:pPr>
          </w:p>
        </w:tc>
      </w:tr>
      <w:tr w:rsidR="006379C0" w:rsidRPr="003753F4" w14:paraId="3E3173DF" w14:textId="77777777" w:rsidTr="00D14B56">
        <w:trPr>
          <w:trHeight w:val="462"/>
        </w:trPr>
        <w:tc>
          <w:tcPr>
            <w:tcW w:w="0" w:type="auto"/>
            <w:vMerge w:val="restart"/>
          </w:tcPr>
          <w:p w14:paraId="4D52CA48" w14:textId="77777777" w:rsidR="006379C0" w:rsidRPr="00D14B56" w:rsidRDefault="006379C0" w:rsidP="0001016B">
            <w:pPr>
              <w:pStyle w:val="Tabletext"/>
            </w:pPr>
            <w:r w:rsidRPr="00D14B56">
              <w:t>Supply chain involvement</w:t>
            </w:r>
          </w:p>
        </w:tc>
        <w:tc>
          <w:tcPr>
            <w:tcW w:w="0" w:type="auto"/>
          </w:tcPr>
          <w:p w14:paraId="7C270192" w14:textId="77777777" w:rsidR="006379C0" w:rsidRPr="00D14B56" w:rsidRDefault="006379C0" w:rsidP="0001016B">
            <w:pPr>
              <w:pStyle w:val="Tabletext"/>
            </w:pPr>
            <w:r w:rsidRPr="00D14B56">
              <w:t>Internal CE practice</w:t>
            </w:r>
          </w:p>
        </w:tc>
        <w:tc>
          <w:tcPr>
            <w:tcW w:w="0" w:type="auto"/>
          </w:tcPr>
          <w:p w14:paraId="7F7440EF" w14:textId="77777777" w:rsidR="006379C0" w:rsidRPr="00D14B56" w:rsidRDefault="006379C0" w:rsidP="0001016B">
            <w:pPr>
              <w:pStyle w:val="Tabletext"/>
            </w:pPr>
            <w:r w:rsidRPr="00D14B56">
              <w:t>CE practices are implemented and managed independently by the company.</w:t>
            </w:r>
          </w:p>
        </w:tc>
        <w:tc>
          <w:tcPr>
            <w:tcW w:w="0" w:type="auto"/>
            <w:vMerge w:val="restart"/>
          </w:tcPr>
          <w:p w14:paraId="29EC1D9E" w14:textId="77777777" w:rsidR="006379C0" w:rsidRPr="00D14B56" w:rsidRDefault="006379C0" w:rsidP="0001016B">
            <w:pPr>
              <w:pStyle w:val="Tabletext"/>
              <w:rPr>
                <w:lang w:val="fr-FR"/>
              </w:rPr>
            </w:pPr>
            <w:r w:rsidRPr="00D14B56">
              <w:fldChar w:fldCharType="begin" w:fldLock="1"/>
            </w:r>
            <w:r w:rsidRPr="00D14B56">
              <w:rPr>
                <w:lang w:val="fr-FR"/>
              </w:rP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D14B56">
              <w:fldChar w:fldCharType="separate"/>
            </w:r>
            <w:r w:rsidRPr="00D14B56">
              <w:rPr>
                <w:lang w:val="fr-FR"/>
              </w:rPr>
              <w:t>(Zhu et al., 2013)</w:t>
            </w:r>
            <w:r w:rsidRPr="00D14B56">
              <w:fldChar w:fldCharType="end"/>
            </w:r>
            <w:r w:rsidRPr="00D14B56">
              <w:rPr>
                <w:lang w:val="fr-FR"/>
              </w:rPr>
              <w:t>;</w:t>
            </w:r>
          </w:p>
          <w:p w14:paraId="6238F590" w14:textId="77777777" w:rsidR="006379C0" w:rsidRPr="00D14B56" w:rsidRDefault="006379C0" w:rsidP="0001016B">
            <w:pPr>
              <w:pStyle w:val="Tabletext"/>
              <w:rPr>
                <w:lang w:val="fr-FR"/>
              </w:rPr>
            </w:pPr>
            <w:r w:rsidRPr="00D14B56">
              <w:fldChar w:fldCharType="begin" w:fldLock="1"/>
            </w:r>
            <w:r w:rsidRPr="00D14B56">
              <w:rPr>
                <w:lang w:val="fr-FR"/>
              </w:rPr>
              <w:instrText>ADDIN CSL_CITATION {"citationItems":[{"id":"ITEM-1","itemData":{"DOI":"10.1080/09537287.2018.1449246","ISSN":"13665871","abstract":"The circular economy (CE) proposes an economic framework based on circular flows of products and materials. Transition towards a CE is underway, therefore, understanding the nature and state of this transition is important for creating effective policies and business strategies. Some studies have focused on specific contexts and pockets of good practice. This exploratory, survey-based study of 77 companies investigates the shift towards the CE using a taxonomy of practices and barriers. Results show that firms favour practices related to resource and energy utilisation efficiency, while practices related to investment recovery, green purchasing and customer cooperation are less prevalent. Eco-design and internal environmental management practices have a medium level of implementation. The significant upfront investment cost, lack of awareness or sense of urgency were identified as implementation barriers. Results suggest the CE is driven by economic not environmental considerations, and the deployment of practices remains within a firm rather than across the supply chain.","author":[{"dropping-particle":"","family":"Masi","given":"Donato","non-dropping-particle":"","parse-names":false,"suffix":""},{"dropping-particle":"","family":"Kumar","given":"Vikas","non-dropping-particle":"","parse-names":false,"suffix":""},{"dropping-particle":"","family":"Garza-Reyes","given":"Jose Arturo","non-dropping-particle":"","parse-names":false,"suffix":""},{"dropping-particle":"","family":"Godsell","given":"Janet","non-dropping-particle":"","parse-names":false,"suffix":""}],"container-title":"Production Planning and Control","id":"ITEM-1","issue":"6","issued":{"date-parts":[["2018"]]},"page":"539-550","publisher":"Taylor &amp; Francis","title":"Towards a more circular economy: exploring the awareness, practices, and barriers from a focal firm perspective","type":"article-journal","volume":"29"},"uris":["http://www.mendeley.com/documents/?uuid=029a547a-2bbc-46c5-90ce-760a1c73caf5"]}],"mendeley":{"formattedCitation":"(Masi et al., 2018)","plainTextFormattedCitation":"(Masi et al., 2018)","previouslyFormattedCitation":"(Masi et al., 2018)"},"properties":{"noteIndex":0},"schema":"https://github.com/citation-style-language/schema/raw/master/csl-citation.json"}</w:instrText>
            </w:r>
            <w:r w:rsidRPr="00D14B56">
              <w:fldChar w:fldCharType="separate"/>
            </w:r>
            <w:r w:rsidRPr="00D14B56">
              <w:rPr>
                <w:lang w:val="fr-FR"/>
              </w:rPr>
              <w:t>(Masi et al., 2018)</w:t>
            </w:r>
            <w:r w:rsidRPr="00D14B56">
              <w:fldChar w:fldCharType="end"/>
            </w:r>
          </w:p>
        </w:tc>
      </w:tr>
      <w:tr w:rsidR="006379C0" w:rsidRPr="00D14B56" w14:paraId="036FD72A" w14:textId="77777777" w:rsidTr="00D14B56">
        <w:trPr>
          <w:trHeight w:val="462"/>
        </w:trPr>
        <w:tc>
          <w:tcPr>
            <w:tcW w:w="0" w:type="auto"/>
            <w:vMerge/>
          </w:tcPr>
          <w:p w14:paraId="0A3714B2" w14:textId="77777777" w:rsidR="006379C0" w:rsidRPr="00D14B56" w:rsidRDefault="006379C0" w:rsidP="0001016B">
            <w:pPr>
              <w:pStyle w:val="Tabletext"/>
              <w:rPr>
                <w:lang w:val="fr-FR"/>
              </w:rPr>
            </w:pPr>
          </w:p>
        </w:tc>
        <w:tc>
          <w:tcPr>
            <w:tcW w:w="0" w:type="auto"/>
          </w:tcPr>
          <w:p w14:paraId="7E21AC9A" w14:textId="77777777" w:rsidR="006379C0" w:rsidRPr="00D14B56" w:rsidRDefault="006379C0" w:rsidP="0001016B">
            <w:pPr>
              <w:pStyle w:val="Tabletext"/>
            </w:pPr>
            <w:r w:rsidRPr="00D14B56">
              <w:t>Circular Supply Chain (CSC) practice</w:t>
            </w:r>
          </w:p>
        </w:tc>
        <w:tc>
          <w:tcPr>
            <w:tcW w:w="0" w:type="auto"/>
          </w:tcPr>
          <w:p w14:paraId="6CE79C22" w14:textId="77777777" w:rsidR="006379C0" w:rsidRPr="00D14B56" w:rsidRDefault="006379C0" w:rsidP="0001016B">
            <w:pPr>
              <w:pStyle w:val="Tabletext"/>
            </w:pPr>
            <w:r w:rsidRPr="00D14B56">
              <w:t>CE practices are implemented with the involvement of at least another supply chain partner.</w:t>
            </w:r>
          </w:p>
        </w:tc>
        <w:tc>
          <w:tcPr>
            <w:tcW w:w="0" w:type="auto"/>
            <w:vMerge/>
          </w:tcPr>
          <w:p w14:paraId="0C5DBEDD" w14:textId="77777777" w:rsidR="006379C0" w:rsidRPr="00D14B56" w:rsidRDefault="006379C0" w:rsidP="0001016B">
            <w:pPr>
              <w:pStyle w:val="Tabletext"/>
            </w:pPr>
          </w:p>
        </w:tc>
      </w:tr>
    </w:tbl>
    <w:p w14:paraId="749E268B" w14:textId="7E0B7083" w:rsidR="001625C5" w:rsidRPr="001625C5" w:rsidRDefault="001625C5" w:rsidP="001625C5">
      <w:pPr>
        <w:sectPr w:rsidR="001625C5" w:rsidRPr="001625C5" w:rsidSect="00116B90">
          <w:footerReference w:type="default" r:id="rId51"/>
          <w:headerReference w:type="first" r:id="rId52"/>
          <w:footerReference w:type="first" r:id="rId53"/>
          <w:pgSz w:w="16840" w:h="11901" w:orient="landscape" w:code="9"/>
          <w:pgMar w:top="1418" w:right="1985" w:bottom="1418" w:left="1418" w:header="709" w:footer="709" w:gutter="0"/>
          <w:cols w:space="708"/>
          <w:titlePg/>
          <w:docGrid w:linePitch="360"/>
        </w:sectPr>
      </w:pPr>
    </w:p>
    <w:p w14:paraId="72399CDA" w14:textId="77777777" w:rsidR="006379C0" w:rsidRPr="006E688F" w:rsidRDefault="006379C0" w:rsidP="002F7336">
      <w:r w:rsidRPr="006E688F">
        <w:lastRenderedPageBreak/>
        <w:t xml:space="preserve">In order to supplement information coming from reports, we also used data coming from secondary sources (such as websites of trade magazines and associations, obtained through simple web searches) to integrate further dimensions into the database, the impact on performance (if reported), the presence of government incentives in the given geographical context, the industry of implementation, the type of ownership of the firm, the main drivers of the adoption, the expected results, the type of relationships in the supply chain.  </w:t>
      </w:r>
    </w:p>
    <w:p w14:paraId="5B4F0EE4" w14:textId="77777777" w:rsidR="006379C0" w:rsidRPr="006E688F" w:rsidRDefault="006379C0" w:rsidP="005035B4">
      <w:pPr>
        <w:pStyle w:val="Heading3"/>
      </w:pPr>
      <w:bookmarkStart w:id="24" w:name="_Toc157759488"/>
      <w:r w:rsidRPr="006E688F">
        <w:t xml:space="preserve">Data </w:t>
      </w:r>
      <w:r w:rsidRPr="009B5B29">
        <w:t>Analysis</w:t>
      </w:r>
      <w:bookmarkEnd w:id="24"/>
    </w:p>
    <w:p w14:paraId="02FB1B0C" w14:textId="77777777" w:rsidR="006379C0" w:rsidRPr="006E688F" w:rsidRDefault="006379C0" w:rsidP="002F7336">
      <w:r w:rsidRPr="006E688F">
        <w:t xml:space="preserve">A </w:t>
      </w:r>
      <w:r w:rsidRPr="006E688F">
        <w:rPr>
          <w:i/>
          <w:iCs/>
        </w:rPr>
        <w:t>third wave of coding</w:t>
      </w:r>
      <w:r w:rsidRPr="006E688F">
        <w:t xml:space="preserve"> was performed, to conduct a keyword-based final check, for making sure that all the relevant text had already been captured from all the reports. We employed both general and specific keywords that resulted from the categorisation in the second wave of coding: the former included Circular Economy, Circular Supply Chain, Closed-Loop Supply Chain, and Waste; while the latter related more specifically to CE practices or to SCI measures which are commonly applied by organisations, such as, for instance, reduce, reuse, recycle, recover, remanufacture, redesign, design for longevity, and supplier integration and customer integration. The retrieved text was further classified according to the specific sub-categories identified in the </w:t>
      </w:r>
      <w:r w:rsidRPr="006E688F">
        <w:rPr>
          <w:i/>
          <w:iCs/>
        </w:rPr>
        <w:t>first wave of coding</w:t>
      </w:r>
      <w:r w:rsidRPr="006E688F">
        <w:t xml:space="preserve">. Such a procedure was aimed at achieving the maximum level of replicability of the analysis. </w:t>
      </w:r>
    </w:p>
    <w:p w14:paraId="76494325" w14:textId="77777777" w:rsidR="006379C0" w:rsidRPr="006E688F" w:rsidRDefault="006379C0" w:rsidP="002F7336">
      <w:r w:rsidRPr="006E688F">
        <w:t xml:space="preserve">The final step included a critical analysis of the final database, aiming at summarising the relevant findings and highlighting the key messages, for addressing the </w:t>
      </w:r>
      <w:r w:rsidRPr="006E688F">
        <w:rPr>
          <w:bCs/>
        </w:rPr>
        <w:t xml:space="preserve">research questions. This phase also involved a synthetic representation of the data collected. The described effort to organise the content in a template in the most homogenous possible way has allowed to codify the information and to build synthetic scores for each MNE. Text content was in this way transformed in numerical scores, which </w:t>
      </w:r>
      <w:r w:rsidRPr="006E688F">
        <w:t xml:space="preserve">included both simple counting indexes (the number of internal CE practices, the number of CSC practices) and more complex ones, such as the “CE score” and the “SCI score”. </w:t>
      </w:r>
    </w:p>
    <w:p w14:paraId="73A1CD97" w14:textId="77777777" w:rsidR="006379C0" w:rsidRPr="006E688F" w:rsidRDefault="006379C0" w:rsidP="002F7336">
      <w:r w:rsidRPr="006E688F">
        <w:t xml:space="preserve">“CE score” (0-20 scale) was calculated as the arithmetic sum of the level of implementation (0-4, see Table 4) of each type of practice. SCI score (0-8) was the arithmetic sum of 8 binary variables, corresponding to SCI dimensions (Table 2), derived from the literature (presence of information on a specific item was assigned a 1; its absence a 0). </w:t>
      </w:r>
      <w:r w:rsidRPr="006E688F">
        <w:rPr>
          <w:bCs/>
        </w:rPr>
        <w:t>Such scores represent descriptive measures of how each MNE is implementing CE, as well as of its level of supply chain integration</w:t>
      </w:r>
      <w:r w:rsidRPr="006E688F">
        <w:t>.</w:t>
      </w:r>
      <w:r w:rsidRPr="006E688F">
        <w:rPr>
          <w:bCs/>
        </w:rPr>
        <w:t xml:space="preserve"> Despite not being an exhaustive evaluation, they genuinely represent the information that has been publicly shared in CS reports. </w:t>
      </w:r>
    </w:p>
    <w:p w14:paraId="21590109" w14:textId="77777777" w:rsidR="006379C0" w:rsidRPr="006E688F" w:rsidRDefault="006379C0" w:rsidP="002F7336">
      <w:r w:rsidRPr="006E688F">
        <w:lastRenderedPageBreak/>
        <w:t>Institutional isomorphism theoretical lenses were then used to interpret the template and the scores, to identify existing descriptive relations and make sense of the results, and to derive a conceptual framework based on two general propositions.</w:t>
      </w:r>
    </w:p>
    <w:p w14:paraId="6E896E63" w14:textId="77777777" w:rsidR="006379C0" w:rsidRPr="006E688F" w:rsidRDefault="006379C0" w:rsidP="005035B4">
      <w:pPr>
        <w:pStyle w:val="Heading2"/>
      </w:pPr>
      <w:bookmarkStart w:id="25" w:name="_Toc157759489"/>
      <w:r w:rsidRPr="009B5B29">
        <w:t>Results</w:t>
      </w:r>
      <w:bookmarkEnd w:id="25"/>
    </w:p>
    <w:p w14:paraId="295CCE0B" w14:textId="7BC719E8" w:rsidR="006379C0" w:rsidRPr="006E688F" w:rsidRDefault="006379C0" w:rsidP="002F7336">
      <w:r w:rsidRPr="006E688F">
        <w:t xml:space="preserve">The sample (Table 5) includes very well-known MNEs operating at a global level. More than half of all the organisations </w:t>
      </w:r>
      <w:r w:rsidR="00B651D9" w:rsidRPr="006E688F">
        <w:t>is</w:t>
      </w:r>
      <w:r w:rsidRPr="006E688F">
        <w:t xml:space="preserve"> established in France and Germany (Table 6). Four categories of industrial sectors are represented: the </w:t>
      </w:r>
      <w:r w:rsidRPr="006E688F">
        <w:rPr>
          <w:i/>
          <w:iCs/>
        </w:rPr>
        <w:t>service industry</w:t>
      </w:r>
      <w:r w:rsidRPr="006E688F">
        <w:t xml:space="preserve"> consists of financial institutions like banks and insurance companies; the </w:t>
      </w:r>
      <w:r w:rsidRPr="006E688F">
        <w:rPr>
          <w:i/>
          <w:iCs/>
        </w:rPr>
        <w:t>manufacturing industry</w:t>
      </w:r>
      <w:r w:rsidRPr="006E688F">
        <w:t xml:space="preserve"> accounts for automotive companies, Aerospace, Chemical, Pharmaceutical, and FMCG sectors; the </w:t>
      </w:r>
      <w:r w:rsidRPr="006E688F">
        <w:rPr>
          <w:i/>
          <w:iCs/>
        </w:rPr>
        <w:t>energy industry</w:t>
      </w:r>
      <w:r w:rsidRPr="006E688F">
        <w:t xml:space="preserve"> involves both energy producers and distributors; the </w:t>
      </w:r>
      <w:r w:rsidRPr="006E688F">
        <w:rPr>
          <w:i/>
          <w:iCs/>
        </w:rPr>
        <w:t>agri-food industry</w:t>
      </w:r>
      <w:r w:rsidRPr="006E688F">
        <w:t xml:space="preserve"> covers food producers, and food and drug stores. </w:t>
      </w:r>
    </w:p>
    <w:p w14:paraId="4261F0E7" w14:textId="36E66960" w:rsidR="006379C0" w:rsidRPr="00DB00A3" w:rsidRDefault="006379C0" w:rsidP="002F7336">
      <w:pPr>
        <w:pStyle w:val="Figurecaption"/>
      </w:pPr>
      <w:r w:rsidRPr="00DB00A3">
        <w:t xml:space="preserve">Table 5 – The sample of </w:t>
      </w:r>
      <w:r w:rsidR="00DB00A3" w:rsidRPr="00DB00A3">
        <w:t>Multi-National Enterprise</w:t>
      </w:r>
      <w:r w:rsidRPr="00DB00A3">
        <w:t xml:space="preserve">s </w:t>
      </w:r>
    </w:p>
    <w:tbl>
      <w:tblPr>
        <w:tblStyle w:val="TableGrid2"/>
        <w:tblW w:w="9281" w:type="dxa"/>
        <w:tblLook w:val="04A0" w:firstRow="1" w:lastRow="0" w:firstColumn="1" w:lastColumn="0" w:noHBand="0" w:noVBand="1"/>
      </w:tblPr>
      <w:tblGrid>
        <w:gridCol w:w="2136"/>
        <w:gridCol w:w="2101"/>
        <w:gridCol w:w="2583"/>
        <w:gridCol w:w="2461"/>
      </w:tblGrid>
      <w:tr w:rsidR="006379C0" w:rsidRPr="00D14B56" w14:paraId="03D15308" w14:textId="77777777" w:rsidTr="00D14B56">
        <w:trPr>
          <w:trHeight w:val="271"/>
        </w:trPr>
        <w:tc>
          <w:tcPr>
            <w:tcW w:w="0" w:type="auto"/>
            <w:gridSpan w:val="4"/>
            <w:noWrap/>
            <w:hideMark/>
          </w:tcPr>
          <w:p w14:paraId="4263A582" w14:textId="77777777" w:rsidR="006379C0" w:rsidRPr="00D14B56" w:rsidRDefault="006379C0" w:rsidP="0001016B">
            <w:pPr>
              <w:pStyle w:val="Tabletext"/>
            </w:pPr>
            <w:r w:rsidRPr="00D14B56">
              <w:t>The sample</w:t>
            </w:r>
          </w:p>
        </w:tc>
      </w:tr>
      <w:tr w:rsidR="006379C0" w:rsidRPr="00D14B56" w14:paraId="733A656D" w14:textId="77777777" w:rsidTr="00D14B56">
        <w:trPr>
          <w:trHeight w:val="281"/>
        </w:trPr>
        <w:tc>
          <w:tcPr>
            <w:tcW w:w="0" w:type="auto"/>
            <w:hideMark/>
          </w:tcPr>
          <w:p w14:paraId="106B157A" w14:textId="77777777" w:rsidR="006379C0" w:rsidRPr="00D14B56" w:rsidRDefault="006379C0" w:rsidP="0001016B">
            <w:pPr>
              <w:pStyle w:val="Tabletext"/>
            </w:pPr>
            <w:r w:rsidRPr="00D14B56">
              <w:t>1. Royal Dutch Shell</w:t>
            </w:r>
          </w:p>
        </w:tc>
        <w:tc>
          <w:tcPr>
            <w:tcW w:w="0" w:type="auto"/>
          </w:tcPr>
          <w:p w14:paraId="7723AC4E" w14:textId="77777777" w:rsidR="006379C0" w:rsidRPr="00D14B56" w:rsidRDefault="006379C0" w:rsidP="0001016B">
            <w:pPr>
              <w:pStyle w:val="Tabletext"/>
            </w:pPr>
            <w:r w:rsidRPr="00D14B56">
              <w:t>14. Carrefour</w:t>
            </w:r>
          </w:p>
        </w:tc>
        <w:tc>
          <w:tcPr>
            <w:tcW w:w="0" w:type="auto"/>
          </w:tcPr>
          <w:p w14:paraId="2E961503" w14:textId="77777777" w:rsidR="006379C0" w:rsidRPr="00D14B56" w:rsidRDefault="006379C0" w:rsidP="0001016B">
            <w:pPr>
              <w:pStyle w:val="Tabletext"/>
            </w:pPr>
            <w:r w:rsidRPr="00D14B56">
              <w:t>26. Airbus Gr.</w:t>
            </w:r>
          </w:p>
        </w:tc>
        <w:tc>
          <w:tcPr>
            <w:tcW w:w="0" w:type="auto"/>
          </w:tcPr>
          <w:p w14:paraId="4EB0E47D" w14:textId="77777777" w:rsidR="006379C0" w:rsidRPr="00D14B56" w:rsidRDefault="006379C0" w:rsidP="0001016B">
            <w:pPr>
              <w:pStyle w:val="Tabletext"/>
            </w:pPr>
            <w:r w:rsidRPr="00D14B56">
              <w:t>39. Unilever</w:t>
            </w:r>
          </w:p>
        </w:tc>
      </w:tr>
      <w:tr w:rsidR="006379C0" w:rsidRPr="00D14B56" w14:paraId="5027613A" w14:textId="77777777" w:rsidTr="00D14B56">
        <w:trPr>
          <w:trHeight w:val="281"/>
        </w:trPr>
        <w:tc>
          <w:tcPr>
            <w:tcW w:w="0" w:type="auto"/>
            <w:hideMark/>
          </w:tcPr>
          <w:p w14:paraId="2251F485" w14:textId="77777777" w:rsidR="006379C0" w:rsidRPr="00D14B56" w:rsidRDefault="006379C0" w:rsidP="0001016B">
            <w:pPr>
              <w:pStyle w:val="Tabletext"/>
            </w:pPr>
            <w:r w:rsidRPr="00D14B56">
              <w:t>2. Volkswagen AG</w:t>
            </w:r>
          </w:p>
        </w:tc>
        <w:tc>
          <w:tcPr>
            <w:tcW w:w="0" w:type="auto"/>
          </w:tcPr>
          <w:p w14:paraId="3D1E57C7" w14:textId="77777777" w:rsidR="006379C0" w:rsidRPr="00D14B56" w:rsidRDefault="006379C0" w:rsidP="0001016B">
            <w:pPr>
              <w:pStyle w:val="Tabletext"/>
            </w:pPr>
            <w:r w:rsidRPr="00D14B56">
              <w:t>15. Bosch Gr.</w:t>
            </w:r>
          </w:p>
        </w:tc>
        <w:tc>
          <w:tcPr>
            <w:tcW w:w="0" w:type="auto"/>
          </w:tcPr>
          <w:p w14:paraId="501A2F61" w14:textId="77777777" w:rsidR="006379C0" w:rsidRPr="00D14B56" w:rsidRDefault="006379C0" w:rsidP="0001016B">
            <w:pPr>
              <w:pStyle w:val="Tabletext"/>
            </w:pPr>
            <w:r w:rsidRPr="00D14B56">
              <w:t>27. Peugeot</w:t>
            </w:r>
          </w:p>
        </w:tc>
        <w:tc>
          <w:tcPr>
            <w:tcW w:w="0" w:type="auto"/>
          </w:tcPr>
          <w:p w14:paraId="17987E06" w14:textId="77777777" w:rsidR="006379C0" w:rsidRPr="00D14B56" w:rsidRDefault="006379C0" w:rsidP="0001016B">
            <w:pPr>
              <w:pStyle w:val="Tabletext"/>
            </w:pPr>
            <w:r w:rsidRPr="00D14B56">
              <w:t>40. Auchan Holding</w:t>
            </w:r>
          </w:p>
        </w:tc>
      </w:tr>
      <w:tr w:rsidR="006379C0" w:rsidRPr="00D14B56" w14:paraId="18A26093" w14:textId="77777777" w:rsidTr="00D14B56">
        <w:trPr>
          <w:trHeight w:val="281"/>
        </w:trPr>
        <w:tc>
          <w:tcPr>
            <w:tcW w:w="0" w:type="auto"/>
            <w:hideMark/>
          </w:tcPr>
          <w:p w14:paraId="11C9DEFE" w14:textId="77777777" w:rsidR="006379C0" w:rsidRPr="00D14B56" w:rsidRDefault="006379C0" w:rsidP="0001016B">
            <w:pPr>
              <w:pStyle w:val="Tabletext"/>
            </w:pPr>
            <w:r w:rsidRPr="00D14B56">
              <w:t>3. BP plc</w:t>
            </w:r>
          </w:p>
        </w:tc>
        <w:tc>
          <w:tcPr>
            <w:tcW w:w="0" w:type="auto"/>
          </w:tcPr>
          <w:p w14:paraId="087C5F7D" w14:textId="77777777" w:rsidR="006379C0" w:rsidRPr="00D14B56" w:rsidRDefault="006379C0" w:rsidP="0001016B">
            <w:pPr>
              <w:pStyle w:val="Tabletext"/>
            </w:pPr>
            <w:r w:rsidRPr="00D14B56">
              <w:t>16. Banco Santander</w:t>
            </w:r>
          </w:p>
        </w:tc>
        <w:tc>
          <w:tcPr>
            <w:tcW w:w="0" w:type="auto"/>
          </w:tcPr>
          <w:p w14:paraId="2667EE24" w14:textId="77777777" w:rsidR="006379C0" w:rsidRPr="00D14B56" w:rsidRDefault="006379C0" w:rsidP="0001016B">
            <w:pPr>
              <w:pStyle w:val="Tabletext"/>
            </w:pPr>
            <w:r w:rsidRPr="00D14B56">
              <w:t>28. BASF </w:t>
            </w:r>
          </w:p>
        </w:tc>
        <w:tc>
          <w:tcPr>
            <w:tcW w:w="0" w:type="auto"/>
          </w:tcPr>
          <w:p w14:paraId="7C27A99A" w14:textId="77777777" w:rsidR="006379C0" w:rsidRPr="00D14B56" w:rsidRDefault="006379C0" w:rsidP="0001016B">
            <w:pPr>
              <w:pStyle w:val="Tabletext"/>
            </w:pPr>
            <w:r w:rsidRPr="00D14B56">
              <w:t>41. Vodafone</w:t>
            </w:r>
          </w:p>
        </w:tc>
      </w:tr>
      <w:tr w:rsidR="006379C0" w:rsidRPr="00D14B56" w14:paraId="3E30031D" w14:textId="77777777" w:rsidTr="00D14B56">
        <w:trPr>
          <w:trHeight w:val="281"/>
        </w:trPr>
        <w:tc>
          <w:tcPr>
            <w:tcW w:w="0" w:type="auto"/>
            <w:hideMark/>
          </w:tcPr>
          <w:p w14:paraId="285FA2F9" w14:textId="77777777" w:rsidR="006379C0" w:rsidRPr="00D14B56" w:rsidRDefault="006379C0" w:rsidP="0001016B">
            <w:pPr>
              <w:pStyle w:val="Tabletext"/>
            </w:pPr>
            <w:r w:rsidRPr="00D14B56">
              <w:t>4. Daimler</w:t>
            </w:r>
          </w:p>
        </w:tc>
        <w:tc>
          <w:tcPr>
            <w:tcW w:w="0" w:type="auto"/>
          </w:tcPr>
          <w:p w14:paraId="77FBED71" w14:textId="77777777" w:rsidR="006379C0" w:rsidRPr="00D14B56" w:rsidRDefault="006379C0" w:rsidP="0001016B">
            <w:pPr>
              <w:pStyle w:val="Tabletext"/>
            </w:pPr>
            <w:r w:rsidRPr="00D14B56">
              <w:t>17. Deutsche Telekom</w:t>
            </w:r>
          </w:p>
        </w:tc>
        <w:tc>
          <w:tcPr>
            <w:tcW w:w="0" w:type="auto"/>
          </w:tcPr>
          <w:p w14:paraId="16D0F0BA" w14:textId="77777777" w:rsidR="006379C0" w:rsidRPr="00D14B56" w:rsidRDefault="006379C0" w:rsidP="0001016B">
            <w:pPr>
              <w:pStyle w:val="Tabletext"/>
            </w:pPr>
            <w:r w:rsidRPr="00D14B56">
              <w:t xml:space="preserve">29. Royal </w:t>
            </w:r>
            <w:proofErr w:type="spellStart"/>
            <w:r w:rsidRPr="00D14B56">
              <w:t>Ahold</w:t>
            </w:r>
            <w:proofErr w:type="spellEnd"/>
            <w:r w:rsidRPr="00D14B56">
              <w:t xml:space="preserve"> Delhaize</w:t>
            </w:r>
          </w:p>
        </w:tc>
        <w:tc>
          <w:tcPr>
            <w:tcW w:w="0" w:type="auto"/>
          </w:tcPr>
          <w:p w14:paraId="68AFDFF7" w14:textId="77777777" w:rsidR="006379C0" w:rsidRPr="00D14B56" w:rsidRDefault="006379C0" w:rsidP="0001016B">
            <w:pPr>
              <w:pStyle w:val="Tabletext"/>
            </w:pPr>
            <w:r w:rsidRPr="00D14B56">
              <w:t>42. Telefonica</w:t>
            </w:r>
          </w:p>
        </w:tc>
      </w:tr>
      <w:tr w:rsidR="006379C0" w:rsidRPr="00D14B56" w14:paraId="2DFF6FE9" w14:textId="77777777" w:rsidTr="00D14B56">
        <w:trPr>
          <w:trHeight w:val="281"/>
        </w:trPr>
        <w:tc>
          <w:tcPr>
            <w:tcW w:w="0" w:type="auto"/>
            <w:hideMark/>
          </w:tcPr>
          <w:p w14:paraId="52F43717" w14:textId="77777777" w:rsidR="006379C0" w:rsidRPr="00D14B56" w:rsidRDefault="006379C0" w:rsidP="0001016B">
            <w:pPr>
              <w:pStyle w:val="Tabletext"/>
            </w:pPr>
            <w:r w:rsidRPr="00D14B56">
              <w:t>5. EXOR Gr. (FCA)</w:t>
            </w:r>
          </w:p>
        </w:tc>
        <w:tc>
          <w:tcPr>
            <w:tcW w:w="0" w:type="auto"/>
          </w:tcPr>
          <w:p w14:paraId="7DF25919" w14:textId="77777777" w:rsidR="006379C0" w:rsidRPr="00D14B56" w:rsidRDefault="006379C0" w:rsidP="0001016B">
            <w:pPr>
              <w:pStyle w:val="Tabletext"/>
            </w:pPr>
            <w:r w:rsidRPr="00D14B56">
              <w:t xml:space="preserve">18. Credit </w:t>
            </w:r>
            <w:proofErr w:type="spellStart"/>
            <w:r w:rsidRPr="00D14B56">
              <w:t>Agricole</w:t>
            </w:r>
            <w:proofErr w:type="spellEnd"/>
          </w:p>
        </w:tc>
        <w:tc>
          <w:tcPr>
            <w:tcW w:w="0" w:type="auto"/>
          </w:tcPr>
          <w:p w14:paraId="55511BED" w14:textId="77777777" w:rsidR="006379C0" w:rsidRPr="00D14B56" w:rsidRDefault="006379C0" w:rsidP="0001016B">
            <w:pPr>
              <w:pStyle w:val="Tabletext"/>
            </w:pPr>
            <w:r w:rsidRPr="00D14B56">
              <w:t>30. Deutsche Post DHL Gr.</w:t>
            </w:r>
          </w:p>
        </w:tc>
        <w:tc>
          <w:tcPr>
            <w:tcW w:w="0" w:type="auto"/>
          </w:tcPr>
          <w:p w14:paraId="23A93914" w14:textId="77777777" w:rsidR="006379C0" w:rsidRPr="00D14B56" w:rsidRDefault="006379C0" w:rsidP="0001016B">
            <w:pPr>
              <w:pStyle w:val="Tabletext"/>
            </w:pPr>
            <w:r w:rsidRPr="00D14B56">
              <w:t xml:space="preserve">43. Anheuser-Busch </w:t>
            </w:r>
            <w:proofErr w:type="spellStart"/>
            <w:r w:rsidRPr="00D14B56">
              <w:t>InBev</w:t>
            </w:r>
            <w:proofErr w:type="spellEnd"/>
          </w:p>
        </w:tc>
      </w:tr>
      <w:tr w:rsidR="006379C0" w:rsidRPr="00D14B56" w14:paraId="17AD04B5" w14:textId="77777777" w:rsidTr="00D14B56">
        <w:trPr>
          <w:trHeight w:val="281"/>
        </w:trPr>
        <w:tc>
          <w:tcPr>
            <w:tcW w:w="0" w:type="auto"/>
            <w:hideMark/>
          </w:tcPr>
          <w:p w14:paraId="3B750799" w14:textId="77777777" w:rsidR="006379C0" w:rsidRPr="00D14B56" w:rsidRDefault="006379C0" w:rsidP="0001016B">
            <w:pPr>
              <w:pStyle w:val="Tabletext"/>
            </w:pPr>
            <w:r w:rsidRPr="00D14B56">
              <w:t>6. AXA</w:t>
            </w:r>
          </w:p>
        </w:tc>
        <w:tc>
          <w:tcPr>
            <w:tcW w:w="0" w:type="auto"/>
          </w:tcPr>
          <w:p w14:paraId="13B15D24" w14:textId="77777777" w:rsidR="006379C0" w:rsidRPr="00D14B56" w:rsidRDefault="006379C0" w:rsidP="0001016B">
            <w:pPr>
              <w:pStyle w:val="Tabletext"/>
            </w:pPr>
            <w:r w:rsidRPr="00D14B56">
              <w:t>19. Enel</w:t>
            </w:r>
          </w:p>
        </w:tc>
        <w:tc>
          <w:tcPr>
            <w:tcW w:w="0" w:type="auto"/>
          </w:tcPr>
          <w:p w14:paraId="164ED86A" w14:textId="77777777" w:rsidR="006379C0" w:rsidRPr="00D14B56" w:rsidRDefault="006379C0" w:rsidP="0001016B">
            <w:pPr>
              <w:pStyle w:val="Tabletext"/>
            </w:pPr>
            <w:r w:rsidRPr="00D14B56">
              <w:t>31. Munich Re Gr.</w:t>
            </w:r>
          </w:p>
        </w:tc>
        <w:tc>
          <w:tcPr>
            <w:tcW w:w="0" w:type="auto"/>
          </w:tcPr>
          <w:p w14:paraId="69D12609" w14:textId="77777777" w:rsidR="006379C0" w:rsidRPr="00D14B56" w:rsidRDefault="006379C0" w:rsidP="0001016B">
            <w:pPr>
              <w:pStyle w:val="Tabletext"/>
            </w:pPr>
            <w:r w:rsidRPr="00D14B56">
              <w:t>44. ING Gr.</w:t>
            </w:r>
          </w:p>
        </w:tc>
      </w:tr>
      <w:tr w:rsidR="006379C0" w:rsidRPr="00D14B56" w14:paraId="458B1770" w14:textId="77777777" w:rsidTr="00D14B56">
        <w:trPr>
          <w:trHeight w:val="281"/>
        </w:trPr>
        <w:tc>
          <w:tcPr>
            <w:tcW w:w="0" w:type="auto"/>
            <w:hideMark/>
          </w:tcPr>
          <w:p w14:paraId="639A5AA2" w14:textId="77777777" w:rsidR="006379C0" w:rsidRPr="00D14B56" w:rsidRDefault="006379C0" w:rsidP="0001016B">
            <w:pPr>
              <w:pStyle w:val="Tabletext"/>
            </w:pPr>
            <w:r w:rsidRPr="00D14B56">
              <w:t>7. Total</w:t>
            </w:r>
          </w:p>
        </w:tc>
        <w:tc>
          <w:tcPr>
            <w:tcW w:w="0" w:type="auto"/>
          </w:tcPr>
          <w:p w14:paraId="3393F29C" w14:textId="77777777" w:rsidR="006379C0" w:rsidRPr="00D14B56" w:rsidRDefault="006379C0" w:rsidP="0001016B">
            <w:pPr>
              <w:pStyle w:val="Tabletext"/>
            </w:pPr>
            <w:r w:rsidRPr="00D14B56">
              <w:t xml:space="preserve">20. </w:t>
            </w:r>
            <w:proofErr w:type="spellStart"/>
            <w:r w:rsidRPr="00D14B56">
              <w:t>Uniper</w:t>
            </w:r>
            <w:proofErr w:type="spellEnd"/>
          </w:p>
        </w:tc>
        <w:tc>
          <w:tcPr>
            <w:tcW w:w="0" w:type="auto"/>
          </w:tcPr>
          <w:p w14:paraId="4DCF2AE1" w14:textId="77777777" w:rsidR="006379C0" w:rsidRPr="00D14B56" w:rsidRDefault="006379C0" w:rsidP="0001016B">
            <w:pPr>
              <w:pStyle w:val="Tabletext"/>
            </w:pPr>
            <w:r w:rsidRPr="00D14B56">
              <w:t xml:space="preserve">32. </w:t>
            </w:r>
            <w:proofErr w:type="spellStart"/>
            <w:r w:rsidRPr="00D14B56">
              <w:t>Societe</w:t>
            </w:r>
            <w:proofErr w:type="spellEnd"/>
            <w:r w:rsidRPr="00D14B56">
              <w:t xml:space="preserve"> </w:t>
            </w:r>
            <w:proofErr w:type="spellStart"/>
            <w:r w:rsidRPr="00D14B56">
              <w:t>Generale</w:t>
            </w:r>
            <w:proofErr w:type="spellEnd"/>
          </w:p>
        </w:tc>
        <w:tc>
          <w:tcPr>
            <w:tcW w:w="0" w:type="auto"/>
          </w:tcPr>
          <w:p w14:paraId="1FACDC45" w14:textId="77777777" w:rsidR="006379C0" w:rsidRPr="00D14B56" w:rsidRDefault="006379C0" w:rsidP="0001016B">
            <w:pPr>
              <w:pStyle w:val="Tabletext"/>
            </w:pPr>
            <w:r w:rsidRPr="00D14B56">
              <w:t>45. Legal &amp; General Gr.</w:t>
            </w:r>
          </w:p>
        </w:tc>
      </w:tr>
      <w:tr w:rsidR="006379C0" w:rsidRPr="00D14B56" w14:paraId="50E7039D" w14:textId="77777777" w:rsidTr="00D14B56">
        <w:trPr>
          <w:trHeight w:val="281"/>
        </w:trPr>
        <w:tc>
          <w:tcPr>
            <w:tcW w:w="0" w:type="auto"/>
            <w:hideMark/>
          </w:tcPr>
          <w:p w14:paraId="040EEB66" w14:textId="77777777" w:rsidR="006379C0" w:rsidRPr="00D14B56" w:rsidRDefault="006379C0" w:rsidP="0001016B">
            <w:pPr>
              <w:pStyle w:val="Tabletext"/>
            </w:pPr>
            <w:r w:rsidRPr="00D14B56">
              <w:t>8. Allianz</w:t>
            </w:r>
          </w:p>
        </w:tc>
        <w:tc>
          <w:tcPr>
            <w:tcW w:w="0" w:type="auto"/>
          </w:tcPr>
          <w:p w14:paraId="4B695503" w14:textId="77777777" w:rsidR="006379C0" w:rsidRPr="00D14B56" w:rsidRDefault="006379C0" w:rsidP="0001016B">
            <w:pPr>
              <w:pStyle w:val="Tabletext"/>
            </w:pPr>
            <w:r w:rsidRPr="00D14B56">
              <w:t>21. ENI</w:t>
            </w:r>
          </w:p>
        </w:tc>
        <w:tc>
          <w:tcPr>
            <w:tcW w:w="0" w:type="auto"/>
          </w:tcPr>
          <w:p w14:paraId="22EF2D55" w14:textId="77777777" w:rsidR="006379C0" w:rsidRPr="00D14B56" w:rsidRDefault="006379C0" w:rsidP="0001016B">
            <w:pPr>
              <w:pStyle w:val="Tabletext"/>
            </w:pPr>
            <w:r w:rsidRPr="00D14B56">
              <w:t xml:space="preserve">33. </w:t>
            </w:r>
            <w:proofErr w:type="spellStart"/>
            <w:r w:rsidRPr="00D14B56">
              <w:t>ArcelorMittal</w:t>
            </w:r>
            <w:proofErr w:type="spellEnd"/>
          </w:p>
        </w:tc>
        <w:tc>
          <w:tcPr>
            <w:tcW w:w="0" w:type="auto"/>
          </w:tcPr>
          <w:p w14:paraId="4CAAD62B" w14:textId="77777777" w:rsidR="006379C0" w:rsidRPr="00D14B56" w:rsidRDefault="006379C0" w:rsidP="0001016B">
            <w:pPr>
              <w:pStyle w:val="Tabletext"/>
            </w:pPr>
            <w:r w:rsidRPr="00D14B56">
              <w:t>46. Louis Dreyfus</w:t>
            </w:r>
          </w:p>
        </w:tc>
      </w:tr>
      <w:tr w:rsidR="006379C0" w:rsidRPr="00D14B56" w14:paraId="433DFC8B" w14:textId="77777777" w:rsidTr="00D14B56">
        <w:trPr>
          <w:trHeight w:val="281"/>
        </w:trPr>
        <w:tc>
          <w:tcPr>
            <w:tcW w:w="0" w:type="auto"/>
            <w:hideMark/>
          </w:tcPr>
          <w:p w14:paraId="49828FA0" w14:textId="77777777" w:rsidR="006379C0" w:rsidRPr="00D14B56" w:rsidRDefault="006379C0" w:rsidP="0001016B">
            <w:pPr>
              <w:pStyle w:val="Tabletext"/>
            </w:pPr>
            <w:r w:rsidRPr="00D14B56">
              <w:t>9. BNP Paribas</w:t>
            </w:r>
          </w:p>
        </w:tc>
        <w:tc>
          <w:tcPr>
            <w:tcW w:w="0" w:type="auto"/>
          </w:tcPr>
          <w:p w14:paraId="30CCD50D" w14:textId="77777777" w:rsidR="006379C0" w:rsidRPr="00D14B56" w:rsidRDefault="006379C0" w:rsidP="0001016B">
            <w:pPr>
              <w:pStyle w:val="Tabletext"/>
            </w:pPr>
            <w:r w:rsidRPr="00D14B56">
              <w:t>22. HSBC Holdings</w:t>
            </w:r>
          </w:p>
        </w:tc>
        <w:tc>
          <w:tcPr>
            <w:tcW w:w="0" w:type="auto"/>
          </w:tcPr>
          <w:p w14:paraId="3D162B17" w14:textId="77777777" w:rsidR="006379C0" w:rsidRPr="00D14B56" w:rsidRDefault="006379C0" w:rsidP="0001016B">
            <w:pPr>
              <w:pStyle w:val="Tabletext"/>
            </w:pPr>
            <w:r w:rsidRPr="00D14B56">
              <w:t xml:space="preserve">34. Renault </w:t>
            </w:r>
          </w:p>
        </w:tc>
        <w:tc>
          <w:tcPr>
            <w:tcW w:w="0" w:type="auto"/>
          </w:tcPr>
          <w:p w14:paraId="167FE341" w14:textId="77777777" w:rsidR="006379C0" w:rsidRPr="00D14B56" w:rsidRDefault="006379C0" w:rsidP="0001016B">
            <w:pPr>
              <w:pStyle w:val="Tabletext"/>
            </w:pPr>
            <w:r w:rsidRPr="00D14B56">
              <w:t>47. Lloyds Banking Gr.</w:t>
            </w:r>
          </w:p>
        </w:tc>
      </w:tr>
      <w:tr w:rsidR="006379C0" w:rsidRPr="00D14B56" w14:paraId="5FCC0FC1" w14:textId="77777777" w:rsidTr="00D14B56">
        <w:trPr>
          <w:trHeight w:val="281"/>
        </w:trPr>
        <w:tc>
          <w:tcPr>
            <w:tcW w:w="0" w:type="auto"/>
            <w:hideMark/>
          </w:tcPr>
          <w:p w14:paraId="3C0E48B9" w14:textId="77777777" w:rsidR="006379C0" w:rsidRPr="00D14B56" w:rsidRDefault="006379C0" w:rsidP="0001016B">
            <w:pPr>
              <w:pStyle w:val="Tabletext"/>
            </w:pPr>
            <w:r w:rsidRPr="00D14B56">
              <w:t>10. Prudential</w:t>
            </w:r>
          </w:p>
        </w:tc>
        <w:tc>
          <w:tcPr>
            <w:tcW w:w="0" w:type="auto"/>
          </w:tcPr>
          <w:p w14:paraId="0B08AE16" w14:textId="77777777" w:rsidR="006379C0" w:rsidRPr="00D14B56" w:rsidRDefault="006379C0" w:rsidP="0001016B">
            <w:pPr>
              <w:pStyle w:val="Tabletext"/>
            </w:pPr>
            <w:r w:rsidRPr="00D14B56">
              <w:t>23. EDF</w:t>
            </w:r>
          </w:p>
        </w:tc>
        <w:tc>
          <w:tcPr>
            <w:tcW w:w="0" w:type="auto"/>
          </w:tcPr>
          <w:p w14:paraId="670B4367" w14:textId="77777777" w:rsidR="006379C0" w:rsidRPr="00D14B56" w:rsidRDefault="006379C0" w:rsidP="0001016B">
            <w:pPr>
              <w:pStyle w:val="Tabletext"/>
            </w:pPr>
            <w:r w:rsidRPr="00D14B56">
              <w:t xml:space="preserve">35. </w:t>
            </w:r>
            <w:proofErr w:type="spellStart"/>
            <w:r w:rsidRPr="00D14B56">
              <w:t>Aegon</w:t>
            </w:r>
            <w:proofErr w:type="spellEnd"/>
            <w:r w:rsidRPr="00D14B56">
              <w:t xml:space="preserve"> </w:t>
            </w:r>
          </w:p>
        </w:tc>
        <w:tc>
          <w:tcPr>
            <w:tcW w:w="0" w:type="auto"/>
          </w:tcPr>
          <w:p w14:paraId="3625B636" w14:textId="77777777" w:rsidR="006379C0" w:rsidRPr="00D14B56" w:rsidRDefault="006379C0" w:rsidP="0001016B">
            <w:pPr>
              <w:pStyle w:val="Tabletext"/>
            </w:pPr>
            <w:r w:rsidRPr="00D14B56">
              <w:t xml:space="preserve">48. Bayer </w:t>
            </w:r>
          </w:p>
        </w:tc>
      </w:tr>
      <w:tr w:rsidR="006379C0" w:rsidRPr="00D14B56" w14:paraId="40BF3BF2" w14:textId="77777777" w:rsidTr="00D14B56">
        <w:trPr>
          <w:trHeight w:val="281"/>
        </w:trPr>
        <w:tc>
          <w:tcPr>
            <w:tcW w:w="0" w:type="auto"/>
            <w:hideMark/>
          </w:tcPr>
          <w:p w14:paraId="32854CA9" w14:textId="77777777" w:rsidR="006379C0" w:rsidRPr="00D14B56" w:rsidRDefault="006379C0" w:rsidP="0001016B">
            <w:pPr>
              <w:pStyle w:val="Tabletext"/>
            </w:pPr>
            <w:r w:rsidRPr="00D14B56">
              <w:t>11. BMW Gr.</w:t>
            </w:r>
          </w:p>
        </w:tc>
        <w:tc>
          <w:tcPr>
            <w:tcW w:w="0" w:type="auto"/>
          </w:tcPr>
          <w:p w14:paraId="3EDAB84D" w14:textId="77777777" w:rsidR="006379C0" w:rsidRPr="00D14B56" w:rsidRDefault="006379C0" w:rsidP="0001016B">
            <w:pPr>
              <w:pStyle w:val="Tabletext"/>
            </w:pPr>
            <w:r w:rsidRPr="00D14B56">
              <w:t>24. Tesco</w:t>
            </w:r>
          </w:p>
        </w:tc>
        <w:tc>
          <w:tcPr>
            <w:tcW w:w="0" w:type="auto"/>
          </w:tcPr>
          <w:p w14:paraId="67DD31B2" w14:textId="77777777" w:rsidR="006379C0" w:rsidRPr="00D14B56" w:rsidRDefault="006379C0" w:rsidP="0001016B">
            <w:pPr>
              <w:pStyle w:val="Tabletext"/>
            </w:pPr>
            <w:r w:rsidRPr="00D14B56">
              <w:t>36. Aviva </w:t>
            </w:r>
          </w:p>
        </w:tc>
        <w:tc>
          <w:tcPr>
            <w:tcW w:w="0" w:type="auto"/>
          </w:tcPr>
          <w:p w14:paraId="2BC85DB2" w14:textId="77777777" w:rsidR="006379C0" w:rsidRPr="00D14B56" w:rsidRDefault="006379C0" w:rsidP="0001016B">
            <w:pPr>
              <w:pStyle w:val="Tabletext"/>
            </w:pPr>
            <w:r w:rsidRPr="00D14B56">
              <w:t xml:space="preserve">49. </w:t>
            </w:r>
            <w:proofErr w:type="spellStart"/>
            <w:r w:rsidRPr="00D14B56">
              <w:t>Finatis</w:t>
            </w:r>
            <w:proofErr w:type="spellEnd"/>
            <w:r w:rsidRPr="00D14B56">
              <w:t xml:space="preserve"> </w:t>
            </w:r>
          </w:p>
        </w:tc>
      </w:tr>
      <w:tr w:rsidR="006379C0" w:rsidRPr="00D14B56" w14:paraId="474714D9" w14:textId="77777777" w:rsidTr="00D14B56">
        <w:trPr>
          <w:trHeight w:val="281"/>
        </w:trPr>
        <w:tc>
          <w:tcPr>
            <w:tcW w:w="0" w:type="auto"/>
            <w:hideMark/>
          </w:tcPr>
          <w:p w14:paraId="036B9B4B" w14:textId="77777777" w:rsidR="006379C0" w:rsidRPr="00D14B56" w:rsidRDefault="006379C0" w:rsidP="0001016B">
            <w:pPr>
              <w:pStyle w:val="Tabletext"/>
            </w:pPr>
            <w:r w:rsidRPr="00D14B56">
              <w:t xml:space="preserve">12. </w:t>
            </w:r>
            <w:proofErr w:type="spellStart"/>
            <w:r w:rsidRPr="00D14B56">
              <w:t>Assicuraz</w:t>
            </w:r>
            <w:proofErr w:type="spellEnd"/>
            <w:r w:rsidRPr="00D14B56">
              <w:t xml:space="preserve">. </w:t>
            </w:r>
            <w:proofErr w:type="spellStart"/>
            <w:r w:rsidRPr="00D14B56">
              <w:t>Generali</w:t>
            </w:r>
            <w:proofErr w:type="spellEnd"/>
          </w:p>
        </w:tc>
        <w:tc>
          <w:tcPr>
            <w:tcW w:w="0" w:type="auto"/>
            <w:vMerge w:val="restart"/>
          </w:tcPr>
          <w:p w14:paraId="523140B2" w14:textId="77777777" w:rsidR="006379C0" w:rsidRPr="00D14B56" w:rsidRDefault="006379C0" w:rsidP="0001016B">
            <w:pPr>
              <w:pStyle w:val="Tabletext"/>
            </w:pPr>
            <w:r w:rsidRPr="00D14B56">
              <w:t xml:space="preserve">25. </w:t>
            </w:r>
            <w:proofErr w:type="spellStart"/>
            <w:r w:rsidRPr="00D14B56">
              <w:t>Engie</w:t>
            </w:r>
            <w:proofErr w:type="spellEnd"/>
          </w:p>
        </w:tc>
        <w:tc>
          <w:tcPr>
            <w:tcW w:w="0" w:type="auto"/>
          </w:tcPr>
          <w:p w14:paraId="468BCC33" w14:textId="77777777" w:rsidR="006379C0" w:rsidRPr="00D14B56" w:rsidRDefault="006379C0" w:rsidP="0001016B">
            <w:pPr>
              <w:pStyle w:val="Tabletext"/>
            </w:pPr>
            <w:r w:rsidRPr="00D14B56">
              <w:t xml:space="preserve">37. Equinor </w:t>
            </w:r>
          </w:p>
        </w:tc>
        <w:tc>
          <w:tcPr>
            <w:tcW w:w="0" w:type="auto"/>
            <w:vMerge w:val="restart"/>
          </w:tcPr>
          <w:p w14:paraId="7C258AB4" w14:textId="77777777" w:rsidR="006379C0" w:rsidRPr="00D14B56" w:rsidRDefault="006379C0" w:rsidP="0001016B">
            <w:pPr>
              <w:pStyle w:val="Tabletext"/>
            </w:pPr>
            <w:r w:rsidRPr="00D14B56">
              <w:t>50. CNP Assurances</w:t>
            </w:r>
          </w:p>
        </w:tc>
      </w:tr>
      <w:tr w:rsidR="006379C0" w:rsidRPr="00D14B56" w14:paraId="7E7172A9" w14:textId="77777777" w:rsidTr="00D14B56">
        <w:trPr>
          <w:trHeight w:val="281"/>
        </w:trPr>
        <w:tc>
          <w:tcPr>
            <w:tcW w:w="0" w:type="auto"/>
          </w:tcPr>
          <w:p w14:paraId="0CF7B39C" w14:textId="77777777" w:rsidR="006379C0" w:rsidRPr="00D14B56" w:rsidRDefault="006379C0" w:rsidP="0001016B">
            <w:pPr>
              <w:pStyle w:val="Tabletext"/>
            </w:pPr>
            <w:r w:rsidRPr="00D14B56">
              <w:t>13. Siemens</w:t>
            </w:r>
          </w:p>
        </w:tc>
        <w:tc>
          <w:tcPr>
            <w:tcW w:w="0" w:type="auto"/>
            <w:vMerge/>
          </w:tcPr>
          <w:p w14:paraId="15B214EE" w14:textId="77777777" w:rsidR="006379C0" w:rsidRPr="00D14B56" w:rsidRDefault="006379C0" w:rsidP="0001016B">
            <w:pPr>
              <w:pStyle w:val="Tabletext"/>
            </w:pPr>
          </w:p>
        </w:tc>
        <w:tc>
          <w:tcPr>
            <w:tcW w:w="0" w:type="auto"/>
          </w:tcPr>
          <w:p w14:paraId="6BD9BD35" w14:textId="77777777" w:rsidR="006379C0" w:rsidRPr="00D14B56" w:rsidRDefault="006379C0" w:rsidP="0001016B">
            <w:pPr>
              <w:pStyle w:val="Tabletext"/>
            </w:pPr>
            <w:r w:rsidRPr="00D14B56">
              <w:t>38. BPCE </w:t>
            </w:r>
          </w:p>
        </w:tc>
        <w:tc>
          <w:tcPr>
            <w:tcW w:w="0" w:type="auto"/>
            <w:vMerge/>
          </w:tcPr>
          <w:p w14:paraId="1B3C96CA" w14:textId="77777777" w:rsidR="006379C0" w:rsidRPr="00D14B56" w:rsidRDefault="006379C0" w:rsidP="0001016B">
            <w:pPr>
              <w:pStyle w:val="Tabletext"/>
            </w:pPr>
          </w:p>
        </w:tc>
      </w:tr>
    </w:tbl>
    <w:p w14:paraId="6148AED6" w14:textId="77777777" w:rsidR="006379C0" w:rsidRPr="006E688F" w:rsidRDefault="006379C0" w:rsidP="002F7336"/>
    <w:p w14:paraId="3C6821E2" w14:textId="77777777" w:rsidR="006379C0" w:rsidRPr="006E688F" w:rsidRDefault="006379C0" w:rsidP="002F7336">
      <w:r w:rsidRPr="006E688F">
        <w:t xml:space="preserve">Other than the state-owned energy companies Equinor and EDF, all the companies can be classified as private sector organisations; notable cases that include some form of state participation are Enel (23% of its shares are owned by the Italian government), Volkswagen (11% of its shares are owned by the Lower Saxony regional government in Germany) and Deutsche Post DHL Group (21% owned by the Federal Republic of Germany). </w:t>
      </w:r>
    </w:p>
    <w:p w14:paraId="01E8A24A" w14:textId="79554466" w:rsidR="006379C0" w:rsidRDefault="006379C0" w:rsidP="002F7336">
      <w:r w:rsidRPr="006E688F">
        <w:t xml:space="preserve">The majority of the companies disclosed their sustainability performance information in a dedicated sustainability report (Table 7), following the most commonly used standard for </w:t>
      </w:r>
      <w:r w:rsidRPr="006E688F">
        <w:lastRenderedPageBreak/>
        <w:t xml:space="preserve">sustainability reporting, the GRI framework. This approach is intended to help businesses to communicate their sustainability results, structuring them in a similar way to financial reports. Despite some exceptions from the Services and Agri-food industries, GRI reporting standards seem to be widely accepted (Figure 2): 35 organisations either comply with these guidelines or make a clear reference to the GRI structure, while only lacking a GRI index. </w:t>
      </w:r>
    </w:p>
    <w:p w14:paraId="572DE547" w14:textId="42BE31A9" w:rsidR="00D401A9" w:rsidRDefault="00D401A9" w:rsidP="00D401A9">
      <w:pPr>
        <w:pStyle w:val="Figurecaption"/>
      </w:pPr>
      <w:r>
        <w:t>T</w:t>
      </w:r>
      <w:r w:rsidRPr="00D14B56">
        <w:t>able 6</w:t>
      </w:r>
      <w:r>
        <w:t xml:space="preserve"> </w:t>
      </w:r>
      <w:r w:rsidRPr="00D14B56">
        <w:t>– The sample by country</w:t>
      </w:r>
      <w:r>
        <w:t xml:space="preserve">. </w:t>
      </w:r>
      <w:r w:rsidRPr="00D14B56">
        <w:t>Table 7 – The Type of Report analysed</w:t>
      </w:r>
    </w:p>
    <w:tbl>
      <w:tblPr>
        <w:tblStyle w:val="TableGrid"/>
        <w:tblW w:w="8062" w:type="dxa"/>
        <w:jc w:val="center"/>
        <w:tblLook w:val="04A0" w:firstRow="1" w:lastRow="0" w:firstColumn="1" w:lastColumn="0" w:noHBand="0" w:noVBand="1"/>
      </w:tblPr>
      <w:tblGrid>
        <w:gridCol w:w="1837"/>
        <w:gridCol w:w="1556"/>
        <w:gridCol w:w="1427"/>
        <w:gridCol w:w="2070"/>
        <w:gridCol w:w="1172"/>
      </w:tblGrid>
      <w:tr w:rsidR="006379C0" w:rsidRPr="00D14B56" w14:paraId="0FBDFBDF" w14:textId="77777777" w:rsidTr="00116B90">
        <w:trPr>
          <w:trHeight w:hRule="exact" w:val="284"/>
          <w:jc w:val="center"/>
        </w:trPr>
        <w:tc>
          <w:tcPr>
            <w:tcW w:w="3393" w:type="dxa"/>
            <w:gridSpan w:val="2"/>
            <w:tcBorders>
              <w:top w:val="nil"/>
              <w:left w:val="nil"/>
              <w:bottom w:val="single" w:sz="4" w:space="0" w:color="auto"/>
              <w:right w:val="nil"/>
            </w:tcBorders>
          </w:tcPr>
          <w:p w14:paraId="54A6936C" w14:textId="461109AB" w:rsidR="006379C0" w:rsidRPr="00D14B56" w:rsidRDefault="00D401A9" w:rsidP="00D401A9">
            <w:pPr>
              <w:pStyle w:val="Figurecaption"/>
              <w:rPr>
                <w:sz w:val="20"/>
                <w:szCs w:val="20"/>
              </w:rPr>
            </w:pPr>
            <w:r>
              <w:t xml:space="preserve">Table 6 - </w:t>
            </w:r>
            <w:r w:rsidR="006379C0" w:rsidRPr="00D14B56">
              <w:rPr>
                <w:sz w:val="20"/>
                <w:szCs w:val="20"/>
              </w:rPr>
              <w:t>able 6 – The sample by country</w:t>
            </w:r>
          </w:p>
        </w:tc>
        <w:tc>
          <w:tcPr>
            <w:tcW w:w="1427" w:type="dxa"/>
            <w:tcBorders>
              <w:top w:val="nil"/>
              <w:left w:val="nil"/>
              <w:bottom w:val="nil"/>
              <w:right w:val="nil"/>
            </w:tcBorders>
          </w:tcPr>
          <w:p w14:paraId="15728C54" w14:textId="77777777" w:rsidR="006379C0" w:rsidRPr="00D14B56" w:rsidRDefault="006379C0" w:rsidP="002F7336">
            <w:pPr>
              <w:rPr>
                <w:sz w:val="20"/>
                <w:szCs w:val="20"/>
              </w:rPr>
            </w:pPr>
          </w:p>
        </w:tc>
        <w:tc>
          <w:tcPr>
            <w:tcW w:w="3242" w:type="dxa"/>
            <w:gridSpan w:val="2"/>
            <w:tcBorders>
              <w:top w:val="nil"/>
              <w:left w:val="nil"/>
              <w:bottom w:val="single" w:sz="4" w:space="0" w:color="auto"/>
              <w:right w:val="nil"/>
            </w:tcBorders>
          </w:tcPr>
          <w:p w14:paraId="667E20D2" w14:textId="77777777" w:rsidR="006379C0" w:rsidRPr="00D14B56" w:rsidRDefault="006379C0" w:rsidP="002F7336">
            <w:pPr>
              <w:pStyle w:val="Figurecaption"/>
              <w:rPr>
                <w:sz w:val="20"/>
                <w:szCs w:val="20"/>
              </w:rPr>
            </w:pPr>
            <w:r w:rsidRPr="00D14B56">
              <w:rPr>
                <w:sz w:val="20"/>
                <w:szCs w:val="20"/>
              </w:rPr>
              <w:t>Table 7 – The Type of Report analysed</w:t>
            </w:r>
          </w:p>
        </w:tc>
      </w:tr>
      <w:tr w:rsidR="006379C0" w:rsidRPr="00D14B56" w14:paraId="21C9118D" w14:textId="77777777" w:rsidTr="00116B90">
        <w:trPr>
          <w:trHeight w:hRule="exact" w:val="284"/>
          <w:jc w:val="center"/>
        </w:trPr>
        <w:tc>
          <w:tcPr>
            <w:tcW w:w="1837" w:type="dxa"/>
            <w:tcBorders>
              <w:top w:val="single" w:sz="4" w:space="0" w:color="auto"/>
              <w:left w:val="nil"/>
              <w:bottom w:val="single" w:sz="4" w:space="0" w:color="auto"/>
              <w:right w:val="nil"/>
            </w:tcBorders>
          </w:tcPr>
          <w:p w14:paraId="06745CDA" w14:textId="77777777" w:rsidR="006379C0" w:rsidRPr="00D14B56" w:rsidRDefault="006379C0" w:rsidP="002F7336">
            <w:pPr>
              <w:rPr>
                <w:sz w:val="20"/>
                <w:szCs w:val="20"/>
              </w:rPr>
            </w:pPr>
            <w:r w:rsidRPr="00D14B56">
              <w:rPr>
                <w:sz w:val="20"/>
                <w:szCs w:val="20"/>
              </w:rPr>
              <w:t>Country</w:t>
            </w:r>
          </w:p>
        </w:tc>
        <w:tc>
          <w:tcPr>
            <w:tcW w:w="1556" w:type="dxa"/>
            <w:tcBorders>
              <w:top w:val="single" w:sz="4" w:space="0" w:color="auto"/>
              <w:left w:val="nil"/>
              <w:bottom w:val="single" w:sz="4" w:space="0" w:color="auto"/>
              <w:right w:val="nil"/>
            </w:tcBorders>
          </w:tcPr>
          <w:p w14:paraId="391ACB92" w14:textId="77777777" w:rsidR="006379C0" w:rsidRPr="00D14B56" w:rsidRDefault="006379C0" w:rsidP="002F7336">
            <w:pPr>
              <w:rPr>
                <w:sz w:val="20"/>
                <w:szCs w:val="20"/>
              </w:rPr>
            </w:pPr>
            <w:r w:rsidRPr="00D14B56">
              <w:rPr>
                <w:sz w:val="20"/>
                <w:szCs w:val="20"/>
              </w:rPr>
              <w:t>Companies</w:t>
            </w:r>
          </w:p>
        </w:tc>
        <w:tc>
          <w:tcPr>
            <w:tcW w:w="1427" w:type="dxa"/>
            <w:tcBorders>
              <w:top w:val="nil"/>
              <w:left w:val="nil"/>
              <w:bottom w:val="nil"/>
              <w:right w:val="nil"/>
            </w:tcBorders>
          </w:tcPr>
          <w:p w14:paraId="5400789A" w14:textId="77777777" w:rsidR="006379C0" w:rsidRPr="00D14B56" w:rsidRDefault="006379C0" w:rsidP="002F7336">
            <w:pPr>
              <w:rPr>
                <w:sz w:val="20"/>
                <w:szCs w:val="20"/>
              </w:rPr>
            </w:pPr>
          </w:p>
        </w:tc>
        <w:tc>
          <w:tcPr>
            <w:tcW w:w="2070" w:type="dxa"/>
            <w:tcBorders>
              <w:top w:val="single" w:sz="4" w:space="0" w:color="auto"/>
              <w:left w:val="nil"/>
              <w:bottom w:val="single" w:sz="4" w:space="0" w:color="auto"/>
              <w:right w:val="nil"/>
            </w:tcBorders>
            <w:vAlign w:val="center"/>
          </w:tcPr>
          <w:p w14:paraId="311FA09C" w14:textId="77777777" w:rsidR="006379C0" w:rsidRPr="00D14B56" w:rsidRDefault="006379C0" w:rsidP="002F7336">
            <w:pPr>
              <w:rPr>
                <w:sz w:val="20"/>
                <w:szCs w:val="20"/>
              </w:rPr>
            </w:pPr>
            <w:r w:rsidRPr="00D14B56">
              <w:rPr>
                <w:sz w:val="20"/>
                <w:szCs w:val="20"/>
              </w:rPr>
              <w:t>Reporting Standards</w:t>
            </w:r>
          </w:p>
        </w:tc>
        <w:tc>
          <w:tcPr>
            <w:tcW w:w="1172" w:type="dxa"/>
            <w:tcBorders>
              <w:top w:val="single" w:sz="4" w:space="0" w:color="auto"/>
              <w:left w:val="nil"/>
              <w:bottom w:val="single" w:sz="4" w:space="0" w:color="auto"/>
              <w:right w:val="nil"/>
            </w:tcBorders>
            <w:vAlign w:val="center"/>
          </w:tcPr>
          <w:p w14:paraId="25615365" w14:textId="77777777" w:rsidR="006379C0" w:rsidRPr="00D14B56" w:rsidRDefault="006379C0" w:rsidP="002F7336">
            <w:pPr>
              <w:rPr>
                <w:sz w:val="20"/>
                <w:szCs w:val="20"/>
              </w:rPr>
            </w:pPr>
            <w:r w:rsidRPr="00D14B56">
              <w:rPr>
                <w:sz w:val="20"/>
                <w:szCs w:val="20"/>
              </w:rPr>
              <w:t>Companies</w:t>
            </w:r>
          </w:p>
        </w:tc>
      </w:tr>
      <w:tr w:rsidR="006379C0" w:rsidRPr="00D14B56" w14:paraId="5EB4F204" w14:textId="77777777" w:rsidTr="00116B90">
        <w:trPr>
          <w:trHeight w:hRule="exact" w:val="284"/>
          <w:jc w:val="center"/>
        </w:trPr>
        <w:tc>
          <w:tcPr>
            <w:tcW w:w="1837" w:type="dxa"/>
            <w:tcBorders>
              <w:top w:val="single" w:sz="4" w:space="0" w:color="auto"/>
              <w:left w:val="nil"/>
              <w:bottom w:val="nil"/>
              <w:right w:val="nil"/>
            </w:tcBorders>
          </w:tcPr>
          <w:p w14:paraId="39B3091E" w14:textId="77777777" w:rsidR="006379C0" w:rsidRPr="00D14B56" w:rsidRDefault="006379C0" w:rsidP="002F7336">
            <w:pPr>
              <w:rPr>
                <w:bCs/>
                <w:sz w:val="20"/>
                <w:szCs w:val="20"/>
              </w:rPr>
            </w:pPr>
            <w:r w:rsidRPr="00D14B56">
              <w:rPr>
                <w:sz w:val="20"/>
                <w:szCs w:val="20"/>
              </w:rPr>
              <w:t>France</w:t>
            </w:r>
          </w:p>
        </w:tc>
        <w:tc>
          <w:tcPr>
            <w:tcW w:w="1556" w:type="dxa"/>
            <w:tcBorders>
              <w:top w:val="single" w:sz="4" w:space="0" w:color="auto"/>
              <w:left w:val="nil"/>
              <w:bottom w:val="nil"/>
              <w:right w:val="nil"/>
            </w:tcBorders>
          </w:tcPr>
          <w:p w14:paraId="247194E6" w14:textId="77777777" w:rsidR="006379C0" w:rsidRPr="00D14B56" w:rsidRDefault="006379C0" w:rsidP="002F7336">
            <w:pPr>
              <w:rPr>
                <w:bCs/>
                <w:sz w:val="20"/>
                <w:szCs w:val="20"/>
              </w:rPr>
            </w:pPr>
            <w:r w:rsidRPr="00D14B56">
              <w:rPr>
                <w:sz w:val="20"/>
                <w:szCs w:val="20"/>
              </w:rPr>
              <w:t>14</w:t>
            </w:r>
          </w:p>
        </w:tc>
        <w:tc>
          <w:tcPr>
            <w:tcW w:w="1427" w:type="dxa"/>
            <w:tcBorders>
              <w:top w:val="nil"/>
              <w:left w:val="nil"/>
              <w:bottom w:val="nil"/>
              <w:right w:val="nil"/>
            </w:tcBorders>
          </w:tcPr>
          <w:p w14:paraId="3469FC98" w14:textId="77777777" w:rsidR="006379C0" w:rsidRPr="00D14B56" w:rsidRDefault="006379C0" w:rsidP="002F7336">
            <w:pPr>
              <w:rPr>
                <w:sz w:val="20"/>
                <w:szCs w:val="20"/>
              </w:rPr>
            </w:pPr>
          </w:p>
        </w:tc>
        <w:tc>
          <w:tcPr>
            <w:tcW w:w="2070" w:type="dxa"/>
            <w:vMerge w:val="restart"/>
            <w:tcBorders>
              <w:top w:val="single" w:sz="4" w:space="0" w:color="auto"/>
              <w:left w:val="nil"/>
              <w:right w:val="nil"/>
            </w:tcBorders>
          </w:tcPr>
          <w:p w14:paraId="610C202B" w14:textId="77777777" w:rsidR="006379C0" w:rsidRPr="00D14B56" w:rsidRDefault="006379C0" w:rsidP="002F7336">
            <w:pPr>
              <w:rPr>
                <w:sz w:val="20"/>
                <w:szCs w:val="20"/>
              </w:rPr>
            </w:pPr>
            <w:r w:rsidRPr="00D14B56">
              <w:rPr>
                <w:sz w:val="20"/>
                <w:szCs w:val="20"/>
              </w:rPr>
              <w:t xml:space="preserve">Dedicated Sustainability Report </w:t>
            </w:r>
          </w:p>
          <w:p w14:paraId="293B005E" w14:textId="77777777" w:rsidR="006379C0" w:rsidRPr="00D14B56" w:rsidRDefault="006379C0" w:rsidP="002F7336">
            <w:pPr>
              <w:rPr>
                <w:sz w:val="20"/>
                <w:szCs w:val="20"/>
              </w:rPr>
            </w:pPr>
          </w:p>
        </w:tc>
        <w:tc>
          <w:tcPr>
            <w:tcW w:w="1172" w:type="dxa"/>
            <w:tcBorders>
              <w:top w:val="single" w:sz="4" w:space="0" w:color="auto"/>
              <w:left w:val="nil"/>
              <w:bottom w:val="nil"/>
              <w:right w:val="nil"/>
            </w:tcBorders>
            <w:vAlign w:val="center"/>
          </w:tcPr>
          <w:p w14:paraId="5789DB75" w14:textId="77777777" w:rsidR="006379C0" w:rsidRPr="00D14B56" w:rsidRDefault="006379C0" w:rsidP="002F7336">
            <w:pPr>
              <w:rPr>
                <w:sz w:val="20"/>
                <w:szCs w:val="20"/>
              </w:rPr>
            </w:pPr>
            <w:r w:rsidRPr="00D14B56">
              <w:rPr>
                <w:sz w:val="20"/>
                <w:szCs w:val="20"/>
              </w:rPr>
              <w:t>37</w:t>
            </w:r>
          </w:p>
        </w:tc>
      </w:tr>
      <w:tr w:rsidR="006379C0" w:rsidRPr="00D14B56" w14:paraId="344F451F" w14:textId="77777777" w:rsidTr="00116B90">
        <w:trPr>
          <w:trHeight w:hRule="exact" w:val="284"/>
          <w:jc w:val="center"/>
        </w:trPr>
        <w:tc>
          <w:tcPr>
            <w:tcW w:w="1837" w:type="dxa"/>
            <w:tcBorders>
              <w:top w:val="nil"/>
              <w:left w:val="nil"/>
              <w:bottom w:val="nil"/>
              <w:right w:val="nil"/>
            </w:tcBorders>
          </w:tcPr>
          <w:p w14:paraId="5EB56D7A" w14:textId="77777777" w:rsidR="006379C0" w:rsidRPr="00D14B56" w:rsidRDefault="006379C0" w:rsidP="002F7336">
            <w:pPr>
              <w:rPr>
                <w:bCs/>
                <w:sz w:val="20"/>
                <w:szCs w:val="20"/>
              </w:rPr>
            </w:pPr>
            <w:r w:rsidRPr="00D14B56">
              <w:rPr>
                <w:sz w:val="20"/>
                <w:szCs w:val="20"/>
              </w:rPr>
              <w:t>Germany</w:t>
            </w:r>
          </w:p>
        </w:tc>
        <w:tc>
          <w:tcPr>
            <w:tcW w:w="1556" w:type="dxa"/>
            <w:tcBorders>
              <w:top w:val="nil"/>
              <w:left w:val="nil"/>
              <w:bottom w:val="nil"/>
              <w:right w:val="nil"/>
            </w:tcBorders>
          </w:tcPr>
          <w:p w14:paraId="7135BBFB" w14:textId="77777777" w:rsidR="006379C0" w:rsidRPr="00D14B56" w:rsidRDefault="006379C0" w:rsidP="002F7336">
            <w:pPr>
              <w:rPr>
                <w:bCs/>
                <w:sz w:val="20"/>
                <w:szCs w:val="20"/>
              </w:rPr>
            </w:pPr>
            <w:r w:rsidRPr="00D14B56">
              <w:rPr>
                <w:sz w:val="20"/>
                <w:szCs w:val="20"/>
              </w:rPr>
              <w:t>12</w:t>
            </w:r>
          </w:p>
        </w:tc>
        <w:tc>
          <w:tcPr>
            <w:tcW w:w="1427" w:type="dxa"/>
            <w:tcBorders>
              <w:top w:val="nil"/>
              <w:left w:val="nil"/>
              <w:bottom w:val="nil"/>
              <w:right w:val="nil"/>
            </w:tcBorders>
          </w:tcPr>
          <w:p w14:paraId="35798425" w14:textId="77777777" w:rsidR="006379C0" w:rsidRPr="00D14B56" w:rsidRDefault="006379C0" w:rsidP="002F7336">
            <w:pPr>
              <w:rPr>
                <w:sz w:val="20"/>
                <w:szCs w:val="20"/>
              </w:rPr>
            </w:pPr>
          </w:p>
        </w:tc>
        <w:tc>
          <w:tcPr>
            <w:tcW w:w="2070" w:type="dxa"/>
            <w:vMerge/>
            <w:tcBorders>
              <w:left w:val="nil"/>
              <w:right w:val="nil"/>
            </w:tcBorders>
          </w:tcPr>
          <w:p w14:paraId="11CF51F1" w14:textId="77777777" w:rsidR="006379C0" w:rsidRPr="00D14B56" w:rsidRDefault="006379C0" w:rsidP="002F7336">
            <w:pPr>
              <w:rPr>
                <w:sz w:val="20"/>
                <w:szCs w:val="20"/>
              </w:rPr>
            </w:pPr>
          </w:p>
        </w:tc>
        <w:tc>
          <w:tcPr>
            <w:tcW w:w="1172" w:type="dxa"/>
            <w:tcBorders>
              <w:top w:val="nil"/>
              <w:left w:val="nil"/>
              <w:bottom w:val="nil"/>
              <w:right w:val="nil"/>
            </w:tcBorders>
            <w:vAlign w:val="center"/>
          </w:tcPr>
          <w:p w14:paraId="59873D80" w14:textId="77777777" w:rsidR="006379C0" w:rsidRPr="00D14B56" w:rsidRDefault="006379C0" w:rsidP="002F7336">
            <w:pPr>
              <w:rPr>
                <w:sz w:val="20"/>
                <w:szCs w:val="20"/>
              </w:rPr>
            </w:pPr>
          </w:p>
        </w:tc>
      </w:tr>
      <w:tr w:rsidR="006379C0" w:rsidRPr="00D14B56" w14:paraId="033EB286" w14:textId="77777777" w:rsidTr="00116B90">
        <w:trPr>
          <w:trHeight w:hRule="exact" w:val="284"/>
          <w:jc w:val="center"/>
        </w:trPr>
        <w:tc>
          <w:tcPr>
            <w:tcW w:w="1837" w:type="dxa"/>
            <w:tcBorders>
              <w:top w:val="nil"/>
              <w:left w:val="nil"/>
              <w:bottom w:val="nil"/>
              <w:right w:val="nil"/>
            </w:tcBorders>
          </w:tcPr>
          <w:p w14:paraId="601B8622" w14:textId="77777777" w:rsidR="006379C0" w:rsidRPr="00D14B56" w:rsidRDefault="006379C0" w:rsidP="002F7336">
            <w:pPr>
              <w:rPr>
                <w:bCs/>
                <w:sz w:val="20"/>
                <w:szCs w:val="20"/>
              </w:rPr>
            </w:pPr>
            <w:r w:rsidRPr="00D14B56">
              <w:rPr>
                <w:sz w:val="20"/>
                <w:szCs w:val="20"/>
              </w:rPr>
              <w:t>UK</w:t>
            </w:r>
          </w:p>
        </w:tc>
        <w:tc>
          <w:tcPr>
            <w:tcW w:w="1556" w:type="dxa"/>
            <w:tcBorders>
              <w:top w:val="nil"/>
              <w:left w:val="nil"/>
              <w:bottom w:val="nil"/>
              <w:right w:val="nil"/>
            </w:tcBorders>
          </w:tcPr>
          <w:p w14:paraId="1AF5B852" w14:textId="77777777" w:rsidR="006379C0" w:rsidRPr="00D14B56" w:rsidRDefault="006379C0" w:rsidP="002F7336">
            <w:pPr>
              <w:rPr>
                <w:sz w:val="20"/>
                <w:szCs w:val="20"/>
              </w:rPr>
            </w:pPr>
            <w:r w:rsidRPr="00D14B56">
              <w:rPr>
                <w:sz w:val="20"/>
                <w:szCs w:val="20"/>
              </w:rPr>
              <w:t>9</w:t>
            </w:r>
          </w:p>
        </w:tc>
        <w:tc>
          <w:tcPr>
            <w:tcW w:w="1427" w:type="dxa"/>
            <w:tcBorders>
              <w:top w:val="nil"/>
              <w:left w:val="nil"/>
              <w:bottom w:val="nil"/>
              <w:right w:val="nil"/>
            </w:tcBorders>
          </w:tcPr>
          <w:p w14:paraId="5FACDFD4" w14:textId="77777777" w:rsidR="006379C0" w:rsidRPr="00D14B56" w:rsidRDefault="006379C0" w:rsidP="002F7336">
            <w:pPr>
              <w:rPr>
                <w:sz w:val="20"/>
                <w:szCs w:val="20"/>
              </w:rPr>
            </w:pPr>
          </w:p>
        </w:tc>
        <w:tc>
          <w:tcPr>
            <w:tcW w:w="2070" w:type="dxa"/>
            <w:vMerge/>
            <w:tcBorders>
              <w:left w:val="nil"/>
              <w:bottom w:val="nil"/>
              <w:right w:val="nil"/>
            </w:tcBorders>
          </w:tcPr>
          <w:p w14:paraId="0613B125" w14:textId="77777777" w:rsidR="006379C0" w:rsidRPr="00D14B56" w:rsidRDefault="006379C0" w:rsidP="002F7336">
            <w:pPr>
              <w:rPr>
                <w:sz w:val="20"/>
                <w:szCs w:val="20"/>
              </w:rPr>
            </w:pPr>
          </w:p>
        </w:tc>
        <w:tc>
          <w:tcPr>
            <w:tcW w:w="1172" w:type="dxa"/>
            <w:tcBorders>
              <w:top w:val="nil"/>
              <w:left w:val="nil"/>
              <w:bottom w:val="nil"/>
              <w:right w:val="nil"/>
            </w:tcBorders>
            <w:vAlign w:val="center"/>
          </w:tcPr>
          <w:p w14:paraId="3C7F85D9" w14:textId="77777777" w:rsidR="006379C0" w:rsidRPr="00D14B56" w:rsidRDefault="006379C0" w:rsidP="002F7336">
            <w:pPr>
              <w:rPr>
                <w:sz w:val="20"/>
                <w:szCs w:val="20"/>
              </w:rPr>
            </w:pPr>
          </w:p>
        </w:tc>
      </w:tr>
      <w:tr w:rsidR="006379C0" w:rsidRPr="00D14B56" w14:paraId="67E90E0D" w14:textId="77777777" w:rsidTr="00116B90">
        <w:trPr>
          <w:trHeight w:hRule="exact" w:val="284"/>
          <w:jc w:val="center"/>
        </w:trPr>
        <w:tc>
          <w:tcPr>
            <w:tcW w:w="1837" w:type="dxa"/>
            <w:tcBorders>
              <w:top w:val="nil"/>
              <w:left w:val="nil"/>
              <w:bottom w:val="nil"/>
              <w:right w:val="nil"/>
            </w:tcBorders>
          </w:tcPr>
          <w:p w14:paraId="1753663F" w14:textId="77777777" w:rsidR="006379C0" w:rsidRPr="00D14B56" w:rsidRDefault="006379C0" w:rsidP="002F7336">
            <w:pPr>
              <w:rPr>
                <w:bCs/>
                <w:sz w:val="20"/>
                <w:szCs w:val="20"/>
              </w:rPr>
            </w:pPr>
            <w:r w:rsidRPr="00D14B56">
              <w:rPr>
                <w:sz w:val="20"/>
                <w:szCs w:val="20"/>
              </w:rPr>
              <w:t>The Netherlands</w:t>
            </w:r>
          </w:p>
        </w:tc>
        <w:tc>
          <w:tcPr>
            <w:tcW w:w="1556" w:type="dxa"/>
            <w:tcBorders>
              <w:top w:val="nil"/>
              <w:left w:val="nil"/>
              <w:bottom w:val="nil"/>
              <w:right w:val="nil"/>
            </w:tcBorders>
          </w:tcPr>
          <w:p w14:paraId="75862EC4" w14:textId="77777777" w:rsidR="006379C0" w:rsidRPr="00D14B56" w:rsidRDefault="006379C0" w:rsidP="002F7336">
            <w:pPr>
              <w:rPr>
                <w:sz w:val="20"/>
                <w:szCs w:val="20"/>
              </w:rPr>
            </w:pPr>
            <w:r w:rsidRPr="00D14B56">
              <w:rPr>
                <w:sz w:val="20"/>
                <w:szCs w:val="20"/>
              </w:rPr>
              <w:t>6</w:t>
            </w:r>
          </w:p>
        </w:tc>
        <w:tc>
          <w:tcPr>
            <w:tcW w:w="1427" w:type="dxa"/>
            <w:tcBorders>
              <w:top w:val="nil"/>
              <w:left w:val="nil"/>
              <w:bottom w:val="nil"/>
              <w:right w:val="nil"/>
            </w:tcBorders>
          </w:tcPr>
          <w:p w14:paraId="37BD08AB" w14:textId="77777777" w:rsidR="006379C0" w:rsidRPr="00D14B56" w:rsidRDefault="006379C0" w:rsidP="002F7336">
            <w:pPr>
              <w:rPr>
                <w:sz w:val="20"/>
                <w:szCs w:val="20"/>
              </w:rPr>
            </w:pPr>
          </w:p>
        </w:tc>
        <w:tc>
          <w:tcPr>
            <w:tcW w:w="2070" w:type="dxa"/>
            <w:vMerge w:val="restart"/>
            <w:tcBorders>
              <w:top w:val="nil"/>
              <w:left w:val="nil"/>
              <w:right w:val="nil"/>
            </w:tcBorders>
          </w:tcPr>
          <w:p w14:paraId="6A025E83" w14:textId="77777777" w:rsidR="006379C0" w:rsidRPr="00D14B56" w:rsidRDefault="006379C0" w:rsidP="002F7336">
            <w:pPr>
              <w:rPr>
                <w:sz w:val="20"/>
                <w:szCs w:val="20"/>
              </w:rPr>
            </w:pPr>
            <w:r w:rsidRPr="00D14B56">
              <w:rPr>
                <w:sz w:val="20"/>
                <w:szCs w:val="20"/>
              </w:rPr>
              <w:t xml:space="preserve">Sustainability information in the Annual Report </w:t>
            </w:r>
          </w:p>
        </w:tc>
        <w:tc>
          <w:tcPr>
            <w:tcW w:w="1172" w:type="dxa"/>
            <w:tcBorders>
              <w:top w:val="nil"/>
              <w:left w:val="nil"/>
              <w:bottom w:val="nil"/>
              <w:right w:val="nil"/>
            </w:tcBorders>
            <w:vAlign w:val="center"/>
          </w:tcPr>
          <w:p w14:paraId="77F0B1FC" w14:textId="77777777" w:rsidR="006379C0" w:rsidRPr="00D14B56" w:rsidRDefault="006379C0" w:rsidP="002F7336">
            <w:pPr>
              <w:rPr>
                <w:sz w:val="20"/>
                <w:szCs w:val="20"/>
              </w:rPr>
            </w:pPr>
            <w:r w:rsidRPr="00D14B56">
              <w:rPr>
                <w:sz w:val="20"/>
                <w:szCs w:val="20"/>
              </w:rPr>
              <w:t>13</w:t>
            </w:r>
          </w:p>
        </w:tc>
      </w:tr>
      <w:tr w:rsidR="006379C0" w:rsidRPr="00D14B56" w14:paraId="630588BF" w14:textId="77777777" w:rsidTr="00116B90">
        <w:trPr>
          <w:trHeight w:hRule="exact" w:val="284"/>
          <w:jc w:val="center"/>
        </w:trPr>
        <w:tc>
          <w:tcPr>
            <w:tcW w:w="1837" w:type="dxa"/>
            <w:tcBorders>
              <w:top w:val="nil"/>
              <w:left w:val="nil"/>
              <w:bottom w:val="nil"/>
              <w:right w:val="nil"/>
            </w:tcBorders>
          </w:tcPr>
          <w:p w14:paraId="72CCEC26" w14:textId="77777777" w:rsidR="006379C0" w:rsidRPr="00D14B56" w:rsidRDefault="006379C0" w:rsidP="002F7336">
            <w:pPr>
              <w:rPr>
                <w:bCs/>
                <w:sz w:val="20"/>
                <w:szCs w:val="20"/>
              </w:rPr>
            </w:pPr>
            <w:r w:rsidRPr="00D14B56">
              <w:rPr>
                <w:sz w:val="20"/>
                <w:szCs w:val="20"/>
              </w:rPr>
              <w:t>Italy</w:t>
            </w:r>
          </w:p>
        </w:tc>
        <w:tc>
          <w:tcPr>
            <w:tcW w:w="1556" w:type="dxa"/>
            <w:tcBorders>
              <w:top w:val="nil"/>
              <w:left w:val="nil"/>
              <w:bottom w:val="nil"/>
              <w:right w:val="nil"/>
            </w:tcBorders>
          </w:tcPr>
          <w:p w14:paraId="3A8C6F6E" w14:textId="77777777" w:rsidR="006379C0" w:rsidRPr="00D14B56" w:rsidRDefault="006379C0" w:rsidP="002F7336">
            <w:pPr>
              <w:rPr>
                <w:sz w:val="20"/>
                <w:szCs w:val="20"/>
              </w:rPr>
            </w:pPr>
            <w:r w:rsidRPr="00D14B56">
              <w:rPr>
                <w:sz w:val="20"/>
                <w:szCs w:val="20"/>
              </w:rPr>
              <w:t>4</w:t>
            </w:r>
          </w:p>
        </w:tc>
        <w:tc>
          <w:tcPr>
            <w:tcW w:w="1427" w:type="dxa"/>
            <w:tcBorders>
              <w:top w:val="nil"/>
              <w:left w:val="nil"/>
              <w:bottom w:val="nil"/>
              <w:right w:val="nil"/>
            </w:tcBorders>
          </w:tcPr>
          <w:p w14:paraId="389BB218" w14:textId="77777777" w:rsidR="006379C0" w:rsidRPr="00D14B56" w:rsidRDefault="006379C0" w:rsidP="002F7336">
            <w:pPr>
              <w:rPr>
                <w:sz w:val="20"/>
                <w:szCs w:val="20"/>
              </w:rPr>
            </w:pPr>
          </w:p>
        </w:tc>
        <w:tc>
          <w:tcPr>
            <w:tcW w:w="2070" w:type="dxa"/>
            <w:vMerge/>
            <w:tcBorders>
              <w:left w:val="nil"/>
              <w:right w:val="nil"/>
            </w:tcBorders>
          </w:tcPr>
          <w:p w14:paraId="480C021C" w14:textId="77777777" w:rsidR="006379C0" w:rsidRPr="00D14B56" w:rsidRDefault="006379C0" w:rsidP="002F7336">
            <w:pPr>
              <w:rPr>
                <w:sz w:val="20"/>
                <w:szCs w:val="20"/>
              </w:rPr>
            </w:pPr>
          </w:p>
        </w:tc>
        <w:tc>
          <w:tcPr>
            <w:tcW w:w="1172" w:type="dxa"/>
            <w:tcBorders>
              <w:top w:val="nil"/>
              <w:left w:val="nil"/>
              <w:bottom w:val="nil"/>
              <w:right w:val="nil"/>
            </w:tcBorders>
          </w:tcPr>
          <w:p w14:paraId="0FB9B947" w14:textId="77777777" w:rsidR="006379C0" w:rsidRPr="00D14B56" w:rsidRDefault="006379C0" w:rsidP="002F7336">
            <w:pPr>
              <w:rPr>
                <w:sz w:val="20"/>
                <w:szCs w:val="20"/>
              </w:rPr>
            </w:pPr>
          </w:p>
        </w:tc>
      </w:tr>
      <w:tr w:rsidR="006379C0" w:rsidRPr="00D14B56" w14:paraId="0AA5ED9E" w14:textId="77777777" w:rsidTr="00116B90">
        <w:trPr>
          <w:trHeight w:hRule="exact" w:val="425"/>
          <w:jc w:val="center"/>
        </w:trPr>
        <w:tc>
          <w:tcPr>
            <w:tcW w:w="1837" w:type="dxa"/>
            <w:tcBorders>
              <w:top w:val="nil"/>
              <w:left w:val="nil"/>
              <w:bottom w:val="single" w:sz="4" w:space="0" w:color="auto"/>
              <w:right w:val="nil"/>
            </w:tcBorders>
          </w:tcPr>
          <w:p w14:paraId="665BEAD1" w14:textId="77777777" w:rsidR="006379C0" w:rsidRPr="00D14B56" w:rsidRDefault="006379C0" w:rsidP="002F7336">
            <w:pPr>
              <w:rPr>
                <w:bCs/>
                <w:sz w:val="20"/>
                <w:szCs w:val="20"/>
              </w:rPr>
            </w:pPr>
            <w:r w:rsidRPr="00D14B56">
              <w:rPr>
                <w:sz w:val="20"/>
                <w:szCs w:val="20"/>
              </w:rPr>
              <w:t>Spain</w:t>
            </w:r>
          </w:p>
        </w:tc>
        <w:tc>
          <w:tcPr>
            <w:tcW w:w="1556" w:type="dxa"/>
            <w:tcBorders>
              <w:top w:val="nil"/>
              <w:left w:val="nil"/>
              <w:bottom w:val="single" w:sz="4" w:space="0" w:color="auto"/>
              <w:right w:val="nil"/>
            </w:tcBorders>
          </w:tcPr>
          <w:p w14:paraId="6F4C2F30" w14:textId="77777777" w:rsidR="006379C0" w:rsidRPr="00D14B56" w:rsidRDefault="006379C0" w:rsidP="002F7336">
            <w:pPr>
              <w:rPr>
                <w:sz w:val="20"/>
                <w:szCs w:val="20"/>
              </w:rPr>
            </w:pPr>
            <w:r w:rsidRPr="00D14B56">
              <w:rPr>
                <w:sz w:val="20"/>
                <w:szCs w:val="20"/>
              </w:rPr>
              <w:t>2</w:t>
            </w:r>
          </w:p>
        </w:tc>
        <w:tc>
          <w:tcPr>
            <w:tcW w:w="1427" w:type="dxa"/>
            <w:tcBorders>
              <w:top w:val="nil"/>
              <w:left w:val="nil"/>
              <w:bottom w:val="nil"/>
              <w:right w:val="nil"/>
            </w:tcBorders>
          </w:tcPr>
          <w:p w14:paraId="58BB276B" w14:textId="77777777" w:rsidR="006379C0" w:rsidRPr="00D14B56" w:rsidRDefault="006379C0" w:rsidP="002F7336">
            <w:pPr>
              <w:rPr>
                <w:sz w:val="20"/>
                <w:szCs w:val="20"/>
              </w:rPr>
            </w:pPr>
          </w:p>
        </w:tc>
        <w:tc>
          <w:tcPr>
            <w:tcW w:w="2070" w:type="dxa"/>
            <w:vMerge/>
            <w:tcBorders>
              <w:left w:val="nil"/>
              <w:bottom w:val="single" w:sz="4" w:space="0" w:color="auto"/>
              <w:right w:val="nil"/>
            </w:tcBorders>
          </w:tcPr>
          <w:p w14:paraId="1EE40BC4" w14:textId="77777777" w:rsidR="006379C0" w:rsidRPr="00D14B56" w:rsidRDefault="006379C0" w:rsidP="002F7336">
            <w:pPr>
              <w:rPr>
                <w:sz w:val="20"/>
                <w:szCs w:val="20"/>
              </w:rPr>
            </w:pPr>
          </w:p>
        </w:tc>
        <w:tc>
          <w:tcPr>
            <w:tcW w:w="1172" w:type="dxa"/>
            <w:tcBorders>
              <w:top w:val="nil"/>
              <w:left w:val="nil"/>
              <w:bottom w:val="single" w:sz="4" w:space="0" w:color="auto"/>
              <w:right w:val="nil"/>
            </w:tcBorders>
          </w:tcPr>
          <w:p w14:paraId="2DA41427" w14:textId="77777777" w:rsidR="006379C0" w:rsidRPr="00D14B56" w:rsidRDefault="006379C0" w:rsidP="002F7336">
            <w:pPr>
              <w:rPr>
                <w:sz w:val="20"/>
                <w:szCs w:val="20"/>
              </w:rPr>
            </w:pPr>
          </w:p>
        </w:tc>
      </w:tr>
    </w:tbl>
    <w:p w14:paraId="1A998AE3" w14:textId="77777777" w:rsidR="006379C0" w:rsidRDefault="006379C0" w:rsidP="002F7336"/>
    <w:p w14:paraId="1DDF82EF" w14:textId="701E0A83" w:rsidR="006379C0" w:rsidRDefault="006379C0" w:rsidP="002F7336">
      <w:r w:rsidRPr="003A56CD">
        <w:rPr>
          <w:noProof/>
          <w:lang w:eastAsia="zh-CN"/>
        </w:rPr>
        <w:drawing>
          <wp:inline distT="0" distB="0" distL="0" distR="0" wp14:anchorId="10CD223C" wp14:editId="28A702BC">
            <wp:extent cx="5322570" cy="1977390"/>
            <wp:effectExtent l="0" t="0" r="1143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964EE98" w14:textId="77777777" w:rsidR="00DB00A3" w:rsidRPr="003A56CD" w:rsidRDefault="00DB00A3" w:rsidP="002F7336">
      <w:pPr>
        <w:pStyle w:val="Figurecaption"/>
      </w:pPr>
      <w:r w:rsidRPr="003A56CD">
        <w:t xml:space="preserve">Figure 2 – Compliance to GRI reporting by sector. Citing GRI means company mention GRI in their reports while only lacking a GRI index. </w:t>
      </w:r>
    </w:p>
    <w:p w14:paraId="2448E756" w14:textId="77777777" w:rsidR="006379C0" w:rsidRPr="003A56CD" w:rsidRDefault="006379C0" w:rsidP="002F7336">
      <w:r w:rsidRPr="003A56CD">
        <w:t xml:space="preserve">The interest of organisations towards the CE concept is recent – in 2015 just 3 out of 50 companies were citing it – and it can be interpreted as a direct consequence of the promulgation of the European directives (2015), and the emergence of a public debate about CE </w:t>
      </w:r>
      <w:r w:rsidRPr="003A56CD">
        <w:fldChar w:fldCharType="begin" w:fldLock="1"/>
      </w:r>
      <w:r w:rsidRPr="003A56CD">
        <w:instrText>ADDIN CSL_CITATION {"citationItems":[{"id":"ITEM-1","itemData":{"DOI":"10.3390/su12104069","author":[{"dropping-particle":"","family":"Borrello","given":"Massimiliano","non-dropping-particle":"","parse-names":false,"suffix":""},{"dropping-particle":"","family":"Pascucci","given":"Stefano","non-dropping-particle":"","parse-names":false,"suffix":""},{"dropping-particle":"","family":"Cembalo","given":"Luigi","non-dropping-particle":"","parse-names":false,"suffix":""}],"id":"ITEM-1","issued":{"date-parts":[["2020"]]},"page":"1-24","title":"Three Propositions to Unify Circular Economy Research : A Review","type":"article-journal"},"uris":["http://www.mendeley.com/documents/?uuid=debe92cf-7425-48df-8ed2-03339b54c2c0"]}],"mendeley":{"formattedCitation":"(Borrello et al., 2020)","plainTextFormattedCitation":"(Borrello et al., 2020)","previouslyFormattedCitation":"(Borrello et al., 2020)"},"properties":{"noteIndex":0},"schema":"https://github.com/citation-style-language/schema/raw/master/csl-citation.json"}</w:instrText>
      </w:r>
      <w:r w:rsidRPr="003A56CD">
        <w:fldChar w:fldCharType="separate"/>
      </w:r>
      <w:r w:rsidRPr="003A56CD">
        <w:t>(Borrello et al., 2020)</w:t>
      </w:r>
      <w:r w:rsidRPr="003A56CD">
        <w:fldChar w:fldCharType="end"/>
      </w:r>
      <w:r w:rsidRPr="003A56CD">
        <w:t xml:space="preserve">. The peak was reported in 2018 when 50% of the firms under investigation mentioned the CE concept at least once in their Sustainability reports (Figure 3). However, still in 2018, only 9 organisations included a dedicated section in the report about the CE, which might suggest the lack of a structured approach to reporting CE practices.  </w:t>
      </w:r>
    </w:p>
    <w:p w14:paraId="4409A253" w14:textId="77777777" w:rsidR="006379C0" w:rsidRPr="003A56CD" w:rsidRDefault="006379C0" w:rsidP="00E12455">
      <w:pPr>
        <w:jc w:val="center"/>
      </w:pPr>
      <w:r w:rsidRPr="003A56CD">
        <w:rPr>
          <w:noProof/>
          <w:lang w:eastAsia="zh-CN"/>
        </w:rPr>
        <w:lastRenderedPageBreak/>
        <w:drawing>
          <wp:inline distT="0" distB="0" distL="0" distR="0" wp14:anchorId="2A209CD9" wp14:editId="402DED4D">
            <wp:extent cx="4457700" cy="24307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D450901" w14:textId="77777777" w:rsidR="00DB00A3" w:rsidRPr="003A56CD" w:rsidRDefault="00DB00A3" w:rsidP="002F7336">
      <w:pPr>
        <w:pStyle w:val="Figurecaption"/>
      </w:pPr>
      <w:r w:rsidRPr="003A56CD">
        <w:rPr>
          <w:bCs/>
        </w:rPr>
        <w:t xml:space="preserve">Figure 3 – </w:t>
      </w:r>
      <w:r w:rsidRPr="003A56CD">
        <w:t>Evolution of the interest in the CE in the Top 50 EU Organisations</w:t>
      </w:r>
    </w:p>
    <w:p w14:paraId="1BF506D8" w14:textId="77777777" w:rsidR="006379C0" w:rsidRPr="003A56CD" w:rsidRDefault="006379C0" w:rsidP="005035B4">
      <w:pPr>
        <w:pStyle w:val="Heading3"/>
      </w:pPr>
      <w:bookmarkStart w:id="26" w:name="_Toc157759490"/>
      <w:r w:rsidRPr="003A56CD">
        <w:t>CE Practices: implementation and measurement</w:t>
      </w:r>
      <w:bookmarkEnd w:id="26"/>
    </w:p>
    <w:p w14:paraId="22143E00" w14:textId="77777777" w:rsidR="006379C0" w:rsidRPr="003A56CD" w:rsidRDefault="006379C0" w:rsidP="002F7336">
      <w:r w:rsidRPr="003A56CD">
        <w:t xml:space="preserve">The identified CE practices for each MNE have been classified according to their type and level of implementation, as well as for their involvement of supply chain partners (Table 4). Also, CE indicators measuring the impact of practices have been reviewed (Table 9). Each company's CE implementation strategy strongly depends on the focal industry and is subject to sector-specific challenges. In this sub-section, CE practices across the whole sample were aggregated and summarised per industrial sector (Table 8). </w:t>
      </w:r>
    </w:p>
    <w:p w14:paraId="7D9B3BF2" w14:textId="32C8F7B2" w:rsidR="006379C0" w:rsidRPr="003A56CD" w:rsidRDefault="006379C0" w:rsidP="002F7336">
      <w:r w:rsidRPr="003A56CD">
        <w:t xml:space="preserve">Practices linked to </w:t>
      </w:r>
      <w:r w:rsidRPr="003A56CD">
        <w:rPr>
          <w:i/>
          <w:iCs/>
        </w:rPr>
        <w:t>reduction</w:t>
      </w:r>
      <w:r w:rsidRPr="003A56CD">
        <w:t xml:space="preserve"> along with </w:t>
      </w:r>
      <w:r w:rsidRPr="003A56CD">
        <w:rPr>
          <w:i/>
          <w:iCs/>
        </w:rPr>
        <w:t>recycling</w:t>
      </w:r>
      <w:r w:rsidRPr="003A56CD">
        <w:t xml:space="preserve"> are the most popular across the sample, while developments linked to product </w:t>
      </w:r>
      <w:r w:rsidRPr="003A56CD">
        <w:rPr>
          <w:i/>
          <w:iCs/>
        </w:rPr>
        <w:t>reuse</w:t>
      </w:r>
      <w:r w:rsidRPr="003A56CD">
        <w:t xml:space="preserve"> are currently overlooked. In the manufacturing industry (including companies from automotive and related industries), the identified CE practices pertain both to the ability to close the loop for valuable components and key materials, and to the establishment of the first prototypes of Circular Business Models. Remanufacturing projects have resulted in the development of specific product lines of remanufactured parts to support the aftermarket needs of customers (</w:t>
      </w:r>
      <w:r w:rsidRPr="003A56CD">
        <w:rPr>
          <w:i/>
          <w:iCs/>
        </w:rPr>
        <w:t>FCA, Volkswagen, and Renault</w:t>
      </w:r>
      <w:r w:rsidRPr="003A56CD">
        <w:t>). Design for resource recovery practices is playing an important role to operationalise a closed-loop supply chain and to recover materials (</w:t>
      </w:r>
      <w:r w:rsidR="00B651D9" w:rsidRPr="003A56CD">
        <w:t>e.g.,</w:t>
      </w:r>
      <w:r w:rsidRPr="003A56CD">
        <w:t xml:space="preserve"> aluminium, steel, plastics, batteries, electrolytes, and graphite). However, only one company (</w:t>
      </w:r>
      <w:r w:rsidRPr="003A56CD">
        <w:rPr>
          <w:i/>
          <w:iCs/>
        </w:rPr>
        <w:t>Bosch</w:t>
      </w:r>
      <w:r w:rsidRPr="003A56CD">
        <w:t xml:space="preserve">) highlights the necessity of designing products with longer life. </w:t>
      </w:r>
    </w:p>
    <w:p w14:paraId="4757AAB9" w14:textId="77777777" w:rsidR="006379C0" w:rsidRPr="003A56CD" w:rsidRDefault="006379C0" w:rsidP="002F7336">
      <w:r w:rsidRPr="003A56CD">
        <w:t xml:space="preserve">In the Energy sector, the concept of the CE is interpreted as closely related to waste management (with specific reference to plastic waste), as opposed to divestment from fossil fuels and a transition towards renewable energy.  </w:t>
      </w:r>
      <w:r w:rsidRPr="003A56CD">
        <w:rPr>
          <w:i/>
          <w:iCs/>
        </w:rPr>
        <w:t>Shell</w:t>
      </w:r>
      <w:r w:rsidRPr="003A56CD">
        <w:t xml:space="preserve"> and </w:t>
      </w:r>
      <w:r w:rsidRPr="003A56CD">
        <w:rPr>
          <w:i/>
          <w:iCs/>
        </w:rPr>
        <w:t>Total</w:t>
      </w:r>
      <w:r w:rsidRPr="003A56CD">
        <w:t xml:space="preserve"> are among the founders of </w:t>
      </w:r>
      <w:r w:rsidRPr="003A56CD">
        <w:lastRenderedPageBreak/>
        <w:t xml:space="preserve">the </w:t>
      </w:r>
      <w:r w:rsidRPr="003A56CD">
        <w:rPr>
          <w:i/>
        </w:rPr>
        <w:t>Alliance to End Plastic Waste</w:t>
      </w:r>
      <w:r w:rsidRPr="003A56CD">
        <w:t xml:space="preserve">, committing themselves to invest $1.5 billion over 5 years to develop solutions in this field. At the same time, this problem is being addressed through integration with technological start-ups: Total acquired the French company </w:t>
      </w:r>
      <w:proofErr w:type="spellStart"/>
      <w:r w:rsidRPr="003A56CD">
        <w:t>Synova</w:t>
      </w:r>
      <w:proofErr w:type="spellEnd"/>
      <w:r w:rsidRPr="003A56CD">
        <w:t xml:space="preserve">, a leader in the manufacturing of high-performance recycled polypropylene; </w:t>
      </w:r>
      <w:r w:rsidRPr="003A56CD">
        <w:rPr>
          <w:i/>
          <w:iCs/>
        </w:rPr>
        <w:t>BP</w:t>
      </w:r>
      <w:r w:rsidRPr="003A56CD">
        <w:t xml:space="preserve"> is collaborating with </w:t>
      </w:r>
      <w:proofErr w:type="spellStart"/>
      <w:r w:rsidRPr="003A56CD">
        <w:t>Neste</w:t>
      </w:r>
      <w:proofErr w:type="spellEnd"/>
      <w:r w:rsidRPr="003A56CD">
        <w:t>, to increase the supply of sustainable fuel for aviation (the company has already worked as a supplier for Bombardier and Airbus).</w:t>
      </w:r>
    </w:p>
    <w:p w14:paraId="093D6622" w14:textId="77777777" w:rsidR="006379C0" w:rsidRPr="003A56CD" w:rsidRDefault="006379C0" w:rsidP="002F7336">
      <w:r w:rsidRPr="003A56CD">
        <w:t>The financial sector (and the service sector in general) demonstrates a general lack of clarity when dealing with CE as well as with the potential role that banks and insurance companies could have in supporting the transition towards an economy of services rather than products. Some banks are pioneering the offer of financial instruments to finance the transition of companies – supporting vehicle leasing and renting (</w:t>
      </w:r>
      <w:r w:rsidRPr="003A56CD">
        <w:rPr>
          <w:i/>
          <w:iCs/>
        </w:rPr>
        <w:t>Banco Santander</w:t>
      </w:r>
      <w:r w:rsidRPr="003A56CD">
        <w:t xml:space="preserve"> and </w:t>
      </w:r>
      <w:r w:rsidRPr="003A56CD">
        <w:rPr>
          <w:i/>
          <w:iCs/>
        </w:rPr>
        <w:t xml:space="preserve">Credit </w:t>
      </w:r>
      <w:proofErr w:type="spellStart"/>
      <w:r w:rsidRPr="003A56CD">
        <w:rPr>
          <w:i/>
          <w:iCs/>
        </w:rPr>
        <w:t>Agricole</w:t>
      </w:r>
      <w:proofErr w:type="spellEnd"/>
      <w:r w:rsidRPr="003A56CD">
        <w:rPr>
          <w:i/>
          <w:iCs/>
        </w:rPr>
        <w:t xml:space="preserve">) </w:t>
      </w:r>
      <w:r w:rsidRPr="003A56CD">
        <w:t>or innovative start-ups (</w:t>
      </w:r>
      <w:r w:rsidRPr="003A56CD">
        <w:rPr>
          <w:i/>
          <w:iCs/>
        </w:rPr>
        <w:t>BNP Paribas</w:t>
      </w:r>
      <w:r w:rsidRPr="003A56CD">
        <w:t xml:space="preserve">) – but also consumer choices – creating solutions for </w:t>
      </w:r>
      <w:proofErr w:type="spellStart"/>
      <w:r w:rsidRPr="003A56CD">
        <w:rPr>
          <w:i/>
        </w:rPr>
        <w:t>Blablacar</w:t>
      </w:r>
      <w:proofErr w:type="spellEnd"/>
      <w:r w:rsidRPr="003A56CD">
        <w:t xml:space="preserve"> carpooling members (</w:t>
      </w:r>
      <w:r w:rsidRPr="003A56CD">
        <w:rPr>
          <w:i/>
          <w:iCs/>
        </w:rPr>
        <w:t>Allianz</w:t>
      </w:r>
      <w:r w:rsidRPr="003A56CD">
        <w:t xml:space="preserve"> and </w:t>
      </w:r>
      <w:r w:rsidRPr="003A56CD">
        <w:rPr>
          <w:i/>
          <w:iCs/>
        </w:rPr>
        <w:t>AXA</w:t>
      </w:r>
      <w:r w:rsidRPr="003A56CD">
        <w:t xml:space="preserve">). Other common practices adopted by other companies in the financial sector include the divestment from carbon fossil fuels and the investment in sustainable solutions (mainly renewable energy for both households and firms). </w:t>
      </w:r>
    </w:p>
    <w:p w14:paraId="1383E18C" w14:textId="77777777" w:rsidR="006379C0" w:rsidRPr="003A56CD" w:rsidRDefault="006379C0" w:rsidP="002F7336">
      <w:r w:rsidRPr="003A56CD">
        <w:t xml:space="preserve">The agri-food sector presents a good level of adoption of CE practices that ranges from the implementation of dynamic product pricing policies to reduce food waste, to the rejection of packaging for some product lines and of single-use plastic bags for customers. </w:t>
      </w:r>
    </w:p>
    <w:p w14:paraId="45707E5E" w14:textId="77777777" w:rsidR="006379C0" w:rsidRPr="003A56CD" w:rsidRDefault="006379C0" w:rsidP="002F7336">
      <w:r w:rsidRPr="003A56CD">
        <w:t>Indicators of the economic impact of the adoption of CE practices vary according to the industrial sector and to the type of practice (Table 9). ‘Revenues from remanufactured products’ is a common indicator among the manufacturing companies that have built an infrastructure to recover end of life parts to be sold in the secondary markets (</w:t>
      </w:r>
      <w:r w:rsidRPr="003A56CD">
        <w:rPr>
          <w:i/>
          <w:iCs/>
        </w:rPr>
        <w:t>Renault, FCA, PSA, Volkswagen, Daimler, and BMW</w:t>
      </w:r>
      <w:r w:rsidRPr="003A56CD">
        <w:t xml:space="preserve">). In the financial sector, economic indicators refer mostly to the ‘green’ investments associated with CE activities or with the promotion of renewable energy or resource efficiency solutions. Most of the environmental KPIs used across sectors and types of practices are efficiency and intensity indicators, comparing a measure of polluting activities (for instance, carbon emissions or energy intensity) to the total production output. Social impacts associated with CE practices are only included by 4 organisations and refer to the employment opportunities provided by the CSC. </w:t>
      </w:r>
    </w:p>
    <w:p w14:paraId="07ACB312" w14:textId="77777777" w:rsidR="006379C0" w:rsidRPr="003A56CD" w:rsidRDefault="006379C0" w:rsidP="002F7336"/>
    <w:p w14:paraId="075E61A1" w14:textId="77777777" w:rsidR="006379C0" w:rsidRPr="003A56CD" w:rsidRDefault="006379C0" w:rsidP="002F7336">
      <w:pPr>
        <w:pStyle w:val="Figurecaption"/>
      </w:pPr>
      <w:r w:rsidRPr="003A56CD">
        <w:lastRenderedPageBreak/>
        <w:t xml:space="preserve">Table 8 – CE practices aggregated view per industry across the whole sample (a high level of similarity was registered for companies in the same industry). The detail of the level of implementation in the brackets (0-4), while the involvement of supply chain partners is described by the “*” symbol.  </w:t>
      </w:r>
    </w:p>
    <w:tbl>
      <w:tblPr>
        <w:tblStyle w:val="TableGrid2"/>
        <w:tblW w:w="0" w:type="auto"/>
        <w:tblLook w:val="04A0" w:firstRow="1" w:lastRow="0" w:firstColumn="1" w:lastColumn="0" w:noHBand="0" w:noVBand="1"/>
      </w:tblPr>
      <w:tblGrid>
        <w:gridCol w:w="470"/>
        <w:gridCol w:w="2250"/>
        <w:gridCol w:w="2044"/>
        <w:gridCol w:w="1751"/>
        <w:gridCol w:w="1979"/>
      </w:tblGrid>
      <w:tr w:rsidR="006379C0" w:rsidRPr="0011495C" w14:paraId="5B60D628" w14:textId="77777777" w:rsidTr="0001016B">
        <w:trPr>
          <w:trHeight w:val="320"/>
        </w:trPr>
        <w:tc>
          <w:tcPr>
            <w:tcW w:w="0" w:type="auto"/>
            <w:hideMark/>
          </w:tcPr>
          <w:p w14:paraId="4AD417C8" w14:textId="77777777" w:rsidR="006379C0" w:rsidRPr="0011495C" w:rsidRDefault="006379C0" w:rsidP="0001016B">
            <w:pPr>
              <w:pStyle w:val="Tabletext"/>
            </w:pPr>
          </w:p>
        </w:tc>
        <w:tc>
          <w:tcPr>
            <w:tcW w:w="0" w:type="auto"/>
            <w:hideMark/>
          </w:tcPr>
          <w:p w14:paraId="45A139A2" w14:textId="77777777" w:rsidR="006379C0" w:rsidRPr="0011495C" w:rsidRDefault="006379C0" w:rsidP="0001016B">
            <w:pPr>
              <w:pStyle w:val="Tabletext"/>
            </w:pPr>
            <w:r w:rsidRPr="0011495C">
              <w:t>Manufacturing</w:t>
            </w:r>
          </w:p>
        </w:tc>
        <w:tc>
          <w:tcPr>
            <w:tcW w:w="0" w:type="auto"/>
            <w:hideMark/>
          </w:tcPr>
          <w:p w14:paraId="552CDDDB" w14:textId="77777777" w:rsidR="006379C0" w:rsidRPr="0011495C" w:rsidRDefault="006379C0" w:rsidP="0001016B">
            <w:pPr>
              <w:pStyle w:val="Tabletext"/>
            </w:pPr>
            <w:r w:rsidRPr="0011495C">
              <w:t>Energy</w:t>
            </w:r>
          </w:p>
        </w:tc>
        <w:tc>
          <w:tcPr>
            <w:tcW w:w="0" w:type="auto"/>
            <w:hideMark/>
          </w:tcPr>
          <w:p w14:paraId="35480AE1" w14:textId="77777777" w:rsidR="006379C0" w:rsidRPr="0011495C" w:rsidRDefault="006379C0" w:rsidP="0001016B">
            <w:pPr>
              <w:pStyle w:val="Tabletext"/>
            </w:pPr>
            <w:r w:rsidRPr="0011495C">
              <w:t>Financial &amp; Services</w:t>
            </w:r>
          </w:p>
        </w:tc>
        <w:tc>
          <w:tcPr>
            <w:tcW w:w="0" w:type="auto"/>
          </w:tcPr>
          <w:p w14:paraId="27D617EE" w14:textId="77777777" w:rsidR="006379C0" w:rsidRPr="0011495C" w:rsidRDefault="006379C0" w:rsidP="0001016B">
            <w:pPr>
              <w:pStyle w:val="Tabletext"/>
            </w:pPr>
            <w:r w:rsidRPr="0011495C">
              <w:t>Agri-Food</w:t>
            </w:r>
          </w:p>
        </w:tc>
      </w:tr>
      <w:tr w:rsidR="006379C0" w:rsidRPr="0011495C" w14:paraId="3C70872F" w14:textId="77777777" w:rsidTr="0001016B">
        <w:trPr>
          <w:trHeight w:val="1134"/>
        </w:trPr>
        <w:tc>
          <w:tcPr>
            <w:tcW w:w="0" w:type="auto"/>
            <w:textDirection w:val="btLr"/>
            <w:hideMark/>
          </w:tcPr>
          <w:p w14:paraId="2D04AE6C" w14:textId="77777777" w:rsidR="006379C0" w:rsidRPr="0011495C" w:rsidRDefault="006379C0" w:rsidP="0001016B">
            <w:pPr>
              <w:pStyle w:val="Tabletext"/>
            </w:pPr>
            <w:r w:rsidRPr="0011495C">
              <w:t>Reduce – Prevention</w:t>
            </w:r>
          </w:p>
        </w:tc>
        <w:tc>
          <w:tcPr>
            <w:tcW w:w="0" w:type="auto"/>
            <w:hideMark/>
          </w:tcPr>
          <w:p w14:paraId="27A442AC" w14:textId="77777777" w:rsidR="006379C0" w:rsidRPr="0011495C" w:rsidRDefault="006379C0" w:rsidP="0001016B">
            <w:pPr>
              <w:pStyle w:val="Tabletext"/>
            </w:pPr>
            <w:r w:rsidRPr="0011495C">
              <w:t>(4) Design for resource recovery *</w:t>
            </w:r>
          </w:p>
          <w:p w14:paraId="639E875D" w14:textId="77777777" w:rsidR="006379C0" w:rsidRPr="0011495C" w:rsidRDefault="006379C0" w:rsidP="0001016B">
            <w:pPr>
              <w:pStyle w:val="Tabletext"/>
            </w:pPr>
            <w:r w:rsidRPr="0011495C">
              <w:t>(2) Modular Design *</w:t>
            </w:r>
          </w:p>
          <w:p w14:paraId="53BBF48B" w14:textId="77777777" w:rsidR="006379C0" w:rsidRPr="0011495C" w:rsidRDefault="006379C0" w:rsidP="0001016B">
            <w:pPr>
              <w:pStyle w:val="Tabletext"/>
            </w:pPr>
            <w:r w:rsidRPr="0011495C">
              <w:t>(2) Product-as-a-Service *</w:t>
            </w:r>
          </w:p>
          <w:p w14:paraId="6CA158B4" w14:textId="77777777" w:rsidR="006379C0" w:rsidRPr="0011495C" w:rsidRDefault="006379C0" w:rsidP="0001016B">
            <w:pPr>
              <w:pStyle w:val="Tabletext"/>
            </w:pPr>
          </w:p>
          <w:p w14:paraId="04D4D3ED" w14:textId="77777777" w:rsidR="006379C0" w:rsidRPr="0011495C" w:rsidRDefault="006379C0" w:rsidP="0001016B">
            <w:pPr>
              <w:pStyle w:val="Tabletext"/>
            </w:pPr>
          </w:p>
        </w:tc>
        <w:tc>
          <w:tcPr>
            <w:tcW w:w="0" w:type="auto"/>
            <w:hideMark/>
          </w:tcPr>
          <w:p w14:paraId="73D2D92D" w14:textId="77777777" w:rsidR="006379C0" w:rsidRPr="0011495C" w:rsidRDefault="006379C0" w:rsidP="0001016B">
            <w:pPr>
              <w:pStyle w:val="Tabletext"/>
            </w:pPr>
            <w:r w:rsidRPr="0011495C">
              <w:t>(1) Commitment to reduce plastic waste</w:t>
            </w:r>
          </w:p>
        </w:tc>
        <w:tc>
          <w:tcPr>
            <w:tcW w:w="0" w:type="auto"/>
            <w:hideMark/>
          </w:tcPr>
          <w:p w14:paraId="7AE28862" w14:textId="77777777" w:rsidR="006379C0" w:rsidRPr="0011495C" w:rsidRDefault="006379C0" w:rsidP="0001016B">
            <w:pPr>
              <w:pStyle w:val="Tabletext"/>
            </w:pPr>
            <w:r w:rsidRPr="0011495C">
              <w:t>(4) Disinvesting from coal energy sources</w:t>
            </w:r>
          </w:p>
          <w:p w14:paraId="5F970D50" w14:textId="77777777" w:rsidR="006379C0" w:rsidRPr="0011495C" w:rsidRDefault="006379C0" w:rsidP="0001016B">
            <w:pPr>
              <w:pStyle w:val="Tabletext"/>
            </w:pPr>
            <w:r w:rsidRPr="0011495C">
              <w:t>(4) Investments in sustainable solutions</w:t>
            </w:r>
          </w:p>
          <w:p w14:paraId="40E69DB0" w14:textId="77777777" w:rsidR="006379C0" w:rsidRPr="0011495C" w:rsidRDefault="006379C0" w:rsidP="0001016B">
            <w:pPr>
              <w:pStyle w:val="Tabletext"/>
            </w:pPr>
            <w:r w:rsidRPr="0011495C">
              <w:t>(4) Design of "green" products*</w:t>
            </w:r>
          </w:p>
        </w:tc>
        <w:tc>
          <w:tcPr>
            <w:tcW w:w="0" w:type="auto"/>
          </w:tcPr>
          <w:p w14:paraId="6A3C4ACB" w14:textId="77777777" w:rsidR="006379C0" w:rsidRPr="0011495C" w:rsidRDefault="006379C0" w:rsidP="0001016B">
            <w:pPr>
              <w:pStyle w:val="Tabletext"/>
            </w:pPr>
            <w:r w:rsidRPr="0011495C">
              <w:t>(4) Donate unsold food *</w:t>
            </w:r>
          </w:p>
          <w:p w14:paraId="260E3021" w14:textId="77777777" w:rsidR="006379C0" w:rsidRPr="0011495C" w:rsidRDefault="006379C0" w:rsidP="0001016B">
            <w:pPr>
              <w:pStyle w:val="Tabletext"/>
            </w:pPr>
            <w:r w:rsidRPr="0011495C">
              <w:t xml:space="preserve">(3) Dynamic product pricing to reduce waste </w:t>
            </w:r>
          </w:p>
          <w:p w14:paraId="0959286D" w14:textId="77777777" w:rsidR="006379C0" w:rsidRPr="0011495C" w:rsidRDefault="006379C0" w:rsidP="0001016B">
            <w:pPr>
              <w:pStyle w:val="Tabletext"/>
            </w:pPr>
            <w:r w:rsidRPr="0011495C">
              <w:t>(2) Commitment to reduce plastic waste - Refuse packaging *</w:t>
            </w:r>
          </w:p>
        </w:tc>
      </w:tr>
      <w:tr w:rsidR="006379C0" w:rsidRPr="0011495C" w14:paraId="6C5BC71D" w14:textId="77777777" w:rsidTr="0001016B">
        <w:trPr>
          <w:trHeight w:val="1134"/>
        </w:trPr>
        <w:tc>
          <w:tcPr>
            <w:tcW w:w="0" w:type="auto"/>
            <w:textDirection w:val="btLr"/>
            <w:hideMark/>
          </w:tcPr>
          <w:p w14:paraId="43FEE8A5" w14:textId="77777777" w:rsidR="006379C0" w:rsidRPr="0011495C" w:rsidRDefault="006379C0" w:rsidP="0001016B">
            <w:pPr>
              <w:pStyle w:val="Tabletext"/>
            </w:pPr>
            <w:r w:rsidRPr="0011495C">
              <w:t>Reuse</w:t>
            </w:r>
          </w:p>
        </w:tc>
        <w:tc>
          <w:tcPr>
            <w:tcW w:w="0" w:type="auto"/>
            <w:hideMark/>
          </w:tcPr>
          <w:p w14:paraId="252FE23A" w14:textId="77777777" w:rsidR="006379C0" w:rsidRPr="0011495C" w:rsidRDefault="006379C0" w:rsidP="0001016B">
            <w:pPr>
              <w:pStyle w:val="Tabletext"/>
            </w:pPr>
            <w:r w:rsidRPr="0011495C">
              <w:t>(2) Reuse of parts and components (batteries)*</w:t>
            </w:r>
          </w:p>
        </w:tc>
        <w:tc>
          <w:tcPr>
            <w:tcW w:w="0" w:type="auto"/>
            <w:hideMark/>
          </w:tcPr>
          <w:p w14:paraId="39068E35" w14:textId="77777777" w:rsidR="006379C0" w:rsidRPr="0011495C" w:rsidRDefault="006379C0" w:rsidP="0001016B">
            <w:pPr>
              <w:pStyle w:val="Tabletext"/>
            </w:pPr>
            <w:r w:rsidRPr="0011495C">
              <w:t>(0)</w:t>
            </w:r>
          </w:p>
        </w:tc>
        <w:tc>
          <w:tcPr>
            <w:tcW w:w="0" w:type="auto"/>
            <w:hideMark/>
          </w:tcPr>
          <w:p w14:paraId="4B8A5780" w14:textId="77777777" w:rsidR="006379C0" w:rsidRPr="0011495C" w:rsidRDefault="006379C0" w:rsidP="0001016B">
            <w:pPr>
              <w:pStyle w:val="Tabletext"/>
            </w:pPr>
            <w:r w:rsidRPr="0011495C">
              <w:t>(0)</w:t>
            </w:r>
          </w:p>
        </w:tc>
        <w:tc>
          <w:tcPr>
            <w:tcW w:w="0" w:type="auto"/>
          </w:tcPr>
          <w:p w14:paraId="154BB7F2" w14:textId="77777777" w:rsidR="006379C0" w:rsidRPr="0011495C" w:rsidRDefault="006379C0" w:rsidP="0001016B">
            <w:pPr>
              <w:pStyle w:val="Tabletext"/>
            </w:pPr>
            <w:r w:rsidRPr="0011495C">
              <w:t xml:space="preserve">(3) Reuse of packaging </w:t>
            </w:r>
          </w:p>
          <w:p w14:paraId="14DC8EB7" w14:textId="77777777" w:rsidR="006379C0" w:rsidRPr="0011495C" w:rsidRDefault="006379C0" w:rsidP="0001016B">
            <w:pPr>
              <w:pStyle w:val="Tabletext"/>
            </w:pPr>
          </w:p>
        </w:tc>
      </w:tr>
      <w:tr w:rsidR="006379C0" w:rsidRPr="0011495C" w14:paraId="32FAC420" w14:textId="77777777" w:rsidTr="0001016B">
        <w:trPr>
          <w:trHeight w:val="1134"/>
        </w:trPr>
        <w:tc>
          <w:tcPr>
            <w:tcW w:w="0" w:type="auto"/>
            <w:textDirection w:val="btLr"/>
          </w:tcPr>
          <w:p w14:paraId="17F28C10" w14:textId="77777777" w:rsidR="006379C0" w:rsidRPr="0011495C" w:rsidRDefault="006379C0" w:rsidP="0001016B">
            <w:pPr>
              <w:pStyle w:val="Tabletext"/>
            </w:pPr>
            <w:r w:rsidRPr="0011495C">
              <w:t>Recycle</w:t>
            </w:r>
          </w:p>
        </w:tc>
        <w:tc>
          <w:tcPr>
            <w:tcW w:w="0" w:type="auto"/>
          </w:tcPr>
          <w:p w14:paraId="4EF40446" w14:textId="77777777" w:rsidR="006379C0" w:rsidRPr="0011495C" w:rsidRDefault="006379C0" w:rsidP="0001016B">
            <w:pPr>
              <w:pStyle w:val="Tabletext"/>
            </w:pPr>
            <w:r w:rsidRPr="0011495C">
              <w:t>(4) Closing the loop for some products/materials *</w:t>
            </w:r>
          </w:p>
        </w:tc>
        <w:tc>
          <w:tcPr>
            <w:tcW w:w="0" w:type="auto"/>
          </w:tcPr>
          <w:p w14:paraId="0254CFB2" w14:textId="77777777" w:rsidR="006379C0" w:rsidRPr="0011495C" w:rsidRDefault="006379C0" w:rsidP="0001016B">
            <w:pPr>
              <w:pStyle w:val="Tabletext"/>
            </w:pPr>
            <w:r w:rsidRPr="0011495C">
              <w:t>(3) Investments in recycling technologies</w:t>
            </w:r>
          </w:p>
        </w:tc>
        <w:tc>
          <w:tcPr>
            <w:tcW w:w="0" w:type="auto"/>
          </w:tcPr>
          <w:p w14:paraId="0AB0801D" w14:textId="77777777" w:rsidR="006379C0" w:rsidRPr="0011495C" w:rsidRDefault="006379C0" w:rsidP="0001016B">
            <w:pPr>
              <w:pStyle w:val="Tabletext"/>
            </w:pPr>
            <w:r w:rsidRPr="0011495C">
              <w:t>(3) Materials recycling (paper)</w:t>
            </w:r>
          </w:p>
        </w:tc>
        <w:tc>
          <w:tcPr>
            <w:tcW w:w="0" w:type="auto"/>
          </w:tcPr>
          <w:p w14:paraId="302F7E9A" w14:textId="77777777" w:rsidR="006379C0" w:rsidRPr="0011495C" w:rsidRDefault="006379C0" w:rsidP="0001016B">
            <w:pPr>
              <w:pStyle w:val="Tabletext"/>
            </w:pPr>
            <w:r w:rsidRPr="0011495C">
              <w:t>(4) Recycled materials utilisation</w:t>
            </w:r>
          </w:p>
          <w:p w14:paraId="2918AEE8" w14:textId="77777777" w:rsidR="006379C0" w:rsidRPr="0011495C" w:rsidRDefault="006379C0" w:rsidP="0001016B">
            <w:pPr>
              <w:pStyle w:val="Tabletext"/>
            </w:pPr>
          </w:p>
        </w:tc>
      </w:tr>
      <w:tr w:rsidR="006379C0" w:rsidRPr="0011495C" w14:paraId="73518631" w14:textId="77777777" w:rsidTr="0001016B">
        <w:trPr>
          <w:trHeight w:val="1134"/>
        </w:trPr>
        <w:tc>
          <w:tcPr>
            <w:tcW w:w="0" w:type="auto"/>
            <w:textDirection w:val="btLr"/>
          </w:tcPr>
          <w:p w14:paraId="5942C68B" w14:textId="77777777" w:rsidR="006379C0" w:rsidRPr="0011495C" w:rsidRDefault="006379C0" w:rsidP="0001016B">
            <w:pPr>
              <w:pStyle w:val="Tabletext"/>
            </w:pPr>
            <w:r w:rsidRPr="0011495C">
              <w:t>Recover</w:t>
            </w:r>
          </w:p>
        </w:tc>
        <w:tc>
          <w:tcPr>
            <w:tcW w:w="0" w:type="auto"/>
          </w:tcPr>
          <w:p w14:paraId="71C7AC8E" w14:textId="77777777" w:rsidR="006379C0" w:rsidRPr="0011495C" w:rsidRDefault="006379C0" w:rsidP="0001016B">
            <w:pPr>
              <w:pStyle w:val="Tabletext"/>
            </w:pPr>
            <w:r w:rsidRPr="0011495C">
              <w:t>(0)</w:t>
            </w:r>
          </w:p>
        </w:tc>
        <w:tc>
          <w:tcPr>
            <w:tcW w:w="0" w:type="auto"/>
          </w:tcPr>
          <w:p w14:paraId="1433B4E1" w14:textId="77777777" w:rsidR="006379C0" w:rsidRPr="0011495C" w:rsidRDefault="006379C0" w:rsidP="0001016B">
            <w:pPr>
              <w:pStyle w:val="Tabletext"/>
            </w:pPr>
            <w:r w:rsidRPr="0011495C">
              <w:t xml:space="preserve">(3) Energy Recovery from by-products </w:t>
            </w:r>
          </w:p>
        </w:tc>
        <w:tc>
          <w:tcPr>
            <w:tcW w:w="0" w:type="auto"/>
          </w:tcPr>
          <w:p w14:paraId="1EAEE7CB" w14:textId="77777777" w:rsidR="006379C0" w:rsidRPr="0011495C" w:rsidRDefault="006379C0" w:rsidP="0001016B">
            <w:pPr>
              <w:pStyle w:val="Tabletext"/>
            </w:pPr>
            <w:r w:rsidRPr="0011495C">
              <w:t>(0)</w:t>
            </w:r>
          </w:p>
        </w:tc>
        <w:tc>
          <w:tcPr>
            <w:tcW w:w="0" w:type="auto"/>
          </w:tcPr>
          <w:p w14:paraId="36FF183C" w14:textId="77777777" w:rsidR="006379C0" w:rsidRPr="0011495C" w:rsidRDefault="006379C0" w:rsidP="0001016B">
            <w:pPr>
              <w:pStyle w:val="Tabletext"/>
            </w:pPr>
            <w:r w:rsidRPr="0011495C">
              <w:t>(0)</w:t>
            </w:r>
          </w:p>
        </w:tc>
      </w:tr>
      <w:tr w:rsidR="006379C0" w:rsidRPr="0011495C" w14:paraId="16F3FEDE" w14:textId="77777777" w:rsidTr="0001016B">
        <w:trPr>
          <w:trHeight w:val="1134"/>
        </w:trPr>
        <w:tc>
          <w:tcPr>
            <w:tcW w:w="0" w:type="auto"/>
            <w:textDirection w:val="btLr"/>
          </w:tcPr>
          <w:p w14:paraId="1996022F" w14:textId="77777777" w:rsidR="006379C0" w:rsidRPr="0011495C" w:rsidRDefault="006379C0" w:rsidP="0001016B">
            <w:pPr>
              <w:pStyle w:val="Tabletext"/>
            </w:pPr>
            <w:r w:rsidRPr="0011495C">
              <w:t>Renewable Energy &amp; Resource Efficiency</w:t>
            </w:r>
          </w:p>
        </w:tc>
        <w:tc>
          <w:tcPr>
            <w:tcW w:w="0" w:type="auto"/>
          </w:tcPr>
          <w:p w14:paraId="2ADE8CA2" w14:textId="77777777" w:rsidR="006379C0" w:rsidRPr="0011495C" w:rsidRDefault="006379C0" w:rsidP="0001016B">
            <w:pPr>
              <w:pStyle w:val="Tabletext"/>
            </w:pPr>
            <w:r w:rsidRPr="0011495C">
              <w:t>(4) On-site generation of Renewable Energy</w:t>
            </w:r>
          </w:p>
          <w:p w14:paraId="36C5E83C" w14:textId="77777777" w:rsidR="006379C0" w:rsidRPr="0011495C" w:rsidRDefault="006379C0" w:rsidP="0001016B">
            <w:pPr>
              <w:pStyle w:val="Tabletext"/>
            </w:pPr>
            <w:r w:rsidRPr="0011495C">
              <w:t>(4) Improve production systems efficiency</w:t>
            </w:r>
          </w:p>
        </w:tc>
        <w:tc>
          <w:tcPr>
            <w:tcW w:w="0" w:type="auto"/>
          </w:tcPr>
          <w:p w14:paraId="616B2747" w14:textId="77777777" w:rsidR="006379C0" w:rsidRPr="0011495C" w:rsidRDefault="006379C0" w:rsidP="0001016B">
            <w:pPr>
              <w:pStyle w:val="Tabletext"/>
            </w:pPr>
            <w:r w:rsidRPr="0011495C">
              <w:t>(3) Investments in large-scale Renewable Energy generation plants</w:t>
            </w:r>
          </w:p>
          <w:p w14:paraId="66CEB4B2" w14:textId="77777777" w:rsidR="006379C0" w:rsidRPr="0011495C" w:rsidRDefault="006379C0" w:rsidP="0001016B">
            <w:pPr>
              <w:pStyle w:val="Tabletext"/>
            </w:pPr>
            <w:r w:rsidRPr="0011495C">
              <w:rPr>
                <w:lang w:val="it-IT"/>
              </w:rPr>
              <w:t>(4) Improve Energy Efficiency</w:t>
            </w:r>
          </w:p>
        </w:tc>
        <w:tc>
          <w:tcPr>
            <w:tcW w:w="0" w:type="auto"/>
          </w:tcPr>
          <w:p w14:paraId="22F6EBB4" w14:textId="77777777" w:rsidR="006379C0" w:rsidRPr="0011495C" w:rsidRDefault="006379C0" w:rsidP="0001016B">
            <w:pPr>
              <w:pStyle w:val="Tabletext"/>
            </w:pPr>
            <w:r w:rsidRPr="0011495C">
              <w:t>(3) Investments in Renewable Energy companies</w:t>
            </w:r>
          </w:p>
          <w:p w14:paraId="75BD2677" w14:textId="77777777" w:rsidR="006379C0" w:rsidRPr="0011495C" w:rsidRDefault="006379C0" w:rsidP="0001016B">
            <w:pPr>
              <w:pStyle w:val="Tabletext"/>
            </w:pPr>
            <w:r w:rsidRPr="0011495C">
              <w:t>(3) Energy sourcing from Renewable Energy</w:t>
            </w:r>
          </w:p>
        </w:tc>
        <w:tc>
          <w:tcPr>
            <w:tcW w:w="0" w:type="auto"/>
          </w:tcPr>
          <w:p w14:paraId="74798768" w14:textId="77777777" w:rsidR="006379C0" w:rsidRPr="0011495C" w:rsidRDefault="006379C0" w:rsidP="0001016B">
            <w:pPr>
              <w:pStyle w:val="Tabletext"/>
            </w:pPr>
            <w:r w:rsidRPr="0011495C">
              <w:t>(4) Prioritise regenerative &amp; less impactful resources</w:t>
            </w:r>
          </w:p>
          <w:p w14:paraId="754C9B70" w14:textId="77777777" w:rsidR="006379C0" w:rsidRPr="0011495C" w:rsidRDefault="006379C0" w:rsidP="0001016B">
            <w:pPr>
              <w:pStyle w:val="Tabletext"/>
            </w:pPr>
          </w:p>
        </w:tc>
      </w:tr>
    </w:tbl>
    <w:p w14:paraId="298542C5" w14:textId="77777777" w:rsidR="006379C0" w:rsidRPr="003A56CD" w:rsidRDefault="006379C0" w:rsidP="002F7336"/>
    <w:p w14:paraId="785F5B47" w14:textId="24617EE1" w:rsidR="006379C0" w:rsidRPr="003A56CD" w:rsidRDefault="006379C0" w:rsidP="002F7336">
      <w:r w:rsidRPr="003A56CD">
        <w:t xml:space="preserve">Just one company, the Italian Energy Utility provider Enel, has developed a measurement system to assess the level of circularity of its solutions and products. Enel X Circular Economy Score is calculated by combining two values. The first represents five CE key dimensions, which are: the commitment of suppliers to CE principles; the presence of reusable elements which can increase the life-cycle of the product; the level of resource efficiency; the level of reuse of materials; and the support offered to suppliers. The second dimension evaluates the implementation of five Circular Business Models (product-as-a-service; sharing platforms; product life cycle extension; sustainability of resources; recovery and recycling). The indicator is subject to third-party verification and then made available to supply chain </w:t>
      </w:r>
      <w:r w:rsidR="00B651D9" w:rsidRPr="003A56CD">
        <w:t>stakeholders</w:t>
      </w:r>
      <w:r w:rsidRPr="003A56CD">
        <w:t>.</w:t>
      </w:r>
    </w:p>
    <w:p w14:paraId="3F2BDEDF" w14:textId="77777777" w:rsidR="006379C0" w:rsidRPr="003A56CD" w:rsidRDefault="006379C0" w:rsidP="002F7336">
      <w:pPr>
        <w:pStyle w:val="Figurecaption"/>
      </w:pPr>
      <w:r w:rsidRPr="003A56CD">
        <w:lastRenderedPageBreak/>
        <w:t>Table 9 – Employed KPIs</w:t>
      </w:r>
    </w:p>
    <w:tbl>
      <w:tblPr>
        <w:tblStyle w:val="TableGrid2"/>
        <w:tblW w:w="0" w:type="auto"/>
        <w:tblLook w:val="0420" w:firstRow="1" w:lastRow="0" w:firstColumn="0" w:lastColumn="0" w:noHBand="0" w:noVBand="1"/>
      </w:tblPr>
      <w:tblGrid>
        <w:gridCol w:w="1502"/>
        <w:gridCol w:w="1492"/>
        <w:gridCol w:w="1993"/>
        <w:gridCol w:w="2232"/>
        <w:gridCol w:w="1275"/>
      </w:tblGrid>
      <w:tr w:rsidR="006379C0" w:rsidRPr="0011495C" w14:paraId="556D9CBA" w14:textId="77777777" w:rsidTr="0011495C">
        <w:trPr>
          <w:trHeight w:val="310"/>
        </w:trPr>
        <w:tc>
          <w:tcPr>
            <w:tcW w:w="0" w:type="auto"/>
          </w:tcPr>
          <w:p w14:paraId="1111EFA6" w14:textId="77777777" w:rsidR="006379C0" w:rsidRPr="0011495C" w:rsidRDefault="006379C0" w:rsidP="0001016B">
            <w:pPr>
              <w:pStyle w:val="Tabletext"/>
            </w:pPr>
            <w:r w:rsidRPr="0011495C">
              <w:t>Dimension</w:t>
            </w:r>
          </w:p>
        </w:tc>
        <w:tc>
          <w:tcPr>
            <w:tcW w:w="0" w:type="auto"/>
            <w:hideMark/>
          </w:tcPr>
          <w:p w14:paraId="78237696" w14:textId="77777777" w:rsidR="006379C0" w:rsidRPr="0011495C" w:rsidRDefault="006379C0" w:rsidP="0001016B">
            <w:pPr>
              <w:pStyle w:val="Tabletext"/>
            </w:pPr>
            <w:r w:rsidRPr="0011495C">
              <w:t>Category</w:t>
            </w:r>
          </w:p>
        </w:tc>
        <w:tc>
          <w:tcPr>
            <w:tcW w:w="0" w:type="auto"/>
            <w:hideMark/>
          </w:tcPr>
          <w:p w14:paraId="03895D0B" w14:textId="77777777" w:rsidR="006379C0" w:rsidRPr="0011495C" w:rsidRDefault="006379C0" w:rsidP="0001016B">
            <w:pPr>
              <w:pStyle w:val="Tabletext"/>
            </w:pPr>
            <w:r w:rsidRPr="0011495C">
              <w:t>Examples</w:t>
            </w:r>
          </w:p>
        </w:tc>
        <w:tc>
          <w:tcPr>
            <w:tcW w:w="0" w:type="auto"/>
            <w:hideMark/>
          </w:tcPr>
          <w:p w14:paraId="47C32EE9" w14:textId="77777777" w:rsidR="006379C0" w:rsidRPr="0011495C" w:rsidRDefault="006379C0" w:rsidP="0001016B">
            <w:pPr>
              <w:pStyle w:val="Tabletext"/>
            </w:pPr>
            <w:r w:rsidRPr="0011495C">
              <w:t>Description</w:t>
            </w:r>
          </w:p>
        </w:tc>
        <w:tc>
          <w:tcPr>
            <w:tcW w:w="0" w:type="auto"/>
            <w:hideMark/>
          </w:tcPr>
          <w:p w14:paraId="25EB782A" w14:textId="77777777" w:rsidR="006379C0" w:rsidRPr="0011495C" w:rsidRDefault="006379C0" w:rsidP="0001016B">
            <w:pPr>
              <w:pStyle w:val="Tabletext"/>
            </w:pPr>
            <w:r w:rsidRPr="0011495C">
              <w:t>Adopting Companies</w:t>
            </w:r>
          </w:p>
        </w:tc>
      </w:tr>
      <w:tr w:rsidR="006379C0" w:rsidRPr="0011495C" w14:paraId="1C5798AE" w14:textId="77777777" w:rsidTr="0011495C">
        <w:trPr>
          <w:trHeight w:val="584"/>
        </w:trPr>
        <w:tc>
          <w:tcPr>
            <w:tcW w:w="0" w:type="auto"/>
            <w:vMerge w:val="restart"/>
          </w:tcPr>
          <w:p w14:paraId="6922719F" w14:textId="77777777" w:rsidR="006379C0" w:rsidRPr="0011495C" w:rsidRDefault="006379C0" w:rsidP="0001016B">
            <w:pPr>
              <w:pStyle w:val="Tabletext"/>
            </w:pPr>
            <w:r w:rsidRPr="0011495C">
              <w:t>Economic</w:t>
            </w:r>
          </w:p>
        </w:tc>
        <w:tc>
          <w:tcPr>
            <w:tcW w:w="0" w:type="auto"/>
          </w:tcPr>
          <w:p w14:paraId="696DC9BC" w14:textId="77777777" w:rsidR="006379C0" w:rsidRPr="0011495C" w:rsidRDefault="006379C0" w:rsidP="0001016B">
            <w:pPr>
              <w:pStyle w:val="Tabletext"/>
            </w:pPr>
            <w:r w:rsidRPr="0011495C">
              <w:t>Revenues</w:t>
            </w:r>
          </w:p>
        </w:tc>
        <w:tc>
          <w:tcPr>
            <w:tcW w:w="0" w:type="auto"/>
          </w:tcPr>
          <w:p w14:paraId="33E11D7F" w14:textId="6BE29997" w:rsidR="006379C0" w:rsidRPr="0011495C" w:rsidRDefault="006379C0" w:rsidP="0001016B">
            <w:pPr>
              <w:pStyle w:val="Tabletext"/>
            </w:pPr>
            <w:r w:rsidRPr="0011495C">
              <w:t>Revenues from remanufactured products</w:t>
            </w:r>
            <w:r w:rsidR="0001016B">
              <w:t>;</w:t>
            </w:r>
          </w:p>
          <w:p w14:paraId="5E354FB3" w14:textId="3DC32BE4" w:rsidR="006379C0" w:rsidRPr="0011495C" w:rsidRDefault="006379C0" w:rsidP="0001016B">
            <w:pPr>
              <w:pStyle w:val="Tabletext"/>
            </w:pPr>
            <w:r w:rsidRPr="0011495C">
              <w:t>Revenues from ‘green products’</w:t>
            </w:r>
            <w:r w:rsidR="0001016B">
              <w:t>.</w:t>
            </w:r>
          </w:p>
        </w:tc>
        <w:tc>
          <w:tcPr>
            <w:tcW w:w="0" w:type="auto"/>
          </w:tcPr>
          <w:p w14:paraId="3E3F7991" w14:textId="77777777" w:rsidR="006379C0" w:rsidRPr="0011495C" w:rsidRDefault="006379C0" w:rsidP="0001016B">
            <w:pPr>
              <w:pStyle w:val="Tabletext"/>
            </w:pPr>
            <w:r w:rsidRPr="0011495C">
              <w:t>Revenues associated with CSC activities</w:t>
            </w:r>
          </w:p>
        </w:tc>
        <w:tc>
          <w:tcPr>
            <w:tcW w:w="0" w:type="auto"/>
          </w:tcPr>
          <w:p w14:paraId="24278CF7" w14:textId="77777777" w:rsidR="006379C0" w:rsidRPr="0011495C" w:rsidRDefault="006379C0" w:rsidP="0001016B">
            <w:pPr>
              <w:pStyle w:val="Tabletext"/>
            </w:pPr>
            <w:r w:rsidRPr="0011495C">
              <w:t>3/50</w:t>
            </w:r>
          </w:p>
        </w:tc>
      </w:tr>
      <w:tr w:rsidR="006379C0" w:rsidRPr="0011495C" w14:paraId="3284EB24" w14:textId="77777777" w:rsidTr="0011495C">
        <w:trPr>
          <w:trHeight w:val="1332"/>
        </w:trPr>
        <w:tc>
          <w:tcPr>
            <w:tcW w:w="0" w:type="auto"/>
            <w:vMerge/>
          </w:tcPr>
          <w:p w14:paraId="6789007C" w14:textId="77777777" w:rsidR="006379C0" w:rsidRPr="0011495C" w:rsidRDefault="006379C0" w:rsidP="0001016B">
            <w:pPr>
              <w:pStyle w:val="Tabletext"/>
            </w:pPr>
          </w:p>
        </w:tc>
        <w:tc>
          <w:tcPr>
            <w:tcW w:w="0" w:type="auto"/>
          </w:tcPr>
          <w:p w14:paraId="0DE47482" w14:textId="77777777" w:rsidR="006379C0" w:rsidRPr="0011495C" w:rsidRDefault="006379C0" w:rsidP="0001016B">
            <w:pPr>
              <w:pStyle w:val="Tabletext"/>
            </w:pPr>
            <w:r w:rsidRPr="0011495C">
              <w:t>Investments</w:t>
            </w:r>
          </w:p>
        </w:tc>
        <w:tc>
          <w:tcPr>
            <w:tcW w:w="0" w:type="auto"/>
          </w:tcPr>
          <w:p w14:paraId="10566271" w14:textId="5E1A207B" w:rsidR="006379C0" w:rsidRPr="0011495C" w:rsidRDefault="006379C0" w:rsidP="0001016B">
            <w:pPr>
              <w:pStyle w:val="Tabletext"/>
            </w:pPr>
            <w:r w:rsidRPr="0011495C">
              <w:t>Capital invested in sustainable solutions</w:t>
            </w:r>
            <w:r w:rsidR="0001016B">
              <w:t>;</w:t>
            </w:r>
          </w:p>
          <w:p w14:paraId="5D0B39E7" w14:textId="32BF3CB9" w:rsidR="006379C0" w:rsidRPr="0011495C" w:rsidRDefault="006379C0" w:rsidP="0001016B">
            <w:pPr>
              <w:pStyle w:val="Tabletext"/>
            </w:pPr>
            <w:r w:rsidRPr="0011495C">
              <w:t>Capital dis-invested from carbon intensive assets</w:t>
            </w:r>
            <w:r w:rsidR="0001016B">
              <w:t>.</w:t>
            </w:r>
          </w:p>
        </w:tc>
        <w:tc>
          <w:tcPr>
            <w:tcW w:w="0" w:type="auto"/>
          </w:tcPr>
          <w:p w14:paraId="12B93D3F" w14:textId="77777777" w:rsidR="006379C0" w:rsidRPr="0011495C" w:rsidRDefault="006379C0" w:rsidP="0001016B">
            <w:pPr>
              <w:pStyle w:val="Tabletext"/>
            </w:pPr>
            <w:r w:rsidRPr="0011495C">
              <w:t>Investments associated with CSC activities</w:t>
            </w:r>
          </w:p>
        </w:tc>
        <w:tc>
          <w:tcPr>
            <w:tcW w:w="0" w:type="auto"/>
          </w:tcPr>
          <w:p w14:paraId="676F43B2" w14:textId="77777777" w:rsidR="006379C0" w:rsidRPr="0011495C" w:rsidRDefault="006379C0" w:rsidP="0001016B">
            <w:pPr>
              <w:pStyle w:val="Tabletext"/>
            </w:pPr>
            <w:r w:rsidRPr="0011495C">
              <w:t>15/50</w:t>
            </w:r>
          </w:p>
        </w:tc>
      </w:tr>
      <w:tr w:rsidR="006379C0" w:rsidRPr="0011495C" w14:paraId="45D61811" w14:textId="77777777" w:rsidTr="0011495C">
        <w:trPr>
          <w:trHeight w:val="852"/>
        </w:trPr>
        <w:tc>
          <w:tcPr>
            <w:tcW w:w="0" w:type="auto"/>
          </w:tcPr>
          <w:p w14:paraId="303D9800" w14:textId="77777777" w:rsidR="006379C0" w:rsidRPr="0011495C" w:rsidRDefault="006379C0" w:rsidP="0001016B">
            <w:pPr>
              <w:pStyle w:val="Tabletext"/>
            </w:pPr>
          </w:p>
        </w:tc>
        <w:tc>
          <w:tcPr>
            <w:tcW w:w="0" w:type="auto"/>
          </w:tcPr>
          <w:p w14:paraId="45FCFC42" w14:textId="77777777" w:rsidR="006379C0" w:rsidRPr="0011495C" w:rsidRDefault="006379C0" w:rsidP="0001016B">
            <w:pPr>
              <w:pStyle w:val="Tabletext"/>
            </w:pPr>
            <w:r w:rsidRPr="0011495C">
              <w:t>Overall Circularity</w:t>
            </w:r>
          </w:p>
        </w:tc>
        <w:tc>
          <w:tcPr>
            <w:tcW w:w="0" w:type="auto"/>
          </w:tcPr>
          <w:p w14:paraId="15665C07" w14:textId="7681A16C" w:rsidR="006379C0" w:rsidRPr="0011495C" w:rsidRDefault="006379C0" w:rsidP="0001016B">
            <w:pPr>
              <w:pStyle w:val="Tabletext"/>
            </w:pPr>
            <w:r w:rsidRPr="0011495C">
              <w:t>Enel X CE Score</w:t>
            </w:r>
            <w:r w:rsidR="0001016B">
              <w:t>;</w:t>
            </w:r>
          </w:p>
          <w:p w14:paraId="12E5292D" w14:textId="58E1B7F0" w:rsidR="006379C0" w:rsidRPr="0011495C" w:rsidRDefault="006379C0" w:rsidP="0001016B">
            <w:pPr>
              <w:pStyle w:val="Tabletext"/>
            </w:pPr>
            <w:r w:rsidRPr="0011495C">
              <w:t>Parts Collected and Remanufactured</w:t>
            </w:r>
            <w:r w:rsidR="0001016B">
              <w:t>.</w:t>
            </w:r>
          </w:p>
        </w:tc>
        <w:tc>
          <w:tcPr>
            <w:tcW w:w="0" w:type="auto"/>
          </w:tcPr>
          <w:p w14:paraId="7C695266" w14:textId="77777777" w:rsidR="006379C0" w:rsidRPr="0011495C" w:rsidRDefault="006379C0" w:rsidP="0001016B">
            <w:pPr>
              <w:pStyle w:val="Tabletext"/>
            </w:pPr>
            <w:r w:rsidRPr="0011495C">
              <w:t>Indicators of  circularity of material flows and of products/services</w:t>
            </w:r>
          </w:p>
        </w:tc>
        <w:tc>
          <w:tcPr>
            <w:tcW w:w="0" w:type="auto"/>
          </w:tcPr>
          <w:p w14:paraId="6F8B15F4" w14:textId="77777777" w:rsidR="006379C0" w:rsidRPr="0011495C" w:rsidRDefault="006379C0" w:rsidP="0001016B">
            <w:pPr>
              <w:pStyle w:val="Tabletext"/>
            </w:pPr>
            <w:r w:rsidRPr="0011495C">
              <w:t>3/50</w:t>
            </w:r>
          </w:p>
        </w:tc>
      </w:tr>
      <w:tr w:rsidR="006379C0" w:rsidRPr="0011495C" w14:paraId="1E213FD1" w14:textId="77777777" w:rsidTr="0011495C">
        <w:trPr>
          <w:trHeight w:val="584"/>
        </w:trPr>
        <w:tc>
          <w:tcPr>
            <w:tcW w:w="0" w:type="auto"/>
            <w:vMerge w:val="restart"/>
          </w:tcPr>
          <w:p w14:paraId="416629B4" w14:textId="77777777" w:rsidR="006379C0" w:rsidRPr="0011495C" w:rsidRDefault="006379C0" w:rsidP="0001016B">
            <w:pPr>
              <w:pStyle w:val="Tabletext"/>
            </w:pPr>
            <w:r w:rsidRPr="0011495C">
              <w:t>Environmental</w:t>
            </w:r>
          </w:p>
        </w:tc>
        <w:tc>
          <w:tcPr>
            <w:tcW w:w="0" w:type="auto"/>
          </w:tcPr>
          <w:p w14:paraId="075ABCF4" w14:textId="77777777" w:rsidR="006379C0" w:rsidRPr="0011495C" w:rsidRDefault="006379C0" w:rsidP="0001016B">
            <w:pPr>
              <w:pStyle w:val="Tabletext"/>
            </w:pPr>
            <w:r w:rsidRPr="0011495C">
              <w:t>Emissions equivalent</w:t>
            </w:r>
          </w:p>
          <w:p w14:paraId="3F0F98F5" w14:textId="77777777" w:rsidR="006379C0" w:rsidRPr="0011495C" w:rsidRDefault="006379C0" w:rsidP="0001016B">
            <w:pPr>
              <w:pStyle w:val="Tabletext"/>
            </w:pPr>
          </w:p>
        </w:tc>
        <w:tc>
          <w:tcPr>
            <w:tcW w:w="0" w:type="auto"/>
          </w:tcPr>
          <w:p w14:paraId="546BD14F" w14:textId="150B4D0D" w:rsidR="006379C0" w:rsidRPr="0011495C" w:rsidRDefault="006379C0" w:rsidP="0001016B">
            <w:pPr>
              <w:pStyle w:val="Tabletext"/>
            </w:pPr>
            <w:r w:rsidRPr="0011495C">
              <w:t>CO</w:t>
            </w:r>
            <w:r w:rsidRPr="0011495C">
              <w:rPr>
                <w:vertAlign w:val="subscript"/>
              </w:rPr>
              <w:t xml:space="preserve">2 </w:t>
            </w:r>
            <w:r w:rsidRPr="0011495C">
              <w:t>eq. per functional unit</w:t>
            </w:r>
            <w:r w:rsidR="0055530B">
              <w:t>;</w:t>
            </w:r>
          </w:p>
          <w:p w14:paraId="4749A987" w14:textId="77777777" w:rsidR="006379C0" w:rsidRPr="0011495C" w:rsidRDefault="006379C0" w:rsidP="0001016B">
            <w:pPr>
              <w:pStyle w:val="Tabletext"/>
            </w:pPr>
            <w:r w:rsidRPr="0011495C">
              <w:t>Absolute CO</w:t>
            </w:r>
            <w:r w:rsidRPr="0011495C">
              <w:rPr>
                <w:vertAlign w:val="subscript"/>
              </w:rPr>
              <w:t xml:space="preserve">2 </w:t>
            </w:r>
            <w:r w:rsidRPr="0011495C">
              <w:t>eq.</w:t>
            </w:r>
          </w:p>
        </w:tc>
        <w:tc>
          <w:tcPr>
            <w:tcW w:w="0" w:type="auto"/>
          </w:tcPr>
          <w:p w14:paraId="6FF9741C" w14:textId="77777777" w:rsidR="006379C0" w:rsidRPr="0011495C" w:rsidRDefault="006379C0" w:rsidP="0001016B">
            <w:pPr>
              <w:pStyle w:val="Tabletext"/>
            </w:pPr>
            <w:r w:rsidRPr="0011495C">
              <w:t>CO</w:t>
            </w:r>
            <w:r w:rsidRPr="0011495C">
              <w:rPr>
                <w:vertAlign w:val="subscript"/>
              </w:rPr>
              <w:t>2</w:t>
            </w:r>
            <w:r w:rsidRPr="0011495C">
              <w:t xml:space="preserve"> eq. emissions associated with the supply chain</w:t>
            </w:r>
          </w:p>
        </w:tc>
        <w:tc>
          <w:tcPr>
            <w:tcW w:w="0" w:type="auto"/>
          </w:tcPr>
          <w:p w14:paraId="4FE84EBB" w14:textId="77777777" w:rsidR="006379C0" w:rsidRPr="0011495C" w:rsidRDefault="006379C0" w:rsidP="0001016B">
            <w:pPr>
              <w:pStyle w:val="Tabletext"/>
            </w:pPr>
            <w:r w:rsidRPr="0011495C">
              <w:t>44/50</w:t>
            </w:r>
          </w:p>
        </w:tc>
      </w:tr>
      <w:tr w:rsidR="006379C0" w:rsidRPr="0011495C" w14:paraId="1666EE5E" w14:textId="77777777" w:rsidTr="0011495C">
        <w:trPr>
          <w:trHeight w:val="584"/>
        </w:trPr>
        <w:tc>
          <w:tcPr>
            <w:tcW w:w="0" w:type="auto"/>
            <w:vMerge/>
          </w:tcPr>
          <w:p w14:paraId="7C99ED45" w14:textId="77777777" w:rsidR="006379C0" w:rsidRPr="0011495C" w:rsidRDefault="006379C0" w:rsidP="0001016B">
            <w:pPr>
              <w:pStyle w:val="Tabletext"/>
            </w:pPr>
          </w:p>
        </w:tc>
        <w:tc>
          <w:tcPr>
            <w:tcW w:w="0" w:type="auto"/>
          </w:tcPr>
          <w:p w14:paraId="383060AF" w14:textId="77777777" w:rsidR="006379C0" w:rsidRPr="0011495C" w:rsidRDefault="006379C0" w:rsidP="0001016B">
            <w:pPr>
              <w:pStyle w:val="Tabletext"/>
            </w:pPr>
            <w:r w:rsidRPr="0011495C">
              <w:t>Energy Usage</w:t>
            </w:r>
          </w:p>
          <w:p w14:paraId="32F9F3B7" w14:textId="77777777" w:rsidR="006379C0" w:rsidRPr="0011495C" w:rsidRDefault="006379C0" w:rsidP="0001016B">
            <w:pPr>
              <w:pStyle w:val="Tabletext"/>
            </w:pPr>
          </w:p>
        </w:tc>
        <w:tc>
          <w:tcPr>
            <w:tcW w:w="0" w:type="auto"/>
          </w:tcPr>
          <w:p w14:paraId="3A077AAA" w14:textId="210DAED7" w:rsidR="006379C0" w:rsidRPr="0011495C" w:rsidRDefault="006379C0" w:rsidP="0001016B">
            <w:pPr>
              <w:pStyle w:val="Tabletext"/>
            </w:pPr>
            <w:r w:rsidRPr="0011495C">
              <w:t>Energy intensity</w:t>
            </w:r>
            <w:r w:rsidR="0055530B">
              <w:t>;</w:t>
            </w:r>
          </w:p>
          <w:p w14:paraId="4BF994AA" w14:textId="57DD56F7" w:rsidR="006379C0" w:rsidRPr="0011495C" w:rsidRDefault="006379C0" w:rsidP="0001016B">
            <w:pPr>
              <w:pStyle w:val="Tabletext"/>
            </w:pPr>
            <w:r w:rsidRPr="0011495C">
              <w:t>Cumulative energy use</w:t>
            </w:r>
            <w:r w:rsidR="0055530B">
              <w:t>;</w:t>
            </w:r>
          </w:p>
          <w:p w14:paraId="40C90D7B" w14:textId="07DCC616" w:rsidR="006379C0" w:rsidRPr="0011495C" w:rsidRDefault="006379C0" w:rsidP="0001016B">
            <w:pPr>
              <w:pStyle w:val="Tabletext"/>
            </w:pPr>
            <w:r w:rsidRPr="0011495C">
              <w:t>Energy from renewable sources</w:t>
            </w:r>
            <w:r w:rsidR="0055530B">
              <w:t>.</w:t>
            </w:r>
          </w:p>
        </w:tc>
        <w:tc>
          <w:tcPr>
            <w:tcW w:w="0" w:type="auto"/>
          </w:tcPr>
          <w:p w14:paraId="7C170BB6" w14:textId="77777777" w:rsidR="006379C0" w:rsidRPr="0011495C" w:rsidRDefault="006379C0" w:rsidP="0001016B">
            <w:pPr>
              <w:pStyle w:val="Tabletext"/>
            </w:pPr>
            <w:r w:rsidRPr="0011495C">
              <w:t xml:space="preserve">Energy-based indicators associated with the supply chain </w:t>
            </w:r>
          </w:p>
        </w:tc>
        <w:tc>
          <w:tcPr>
            <w:tcW w:w="0" w:type="auto"/>
          </w:tcPr>
          <w:p w14:paraId="1B2931C4" w14:textId="77777777" w:rsidR="006379C0" w:rsidRPr="0011495C" w:rsidRDefault="006379C0" w:rsidP="0001016B">
            <w:pPr>
              <w:pStyle w:val="Tabletext"/>
            </w:pPr>
            <w:r w:rsidRPr="0011495C">
              <w:t>44/50</w:t>
            </w:r>
          </w:p>
        </w:tc>
      </w:tr>
      <w:tr w:rsidR="006379C0" w:rsidRPr="0011495C" w14:paraId="4B040A39" w14:textId="77777777" w:rsidTr="0011495C">
        <w:trPr>
          <w:trHeight w:val="584"/>
        </w:trPr>
        <w:tc>
          <w:tcPr>
            <w:tcW w:w="0" w:type="auto"/>
            <w:vMerge/>
          </w:tcPr>
          <w:p w14:paraId="05D34E8A" w14:textId="77777777" w:rsidR="006379C0" w:rsidRPr="0011495C" w:rsidRDefault="006379C0" w:rsidP="0001016B">
            <w:pPr>
              <w:pStyle w:val="Tabletext"/>
            </w:pPr>
          </w:p>
        </w:tc>
        <w:tc>
          <w:tcPr>
            <w:tcW w:w="0" w:type="auto"/>
          </w:tcPr>
          <w:p w14:paraId="1678B510" w14:textId="77777777" w:rsidR="006379C0" w:rsidRPr="0011495C" w:rsidRDefault="006379C0" w:rsidP="0001016B">
            <w:pPr>
              <w:pStyle w:val="Tabletext"/>
            </w:pPr>
            <w:r w:rsidRPr="0011495C">
              <w:t xml:space="preserve">Water </w:t>
            </w:r>
          </w:p>
          <w:p w14:paraId="2FC6F1BE" w14:textId="77777777" w:rsidR="006379C0" w:rsidRPr="0011495C" w:rsidRDefault="006379C0" w:rsidP="0001016B">
            <w:pPr>
              <w:pStyle w:val="Tabletext"/>
            </w:pPr>
          </w:p>
        </w:tc>
        <w:tc>
          <w:tcPr>
            <w:tcW w:w="0" w:type="auto"/>
          </w:tcPr>
          <w:p w14:paraId="7E34D212" w14:textId="5C44DD7B" w:rsidR="006379C0" w:rsidRPr="0011495C" w:rsidRDefault="006379C0" w:rsidP="0001016B">
            <w:pPr>
              <w:pStyle w:val="Tabletext"/>
            </w:pPr>
            <w:r w:rsidRPr="0011495C">
              <w:t>Water used</w:t>
            </w:r>
            <w:r w:rsidR="0055530B">
              <w:t>;</w:t>
            </w:r>
          </w:p>
          <w:p w14:paraId="4B6C0AC1" w14:textId="526EF1CA" w:rsidR="006379C0" w:rsidRPr="0011495C" w:rsidRDefault="006379C0" w:rsidP="0001016B">
            <w:pPr>
              <w:pStyle w:val="Tabletext"/>
            </w:pPr>
            <w:r w:rsidRPr="0011495C">
              <w:t>Wastewater production</w:t>
            </w:r>
            <w:r w:rsidR="0055530B">
              <w:t>;</w:t>
            </w:r>
          </w:p>
          <w:p w14:paraId="0AE55EAA" w14:textId="59241BF1" w:rsidR="006379C0" w:rsidRPr="0011495C" w:rsidRDefault="006379C0" w:rsidP="0001016B">
            <w:pPr>
              <w:pStyle w:val="Tabletext"/>
            </w:pPr>
            <w:r w:rsidRPr="0011495C">
              <w:t>Discharges to water</w:t>
            </w:r>
            <w:r w:rsidR="0055530B">
              <w:t>.</w:t>
            </w:r>
          </w:p>
        </w:tc>
        <w:tc>
          <w:tcPr>
            <w:tcW w:w="0" w:type="auto"/>
          </w:tcPr>
          <w:p w14:paraId="1C6D5D5A" w14:textId="77777777" w:rsidR="006379C0" w:rsidRPr="0011495C" w:rsidRDefault="006379C0" w:rsidP="0001016B">
            <w:pPr>
              <w:pStyle w:val="Tabletext"/>
            </w:pPr>
            <w:r w:rsidRPr="0011495C">
              <w:t>Water used or contaminated</w:t>
            </w:r>
          </w:p>
        </w:tc>
        <w:tc>
          <w:tcPr>
            <w:tcW w:w="0" w:type="auto"/>
          </w:tcPr>
          <w:p w14:paraId="2AA30503" w14:textId="77777777" w:rsidR="006379C0" w:rsidRPr="0011495C" w:rsidRDefault="006379C0" w:rsidP="0001016B">
            <w:pPr>
              <w:pStyle w:val="Tabletext"/>
            </w:pPr>
            <w:r w:rsidRPr="0011495C">
              <w:t>42/50</w:t>
            </w:r>
          </w:p>
        </w:tc>
      </w:tr>
      <w:tr w:rsidR="006379C0" w:rsidRPr="0011495C" w14:paraId="61E9FFA8" w14:textId="77777777" w:rsidTr="0011495C">
        <w:trPr>
          <w:trHeight w:val="584"/>
        </w:trPr>
        <w:tc>
          <w:tcPr>
            <w:tcW w:w="0" w:type="auto"/>
            <w:vMerge/>
          </w:tcPr>
          <w:p w14:paraId="75090724" w14:textId="77777777" w:rsidR="006379C0" w:rsidRPr="0011495C" w:rsidRDefault="006379C0" w:rsidP="0001016B">
            <w:pPr>
              <w:pStyle w:val="Tabletext"/>
            </w:pPr>
          </w:p>
        </w:tc>
        <w:tc>
          <w:tcPr>
            <w:tcW w:w="0" w:type="auto"/>
          </w:tcPr>
          <w:p w14:paraId="7663F97E" w14:textId="77777777" w:rsidR="006379C0" w:rsidRPr="0011495C" w:rsidRDefault="006379C0" w:rsidP="0001016B">
            <w:pPr>
              <w:pStyle w:val="Tabletext"/>
            </w:pPr>
            <w:r w:rsidRPr="0011495C">
              <w:t xml:space="preserve">Waste </w:t>
            </w:r>
          </w:p>
          <w:p w14:paraId="74675C11" w14:textId="77777777" w:rsidR="006379C0" w:rsidRPr="0011495C" w:rsidRDefault="006379C0" w:rsidP="0001016B">
            <w:pPr>
              <w:pStyle w:val="Tabletext"/>
            </w:pPr>
          </w:p>
        </w:tc>
        <w:tc>
          <w:tcPr>
            <w:tcW w:w="0" w:type="auto"/>
          </w:tcPr>
          <w:p w14:paraId="3C43FDC6" w14:textId="3C0C6172" w:rsidR="006379C0" w:rsidRPr="0011495C" w:rsidRDefault="006379C0" w:rsidP="0001016B">
            <w:pPr>
              <w:pStyle w:val="Tabletext"/>
            </w:pPr>
            <w:r w:rsidRPr="0011495C">
              <w:t>Waste sent to landfill</w:t>
            </w:r>
            <w:r w:rsidR="0055530B">
              <w:t>;</w:t>
            </w:r>
          </w:p>
          <w:p w14:paraId="176B69AD" w14:textId="27A59A53" w:rsidR="006379C0" w:rsidRPr="0011495C" w:rsidRDefault="006379C0" w:rsidP="0001016B">
            <w:pPr>
              <w:pStyle w:val="Tabletext"/>
            </w:pPr>
            <w:r w:rsidRPr="0011495C">
              <w:t>Waste recovered</w:t>
            </w:r>
            <w:r w:rsidR="0055530B">
              <w:t>.</w:t>
            </w:r>
          </w:p>
        </w:tc>
        <w:tc>
          <w:tcPr>
            <w:tcW w:w="0" w:type="auto"/>
          </w:tcPr>
          <w:p w14:paraId="0EC1D609" w14:textId="77777777" w:rsidR="006379C0" w:rsidRPr="0011495C" w:rsidRDefault="006379C0" w:rsidP="0001016B">
            <w:pPr>
              <w:pStyle w:val="Tabletext"/>
            </w:pPr>
            <w:r w:rsidRPr="0011495C">
              <w:t>Residual waste produced or recovered by supply chain activities</w:t>
            </w:r>
          </w:p>
        </w:tc>
        <w:tc>
          <w:tcPr>
            <w:tcW w:w="0" w:type="auto"/>
          </w:tcPr>
          <w:p w14:paraId="3D3CD5FC" w14:textId="77777777" w:rsidR="006379C0" w:rsidRPr="0011495C" w:rsidRDefault="006379C0" w:rsidP="0001016B">
            <w:pPr>
              <w:pStyle w:val="Tabletext"/>
            </w:pPr>
            <w:r w:rsidRPr="0011495C">
              <w:t>36/50</w:t>
            </w:r>
          </w:p>
        </w:tc>
      </w:tr>
      <w:tr w:rsidR="006379C0" w:rsidRPr="0011495C" w14:paraId="142D129E" w14:textId="77777777" w:rsidTr="0011495C">
        <w:trPr>
          <w:trHeight w:val="584"/>
        </w:trPr>
        <w:tc>
          <w:tcPr>
            <w:tcW w:w="0" w:type="auto"/>
          </w:tcPr>
          <w:p w14:paraId="6901CB70" w14:textId="77777777" w:rsidR="006379C0" w:rsidRPr="0011495C" w:rsidRDefault="006379C0" w:rsidP="0001016B">
            <w:pPr>
              <w:pStyle w:val="Tabletext"/>
            </w:pPr>
            <w:r w:rsidRPr="0011495C">
              <w:t xml:space="preserve">Social </w:t>
            </w:r>
          </w:p>
        </w:tc>
        <w:tc>
          <w:tcPr>
            <w:tcW w:w="0" w:type="auto"/>
            <w:hideMark/>
          </w:tcPr>
          <w:p w14:paraId="04E667C0" w14:textId="77777777" w:rsidR="006379C0" w:rsidRPr="0011495C" w:rsidRDefault="006379C0" w:rsidP="0001016B">
            <w:pPr>
              <w:pStyle w:val="Tabletext"/>
            </w:pPr>
            <w:r w:rsidRPr="0011495C">
              <w:t>Social impacts associated with CSC</w:t>
            </w:r>
          </w:p>
        </w:tc>
        <w:tc>
          <w:tcPr>
            <w:tcW w:w="0" w:type="auto"/>
            <w:hideMark/>
          </w:tcPr>
          <w:p w14:paraId="1626DEFC" w14:textId="77777777" w:rsidR="006379C0" w:rsidRPr="0011495C" w:rsidRDefault="006379C0" w:rsidP="0001016B">
            <w:pPr>
              <w:pStyle w:val="Tabletext"/>
            </w:pPr>
            <w:r w:rsidRPr="0011495C">
              <w:t>‘Green’ jobs created</w:t>
            </w:r>
          </w:p>
        </w:tc>
        <w:tc>
          <w:tcPr>
            <w:tcW w:w="0" w:type="auto"/>
            <w:hideMark/>
          </w:tcPr>
          <w:p w14:paraId="6C451FCB" w14:textId="77777777" w:rsidR="006379C0" w:rsidRPr="0011495C" w:rsidRDefault="006379C0" w:rsidP="0001016B">
            <w:pPr>
              <w:pStyle w:val="Tabletext"/>
            </w:pPr>
            <w:r w:rsidRPr="0011495C">
              <w:t>Employment opportunities provided by the CSC</w:t>
            </w:r>
          </w:p>
        </w:tc>
        <w:tc>
          <w:tcPr>
            <w:tcW w:w="0" w:type="auto"/>
            <w:hideMark/>
          </w:tcPr>
          <w:p w14:paraId="32E19C11" w14:textId="77777777" w:rsidR="006379C0" w:rsidRPr="0011495C" w:rsidRDefault="006379C0" w:rsidP="0001016B">
            <w:pPr>
              <w:pStyle w:val="Tabletext"/>
            </w:pPr>
            <w:r w:rsidRPr="0011495C">
              <w:t>4/50</w:t>
            </w:r>
          </w:p>
        </w:tc>
      </w:tr>
    </w:tbl>
    <w:p w14:paraId="202FF418" w14:textId="77777777" w:rsidR="006379C0" w:rsidRPr="003A56CD" w:rsidRDefault="006379C0" w:rsidP="002F7336"/>
    <w:p w14:paraId="6AB3F523" w14:textId="77777777" w:rsidR="006379C0" w:rsidRPr="003A56CD" w:rsidRDefault="006379C0" w:rsidP="005035B4">
      <w:pPr>
        <w:pStyle w:val="Heading3"/>
      </w:pPr>
      <w:bookmarkStart w:id="27" w:name="_Toc157759491"/>
      <w:r w:rsidRPr="003A56CD">
        <w:t>A classification of CE Practices Adoption</w:t>
      </w:r>
      <w:bookmarkEnd w:id="27"/>
    </w:p>
    <w:p w14:paraId="14D0374E" w14:textId="5A4E60D1" w:rsidR="006379C0" w:rsidRPr="003A56CD" w:rsidRDefault="006379C0" w:rsidP="002F7336">
      <w:r w:rsidRPr="003A56CD">
        <w:t xml:space="preserve">The 50 MNEs were assigned scores that measure their general level of implementation of CE practices. Table 10 gives an overview of how these 3 scores – the CE score, the number of internal CE (N ICE), and Circular Supply Chain (N CSC) practices – were calculated for Carrefour. The result of such a scoring process was repeated for each MNEs (Table 11). Appendix </w:t>
      </w:r>
      <w:r w:rsidR="00602B25">
        <w:t>2</w:t>
      </w:r>
      <w:r w:rsidRPr="003A56CD">
        <w:t xml:space="preserve">B contains the full detail. Companies with high CE scores can be retrieved across each sector; the majority of the MNEs with a low score belong to the Services sector. </w:t>
      </w:r>
    </w:p>
    <w:p w14:paraId="2A3AA9F6" w14:textId="77777777" w:rsidR="006379C0" w:rsidRPr="003A56CD" w:rsidRDefault="006379C0" w:rsidP="002F7336">
      <w:pPr>
        <w:pStyle w:val="Figurecaption"/>
      </w:pPr>
      <w:r w:rsidRPr="003A56CD">
        <w:lastRenderedPageBreak/>
        <w:t xml:space="preserve">Table 10 – Calculation of the CE score from the CE practices for Carrefour. Max score per type represents the intermediate step of how CE score is calculated. In presence of more than one practice per a chosen type, its value is the maximum level of implementation among all the practices of that type. </w:t>
      </w:r>
    </w:p>
    <w:tbl>
      <w:tblPr>
        <w:tblStyle w:val="TableGrid"/>
        <w:tblW w:w="0" w:type="auto"/>
        <w:tblLook w:val="04A0" w:firstRow="1" w:lastRow="0" w:firstColumn="1" w:lastColumn="0" w:noHBand="0" w:noVBand="1"/>
      </w:tblPr>
      <w:tblGrid>
        <w:gridCol w:w="470"/>
        <w:gridCol w:w="1375"/>
        <w:gridCol w:w="2843"/>
        <w:gridCol w:w="1022"/>
        <w:gridCol w:w="696"/>
        <w:gridCol w:w="1043"/>
        <w:gridCol w:w="1045"/>
      </w:tblGrid>
      <w:tr w:rsidR="006379C0" w:rsidRPr="00755915" w14:paraId="67309797" w14:textId="77777777" w:rsidTr="00116B90">
        <w:tc>
          <w:tcPr>
            <w:tcW w:w="0" w:type="auto"/>
            <w:vMerge w:val="restart"/>
            <w:textDirection w:val="btLr"/>
          </w:tcPr>
          <w:p w14:paraId="27970BE0" w14:textId="77777777" w:rsidR="006379C0" w:rsidRPr="00755915" w:rsidRDefault="006379C0" w:rsidP="0055530B">
            <w:pPr>
              <w:pStyle w:val="Tabletext"/>
            </w:pPr>
            <w:r w:rsidRPr="00755915">
              <w:t>Carrefour</w:t>
            </w:r>
          </w:p>
        </w:tc>
        <w:tc>
          <w:tcPr>
            <w:tcW w:w="0" w:type="auto"/>
            <w:vAlign w:val="center"/>
          </w:tcPr>
          <w:p w14:paraId="68AF4B1E" w14:textId="77777777" w:rsidR="006379C0" w:rsidRPr="00755915" w:rsidRDefault="006379C0" w:rsidP="0055530B">
            <w:pPr>
              <w:pStyle w:val="Tabletext"/>
            </w:pPr>
            <w:r w:rsidRPr="00755915">
              <w:t>Type of practice</w:t>
            </w:r>
          </w:p>
        </w:tc>
        <w:tc>
          <w:tcPr>
            <w:tcW w:w="0" w:type="auto"/>
            <w:vAlign w:val="center"/>
          </w:tcPr>
          <w:p w14:paraId="27E1A753" w14:textId="77777777" w:rsidR="006379C0" w:rsidRPr="00755915" w:rsidRDefault="006379C0" w:rsidP="0055530B">
            <w:pPr>
              <w:pStyle w:val="Tabletext"/>
            </w:pPr>
            <w:r w:rsidRPr="00755915">
              <w:t>Code</w:t>
            </w:r>
          </w:p>
        </w:tc>
        <w:tc>
          <w:tcPr>
            <w:tcW w:w="0" w:type="auto"/>
            <w:vAlign w:val="center"/>
          </w:tcPr>
          <w:p w14:paraId="16DCE46F" w14:textId="77777777" w:rsidR="006379C0" w:rsidRPr="00755915" w:rsidRDefault="006379C0" w:rsidP="0055530B">
            <w:pPr>
              <w:pStyle w:val="Tabletext"/>
            </w:pPr>
            <w:r w:rsidRPr="00755915">
              <w:t>Category score</w:t>
            </w:r>
          </w:p>
        </w:tc>
        <w:tc>
          <w:tcPr>
            <w:tcW w:w="0" w:type="auto"/>
            <w:vAlign w:val="center"/>
          </w:tcPr>
          <w:p w14:paraId="33344287" w14:textId="77777777" w:rsidR="006379C0" w:rsidRPr="00755915" w:rsidRDefault="006379C0" w:rsidP="0055530B">
            <w:pPr>
              <w:pStyle w:val="Tabletext"/>
            </w:pPr>
            <w:r w:rsidRPr="00755915">
              <w:t>CE score</w:t>
            </w:r>
          </w:p>
        </w:tc>
        <w:tc>
          <w:tcPr>
            <w:tcW w:w="0" w:type="auto"/>
            <w:vAlign w:val="center"/>
          </w:tcPr>
          <w:p w14:paraId="76E90477" w14:textId="77777777" w:rsidR="006379C0" w:rsidRPr="00755915" w:rsidRDefault="006379C0" w:rsidP="0055530B">
            <w:pPr>
              <w:pStyle w:val="Tabletext"/>
            </w:pPr>
            <w:r w:rsidRPr="00755915">
              <w:t>N. of ICE practices</w:t>
            </w:r>
          </w:p>
        </w:tc>
        <w:tc>
          <w:tcPr>
            <w:tcW w:w="0" w:type="auto"/>
            <w:vAlign w:val="center"/>
          </w:tcPr>
          <w:p w14:paraId="645D37BF" w14:textId="77777777" w:rsidR="006379C0" w:rsidRPr="00755915" w:rsidRDefault="006379C0" w:rsidP="0055530B">
            <w:pPr>
              <w:pStyle w:val="Tabletext"/>
            </w:pPr>
            <w:r w:rsidRPr="00755915">
              <w:t>N. of CSC practices</w:t>
            </w:r>
          </w:p>
        </w:tc>
      </w:tr>
      <w:tr w:rsidR="006379C0" w:rsidRPr="00755915" w14:paraId="0F067D7B" w14:textId="77777777" w:rsidTr="00116B90">
        <w:tc>
          <w:tcPr>
            <w:tcW w:w="0" w:type="auto"/>
            <w:vMerge/>
          </w:tcPr>
          <w:p w14:paraId="4E3469B3" w14:textId="77777777" w:rsidR="006379C0" w:rsidRPr="00755915" w:rsidRDefault="006379C0" w:rsidP="0055530B">
            <w:pPr>
              <w:pStyle w:val="Tabletext"/>
            </w:pPr>
          </w:p>
        </w:tc>
        <w:tc>
          <w:tcPr>
            <w:tcW w:w="0" w:type="auto"/>
            <w:vMerge w:val="restart"/>
            <w:vAlign w:val="center"/>
          </w:tcPr>
          <w:p w14:paraId="4BC7DCCE" w14:textId="77777777" w:rsidR="006379C0" w:rsidRPr="00755915" w:rsidRDefault="006379C0" w:rsidP="0055530B">
            <w:pPr>
              <w:pStyle w:val="Tabletext"/>
            </w:pPr>
            <w:r w:rsidRPr="00755915">
              <w:t>Reduce</w:t>
            </w:r>
          </w:p>
        </w:tc>
        <w:tc>
          <w:tcPr>
            <w:tcW w:w="0" w:type="auto"/>
            <w:vAlign w:val="center"/>
          </w:tcPr>
          <w:p w14:paraId="4D6EB070" w14:textId="77777777" w:rsidR="006379C0" w:rsidRPr="00755915" w:rsidRDefault="006379C0" w:rsidP="0055530B">
            <w:pPr>
              <w:pStyle w:val="Tabletext"/>
            </w:pPr>
            <w:r w:rsidRPr="00755915">
              <w:t>(3) Refusing the use of plastics and the sale of plastic straws by the end of 2018 removing single-use plastic straws from juice boxes*</w:t>
            </w:r>
          </w:p>
        </w:tc>
        <w:tc>
          <w:tcPr>
            <w:tcW w:w="0" w:type="auto"/>
            <w:vMerge w:val="restart"/>
            <w:vAlign w:val="center"/>
          </w:tcPr>
          <w:p w14:paraId="2A739E38" w14:textId="77777777" w:rsidR="006379C0" w:rsidRPr="00755915" w:rsidRDefault="006379C0" w:rsidP="0055530B">
            <w:pPr>
              <w:pStyle w:val="Tabletext"/>
            </w:pPr>
            <w:r w:rsidRPr="00755915">
              <w:t>4</w:t>
            </w:r>
          </w:p>
        </w:tc>
        <w:tc>
          <w:tcPr>
            <w:tcW w:w="0" w:type="auto"/>
            <w:vMerge w:val="restart"/>
            <w:vAlign w:val="center"/>
          </w:tcPr>
          <w:p w14:paraId="3089828B" w14:textId="77777777" w:rsidR="006379C0" w:rsidRPr="00755915" w:rsidRDefault="006379C0" w:rsidP="0055530B">
            <w:pPr>
              <w:pStyle w:val="Tabletext"/>
            </w:pPr>
            <w:r w:rsidRPr="00755915">
              <w:t>18</w:t>
            </w:r>
          </w:p>
        </w:tc>
        <w:tc>
          <w:tcPr>
            <w:tcW w:w="0" w:type="auto"/>
            <w:vMerge w:val="restart"/>
            <w:vAlign w:val="center"/>
          </w:tcPr>
          <w:p w14:paraId="2661CAD1" w14:textId="77777777" w:rsidR="006379C0" w:rsidRPr="00755915" w:rsidRDefault="006379C0" w:rsidP="0055530B">
            <w:pPr>
              <w:pStyle w:val="Tabletext"/>
            </w:pPr>
            <w:r w:rsidRPr="00755915">
              <w:t>5</w:t>
            </w:r>
          </w:p>
        </w:tc>
        <w:tc>
          <w:tcPr>
            <w:tcW w:w="0" w:type="auto"/>
            <w:vMerge w:val="restart"/>
            <w:vAlign w:val="center"/>
          </w:tcPr>
          <w:p w14:paraId="10AE6FDF" w14:textId="77777777" w:rsidR="006379C0" w:rsidRPr="00755915" w:rsidRDefault="006379C0" w:rsidP="0055530B">
            <w:pPr>
              <w:pStyle w:val="Tabletext"/>
            </w:pPr>
            <w:r w:rsidRPr="00755915">
              <w:t>5</w:t>
            </w:r>
          </w:p>
        </w:tc>
      </w:tr>
      <w:tr w:rsidR="006379C0" w:rsidRPr="00755915" w14:paraId="225E3BB1" w14:textId="77777777" w:rsidTr="00116B90">
        <w:tc>
          <w:tcPr>
            <w:tcW w:w="0" w:type="auto"/>
            <w:vMerge/>
          </w:tcPr>
          <w:p w14:paraId="07088565" w14:textId="77777777" w:rsidR="006379C0" w:rsidRPr="00755915" w:rsidRDefault="006379C0" w:rsidP="0055530B">
            <w:pPr>
              <w:pStyle w:val="Tabletext"/>
            </w:pPr>
          </w:p>
        </w:tc>
        <w:tc>
          <w:tcPr>
            <w:tcW w:w="0" w:type="auto"/>
            <w:vMerge/>
            <w:vAlign w:val="center"/>
          </w:tcPr>
          <w:p w14:paraId="6CF21F86" w14:textId="77777777" w:rsidR="006379C0" w:rsidRPr="00755915" w:rsidRDefault="006379C0" w:rsidP="0055530B">
            <w:pPr>
              <w:pStyle w:val="Tabletext"/>
            </w:pPr>
          </w:p>
        </w:tc>
        <w:tc>
          <w:tcPr>
            <w:tcW w:w="0" w:type="auto"/>
            <w:vAlign w:val="center"/>
          </w:tcPr>
          <w:p w14:paraId="1FB03B7D" w14:textId="77777777" w:rsidR="006379C0" w:rsidRPr="00755915" w:rsidRDefault="006379C0" w:rsidP="0055530B">
            <w:pPr>
              <w:pStyle w:val="Tabletext"/>
            </w:pPr>
            <w:r w:rsidRPr="00755915">
              <w:t>(4) Rethinking prices to reduce food waste, selling products with short use-by dates at low prices</w:t>
            </w:r>
          </w:p>
        </w:tc>
        <w:tc>
          <w:tcPr>
            <w:tcW w:w="0" w:type="auto"/>
            <w:vMerge/>
            <w:vAlign w:val="center"/>
          </w:tcPr>
          <w:p w14:paraId="46E6DBCA" w14:textId="77777777" w:rsidR="006379C0" w:rsidRPr="00755915" w:rsidRDefault="006379C0" w:rsidP="0055530B">
            <w:pPr>
              <w:pStyle w:val="Tabletext"/>
            </w:pPr>
          </w:p>
        </w:tc>
        <w:tc>
          <w:tcPr>
            <w:tcW w:w="0" w:type="auto"/>
            <w:vMerge/>
            <w:vAlign w:val="center"/>
          </w:tcPr>
          <w:p w14:paraId="218AA2C3" w14:textId="77777777" w:rsidR="006379C0" w:rsidRPr="00755915" w:rsidRDefault="006379C0" w:rsidP="0055530B">
            <w:pPr>
              <w:pStyle w:val="Tabletext"/>
            </w:pPr>
          </w:p>
        </w:tc>
        <w:tc>
          <w:tcPr>
            <w:tcW w:w="0" w:type="auto"/>
            <w:vMerge/>
            <w:vAlign w:val="center"/>
          </w:tcPr>
          <w:p w14:paraId="5E92C62A" w14:textId="77777777" w:rsidR="006379C0" w:rsidRPr="00755915" w:rsidRDefault="006379C0" w:rsidP="0055530B">
            <w:pPr>
              <w:pStyle w:val="Tabletext"/>
            </w:pPr>
          </w:p>
        </w:tc>
        <w:tc>
          <w:tcPr>
            <w:tcW w:w="0" w:type="auto"/>
            <w:vMerge/>
            <w:vAlign w:val="center"/>
          </w:tcPr>
          <w:p w14:paraId="3FC9235B" w14:textId="77777777" w:rsidR="006379C0" w:rsidRPr="00755915" w:rsidRDefault="006379C0" w:rsidP="0055530B">
            <w:pPr>
              <w:pStyle w:val="Tabletext"/>
            </w:pPr>
          </w:p>
        </w:tc>
      </w:tr>
      <w:tr w:rsidR="006379C0" w:rsidRPr="00755915" w14:paraId="06991DEE" w14:textId="77777777" w:rsidTr="00116B90">
        <w:tc>
          <w:tcPr>
            <w:tcW w:w="0" w:type="auto"/>
            <w:vMerge/>
          </w:tcPr>
          <w:p w14:paraId="1424C2C8" w14:textId="77777777" w:rsidR="006379C0" w:rsidRPr="00755915" w:rsidRDefault="006379C0" w:rsidP="0055530B">
            <w:pPr>
              <w:pStyle w:val="Tabletext"/>
            </w:pPr>
          </w:p>
        </w:tc>
        <w:tc>
          <w:tcPr>
            <w:tcW w:w="0" w:type="auto"/>
            <w:vMerge/>
            <w:vAlign w:val="center"/>
          </w:tcPr>
          <w:p w14:paraId="61511F16" w14:textId="77777777" w:rsidR="006379C0" w:rsidRPr="00755915" w:rsidRDefault="006379C0" w:rsidP="0055530B">
            <w:pPr>
              <w:pStyle w:val="Tabletext"/>
            </w:pPr>
          </w:p>
        </w:tc>
        <w:tc>
          <w:tcPr>
            <w:tcW w:w="0" w:type="auto"/>
            <w:vAlign w:val="center"/>
          </w:tcPr>
          <w:p w14:paraId="0022842F" w14:textId="77777777" w:rsidR="006379C0" w:rsidRPr="00755915" w:rsidRDefault="006379C0" w:rsidP="0055530B">
            <w:pPr>
              <w:pStyle w:val="Tabletext"/>
            </w:pPr>
            <w:r w:rsidRPr="00755915">
              <w:t>(4) Raise customers awareness: give them access to properly designed information and tips on our product packaging so they know how to use them*</w:t>
            </w:r>
          </w:p>
        </w:tc>
        <w:tc>
          <w:tcPr>
            <w:tcW w:w="0" w:type="auto"/>
            <w:vMerge/>
            <w:vAlign w:val="center"/>
          </w:tcPr>
          <w:p w14:paraId="4735B5D9" w14:textId="77777777" w:rsidR="006379C0" w:rsidRPr="00755915" w:rsidRDefault="006379C0" w:rsidP="0055530B">
            <w:pPr>
              <w:pStyle w:val="Tabletext"/>
            </w:pPr>
          </w:p>
        </w:tc>
        <w:tc>
          <w:tcPr>
            <w:tcW w:w="0" w:type="auto"/>
            <w:vMerge/>
            <w:vAlign w:val="center"/>
          </w:tcPr>
          <w:p w14:paraId="728E1734" w14:textId="77777777" w:rsidR="006379C0" w:rsidRPr="00755915" w:rsidRDefault="006379C0" w:rsidP="0055530B">
            <w:pPr>
              <w:pStyle w:val="Tabletext"/>
            </w:pPr>
          </w:p>
        </w:tc>
        <w:tc>
          <w:tcPr>
            <w:tcW w:w="0" w:type="auto"/>
            <w:vMerge/>
            <w:vAlign w:val="center"/>
          </w:tcPr>
          <w:p w14:paraId="501D1828" w14:textId="77777777" w:rsidR="006379C0" w:rsidRPr="00755915" w:rsidRDefault="006379C0" w:rsidP="0055530B">
            <w:pPr>
              <w:pStyle w:val="Tabletext"/>
            </w:pPr>
          </w:p>
        </w:tc>
        <w:tc>
          <w:tcPr>
            <w:tcW w:w="0" w:type="auto"/>
            <w:vMerge/>
            <w:vAlign w:val="center"/>
          </w:tcPr>
          <w:p w14:paraId="07349086" w14:textId="77777777" w:rsidR="006379C0" w:rsidRPr="00755915" w:rsidRDefault="006379C0" w:rsidP="0055530B">
            <w:pPr>
              <w:pStyle w:val="Tabletext"/>
            </w:pPr>
          </w:p>
        </w:tc>
      </w:tr>
      <w:tr w:rsidR="006379C0" w:rsidRPr="00755915" w14:paraId="40D43DE7" w14:textId="77777777" w:rsidTr="00116B90">
        <w:tc>
          <w:tcPr>
            <w:tcW w:w="0" w:type="auto"/>
            <w:vMerge/>
          </w:tcPr>
          <w:p w14:paraId="3B1DDE3F" w14:textId="77777777" w:rsidR="006379C0" w:rsidRPr="00755915" w:rsidRDefault="006379C0" w:rsidP="0055530B">
            <w:pPr>
              <w:pStyle w:val="Tabletext"/>
            </w:pPr>
          </w:p>
        </w:tc>
        <w:tc>
          <w:tcPr>
            <w:tcW w:w="0" w:type="auto"/>
            <w:vMerge/>
            <w:vAlign w:val="center"/>
          </w:tcPr>
          <w:p w14:paraId="03E3E5DD" w14:textId="77777777" w:rsidR="006379C0" w:rsidRPr="00755915" w:rsidRDefault="006379C0" w:rsidP="0055530B">
            <w:pPr>
              <w:pStyle w:val="Tabletext"/>
            </w:pPr>
          </w:p>
        </w:tc>
        <w:tc>
          <w:tcPr>
            <w:tcW w:w="0" w:type="auto"/>
            <w:vAlign w:val="center"/>
          </w:tcPr>
          <w:p w14:paraId="58F613FE" w14:textId="77777777" w:rsidR="006379C0" w:rsidRPr="00755915" w:rsidRDefault="006379C0" w:rsidP="0055530B">
            <w:pPr>
              <w:pStyle w:val="Tabletext"/>
            </w:pPr>
            <w:r w:rsidRPr="00755915">
              <w:t>(4) Collaborating with local associations donating everything that can be given away: the unsold stock is donated set up to tackle poverty*</w:t>
            </w:r>
          </w:p>
        </w:tc>
        <w:tc>
          <w:tcPr>
            <w:tcW w:w="0" w:type="auto"/>
            <w:vMerge/>
            <w:vAlign w:val="center"/>
          </w:tcPr>
          <w:p w14:paraId="7369E6C4" w14:textId="77777777" w:rsidR="006379C0" w:rsidRPr="00755915" w:rsidRDefault="006379C0" w:rsidP="0055530B">
            <w:pPr>
              <w:pStyle w:val="Tabletext"/>
            </w:pPr>
          </w:p>
        </w:tc>
        <w:tc>
          <w:tcPr>
            <w:tcW w:w="0" w:type="auto"/>
            <w:vMerge/>
            <w:vAlign w:val="center"/>
          </w:tcPr>
          <w:p w14:paraId="40C6D1D5" w14:textId="77777777" w:rsidR="006379C0" w:rsidRPr="00755915" w:rsidRDefault="006379C0" w:rsidP="0055530B">
            <w:pPr>
              <w:pStyle w:val="Tabletext"/>
            </w:pPr>
          </w:p>
        </w:tc>
        <w:tc>
          <w:tcPr>
            <w:tcW w:w="0" w:type="auto"/>
            <w:vMerge/>
            <w:vAlign w:val="center"/>
          </w:tcPr>
          <w:p w14:paraId="266CB01F" w14:textId="77777777" w:rsidR="006379C0" w:rsidRPr="00755915" w:rsidRDefault="006379C0" w:rsidP="0055530B">
            <w:pPr>
              <w:pStyle w:val="Tabletext"/>
            </w:pPr>
          </w:p>
        </w:tc>
        <w:tc>
          <w:tcPr>
            <w:tcW w:w="0" w:type="auto"/>
            <w:vMerge/>
            <w:vAlign w:val="center"/>
          </w:tcPr>
          <w:p w14:paraId="32AD63A3" w14:textId="77777777" w:rsidR="006379C0" w:rsidRPr="00755915" w:rsidRDefault="006379C0" w:rsidP="0055530B">
            <w:pPr>
              <w:pStyle w:val="Tabletext"/>
            </w:pPr>
          </w:p>
        </w:tc>
      </w:tr>
      <w:tr w:rsidR="006379C0" w:rsidRPr="00755915" w14:paraId="5C05CFA2" w14:textId="77777777" w:rsidTr="00116B90">
        <w:tc>
          <w:tcPr>
            <w:tcW w:w="0" w:type="auto"/>
            <w:vMerge/>
          </w:tcPr>
          <w:p w14:paraId="2957B105" w14:textId="77777777" w:rsidR="006379C0" w:rsidRPr="00755915" w:rsidRDefault="006379C0" w:rsidP="0055530B">
            <w:pPr>
              <w:pStyle w:val="Tabletext"/>
            </w:pPr>
          </w:p>
        </w:tc>
        <w:tc>
          <w:tcPr>
            <w:tcW w:w="0" w:type="auto"/>
            <w:vMerge w:val="restart"/>
            <w:vAlign w:val="center"/>
          </w:tcPr>
          <w:p w14:paraId="242EC816" w14:textId="77777777" w:rsidR="006379C0" w:rsidRPr="00755915" w:rsidRDefault="006379C0" w:rsidP="0055530B">
            <w:pPr>
              <w:pStyle w:val="Tabletext"/>
            </w:pPr>
            <w:r w:rsidRPr="00755915">
              <w:t>Renewable Energy &amp; Resource Efficiency</w:t>
            </w:r>
          </w:p>
        </w:tc>
        <w:tc>
          <w:tcPr>
            <w:tcW w:w="0" w:type="auto"/>
            <w:vAlign w:val="center"/>
          </w:tcPr>
          <w:p w14:paraId="31BEC178" w14:textId="77777777" w:rsidR="006379C0" w:rsidRPr="00755915" w:rsidRDefault="006379C0" w:rsidP="0055530B">
            <w:pPr>
              <w:pStyle w:val="Tabletext"/>
            </w:pPr>
            <w:r w:rsidRPr="00755915">
              <w:t>(4) Utilisation of renewable energy (geothermal power, wind power, solar power). The heat generated by stores also has to be recovered and reused – such as the heat generated by refrigeration units</w:t>
            </w:r>
          </w:p>
        </w:tc>
        <w:tc>
          <w:tcPr>
            <w:tcW w:w="0" w:type="auto"/>
            <w:vMerge w:val="restart"/>
            <w:vAlign w:val="center"/>
          </w:tcPr>
          <w:p w14:paraId="7E10EB63" w14:textId="77777777" w:rsidR="006379C0" w:rsidRPr="00755915" w:rsidRDefault="006379C0" w:rsidP="0055530B">
            <w:pPr>
              <w:pStyle w:val="Tabletext"/>
            </w:pPr>
            <w:r w:rsidRPr="00755915">
              <w:t>4</w:t>
            </w:r>
          </w:p>
        </w:tc>
        <w:tc>
          <w:tcPr>
            <w:tcW w:w="0" w:type="auto"/>
            <w:vMerge/>
            <w:vAlign w:val="center"/>
          </w:tcPr>
          <w:p w14:paraId="6A232A27" w14:textId="77777777" w:rsidR="006379C0" w:rsidRPr="00755915" w:rsidRDefault="006379C0" w:rsidP="0055530B">
            <w:pPr>
              <w:pStyle w:val="Tabletext"/>
            </w:pPr>
          </w:p>
        </w:tc>
        <w:tc>
          <w:tcPr>
            <w:tcW w:w="0" w:type="auto"/>
            <w:vMerge/>
            <w:vAlign w:val="center"/>
          </w:tcPr>
          <w:p w14:paraId="6214F74D" w14:textId="77777777" w:rsidR="006379C0" w:rsidRPr="00755915" w:rsidRDefault="006379C0" w:rsidP="0055530B">
            <w:pPr>
              <w:pStyle w:val="Tabletext"/>
            </w:pPr>
          </w:p>
        </w:tc>
        <w:tc>
          <w:tcPr>
            <w:tcW w:w="0" w:type="auto"/>
            <w:vMerge/>
            <w:vAlign w:val="center"/>
          </w:tcPr>
          <w:p w14:paraId="59603CB5" w14:textId="77777777" w:rsidR="006379C0" w:rsidRPr="00755915" w:rsidRDefault="006379C0" w:rsidP="0055530B">
            <w:pPr>
              <w:pStyle w:val="Tabletext"/>
            </w:pPr>
          </w:p>
        </w:tc>
      </w:tr>
      <w:tr w:rsidR="006379C0" w:rsidRPr="00755915" w14:paraId="141E40AB" w14:textId="77777777" w:rsidTr="00116B90">
        <w:tc>
          <w:tcPr>
            <w:tcW w:w="0" w:type="auto"/>
            <w:vMerge/>
          </w:tcPr>
          <w:p w14:paraId="65FB588F" w14:textId="77777777" w:rsidR="006379C0" w:rsidRPr="00755915" w:rsidRDefault="006379C0" w:rsidP="0055530B">
            <w:pPr>
              <w:pStyle w:val="Tabletext"/>
            </w:pPr>
          </w:p>
        </w:tc>
        <w:tc>
          <w:tcPr>
            <w:tcW w:w="0" w:type="auto"/>
            <w:vMerge/>
            <w:vAlign w:val="center"/>
          </w:tcPr>
          <w:p w14:paraId="76815690" w14:textId="77777777" w:rsidR="006379C0" w:rsidRPr="00755915" w:rsidRDefault="006379C0" w:rsidP="0055530B">
            <w:pPr>
              <w:pStyle w:val="Tabletext"/>
            </w:pPr>
          </w:p>
        </w:tc>
        <w:tc>
          <w:tcPr>
            <w:tcW w:w="0" w:type="auto"/>
            <w:vAlign w:val="center"/>
          </w:tcPr>
          <w:p w14:paraId="5AE2D2BD" w14:textId="5F8961F4" w:rsidR="006379C0" w:rsidRPr="00755915" w:rsidRDefault="006379C0" w:rsidP="0055530B">
            <w:pPr>
              <w:pStyle w:val="Tabletext"/>
            </w:pPr>
            <w:r w:rsidRPr="00755915">
              <w:t xml:space="preserve">(4) Resource efficiency: reduce per-square-meter electricity consumption in stores by closing the cold storage units – energy savings of up to 18%, or using low-energy light bulbs </w:t>
            </w:r>
            <w:r w:rsidR="00B651D9" w:rsidRPr="00755915">
              <w:t>– up</w:t>
            </w:r>
            <w:r w:rsidRPr="00755915">
              <w:t xml:space="preserve"> to 50% energy savings </w:t>
            </w:r>
          </w:p>
        </w:tc>
        <w:tc>
          <w:tcPr>
            <w:tcW w:w="0" w:type="auto"/>
            <w:vMerge/>
            <w:vAlign w:val="center"/>
          </w:tcPr>
          <w:p w14:paraId="4ABB8363" w14:textId="77777777" w:rsidR="006379C0" w:rsidRPr="00755915" w:rsidRDefault="006379C0" w:rsidP="0055530B">
            <w:pPr>
              <w:pStyle w:val="Tabletext"/>
            </w:pPr>
          </w:p>
        </w:tc>
        <w:tc>
          <w:tcPr>
            <w:tcW w:w="0" w:type="auto"/>
            <w:vMerge/>
            <w:vAlign w:val="center"/>
          </w:tcPr>
          <w:p w14:paraId="16AC47EE" w14:textId="77777777" w:rsidR="006379C0" w:rsidRPr="00755915" w:rsidRDefault="006379C0" w:rsidP="0055530B">
            <w:pPr>
              <w:pStyle w:val="Tabletext"/>
            </w:pPr>
          </w:p>
        </w:tc>
        <w:tc>
          <w:tcPr>
            <w:tcW w:w="0" w:type="auto"/>
            <w:vMerge/>
            <w:vAlign w:val="center"/>
          </w:tcPr>
          <w:p w14:paraId="6A503C91" w14:textId="77777777" w:rsidR="006379C0" w:rsidRPr="00755915" w:rsidRDefault="006379C0" w:rsidP="0055530B">
            <w:pPr>
              <w:pStyle w:val="Tabletext"/>
            </w:pPr>
          </w:p>
        </w:tc>
        <w:tc>
          <w:tcPr>
            <w:tcW w:w="0" w:type="auto"/>
            <w:vMerge/>
            <w:vAlign w:val="center"/>
          </w:tcPr>
          <w:p w14:paraId="23306EFA" w14:textId="77777777" w:rsidR="006379C0" w:rsidRPr="00755915" w:rsidRDefault="006379C0" w:rsidP="0055530B">
            <w:pPr>
              <w:pStyle w:val="Tabletext"/>
            </w:pPr>
          </w:p>
        </w:tc>
      </w:tr>
      <w:tr w:rsidR="006379C0" w:rsidRPr="00755915" w14:paraId="0B6CFCE3" w14:textId="77777777" w:rsidTr="00116B90">
        <w:tc>
          <w:tcPr>
            <w:tcW w:w="0" w:type="auto"/>
            <w:vMerge/>
          </w:tcPr>
          <w:p w14:paraId="67A39D69" w14:textId="77777777" w:rsidR="006379C0" w:rsidRPr="00755915" w:rsidRDefault="006379C0" w:rsidP="0055530B">
            <w:pPr>
              <w:pStyle w:val="Tabletext"/>
            </w:pPr>
          </w:p>
        </w:tc>
        <w:tc>
          <w:tcPr>
            <w:tcW w:w="0" w:type="auto"/>
            <w:vAlign w:val="center"/>
          </w:tcPr>
          <w:p w14:paraId="0ADAB551" w14:textId="77777777" w:rsidR="006379C0" w:rsidRPr="00755915" w:rsidRDefault="006379C0" w:rsidP="0055530B">
            <w:pPr>
              <w:pStyle w:val="Tabletext"/>
            </w:pPr>
            <w:r w:rsidRPr="00755915">
              <w:t>Reuse</w:t>
            </w:r>
          </w:p>
        </w:tc>
        <w:tc>
          <w:tcPr>
            <w:tcW w:w="0" w:type="auto"/>
            <w:vAlign w:val="center"/>
          </w:tcPr>
          <w:p w14:paraId="036A94AF" w14:textId="3A2A2508" w:rsidR="006379C0" w:rsidRPr="00755915" w:rsidRDefault="006379C0" w:rsidP="0055530B">
            <w:pPr>
              <w:pStyle w:val="Tabletext"/>
            </w:pPr>
            <w:r w:rsidRPr="00755915">
              <w:t xml:space="preserve">(2) Promoting the reuse of </w:t>
            </w:r>
            <w:r w:rsidR="00B651D9" w:rsidRPr="00755915">
              <w:t>packaging aiming</w:t>
            </w:r>
            <w:r w:rsidRPr="00755915">
              <w:t xml:space="preserve"> at 100% reusable, recyclable or compostable packaging*</w:t>
            </w:r>
          </w:p>
        </w:tc>
        <w:tc>
          <w:tcPr>
            <w:tcW w:w="0" w:type="auto"/>
            <w:vAlign w:val="center"/>
          </w:tcPr>
          <w:p w14:paraId="2AD6B027" w14:textId="77777777" w:rsidR="006379C0" w:rsidRPr="00755915" w:rsidRDefault="006379C0" w:rsidP="0055530B">
            <w:pPr>
              <w:pStyle w:val="Tabletext"/>
            </w:pPr>
            <w:r w:rsidRPr="00755915">
              <w:t>2</w:t>
            </w:r>
          </w:p>
        </w:tc>
        <w:tc>
          <w:tcPr>
            <w:tcW w:w="0" w:type="auto"/>
            <w:vMerge/>
            <w:vAlign w:val="center"/>
          </w:tcPr>
          <w:p w14:paraId="093092F3" w14:textId="77777777" w:rsidR="006379C0" w:rsidRPr="00755915" w:rsidRDefault="006379C0" w:rsidP="0055530B">
            <w:pPr>
              <w:pStyle w:val="Tabletext"/>
            </w:pPr>
          </w:p>
        </w:tc>
        <w:tc>
          <w:tcPr>
            <w:tcW w:w="0" w:type="auto"/>
            <w:vMerge/>
            <w:vAlign w:val="center"/>
          </w:tcPr>
          <w:p w14:paraId="27823265" w14:textId="77777777" w:rsidR="006379C0" w:rsidRPr="00755915" w:rsidRDefault="006379C0" w:rsidP="0055530B">
            <w:pPr>
              <w:pStyle w:val="Tabletext"/>
            </w:pPr>
          </w:p>
        </w:tc>
        <w:tc>
          <w:tcPr>
            <w:tcW w:w="0" w:type="auto"/>
            <w:vMerge/>
            <w:vAlign w:val="center"/>
          </w:tcPr>
          <w:p w14:paraId="48D4166C" w14:textId="77777777" w:rsidR="006379C0" w:rsidRPr="00755915" w:rsidRDefault="006379C0" w:rsidP="0055530B">
            <w:pPr>
              <w:pStyle w:val="Tabletext"/>
            </w:pPr>
          </w:p>
        </w:tc>
      </w:tr>
      <w:tr w:rsidR="006379C0" w:rsidRPr="00755915" w14:paraId="36F4A9F6" w14:textId="77777777" w:rsidTr="00116B90">
        <w:tc>
          <w:tcPr>
            <w:tcW w:w="0" w:type="auto"/>
            <w:vMerge/>
          </w:tcPr>
          <w:p w14:paraId="6F2E4729" w14:textId="77777777" w:rsidR="006379C0" w:rsidRPr="00755915" w:rsidRDefault="006379C0" w:rsidP="0055530B">
            <w:pPr>
              <w:pStyle w:val="Tabletext"/>
            </w:pPr>
          </w:p>
        </w:tc>
        <w:tc>
          <w:tcPr>
            <w:tcW w:w="0" w:type="auto"/>
            <w:vMerge w:val="restart"/>
            <w:vAlign w:val="center"/>
          </w:tcPr>
          <w:p w14:paraId="5D6CE0A9" w14:textId="77777777" w:rsidR="006379C0" w:rsidRPr="00755915" w:rsidRDefault="006379C0" w:rsidP="0055530B">
            <w:pPr>
              <w:pStyle w:val="Tabletext"/>
            </w:pPr>
            <w:r w:rsidRPr="00755915">
              <w:t>Recycle</w:t>
            </w:r>
          </w:p>
        </w:tc>
        <w:tc>
          <w:tcPr>
            <w:tcW w:w="0" w:type="auto"/>
            <w:vAlign w:val="center"/>
          </w:tcPr>
          <w:p w14:paraId="34F39B79" w14:textId="77777777" w:rsidR="006379C0" w:rsidRPr="00755915" w:rsidRDefault="006379C0" w:rsidP="0055530B">
            <w:pPr>
              <w:pStyle w:val="Tabletext"/>
            </w:pPr>
            <w:r w:rsidRPr="00755915">
              <w:t>(3) Incorporating 50% of recycled plastic in its juice, soda, and water bottles*</w:t>
            </w:r>
          </w:p>
        </w:tc>
        <w:tc>
          <w:tcPr>
            <w:tcW w:w="0" w:type="auto"/>
            <w:vMerge w:val="restart"/>
            <w:vAlign w:val="center"/>
          </w:tcPr>
          <w:p w14:paraId="00A02FE7" w14:textId="77777777" w:rsidR="006379C0" w:rsidRPr="00755915" w:rsidRDefault="006379C0" w:rsidP="0055530B">
            <w:pPr>
              <w:pStyle w:val="Tabletext"/>
            </w:pPr>
            <w:r w:rsidRPr="00755915">
              <w:t>4</w:t>
            </w:r>
          </w:p>
        </w:tc>
        <w:tc>
          <w:tcPr>
            <w:tcW w:w="0" w:type="auto"/>
            <w:vMerge/>
            <w:vAlign w:val="center"/>
          </w:tcPr>
          <w:p w14:paraId="1C5A5436" w14:textId="77777777" w:rsidR="006379C0" w:rsidRPr="00755915" w:rsidRDefault="006379C0" w:rsidP="0055530B">
            <w:pPr>
              <w:pStyle w:val="Tabletext"/>
            </w:pPr>
          </w:p>
        </w:tc>
        <w:tc>
          <w:tcPr>
            <w:tcW w:w="0" w:type="auto"/>
            <w:vMerge/>
            <w:vAlign w:val="center"/>
          </w:tcPr>
          <w:p w14:paraId="505D644C" w14:textId="77777777" w:rsidR="006379C0" w:rsidRPr="00755915" w:rsidRDefault="006379C0" w:rsidP="0055530B">
            <w:pPr>
              <w:pStyle w:val="Tabletext"/>
            </w:pPr>
          </w:p>
        </w:tc>
        <w:tc>
          <w:tcPr>
            <w:tcW w:w="0" w:type="auto"/>
            <w:vMerge/>
            <w:vAlign w:val="center"/>
          </w:tcPr>
          <w:p w14:paraId="29DDA44B" w14:textId="77777777" w:rsidR="006379C0" w:rsidRPr="00755915" w:rsidRDefault="006379C0" w:rsidP="0055530B">
            <w:pPr>
              <w:pStyle w:val="Tabletext"/>
            </w:pPr>
          </w:p>
        </w:tc>
      </w:tr>
      <w:tr w:rsidR="006379C0" w:rsidRPr="00755915" w14:paraId="2579764B" w14:textId="77777777" w:rsidTr="00116B90">
        <w:tc>
          <w:tcPr>
            <w:tcW w:w="0" w:type="auto"/>
            <w:vMerge/>
          </w:tcPr>
          <w:p w14:paraId="63291E9A" w14:textId="77777777" w:rsidR="006379C0" w:rsidRPr="00755915" w:rsidRDefault="006379C0" w:rsidP="0055530B">
            <w:pPr>
              <w:pStyle w:val="Tabletext"/>
            </w:pPr>
          </w:p>
        </w:tc>
        <w:tc>
          <w:tcPr>
            <w:tcW w:w="0" w:type="auto"/>
            <w:vMerge/>
            <w:vAlign w:val="center"/>
          </w:tcPr>
          <w:p w14:paraId="3B87EACA" w14:textId="77777777" w:rsidR="006379C0" w:rsidRPr="00755915" w:rsidRDefault="006379C0" w:rsidP="0055530B">
            <w:pPr>
              <w:pStyle w:val="Tabletext"/>
            </w:pPr>
          </w:p>
        </w:tc>
        <w:tc>
          <w:tcPr>
            <w:tcW w:w="0" w:type="auto"/>
            <w:vAlign w:val="center"/>
          </w:tcPr>
          <w:p w14:paraId="68470FFC" w14:textId="74D3AC9B" w:rsidR="006379C0" w:rsidRPr="00755915" w:rsidRDefault="006379C0" w:rsidP="0055530B">
            <w:pPr>
              <w:pStyle w:val="Tabletext"/>
            </w:pPr>
            <w:r w:rsidRPr="00755915">
              <w:t xml:space="preserve">(4) Recycled materials </w:t>
            </w:r>
            <w:r w:rsidR="00B651D9" w:rsidRPr="00755915">
              <w:t>utilisation Since</w:t>
            </w:r>
            <w:r w:rsidRPr="00755915">
              <w:t xml:space="preserve"> 2017, all cardboard packaging for Carrefour brand food products are printed with vegetal-based ink (over 4,000 products)</w:t>
            </w:r>
          </w:p>
        </w:tc>
        <w:tc>
          <w:tcPr>
            <w:tcW w:w="0" w:type="auto"/>
            <w:vMerge/>
            <w:vAlign w:val="center"/>
          </w:tcPr>
          <w:p w14:paraId="093D3721" w14:textId="77777777" w:rsidR="006379C0" w:rsidRPr="00755915" w:rsidRDefault="006379C0" w:rsidP="0055530B">
            <w:pPr>
              <w:pStyle w:val="Tabletext"/>
            </w:pPr>
          </w:p>
        </w:tc>
        <w:tc>
          <w:tcPr>
            <w:tcW w:w="0" w:type="auto"/>
            <w:vMerge/>
            <w:vAlign w:val="center"/>
          </w:tcPr>
          <w:p w14:paraId="0C7894C7" w14:textId="77777777" w:rsidR="006379C0" w:rsidRPr="00755915" w:rsidRDefault="006379C0" w:rsidP="0055530B">
            <w:pPr>
              <w:pStyle w:val="Tabletext"/>
            </w:pPr>
          </w:p>
        </w:tc>
        <w:tc>
          <w:tcPr>
            <w:tcW w:w="0" w:type="auto"/>
            <w:vMerge/>
            <w:vAlign w:val="center"/>
          </w:tcPr>
          <w:p w14:paraId="08F05B15" w14:textId="77777777" w:rsidR="006379C0" w:rsidRPr="00755915" w:rsidRDefault="006379C0" w:rsidP="0055530B">
            <w:pPr>
              <w:pStyle w:val="Tabletext"/>
            </w:pPr>
          </w:p>
        </w:tc>
        <w:tc>
          <w:tcPr>
            <w:tcW w:w="0" w:type="auto"/>
            <w:vMerge/>
            <w:vAlign w:val="center"/>
          </w:tcPr>
          <w:p w14:paraId="07E2DE5E" w14:textId="77777777" w:rsidR="006379C0" w:rsidRPr="00755915" w:rsidRDefault="006379C0" w:rsidP="0055530B">
            <w:pPr>
              <w:pStyle w:val="Tabletext"/>
            </w:pPr>
          </w:p>
        </w:tc>
      </w:tr>
      <w:tr w:rsidR="006379C0" w:rsidRPr="00755915" w14:paraId="1C84DC0F" w14:textId="77777777" w:rsidTr="00116B90">
        <w:tc>
          <w:tcPr>
            <w:tcW w:w="0" w:type="auto"/>
            <w:vMerge/>
          </w:tcPr>
          <w:p w14:paraId="3FBBF34A" w14:textId="77777777" w:rsidR="006379C0" w:rsidRPr="00755915" w:rsidRDefault="006379C0" w:rsidP="0055530B">
            <w:pPr>
              <w:pStyle w:val="Tabletext"/>
            </w:pPr>
          </w:p>
        </w:tc>
        <w:tc>
          <w:tcPr>
            <w:tcW w:w="0" w:type="auto"/>
            <w:vAlign w:val="center"/>
          </w:tcPr>
          <w:p w14:paraId="287121C5" w14:textId="77777777" w:rsidR="006379C0" w:rsidRPr="00755915" w:rsidRDefault="006379C0" w:rsidP="0055530B">
            <w:pPr>
              <w:pStyle w:val="Tabletext"/>
            </w:pPr>
            <w:r w:rsidRPr="00755915">
              <w:t>Recover</w:t>
            </w:r>
          </w:p>
        </w:tc>
        <w:tc>
          <w:tcPr>
            <w:tcW w:w="0" w:type="auto"/>
            <w:vAlign w:val="center"/>
          </w:tcPr>
          <w:p w14:paraId="17294BC6" w14:textId="77777777" w:rsidR="006379C0" w:rsidRPr="00755915" w:rsidRDefault="006379C0" w:rsidP="0055530B">
            <w:pPr>
              <w:pStyle w:val="Tabletext"/>
            </w:pPr>
            <w:r w:rsidRPr="00755915">
              <w:t xml:space="preserve">(4) Energy production from bio-methane - product wastage that can no longer be consumed (withered flowers, spoilt fruit, and vegetables, etc.) is converted into biogas, and then into bio-methane. </w:t>
            </w:r>
          </w:p>
        </w:tc>
        <w:tc>
          <w:tcPr>
            <w:tcW w:w="0" w:type="auto"/>
            <w:vAlign w:val="center"/>
          </w:tcPr>
          <w:p w14:paraId="264CB02A" w14:textId="77777777" w:rsidR="006379C0" w:rsidRPr="00755915" w:rsidRDefault="006379C0" w:rsidP="0055530B">
            <w:pPr>
              <w:pStyle w:val="Tabletext"/>
            </w:pPr>
            <w:r w:rsidRPr="00755915">
              <w:t>4</w:t>
            </w:r>
          </w:p>
        </w:tc>
        <w:tc>
          <w:tcPr>
            <w:tcW w:w="0" w:type="auto"/>
            <w:vMerge/>
            <w:vAlign w:val="center"/>
          </w:tcPr>
          <w:p w14:paraId="670F0ECD" w14:textId="77777777" w:rsidR="006379C0" w:rsidRPr="00755915" w:rsidRDefault="006379C0" w:rsidP="0055530B">
            <w:pPr>
              <w:pStyle w:val="Tabletext"/>
            </w:pPr>
          </w:p>
        </w:tc>
        <w:tc>
          <w:tcPr>
            <w:tcW w:w="0" w:type="auto"/>
            <w:vMerge/>
            <w:vAlign w:val="center"/>
          </w:tcPr>
          <w:p w14:paraId="47B7BC9E" w14:textId="77777777" w:rsidR="006379C0" w:rsidRPr="00755915" w:rsidRDefault="006379C0" w:rsidP="0055530B">
            <w:pPr>
              <w:pStyle w:val="Tabletext"/>
            </w:pPr>
          </w:p>
        </w:tc>
        <w:tc>
          <w:tcPr>
            <w:tcW w:w="0" w:type="auto"/>
            <w:vMerge/>
            <w:vAlign w:val="center"/>
          </w:tcPr>
          <w:p w14:paraId="6ECBD3AF" w14:textId="77777777" w:rsidR="006379C0" w:rsidRPr="00755915" w:rsidRDefault="006379C0" w:rsidP="0055530B">
            <w:pPr>
              <w:pStyle w:val="Tabletext"/>
            </w:pPr>
          </w:p>
        </w:tc>
      </w:tr>
    </w:tbl>
    <w:p w14:paraId="2FFAEC1D" w14:textId="77777777" w:rsidR="006379C0" w:rsidRPr="003A56CD" w:rsidRDefault="006379C0" w:rsidP="002F7336"/>
    <w:p w14:paraId="4840E502" w14:textId="77777777" w:rsidR="006379C0" w:rsidRPr="003A56CD" w:rsidRDefault="006379C0" w:rsidP="002F7336">
      <w:pPr>
        <w:pStyle w:val="Figurecaption"/>
        <w:rPr>
          <w:b/>
        </w:rPr>
      </w:pPr>
      <w:r w:rsidRPr="003A56CD">
        <w:t>Table 11 – An evaluation of the CE scores for each MNE.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711"/>
        <w:gridCol w:w="972"/>
        <w:gridCol w:w="961"/>
        <w:gridCol w:w="222"/>
        <w:gridCol w:w="1325"/>
        <w:gridCol w:w="653"/>
        <w:gridCol w:w="940"/>
        <w:gridCol w:w="940"/>
      </w:tblGrid>
      <w:tr w:rsidR="006379C0" w:rsidRPr="00755915" w14:paraId="3064E204" w14:textId="77777777" w:rsidTr="00116B90">
        <w:trPr>
          <w:trHeight w:hRule="exact" w:val="690"/>
        </w:trPr>
        <w:tc>
          <w:tcPr>
            <w:tcW w:w="1816" w:type="dxa"/>
            <w:shd w:val="clear" w:color="000000" w:fill="FFFFFF"/>
            <w:vAlign w:val="bottom"/>
            <w:hideMark/>
          </w:tcPr>
          <w:p w14:paraId="7C9E5AB6" w14:textId="77777777" w:rsidR="006379C0" w:rsidRPr="00755915" w:rsidRDefault="006379C0" w:rsidP="00202D52">
            <w:pPr>
              <w:pStyle w:val="Tabletext"/>
            </w:pPr>
            <w:bookmarkStart w:id="28" w:name="RANGE!O1:S51"/>
            <w:r w:rsidRPr="00755915">
              <w:t xml:space="preserve">Organization </w:t>
            </w:r>
            <w:bookmarkEnd w:id="28"/>
          </w:p>
        </w:tc>
        <w:tc>
          <w:tcPr>
            <w:tcW w:w="726" w:type="dxa"/>
            <w:shd w:val="clear" w:color="000000" w:fill="FFFFFF"/>
            <w:vAlign w:val="bottom"/>
            <w:hideMark/>
          </w:tcPr>
          <w:p w14:paraId="620AE1EA" w14:textId="77777777" w:rsidR="006379C0" w:rsidRPr="00755915" w:rsidRDefault="006379C0" w:rsidP="00202D52">
            <w:pPr>
              <w:pStyle w:val="Tabletext"/>
            </w:pPr>
            <w:r w:rsidRPr="00755915">
              <w:t>CE score</w:t>
            </w:r>
          </w:p>
        </w:tc>
        <w:tc>
          <w:tcPr>
            <w:tcW w:w="994" w:type="dxa"/>
            <w:shd w:val="clear" w:color="000000" w:fill="FFFFFF"/>
            <w:vAlign w:val="bottom"/>
            <w:hideMark/>
          </w:tcPr>
          <w:p w14:paraId="5689BA21" w14:textId="77777777" w:rsidR="006379C0" w:rsidRPr="00755915" w:rsidRDefault="006379C0" w:rsidP="00202D52">
            <w:pPr>
              <w:pStyle w:val="Tabletext"/>
            </w:pPr>
            <w:r w:rsidRPr="00755915">
              <w:t>N. of ICE practices</w:t>
            </w:r>
          </w:p>
        </w:tc>
        <w:tc>
          <w:tcPr>
            <w:tcW w:w="983" w:type="dxa"/>
            <w:shd w:val="clear" w:color="000000" w:fill="FFFFFF"/>
            <w:vAlign w:val="bottom"/>
            <w:hideMark/>
          </w:tcPr>
          <w:p w14:paraId="7CB661F2" w14:textId="77777777" w:rsidR="006379C0" w:rsidRPr="00755915" w:rsidRDefault="006379C0" w:rsidP="00202D52">
            <w:pPr>
              <w:pStyle w:val="Tabletext"/>
            </w:pPr>
            <w:r w:rsidRPr="00755915">
              <w:t>N. of CSC practices</w:t>
            </w:r>
          </w:p>
        </w:tc>
        <w:tc>
          <w:tcPr>
            <w:tcW w:w="236" w:type="dxa"/>
            <w:shd w:val="clear" w:color="auto" w:fill="000000" w:themeFill="text1"/>
          </w:tcPr>
          <w:p w14:paraId="7BD87892" w14:textId="77777777" w:rsidR="006379C0" w:rsidRPr="00755915" w:rsidRDefault="006379C0" w:rsidP="00202D52">
            <w:pPr>
              <w:pStyle w:val="Tabletext"/>
            </w:pPr>
          </w:p>
        </w:tc>
        <w:tc>
          <w:tcPr>
            <w:tcW w:w="1673" w:type="dxa"/>
            <w:shd w:val="clear" w:color="000000" w:fill="FFFFFF"/>
            <w:vAlign w:val="bottom"/>
          </w:tcPr>
          <w:p w14:paraId="3A967C64" w14:textId="77777777" w:rsidR="006379C0" w:rsidRPr="00755915" w:rsidRDefault="006379C0" w:rsidP="00202D52">
            <w:pPr>
              <w:pStyle w:val="Tabletext"/>
            </w:pPr>
            <w:r w:rsidRPr="00755915">
              <w:t xml:space="preserve">Organization </w:t>
            </w:r>
          </w:p>
        </w:tc>
        <w:tc>
          <w:tcPr>
            <w:tcW w:w="661" w:type="dxa"/>
            <w:shd w:val="clear" w:color="000000" w:fill="FFFFFF"/>
            <w:vAlign w:val="bottom"/>
          </w:tcPr>
          <w:p w14:paraId="3A2ECBD7" w14:textId="77777777" w:rsidR="006379C0" w:rsidRPr="00755915" w:rsidRDefault="006379C0" w:rsidP="00202D52">
            <w:pPr>
              <w:pStyle w:val="Tabletext"/>
            </w:pPr>
            <w:r w:rsidRPr="00755915">
              <w:t>CE score</w:t>
            </w:r>
          </w:p>
        </w:tc>
        <w:tc>
          <w:tcPr>
            <w:tcW w:w="983" w:type="dxa"/>
            <w:shd w:val="clear" w:color="000000" w:fill="FFFFFF"/>
            <w:vAlign w:val="bottom"/>
          </w:tcPr>
          <w:p w14:paraId="304EC3D5" w14:textId="77777777" w:rsidR="006379C0" w:rsidRPr="00755915" w:rsidRDefault="006379C0" w:rsidP="00202D52">
            <w:pPr>
              <w:pStyle w:val="Tabletext"/>
            </w:pPr>
            <w:r w:rsidRPr="00755915">
              <w:t>N. of ICE practices</w:t>
            </w:r>
          </w:p>
        </w:tc>
        <w:tc>
          <w:tcPr>
            <w:tcW w:w="983" w:type="dxa"/>
            <w:shd w:val="clear" w:color="000000" w:fill="FFFFFF"/>
            <w:vAlign w:val="bottom"/>
          </w:tcPr>
          <w:p w14:paraId="58BB9C37" w14:textId="77777777" w:rsidR="006379C0" w:rsidRPr="00755915" w:rsidRDefault="006379C0" w:rsidP="00202D52">
            <w:pPr>
              <w:pStyle w:val="Tabletext"/>
            </w:pPr>
            <w:r w:rsidRPr="00755915">
              <w:t>N. of CSC practices</w:t>
            </w:r>
          </w:p>
        </w:tc>
      </w:tr>
      <w:tr w:rsidR="006379C0" w:rsidRPr="00755915" w14:paraId="05299543" w14:textId="77777777" w:rsidTr="00116B90">
        <w:trPr>
          <w:trHeight w:hRule="exact" w:val="227"/>
        </w:trPr>
        <w:tc>
          <w:tcPr>
            <w:tcW w:w="1816" w:type="dxa"/>
            <w:shd w:val="clear" w:color="000000" w:fill="FFFFFF"/>
            <w:noWrap/>
            <w:vAlign w:val="bottom"/>
            <w:hideMark/>
          </w:tcPr>
          <w:p w14:paraId="293F8CD8" w14:textId="77777777" w:rsidR="006379C0" w:rsidRPr="00755915" w:rsidRDefault="006379C0" w:rsidP="00202D52">
            <w:pPr>
              <w:pStyle w:val="Tabletext"/>
            </w:pPr>
            <w:r w:rsidRPr="00755915">
              <w:t>Deutsche Telekom</w:t>
            </w:r>
          </w:p>
        </w:tc>
        <w:tc>
          <w:tcPr>
            <w:tcW w:w="726" w:type="dxa"/>
            <w:shd w:val="clear" w:color="000000" w:fill="FFFFFF"/>
            <w:noWrap/>
            <w:vAlign w:val="bottom"/>
            <w:hideMark/>
          </w:tcPr>
          <w:p w14:paraId="060B08B3" w14:textId="77777777" w:rsidR="006379C0" w:rsidRPr="00755915" w:rsidRDefault="006379C0" w:rsidP="00202D52">
            <w:pPr>
              <w:pStyle w:val="Tabletext"/>
            </w:pPr>
            <w:r w:rsidRPr="00755915">
              <w:t>19</w:t>
            </w:r>
          </w:p>
        </w:tc>
        <w:tc>
          <w:tcPr>
            <w:tcW w:w="994" w:type="dxa"/>
            <w:shd w:val="clear" w:color="000000" w:fill="FFFFFF"/>
            <w:noWrap/>
            <w:vAlign w:val="bottom"/>
            <w:hideMark/>
          </w:tcPr>
          <w:p w14:paraId="7059606A" w14:textId="77777777" w:rsidR="006379C0" w:rsidRPr="00755915" w:rsidRDefault="006379C0" w:rsidP="00202D52">
            <w:pPr>
              <w:pStyle w:val="Tabletext"/>
            </w:pPr>
            <w:r w:rsidRPr="00755915">
              <w:t>8</w:t>
            </w:r>
          </w:p>
        </w:tc>
        <w:tc>
          <w:tcPr>
            <w:tcW w:w="983" w:type="dxa"/>
            <w:shd w:val="clear" w:color="000000" w:fill="FFFFFF"/>
            <w:noWrap/>
            <w:vAlign w:val="bottom"/>
            <w:hideMark/>
          </w:tcPr>
          <w:p w14:paraId="2FD4B4DA" w14:textId="77777777" w:rsidR="006379C0" w:rsidRPr="00755915" w:rsidRDefault="006379C0" w:rsidP="00202D52">
            <w:pPr>
              <w:pStyle w:val="Tabletext"/>
            </w:pPr>
            <w:r w:rsidRPr="00755915">
              <w:t>3</w:t>
            </w:r>
          </w:p>
        </w:tc>
        <w:tc>
          <w:tcPr>
            <w:tcW w:w="236" w:type="dxa"/>
            <w:shd w:val="clear" w:color="auto" w:fill="000000" w:themeFill="text1"/>
          </w:tcPr>
          <w:p w14:paraId="0E2AC9DE" w14:textId="77777777" w:rsidR="006379C0" w:rsidRPr="00755915" w:rsidRDefault="006379C0" w:rsidP="00202D52">
            <w:pPr>
              <w:pStyle w:val="Tabletext"/>
            </w:pPr>
          </w:p>
        </w:tc>
        <w:tc>
          <w:tcPr>
            <w:tcW w:w="1673" w:type="dxa"/>
            <w:shd w:val="clear" w:color="000000" w:fill="FFFFFF"/>
            <w:vAlign w:val="bottom"/>
          </w:tcPr>
          <w:p w14:paraId="1A8F05BE" w14:textId="77777777" w:rsidR="006379C0" w:rsidRPr="00755915" w:rsidRDefault="006379C0" w:rsidP="00202D52">
            <w:pPr>
              <w:pStyle w:val="Tabletext"/>
            </w:pPr>
            <w:r w:rsidRPr="00755915">
              <w:t>Siemens</w:t>
            </w:r>
          </w:p>
        </w:tc>
        <w:tc>
          <w:tcPr>
            <w:tcW w:w="661" w:type="dxa"/>
            <w:shd w:val="clear" w:color="000000" w:fill="FFFFFF"/>
            <w:vAlign w:val="bottom"/>
          </w:tcPr>
          <w:p w14:paraId="7BDC176C" w14:textId="77777777" w:rsidR="006379C0" w:rsidRPr="00755915" w:rsidRDefault="006379C0" w:rsidP="00202D52">
            <w:pPr>
              <w:pStyle w:val="Tabletext"/>
            </w:pPr>
            <w:r w:rsidRPr="00755915">
              <w:t>12</w:t>
            </w:r>
          </w:p>
        </w:tc>
        <w:tc>
          <w:tcPr>
            <w:tcW w:w="983" w:type="dxa"/>
            <w:shd w:val="clear" w:color="000000" w:fill="FFFFFF"/>
            <w:vAlign w:val="bottom"/>
          </w:tcPr>
          <w:p w14:paraId="457B7C6D" w14:textId="77777777" w:rsidR="006379C0" w:rsidRPr="00755915" w:rsidRDefault="006379C0" w:rsidP="00202D52">
            <w:pPr>
              <w:pStyle w:val="Tabletext"/>
            </w:pPr>
            <w:r w:rsidRPr="00755915">
              <w:t>3</w:t>
            </w:r>
          </w:p>
        </w:tc>
        <w:tc>
          <w:tcPr>
            <w:tcW w:w="983" w:type="dxa"/>
            <w:shd w:val="clear" w:color="000000" w:fill="FFFFFF"/>
            <w:vAlign w:val="bottom"/>
          </w:tcPr>
          <w:p w14:paraId="2D61348B" w14:textId="77777777" w:rsidR="006379C0" w:rsidRPr="00755915" w:rsidRDefault="006379C0" w:rsidP="00202D52">
            <w:pPr>
              <w:pStyle w:val="Tabletext"/>
            </w:pPr>
            <w:r w:rsidRPr="00755915">
              <w:t>2</w:t>
            </w:r>
          </w:p>
        </w:tc>
      </w:tr>
      <w:tr w:rsidR="006379C0" w:rsidRPr="00755915" w14:paraId="7B4FAC18" w14:textId="77777777" w:rsidTr="00116B90">
        <w:trPr>
          <w:trHeight w:hRule="exact" w:val="227"/>
        </w:trPr>
        <w:tc>
          <w:tcPr>
            <w:tcW w:w="1816" w:type="dxa"/>
            <w:shd w:val="clear" w:color="000000" w:fill="FFFFFF"/>
            <w:noWrap/>
            <w:vAlign w:val="bottom"/>
            <w:hideMark/>
          </w:tcPr>
          <w:p w14:paraId="274FD9DF" w14:textId="77777777" w:rsidR="006379C0" w:rsidRPr="00755915" w:rsidRDefault="006379C0" w:rsidP="00202D52">
            <w:pPr>
              <w:pStyle w:val="Tabletext"/>
            </w:pPr>
            <w:r w:rsidRPr="00755915">
              <w:t>Unilever</w:t>
            </w:r>
          </w:p>
        </w:tc>
        <w:tc>
          <w:tcPr>
            <w:tcW w:w="726" w:type="dxa"/>
            <w:shd w:val="clear" w:color="000000" w:fill="FFFFFF"/>
            <w:noWrap/>
            <w:vAlign w:val="bottom"/>
            <w:hideMark/>
          </w:tcPr>
          <w:p w14:paraId="3D661222" w14:textId="77777777" w:rsidR="006379C0" w:rsidRPr="00755915" w:rsidRDefault="006379C0" w:rsidP="00202D52">
            <w:pPr>
              <w:pStyle w:val="Tabletext"/>
            </w:pPr>
            <w:r w:rsidRPr="00755915">
              <w:t>18</w:t>
            </w:r>
          </w:p>
        </w:tc>
        <w:tc>
          <w:tcPr>
            <w:tcW w:w="994" w:type="dxa"/>
            <w:shd w:val="clear" w:color="000000" w:fill="FFFFFF"/>
            <w:noWrap/>
            <w:vAlign w:val="bottom"/>
            <w:hideMark/>
          </w:tcPr>
          <w:p w14:paraId="0FD27F31" w14:textId="77777777" w:rsidR="006379C0" w:rsidRPr="00755915" w:rsidRDefault="006379C0" w:rsidP="00202D52">
            <w:pPr>
              <w:pStyle w:val="Tabletext"/>
            </w:pPr>
            <w:r w:rsidRPr="00755915">
              <w:t>5</w:t>
            </w:r>
          </w:p>
        </w:tc>
        <w:tc>
          <w:tcPr>
            <w:tcW w:w="983" w:type="dxa"/>
            <w:shd w:val="clear" w:color="000000" w:fill="FFFFFF"/>
            <w:noWrap/>
            <w:vAlign w:val="bottom"/>
            <w:hideMark/>
          </w:tcPr>
          <w:p w14:paraId="1966304D" w14:textId="77777777" w:rsidR="006379C0" w:rsidRPr="00755915" w:rsidRDefault="006379C0" w:rsidP="00202D52">
            <w:pPr>
              <w:pStyle w:val="Tabletext"/>
            </w:pPr>
            <w:r w:rsidRPr="00755915">
              <w:t>6</w:t>
            </w:r>
          </w:p>
        </w:tc>
        <w:tc>
          <w:tcPr>
            <w:tcW w:w="236" w:type="dxa"/>
            <w:shd w:val="clear" w:color="auto" w:fill="000000" w:themeFill="text1"/>
          </w:tcPr>
          <w:p w14:paraId="0057C7FA" w14:textId="77777777" w:rsidR="006379C0" w:rsidRPr="00755915" w:rsidRDefault="006379C0" w:rsidP="00202D52">
            <w:pPr>
              <w:pStyle w:val="Tabletext"/>
            </w:pPr>
          </w:p>
        </w:tc>
        <w:tc>
          <w:tcPr>
            <w:tcW w:w="1673" w:type="dxa"/>
            <w:shd w:val="clear" w:color="000000" w:fill="FFFFFF"/>
            <w:vAlign w:val="bottom"/>
          </w:tcPr>
          <w:p w14:paraId="429F78AB" w14:textId="77777777" w:rsidR="006379C0" w:rsidRPr="00755915" w:rsidRDefault="006379C0" w:rsidP="00202D52">
            <w:pPr>
              <w:pStyle w:val="Tabletext"/>
            </w:pPr>
            <w:r w:rsidRPr="00755915">
              <w:t>HSBC Holdings</w:t>
            </w:r>
          </w:p>
        </w:tc>
        <w:tc>
          <w:tcPr>
            <w:tcW w:w="661" w:type="dxa"/>
            <w:shd w:val="clear" w:color="000000" w:fill="FFFFFF"/>
            <w:vAlign w:val="bottom"/>
          </w:tcPr>
          <w:p w14:paraId="7AE51076" w14:textId="77777777" w:rsidR="006379C0" w:rsidRPr="00755915" w:rsidRDefault="006379C0" w:rsidP="00202D52">
            <w:pPr>
              <w:pStyle w:val="Tabletext"/>
            </w:pPr>
            <w:r w:rsidRPr="00755915">
              <w:t>12</w:t>
            </w:r>
          </w:p>
        </w:tc>
        <w:tc>
          <w:tcPr>
            <w:tcW w:w="983" w:type="dxa"/>
            <w:shd w:val="clear" w:color="000000" w:fill="FFFFFF"/>
            <w:vAlign w:val="bottom"/>
          </w:tcPr>
          <w:p w14:paraId="40B56D03" w14:textId="77777777" w:rsidR="006379C0" w:rsidRPr="00755915" w:rsidRDefault="006379C0" w:rsidP="00202D52">
            <w:pPr>
              <w:pStyle w:val="Tabletext"/>
            </w:pPr>
            <w:r w:rsidRPr="00755915">
              <w:t>6</w:t>
            </w:r>
          </w:p>
        </w:tc>
        <w:tc>
          <w:tcPr>
            <w:tcW w:w="983" w:type="dxa"/>
            <w:shd w:val="clear" w:color="000000" w:fill="FFFFFF"/>
            <w:vAlign w:val="bottom"/>
          </w:tcPr>
          <w:p w14:paraId="0B23E688" w14:textId="77777777" w:rsidR="006379C0" w:rsidRPr="00755915" w:rsidRDefault="006379C0" w:rsidP="00202D52">
            <w:pPr>
              <w:pStyle w:val="Tabletext"/>
            </w:pPr>
            <w:r w:rsidRPr="00755915">
              <w:t>1</w:t>
            </w:r>
          </w:p>
        </w:tc>
      </w:tr>
      <w:tr w:rsidR="006379C0" w:rsidRPr="00755915" w14:paraId="4763F7D3" w14:textId="77777777" w:rsidTr="00116B90">
        <w:trPr>
          <w:trHeight w:hRule="exact" w:val="227"/>
        </w:trPr>
        <w:tc>
          <w:tcPr>
            <w:tcW w:w="1816" w:type="dxa"/>
            <w:shd w:val="clear" w:color="000000" w:fill="FFFFFF"/>
            <w:noWrap/>
            <w:vAlign w:val="bottom"/>
            <w:hideMark/>
          </w:tcPr>
          <w:p w14:paraId="3A8A19DE" w14:textId="77777777" w:rsidR="006379C0" w:rsidRPr="00755915" w:rsidRDefault="006379C0" w:rsidP="00202D52">
            <w:pPr>
              <w:pStyle w:val="Tabletext"/>
            </w:pPr>
            <w:r w:rsidRPr="00755915">
              <w:t>Carrefour</w:t>
            </w:r>
          </w:p>
        </w:tc>
        <w:tc>
          <w:tcPr>
            <w:tcW w:w="726" w:type="dxa"/>
            <w:shd w:val="clear" w:color="000000" w:fill="FFFFFF"/>
            <w:noWrap/>
            <w:vAlign w:val="bottom"/>
            <w:hideMark/>
          </w:tcPr>
          <w:p w14:paraId="5F0F2AF2" w14:textId="77777777" w:rsidR="006379C0" w:rsidRPr="00755915" w:rsidRDefault="006379C0" w:rsidP="00202D52">
            <w:pPr>
              <w:pStyle w:val="Tabletext"/>
            </w:pPr>
            <w:r w:rsidRPr="00755915">
              <w:t>18</w:t>
            </w:r>
          </w:p>
        </w:tc>
        <w:tc>
          <w:tcPr>
            <w:tcW w:w="994" w:type="dxa"/>
            <w:shd w:val="clear" w:color="000000" w:fill="FFFFFF"/>
            <w:noWrap/>
            <w:vAlign w:val="bottom"/>
            <w:hideMark/>
          </w:tcPr>
          <w:p w14:paraId="63EF62D3" w14:textId="77777777" w:rsidR="006379C0" w:rsidRPr="00755915" w:rsidRDefault="006379C0" w:rsidP="00202D52">
            <w:pPr>
              <w:pStyle w:val="Tabletext"/>
            </w:pPr>
            <w:r w:rsidRPr="00755915">
              <w:t>5</w:t>
            </w:r>
          </w:p>
        </w:tc>
        <w:tc>
          <w:tcPr>
            <w:tcW w:w="983" w:type="dxa"/>
            <w:shd w:val="clear" w:color="000000" w:fill="FFFFFF"/>
            <w:noWrap/>
            <w:vAlign w:val="bottom"/>
            <w:hideMark/>
          </w:tcPr>
          <w:p w14:paraId="71AF1B7B" w14:textId="77777777" w:rsidR="006379C0" w:rsidRPr="00755915" w:rsidRDefault="006379C0" w:rsidP="00202D52">
            <w:pPr>
              <w:pStyle w:val="Tabletext"/>
            </w:pPr>
            <w:r w:rsidRPr="00755915">
              <w:t>5</w:t>
            </w:r>
          </w:p>
        </w:tc>
        <w:tc>
          <w:tcPr>
            <w:tcW w:w="236" w:type="dxa"/>
            <w:shd w:val="clear" w:color="auto" w:fill="000000" w:themeFill="text1"/>
          </w:tcPr>
          <w:p w14:paraId="65BE2DED" w14:textId="77777777" w:rsidR="006379C0" w:rsidRPr="00755915" w:rsidRDefault="006379C0" w:rsidP="00202D52">
            <w:pPr>
              <w:pStyle w:val="Tabletext"/>
            </w:pPr>
          </w:p>
        </w:tc>
        <w:tc>
          <w:tcPr>
            <w:tcW w:w="1673" w:type="dxa"/>
            <w:shd w:val="clear" w:color="000000" w:fill="FFFFFF"/>
            <w:vAlign w:val="bottom"/>
          </w:tcPr>
          <w:p w14:paraId="4BF4BAD5" w14:textId="77777777" w:rsidR="006379C0" w:rsidRPr="00755915" w:rsidRDefault="006379C0" w:rsidP="00202D52">
            <w:pPr>
              <w:pStyle w:val="Tabletext"/>
            </w:pPr>
            <w:r w:rsidRPr="00755915">
              <w:t>Tesco</w:t>
            </w:r>
          </w:p>
        </w:tc>
        <w:tc>
          <w:tcPr>
            <w:tcW w:w="661" w:type="dxa"/>
            <w:shd w:val="clear" w:color="000000" w:fill="FFFFFF"/>
            <w:vAlign w:val="bottom"/>
          </w:tcPr>
          <w:p w14:paraId="06B06023" w14:textId="77777777" w:rsidR="006379C0" w:rsidRPr="00755915" w:rsidRDefault="006379C0" w:rsidP="00202D52">
            <w:pPr>
              <w:pStyle w:val="Tabletext"/>
            </w:pPr>
            <w:r w:rsidRPr="00755915">
              <w:t>11</w:t>
            </w:r>
          </w:p>
        </w:tc>
        <w:tc>
          <w:tcPr>
            <w:tcW w:w="983" w:type="dxa"/>
            <w:shd w:val="clear" w:color="000000" w:fill="FFFFFF"/>
            <w:vAlign w:val="bottom"/>
          </w:tcPr>
          <w:p w14:paraId="3764E1A0" w14:textId="77777777" w:rsidR="006379C0" w:rsidRPr="00755915" w:rsidRDefault="006379C0" w:rsidP="00202D52">
            <w:pPr>
              <w:pStyle w:val="Tabletext"/>
            </w:pPr>
            <w:r w:rsidRPr="00755915">
              <w:t>1</w:t>
            </w:r>
          </w:p>
        </w:tc>
        <w:tc>
          <w:tcPr>
            <w:tcW w:w="983" w:type="dxa"/>
            <w:shd w:val="clear" w:color="000000" w:fill="FFFFFF"/>
            <w:vAlign w:val="bottom"/>
          </w:tcPr>
          <w:p w14:paraId="343098D5" w14:textId="77777777" w:rsidR="006379C0" w:rsidRPr="00755915" w:rsidRDefault="006379C0" w:rsidP="00202D52">
            <w:pPr>
              <w:pStyle w:val="Tabletext"/>
            </w:pPr>
            <w:r w:rsidRPr="00755915">
              <w:t>3</w:t>
            </w:r>
          </w:p>
        </w:tc>
      </w:tr>
      <w:tr w:rsidR="006379C0" w:rsidRPr="00755915" w14:paraId="68D1465C" w14:textId="77777777" w:rsidTr="00116B90">
        <w:trPr>
          <w:trHeight w:hRule="exact" w:val="227"/>
        </w:trPr>
        <w:tc>
          <w:tcPr>
            <w:tcW w:w="1816" w:type="dxa"/>
            <w:shd w:val="clear" w:color="000000" w:fill="FFFFFF"/>
            <w:noWrap/>
            <w:vAlign w:val="bottom"/>
            <w:hideMark/>
          </w:tcPr>
          <w:p w14:paraId="61272853" w14:textId="77777777" w:rsidR="006379C0" w:rsidRPr="00755915" w:rsidRDefault="006379C0" w:rsidP="00202D52">
            <w:pPr>
              <w:pStyle w:val="Tabletext"/>
            </w:pPr>
            <w:r w:rsidRPr="00755915">
              <w:t>Auchan Holding</w:t>
            </w:r>
          </w:p>
        </w:tc>
        <w:tc>
          <w:tcPr>
            <w:tcW w:w="726" w:type="dxa"/>
            <w:shd w:val="clear" w:color="000000" w:fill="FFFFFF"/>
            <w:noWrap/>
            <w:vAlign w:val="bottom"/>
            <w:hideMark/>
          </w:tcPr>
          <w:p w14:paraId="3642EDB7" w14:textId="77777777" w:rsidR="006379C0" w:rsidRPr="00755915" w:rsidRDefault="006379C0" w:rsidP="00202D52">
            <w:pPr>
              <w:pStyle w:val="Tabletext"/>
            </w:pPr>
            <w:r w:rsidRPr="00755915">
              <w:t>17</w:t>
            </w:r>
          </w:p>
        </w:tc>
        <w:tc>
          <w:tcPr>
            <w:tcW w:w="994" w:type="dxa"/>
            <w:shd w:val="clear" w:color="000000" w:fill="FFFFFF"/>
            <w:noWrap/>
            <w:vAlign w:val="bottom"/>
            <w:hideMark/>
          </w:tcPr>
          <w:p w14:paraId="40A65F18" w14:textId="77777777" w:rsidR="006379C0" w:rsidRPr="00755915" w:rsidRDefault="006379C0" w:rsidP="00202D52">
            <w:pPr>
              <w:pStyle w:val="Tabletext"/>
            </w:pPr>
            <w:r w:rsidRPr="00755915">
              <w:t>6</w:t>
            </w:r>
          </w:p>
        </w:tc>
        <w:tc>
          <w:tcPr>
            <w:tcW w:w="983" w:type="dxa"/>
            <w:shd w:val="clear" w:color="000000" w:fill="FFFFFF"/>
            <w:noWrap/>
            <w:vAlign w:val="bottom"/>
            <w:hideMark/>
          </w:tcPr>
          <w:p w14:paraId="499AFED9" w14:textId="77777777" w:rsidR="006379C0" w:rsidRPr="00755915" w:rsidRDefault="006379C0" w:rsidP="00202D52">
            <w:pPr>
              <w:pStyle w:val="Tabletext"/>
            </w:pPr>
            <w:r w:rsidRPr="00755915">
              <w:t>4</w:t>
            </w:r>
          </w:p>
        </w:tc>
        <w:tc>
          <w:tcPr>
            <w:tcW w:w="236" w:type="dxa"/>
            <w:shd w:val="clear" w:color="auto" w:fill="000000" w:themeFill="text1"/>
          </w:tcPr>
          <w:p w14:paraId="5A2FB095" w14:textId="77777777" w:rsidR="006379C0" w:rsidRPr="00755915" w:rsidRDefault="006379C0" w:rsidP="00202D52">
            <w:pPr>
              <w:pStyle w:val="Tabletext"/>
            </w:pPr>
          </w:p>
        </w:tc>
        <w:tc>
          <w:tcPr>
            <w:tcW w:w="1673" w:type="dxa"/>
            <w:shd w:val="clear" w:color="000000" w:fill="FFFFFF"/>
            <w:vAlign w:val="bottom"/>
          </w:tcPr>
          <w:p w14:paraId="72963797" w14:textId="77777777" w:rsidR="006379C0" w:rsidRPr="00755915" w:rsidRDefault="006379C0" w:rsidP="00202D52">
            <w:pPr>
              <w:pStyle w:val="Tabletext"/>
            </w:pPr>
            <w:r w:rsidRPr="00755915">
              <w:t>Airbus Group</w:t>
            </w:r>
          </w:p>
        </w:tc>
        <w:tc>
          <w:tcPr>
            <w:tcW w:w="661" w:type="dxa"/>
            <w:shd w:val="clear" w:color="000000" w:fill="FFFFFF"/>
            <w:vAlign w:val="bottom"/>
          </w:tcPr>
          <w:p w14:paraId="07DF988A" w14:textId="77777777" w:rsidR="006379C0" w:rsidRPr="00755915" w:rsidRDefault="006379C0" w:rsidP="00202D52">
            <w:pPr>
              <w:pStyle w:val="Tabletext"/>
            </w:pPr>
            <w:r w:rsidRPr="00755915">
              <w:t>11</w:t>
            </w:r>
          </w:p>
        </w:tc>
        <w:tc>
          <w:tcPr>
            <w:tcW w:w="983" w:type="dxa"/>
            <w:shd w:val="clear" w:color="000000" w:fill="FFFFFF"/>
            <w:vAlign w:val="bottom"/>
          </w:tcPr>
          <w:p w14:paraId="27EBA333" w14:textId="77777777" w:rsidR="006379C0" w:rsidRPr="00755915" w:rsidRDefault="006379C0" w:rsidP="00202D52">
            <w:pPr>
              <w:pStyle w:val="Tabletext"/>
            </w:pPr>
            <w:r w:rsidRPr="00755915">
              <w:t>2</w:t>
            </w:r>
          </w:p>
        </w:tc>
        <w:tc>
          <w:tcPr>
            <w:tcW w:w="983" w:type="dxa"/>
            <w:shd w:val="clear" w:color="000000" w:fill="FFFFFF"/>
            <w:vAlign w:val="bottom"/>
          </w:tcPr>
          <w:p w14:paraId="15E0B6CB" w14:textId="77777777" w:rsidR="006379C0" w:rsidRPr="00755915" w:rsidRDefault="006379C0" w:rsidP="00202D52">
            <w:pPr>
              <w:pStyle w:val="Tabletext"/>
            </w:pPr>
            <w:r w:rsidRPr="00755915">
              <w:t>2</w:t>
            </w:r>
          </w:p>
        </w:tc>
      </w:tr>
      <w:tr w:rsidR="006379C0" w:rsidRPr="00755915" w14:paraId="350C6D46" w14:textId="77777777" w:rsidTr="00116B90">
        <w:trPr>
          <w:trHeight w:hRule="exact" w:val="227"/>
        </w:trPr>
        <w:tc>
          <w:tcPr>
            <w:tcW w:w="1816" w:type="dxa"/>
            <w:shd w:val="clear" w:color="000000" w:fill="FFFFFF"/>
            <w:noWrap/>
            <w:vAlign w:val="bottom"/>
            <w:hideMark/>
          </w:tcPr>
          <w:p w14:paraId="3F85359A" w14:textId="77777777" w:rsidR="006379C0" w:rsidRPr="00755915" w:rsidRDefault="006379C0" w:rsidP="00202D52">
            <w:pPr>
              <w:pStyle w:val="Tabletext"/>
            </w:pPr>
            <w:r w:rsidRPr="00755915">
              <w:t>Royal Dutch Shell</w:t>
            </w:r>
          </w:p>
        </w:tc>
        <w:tc>
          <w:tcPr>
            <w:tcW w:w="726" w:type="dxa"/>
            <w:shd w:val="clear" w:color="000000" w:fill="FFFFFF"/>
            <w:noWrap/>
            <w:vAlign w:val="bottom"/>
            <w:hideMark/>
          </w:tcPr>
          <w:p w14:paraId="74662A49" w14:textId="77777777" w:rsidR="006379C0" w:rsidRPr="00755915" w:rsidRDefault="006379C0" w:rsidP="00202D52">
            <w:pPr>
              <w:pStyle w:val="Tabletext"/>
            </w:pPr>
            <w:r w:rsidRPr="00755915">
              <w:t>17</w:t>
            </w:r>
          </w:p>
        </w:tc>
        <w:tc>
          <w:tcPr>
            <w:tcW w:w="994" w:type="dxa"/>
            <w:shd w:val="clear" w:color="000000" w:fill="FFFFFF"/>
            <w:noWrap/>
            <w:vAlign w:val="bottom"/>
            <w:hideMark/>
          </w:tcPr>
          <w:p w14:paraId="0E712E74" w14:textId="77777777" w:rsidR="006379C0" w:rsidRPr="00755915" w:rsidRDefault="006379C0" w:rsidP="00202D52">
            <w:pPr>
              <w:pStyle w:val="Tabletext"/>
            </w:pPr>
            <w:r w:rsidRPr="00755915">
              <w:t>7</w:t>
            </w:r>
          </w:p>
        </w:tc>
        <w:tc>
          <w:tcPr>
            <w:tcW w:w="983" w:type="dxa"/>
            <w:shd w:val="clear" w:color="000000" w:fill="FFFFFF"/>
            <w:noWrap/>
            <w:vAlign w:val="bottom"/>
            <w:hideMark/>
          </w:tcPr>
          <w:p w14:paraId="270FDC67" w14:textId="77777777" w:rsidR="006379C0" w:rsidRPr="00755915" w:rsidRDefault="006379C0" w:rsidP="00202D52">
            <w:pPr>
              <w:pStyle w:val="Tabletext"/>
            </w:pPr>
            <w:r w:rsidRPr="00755915">
              <w:t>5</w:t>
            </w:r>
          </w:p>
        </w:tc>
        <w:tc>
          <w:tcPr>
            <w:tcW w:w="236" w:type="dxa"/>
            <w:shd w:val="clear" w:color="auto" w:fill="000000" w:themeFill="text1"/>
          </w:tcPr>
          <w:p w14:paraId="2687211A" w14:textId="77777777" w:rsidR="006379C0" w:rsidRPr="00755915" w:rsidRDefault="006379C0" w:rsidP="00202D52">
            <w:pPr>
              <w:pStyle w:val="Tabletext"/>
            </w:pPr>
          </w:p>
        </w:tc>
        <w:tc>
          <w:tcPr>
            <w:tcW w:w="1673" w:type="dxa"/>
            <w:shd w:val="clear" w:color="000000" w:fill="FFFFFF"/>
            <w:vAlign w:val="bottom"/>
          </w:tcPr>
          <w:p w14:paraId="290DB970" w14:textId="77777777" w:rsidR="006379C0" w:rsidRPr="00755915" w:rsidRDefault="006379C0" w:rsidP="00202D52">
            <w:pPr>
              <w:pStyle w:val="Tabletext"/>
            </w:pPr>
            <w:r w:rsidRPr="00755915">
              <w:t>Volkswagen AG</w:t>
            </w:r>
          </w:p>
        </w:tc>
        <w:tc>
          <w:tcPr>
            <w:tcW w:w="661" w:type="dxa"/>
            <w:shd w:val="clear" w:color="000000" w:fill="FFFFFF"/>
            <w:vAlign w:val="bottom"/>
          </w:tcPr>
          <w:p w14:paraId="0E8FD31C" w14:textId="77777777" w:rsidR="006379C0" w:rsidRPr="00755915" w:rsidRDefault="006379C0" w:rsidP="00202D52">
            <w:pPr>
              <w:pStyle w:val="Tabletext"/>
            </w:pPr>
            <w:r w:rsidRPr="00755915">
              <w:t>10</w:t>
            </w:r>
          </w:p>
        </w:tc>
        <w:tc>
          <w:tcPr>
            <w:tcW w:w="983" w:type="dxa"/>
            <w:shd w:val="clear" w:color="000000" w:fill="FFFFFF"/>
            <w:vAlign w:val="bottom"/>
          </w:tcPr>
          <w:p w14:paraId="3EA28F58" w14:textId="77777777" w:rsidR="006379C0" w:rsidRPr="00755915" w:rsidRDefault="006379C0" w:rsidP="00202D52">
            <w:pPr>
              <w:pStyle w:val="Tabletext"/>
            </w:pPr>
            <w:r w:rsidRPr="00755915">
              <w:t>1</w:t>
            </w:r>
          </w:p>
        </w:tc>
        <w:tc>
          <w:tcPr>
            <w:tcW w:w="983" w:type="dxa"/>
            <w:shd w:val="clear" w:color="000000" w:fill="FFFFFF"/>
            <w:vAlign w:val="bottom"/>
          </w:tcPr>
          <w:p w14:paraId="7D620951" w14:textId="77777777" w:rsidR="006379C0" w:rsidRPr="00755915" w:rsidRDefault="006379C0" w:rsidP="00202D52">
            <w:pPr>
              <w:pStyle w:val="Tabletext"/>
            </w:pPr>
            <w:r w:rsidRPr="00755915">
              <w:t>6</w:t>
            </w:r>
          </w:p>
        </w:tc>
      </w:tr>
      <w:tr w:rsidR="006379C0" w:rsidRPr="00755915" w14:paraId="3EEE62BA" w14:textId="77777777" w:rsidTr="00116B90">
        <w:trPr>
          <w:trHeight w:hRule="exact" w:val="227"/>
        </w:trPr>
        <w:tc>
          <w:tcPr>
            <w:tcW w:w="1816" w:type="dxa"/>
            <w:shd w:val="clear" w:color="000000" w:fill="FFFFFF"/>
            <w:noWrap/>
            <w:vAlign w:val="bottom"/>
            <w:hideMark/>
          </w:tcPr>
          <w:p w14:paraId="38C8F238" w14:textId="77777777" w:rsidR="006379C0" w:rsidRPr="00755915" w:rsidRDefault="006379C0" w:rsidP="00202D52">
            <w:pPr>
              <w:pStyle w:val="Tabletext"/>
            </w:pPr>
            <w:r w:rsidRPr="00755915">
              <w:t xml:space="preserve">FCA </w:t>
            </w:r>
          </w:p>
        </w:tc>
        <w:tc>
          <w:tcPr>
            <w:tcW w:w="726" w:type="dxa"/>
            <w:shd w:val="clear" w:color="000000" w:fill="FFFFFF"/>
            <w:noWrap/>
            <w:vAlign w:val="bottom"/>
            <w:hideMark/>
          </w:tcPr>
          <w:p w14:paraId="10011561" w14:textId="77777777" w:rsidR="006379C0" w:rsidRPr="00755915" w:rsidRDefault="006379C0" w:rsidP="00202D52">
            <w:pPr>
              <w:pStyle w:val="Tabletext"/>
            </w:pPr>
            <w:r w:rsidRPr="00755915">
              <w:t>16</w:t>
            </w:r>
          </w:p>
        </w:tc>
        <w:tc>
          <w:tcPr>
            <w:tcW w:w="994" w:type="dxa"/>
            <w:shd w:val="clear" w:color="000000" w:fill="FFFFFF"/>
            <w:noWrap/>
            <w:vAlign w:val="bottom"/>
            <w:hideMark/>
          </w:tcPr>
          <w:p w14:paraId="149DE536" w14:textId="77777777" w:rsidR="006379C0" w:rsidRPr="00755915" w:rsidRDefault="006379C0" w:rsidP="00202D52">
            <w:pPr>
              <w:pStyle w:val="Tabletext"/>
            </w:pPr>
            <w:r w:rsidRPr="00755915">
              <w:t>5</w:t>
            </w:r>
          </w:p>
        </w:tc>
        <w:tc>
          <w:tcPr>
            <w:tcW w:w="983" w:type="dxa"/>
            <w:shd w:val="clear" w:color="000000" w:fill="FFFFFF"/>
            <w:noWrap/>
            <w:vAlign w:val="bottom"/>
            <w:hideMark/>
          </w:tcPr>
          <w:p w14:paraId="086EFA39" w14:textId="77777777" w:rsidR="006379C0" w:rsidRPr="00755915" w:rsidRDefault="006379C0" w:rsidP="00202D52">
            <w:pPr>
              <w:pStyle w:val="Tabletext"/>
            </w:pPr>
            <w:r w:rsidRPr="00755915">
              <w:t>8</w:t>
            </w:r>
          </w:p>
        </w:tc>
        <w:tc>
          <w:tcPr>
            <w:tcW w:w="236" w:type="dxa"/>
            <w:shd w:val="clear" w:color="auto" w:fill="000000" w:themeFill="text1"/>
          </w:tcPr>
          <w:p w14:paraId="248219A0" w14:textId="77777777" w:rsidR="006379C0" w:rsidRPr="00755915" w:rsidRDefault="006379C0" w:rsidP="00202D52">
            <w:pPr>
              <w:pStyle w:val="Tabletext"/>
            </w:pPr>
          </w:p>
        </w:tc>
        <w:tc>
          <w:tcPr>
            <w:tcW w:w="1673" w:type="dxa"/>
            <w:shd w:val="clear" w:color="000000" w:fill="FFFFFF"/>
            <w:vAlign w:val="bottom"/>
          </w:tcPr>
          <w:p w14:paraId="2E1DDC74" w14:textId="77777777" w:rsidR="006379C0" w:rsidRPr="00755915" w:rsidRDefault="006379C0" w:rsidP="00202D52">
            <w:pPr>
              <w:pStyle w:val="Tabletext"/>
            </w:pPr>
            <w:r w:rsidRPr="00755915">
              <w:t>Deutsche Post DHL Gr.</w:t>
            </w:r>
          </w:p>
        </w:tc>
        <w:tc>
          <w:tcPr>
            <w:tcW w:w="661" w:type="dxa"/>
            <w:shd w:val="clear" w:color="000000" w:fill="FFFFFF"/>
            <w:vAlign w:val="bottom"/>
          </w:tcPr>
          <w:p w14:paraId="4A9F1300" w14:textId="77777777" w:rsidR="006379C0" w:rsidRPr="00755915" w:rsidRDefault="006379C0" w:rsidP="00202D52">
            <w:pPr>
              <w:pStyle w:val="Tabletext"/>
            </w:pPr>
            <w:r w:rsidRPr="00755915">
              <w:t>10</w:t>
            </w:r>
          </w:p>
        </w:tc>
        <w:tc>
          <w:tcPr>
            <w:tcW w:w="983" w:type="dxa"/>
            <w:shd w:val="clear" w:color="000000" w:fill="FFFFFF"/>
            <w:vAlign w:val="bottom"/>
          </w:tcPr>
          <w:p w14:paraId="53A8BE11" w14:textId="77777777" w:rsidR="006379C0" w:rsidRPr="00755915" w:rsidRDefault="006379C0" w:rsidP="00202D52">
            <w:pPr>
              <w:pStyle w:val="Tabletext"/>
            </w:pPr>
            <w:r w:rsidRPr="00755915">
              <w:t>3</w:t>
            </w:r>
          </w:p>
        </w:tc>
        <w:tc>
          <w:tcPr>
            <w:tcW w:w="983" w:type="dxa"/>
            <w:shd w:val="clear" w:color="000000" w:fill="FFFFFF"/>
            <w:vAlign w:val="bottom"/>
          </w:tcPr>
          <w:p w14:paraId="0B906E91" w14:textId="77777777" w:rsidR="006379C0" w:rsidRPr="00755915" w:rsidRDefault="006379C0" w:rsidP="00202D52">
            <w:pPr>
              <w:pStyle w:val="Tabletext"/>
            </w:pPr>
            <w:r w:rsidRPr="00755915">
              <w:t>1</w:t>
            </w:r>
          </w:p>
        </w:tc>
      </w:tr>
      <w:tr w:rsidR="006379C0" w:rsidRPr="00755915" w14:paraId="531A329B" w14:textId="77777777" w:rsidTr="00116B90">
        <w:trPr>
          <w:trHeight w:hRule="exact" w:val="227"/>
        </w:trPr>
        <w:tc>
          <w:tcPr>
            <w:tcW w:w="1816" w:type="dxa"/>
            <w:shd w:val="clear" w:color="000000" w:fill="FFFFFF"/>
            <w:noWrap/>
            <w:vAlign w:val="bottom"/>
            <w:hideMark/>
          </w:tcPr>
          <w:p w14:paraId="5A4E604C" w14:textId="77777777" w:rsidR="006379C0" w:rsidRPr="00755915" w:rsidRDefault="006379C0" w:rsidP="00202D52">
            <w:pPr>
              <w:pStyle w:val="Tabletext"/>
            </w:pPr>
            <w:r w:rsidRPr="00755915">
              <w:t xml:space="preserve">Renault </w:t>
            </w:r>
          </w:p>
        </w:tc>
        <w:tc>
          <w:tcPr>
            <w:tcW w:w="726" w:type="dxa"/>
            <w:shd w:val="clear" w:color="000000" w:fill="FFFFFF"/>
            <w:noWrap/>
            <w:vAlign w:val="bottom"/>
            <w:hideMark/>
          </w:tcPr>
          <w:p w14:paraId="0BD11E93" w14:textId="77777777" w:rsidR="006379C0" w:rsidRPr="00755915" w:rsidRDefault="006379C0" w:rsidP="00202D52">
            <w:pPr>
              <w:pStyle w:val="Tabletext"/>
            </w:pPr>
            <w:r w:rsidRPr="00755915">
              <w:t>16</w:t>
            </w:r>
          </w:p>
        </w:tc>
        <w:tc>
          <w:tcPr>
            <w:tcW w:w="994" w:type="dxa"/>
            <w:shd w:val="clear" w:color="000000" w:fill="FFFFFF"/>
            <w:noWrap/>
            <w:vAlign w:val="bottom"/>
            <w:hideMark/>
          </w:tcPr>
          <w:p w14:paraId="708EB482" w14:textId="77777777" w:rsidR="006379C0" w:rsidRPr="00755915" w:rsidRDefault="006379C0" w:rsidP="00202D52">
            <w:pPr>
              <w:pStyle w:val="Tabletext"/>
            </w:pPr>
            <w:r w:rsidRPr="00755915">
              <w:t>2</w:t>
            </w:r>
          </w:p>
        </w:tc>
        <w:tc>
          <w:tcPr>
            <w:tcW w:w="983" w:type="dxa"/>
            <w:shd w:val="clear" w:color="000000" w:fill="FFFFFF"/>
            <w:noWrap/>
            <w:vAlign w:val="bottom"/>
            <w:hideMark/>
          </w:tcPr>
          <w:p w14:paraId="2DAFC787" w14:textId="77777777" w:rsidR="006379C0" w:rsidRPr="00755915" w:rsidRDefault="006379C0" w:rsidP="00202D52">
            <w:pPr>
              <w:pStyle w:val="Tabletext"/>
            </w:pPr>
            <w:r w:rsidRPr="00755915">
              <w:t>6</w:t>
            </w:r>
          </w:p>
        </w:tc>
        <w:tc>
          <w:tcPr>
            <w:tcW w:w="236" w:type="dxa"/>
            <w:shd w:val="clear" w:color="auto" w:fill="000000" w:themeFill="text1"/>
          </w:tcPr>
          <w:p w14:paraId="4B8659E3" w14:textId="77777777" w:rsidR="006379C0" w:rsidRPr="00755915" w:rsidRDefault="006379C0" w:rsidP="00202D52">
            <w:pPr>
              <w:pStyle w:val="Tabletext"/>
            </w:pPr>
          </w:p>
        </w:tc>
        <w:tc>
          <w:tcPr>
            <w:tcW w:w="1673" w:type="dxa"/>
            <w:shd w:val="clear" w:color="000000" w:fill="FFFFFF"/>
            <w:vAlign w:val="bottom"/>
          </w:tcPr>
          <w:p w14:paraId="7C333D1E" w14:textId="77777777" w:rsidR="006379C0" w:rsidRPr="00755915" w:rsidRDefault="006379C0" w:rsidP="00202D52">
            <w:pPr>
              <w:pStyle w:val="Tabletext"/>
            </w:pPr>
            <w:r w:rsidRPr="00755915">
              <w:t>BASF </w:t>
            </w:r>
          </w:p>
        </w:tc>
        <w:tc>
          <w:tcPr>
            <w:tcW w:w="661" w:type="dxa"/>
            <w:shd w:val="clear" w:color="000000" w:fill="FFFFFF"/>
            <w:vAlign w:val="bottom"/>
          </w:tcPr>
          <w:p w14:paraId="54BC9811" w14:textId="77777777" w:rsidR="006379C0" w:rsidRPr="00755915" w:rsidRDefault="006379C0" w:rsidP="00202D52">
            <w:pPr>
              <w:pStyle w:val="Tabletext"/>
            </w:pPr>
            <w:r w:rsidRPr="00755915">
              <w:t>10</w:t>
            </w:r>
          </w:p>
        </w:tc>
        <w:tc>
          <w:tcPr>
            <w:tcW w:w="983" w:type="dxa"/>
            <w:shd w:val="clear" w:color="000000" w:fill="FFFFFF"/>
            <w:vAlign w:val="bottom"/>
          </w:tcPr>
          <w:p w14:paraId="62229ADE" w14:textId="77777777" w:rsidR="006379C0" w:rsidRPr="00755915" w:rsidRDefault="006379C0" w:rsidP="00202D52">
            <w:pPr>
              <w:pStyle w:val="Tabletext"/>
            </w:pPr>
            <w:r w:rsidRPr="00755915">
              <w:t>5</w:t>
            </w:r>
          </w:p>
        </w:tc>
        <w:tc>
          <w:tcPr>
            <w:tcW w:w="983" w:type="dxa"/>
            <w:shd w:val="clear" w:color="000000" w:fill="FFFFFF"/>
            <w:vAlign w:val="bottom"/>
          </w:tcPr>
          <w:p w14:paraId="649C168E" w14:textId="77777777" w:rsidR="006379C0" w:rsidRPr="00755915" w:rsidRDefault="006379C0" w:rsidP="00202D52">
            <w:pPr>
              <w:pStyle w:val="Tabletext"/>
            </w:pPr>
            <w:r w:rsidRPr="00755915">
              <w:t>1</w:t>
            </w:r>
          </w:p>
        </w:tc>
      </w:tr>
      <w:tr w:rsidR="006379C0" w:rsidRPr="00755915" w14:paraId="15D365CD" w14:textId="77777777" w:rsidTr="00116B90">
        <w:trPr>
          <w:trHeight w:hRule="exact" w:val="227"/>
        </w:trPr>
        <w:tc>
          <w:tcPr>
            <w:tcW w:w="1816" w:type="dxa"/>
            <w:shd w:val="clear" w:color="000000" w:fill="FFFFFF"/>
            <w:noWrap/>
            <w:vAlign w:val="bottom"/>
            <w:hideMark/>
          </w:tcPr>
          <w:p w14:paraId="2F14492A" w14:textId="77777777" w:rsidR="006379C0" w:rsidRPr="00755915" w:rsidRDefault="006379C0" w:rsidP="00202D52">
            <w:pPr>
              <w:pStyle w:val="Tabletext"/>
            </w:pPr>
            <w:r w:rsidRPr="00755915">
              <w:t>Telefonica</w:t>
            </w:r>
          </w:p>
        </w:tc>
        <w:tc>
          <w:tcPr>
            <w:tcW w:w="726" w:type="dxa"/>
            <w:shd w:val="clear" w:color="000000" w:fill="FFFFFF"/>
            <w:noWrap/>
            <w:vAlign w:val="bottom"/>
            <w:hideMark/>
          </w:tcPr>
          <w:p w14:paraId="38479677" w14:textId="77777777" w:rsidR="006379C0" w:rsidRPr="00755915" w:rsidRDefault="006379C0" w:rsidP="00202D52">
            <w:pPr>
              <w:pStyle w:val="Tabletext"/>
            </w:pPr>
            <w:r w:rsidRPr="00755915">
              <w:t>16</w:t>
            </w:r>
          </w:p>
        </w:tc>
        <w:tc>
          <w:tcPr>
            <w:tcW w:w="994" w:type="dxa"/>
            <w:shd w:val="clear" w:color="000000" w:fill="FFFFFF"/>
            <w:noWrap/>
            <w:vAlign w:val="bottom"/>
            <w:hideMark/>
          </w:tcPr>
          <w:p w14:paraId="2D6434A4" w14:textId="77777777" w:rsidR="006379C0" w:rsidRPr="00755915" w:rsidRDefault="006379C0" w:rsidP="00202D52">
            <w:pPr>
              <w:pStyle w:val="Tabletext"/>
            </w:pPr>
            <w:r w:rsidRPr="00755915">
              <w:t>5</w:t>
            </w:r>
          </w:p>
        </w:tc>
        <w:tc>
          <w:tcPr>
            <w:tcW w:w="983" w:type="dxa"/>
            <w:shd w:val="clear" w:color="000000" w:fill="FFFFFF"/>
            <w:noWrap/>
            <w:vAlign w:val="bottom"/>
            <w:hideMark/>
          </w:tcPr>
          <w:p w14:paraId="78443025" w14:textId="77777777" w:rsidR="006379C0" w:rsidRPr="00755915" w:rsidRDefault="006379C0" w:rsidP="00202D52">
            <w:pPr>
              <w:pStyle w:val="Tabletext"/>
            </w:pPr>
            <w:r w:rsidRPr="00755915">
              <w:t>1</w:t>
            </w:r>
          </w:p>
        </w:tc>
        <w:tc>
          <w:tcPr>
            <w:tcW w:w="236" w:type="dxa"/>
            <w:shd w:val="clear" w:color="auto" w:fill="000000" w:themeFill="text1"/>
          </w:tcPr>
          <w:p w14:paraId="6AF800F6" w14:textId="77777777" w:rsidR="006379C0" w:rsidRPr="00755915" w:rsidRDefault="006379C0" w:rsidP="00202D52">
            <w:pPr>
              <w:pStyle w:val="Tabletext"/>
            </w:pPr>
          </w:p>
        </w:tc>
        <w:tc>
          <w:tcPr>
            <w:tcW w:w="1673" w:type="dxa"/>
            <w:shd w:val="clear" w:color="000000" w:fill="FFFFFF"/>
            <w:vAlign w:val="bottom"/>
          </w:tcPr>
          <w:p w14:paraId="4749D195" w14:textId="77777777" w:rsidR="006379C0" w:rsidRPr="00755915" w:rsidRDefault="006379C0" w:rsidP="00202D52">
            <w:pPr>
              <w:pStyle w:val="Tabletext"/>
            </w:pPr>
            <w:r w:rsidRPr="00755915">
              <w:t>Prudential</w:t>
            </w:r>
          </w:p>
        </w:tc>
        <w:tc>
          <w:tcPr>
            <w:tcW w:w="661" w:type="dxa"/>
            <w:shd w:val="clear" w:color="000000" w:fill="FFFFFF"/>
            <w:vAlign w:val="bottom"/>
          </w:tcPr>
          <w:p w14:paraId="75FA107A" w14:textId="77777777" w:rsidR="006379C0" w:rsidRPr="00755915" w:rsidRDefault="006379C0" w:rsidP="00202D52">
            <w:pPr>
              <w:pStyle w:val="Tabletext"/>
            </w:pPr>
            <w:r w:rsidRPr="00755915">
              <w:t>9</w:t>
            </w:r>
          </w:p>
        </w:tc>
        <w:tc>
          <w:tcPr>
            <w:tcW w:w="983" w:type="dxa"/>
            <w:shd w:val="clear" w:color="000000" w:fill="FFFFFF"/>
            <w:vAlign w:val="bottom"/>
          </w:tcPr>
          <w:p w14:paraId="1556FFE0" w14:textId="77777777" w:rsidR="006379C0" w:rsidRPr="00755915" w:rsidRDefault="006379C0" w:rsidP="00202D52">
            <w:pPr>
              <w:pStyle w:val="Tabletext"/>
            </w:pPr>
            <w:r w:rsidRPr="00755915">
              <w:t>3</w:t>
            </w:r>
          </w:p>
        </w:tc>
        <w:tc>
          <w:tcPr>
            <w:tcW w:w="983" w:type="dxa"/>
            <w:shd w:val="clear" w:color="000000" w:fill="FFFFFF"/>
            <w:vAlign w:val="bottom"/>
          </w:tcPr>
          <w:p w14:paraId="45A2E90D" w14:textId="77777777" w:rsidR="006379C0" w:rsidRPr="00755915" w:rsidRDefault="006379C0" w:rsidP="00202D52">
            <w:pPr>
              <w:pStyle w:val="Tabletext"/>
            </w:pPr>
            <w:r w:rsidRPr="00755915">
              <w:t>0</w:t>
            </w:r>
          </w:p>
        </w:tc>
      </w:tr>
      <w:tr w:rsidR="006379C0" w:rsidRPr="00755915" w14:paraId="608167D3" w14:textId="77777777" w:rsidTr="00116B90">
        <w:trPr>
          <w:trHeight w:hRule="exact" w:val="227"/>
        </w:trPr>
        <w:tc>
          <w:tcPr>
            <w:tcW w:w="1816" w:type="dxa"/>
            <w:shd w:val="clear" w:color="000000" w:fill="FFFFFF"/>
            <w:noWrap/>
            <w:vAlign w:val="bottom"/>
            <w:hideMark/>
          </w:tcPr>
          <w:p w14:paraId="69F52749" w14:textId="77777777" w:rsidR="006379C0" w:rsidRPr="00755915" w:rsidRDefault="006379C0" w:rsidP="00202D52">
            <w:pPr>
              <w:pStyle w:val="Tabletext"/>
            </w:pPr>
            <w:r w:rsidRPr="00755915">
              <w:t>BNP Paribas</w:t>
            </w:r>
          </w:p>
        </w:tc>
        <w:tc>
          <w:tcPr>
            <w:tcW w:w="726" w:type="dxa"/>
            <w:shd w:val="clear" w:color="000000" w:fill="FFFFFF"/>
            <w:noWrap/>
            <w:vAlign w:val="bottom"/>
            <w:hideMark/>
          </w:tcPr>
          <w:p w14:paraId="7CF11619" w14:textId="77777777" w:rsidR="006379C0" w:rsidRPr="00755915" w:rsidRDefault="006379C0" w:rsidP="00202D52">
            <w:pPr>
              <w:pStyle w:val="Tabletext"/>
            </w:pPr>
            <w:r w:rsidRPr="00755915">
              <w:t>15</w:t>
            </w:r>
          </w:p>
        </w:tc>
        <w:tc>
          <w:tcPr>
            <w:tcW w:w="994" w:type="dxa"/>
            <w:shd w:val="clear" w:color="000000" w:fill="FFFFFF"/>
            <w:noWrap/>
            <w:vAlign w:val="bottom"/>
            <w:hideMark/>
          </w:tcPr>
          <w:p w14:paraId="47E9C394" w14:textId="77777777" w:rsidR="006379C0" w:rsidRPr="00755915" w:rsidRDefault="006379C0" w:rsidP="00202D52">
            <w:pPr>
              <w:pStyle w:val="Tabletext"/>
            </w:pPr>
            <w:r w:rsidRPr="00755915">
              <w:t>3</w:t>
            </w:r>
          </w:p>
        </w:tc>
        <w:tc>
          <w:tcPr>
            <w:tcW w:w="983" w:type="dxa"/>
            <w:shd w:val="clear" w:color="000000" w:fill="FFFFFF"/>
            <w:noWrap/>
            <w:vAlign w:val="bottom"/>
            <w:hideMark/>
          </w:tcPr>
          <w:p w14:paraId="6E00E067" w14:textId="77777777" w:rsidR="006379C0" w:rsidRPr="00755915" w:rsidRDefault="006379C0" w:rsidP="00202D52">
            <w:pPr>
              <w:pStyle w:val="Tabletext"/>
            </w:pPr>
            <w:r w:rsidRPr="00755915">
              <w:t>4</w:t>
            </w:r>
          </w:p>
        </w:tc>
        <w:tc>
          <w:tcPr>
            <w:tcW w:w="236" w:type="dxa"/>
            <w:shd w:val="clear" w:color="auto" w:fill="000000" w:themeFill="text1"/>
          </w:tcPr>
          <w:p w14:paraId="32ADAEE1" w14:textId="77777777" w:rsidR="006379C0" w:rsidRPr="00755915" w:rsidRDefault="006379C0" w:rsidP="00202D52">
            <w:pPr>
              <w:pStyle w:val="Tabletext"/>
            </w:pPr>
          </w:p>
        </w:tc>
        <w:tc>
          <w:tcPr>
            <w:tcW w:w="1673" w:type="dxa"/>
            <w:shd w:val="clear" w:color="000000" w:fill="FFFFFF"/>
            <w:vAlign w:val="bottom"/>
          </w:tcPr>
          <w:p w14:paraId="4C1AB119" w14:textId="77777777" w:rsidR="006379C0" w:rsidRPr="00755915" w:rsidRDefault="006379C0" w:rsidP="00202D52">
            <w:pPr>
              <w:pStyle w:val="Tabletext"/>
            </w:pPr>
            <w:r w:rsidRPr="00755915">
              <w:t xml:space="preserve">Equinor </w:t>
            </w:r>
          </w:p>
        </w:tc>
        <w:tc>
          <w:tcPr>
            <w:tcW w:w="661" w:type="dxa"/>
            <w:shd w:val="clear" w:color="000000" w:fill="FFFFFF"/>
            <w:vAlign w:val="bottom"/>
          </w:tcPr>
          <w:p w14:paraId="3708F13C" w14:textId="77777777" w:rsidR="006379C0" w:rsidRPr="00755915" w:rsidRDefault="006379C0" w:rsidP="00202D52">
            <w:pPr>
              <w:pStyle w:val="Tabletext"/>
            </w:pPr>
            <w:r w:rsidRPr="00755915">
              <w:t>8</w:t>
            </w:r>
          </w:p>
        </w:tc>
        <w:tc>
          <w:tcPr>
            <w:tcW w:w="983" w:type="dxa"/>
            <w:shd w:val="clear" w:color="000000" w:fill="FFFFFF"/>
            <w:vAlign w:val="bottom"/>
          </w:tcPr>
          <w:p w14:paraId="6D1B6CE0" w14:textId="77777777" w:rsidR="006379C0" w:rsidRPr="00755915" w:rsidRDefault="006379C0" w:rsidP="00202D52">
            <w:pPr>
              <w:pStyle w:val="Tabletext"/>
            </w:pPr>
            <w:r w:rsidRPr="00755915">
              <w:t>2</w:t>
            </w:r>
          </w:p>
        </w:tc>
        <w:tc>
          <w:tcPr>
            <w:tcW w:w="983" w:type="dxa"/>
            <w:shd w:val="clear" w:color="000000" w:fill="FFFFFF"/>
            <w:vAlign w:val="bottom"/>
          </w:tcPr>
          <w:p w14:paraId="502CC4A9" w14:textId="77777777" w:rsidR="006379C0" w:rsidRPr="00755915" w:rsidRDefault="006379C0" w:rsidP="00202D52">
            <w:pPr>
              <w:pStyle w:val="Tabletext"/>
            </w:pPr>
            <w:r w:rsidRPr="00755915">
              <w:t>0</w:t>
            </w:r>
          </w:p>
        </w:tc>
      </w:tr>
      <w:tr w:rsidR="006379C0" w:rsidRPr="00755915" w14:paraId="5D930930" w14:textId="77777777" w:rsidTr="00116B90">
        <w:trPr>
          <w:trHeight w:hRule="exact" w:val="227"/>
        </w:trPr>
        <w:tc>
          <w:tcPr>
            <w:tcW w:w="1816" w:type="dxa"/>
            <w:shd w:val="clear" w:color="000000" w:fill="FFFFFF"/>
            <w:noWrap/>
            <w:vAlign w:val="bottom"/>
            <w:hideMark/>
          </w:tcPr>
          <w:p w14:paraId="5F790116" w14:textId="77777777" w:rsidR="006379C0" w:rsidRPr="00755915" w:rsidRDefault="006379C0" w:rsidP="00202D52">
            <w:pPr>
              <w:pStyle w:val="Tabletext"/>
            </w:pPr>
            <w:r w:rsidRPr="00755915">
              <w:t>ENI</w:t>
            </w:r>
          </w:p>
        </w:tc>
        <w:tc>
          <w:tcPr>
            <w:tcW w:w="726" w:type="dxa"/>
            <w:shd w:val="clear" w:color="000000" w:fill="FFFFFF"/>
            <w:noWrap/>
            <w:vAlign w:val="bottom"/>
            <w:hideMark/>
          </w:tcPr>
          <w:p w14:paraId="402B975D" w14:textId="77777777" w:rsidR="006379C0" w:rsidRPr="00755915" w:rsidRDefault="006379C0" w:rsidP="00202D52">
            <w:pPr>
              <w:pStyle w:val="Tabletext"/>
            </w:pPr>
            <w:r w:rsidRPr="00755915">
              <w:t>15</w:t>
            </w:r>
          </w:p>
        </w:tc>
        <w:tc>
          <w:tcPr>
            <w:tcW w:w="994" w:type="dxa"/>
            <w:shd w:val="clear" w:color="000000" w:fill="FFFFFF"/>
            <w:noWrap/>
            <w:vAlign w:val="bottom"/>
            <w:hideMark/>
          </w:tcPr>
          <w:p w14:paraId="635A939D" w14:textId="77777777" w:rsidR="006379C0" w:rsidRPr="00755915" w:rsidRDefault="006379C0" w:rsidP="00202D52">
            <w:pPr>
              <w:pStyle w:val="Tabletext"/>
            </w:pPr>
            <w:r w:rsidRPr="00755915">
              <w:t>4</w:t>
            </w:r>
          </w:p>
        </w:tc>
        <w:tc>
          <w:tcPr>
            <w:tcW w:w="983" w:type="dxa"/>
            <w:shd w:val="clear" w:color="000000" w:fill="FFFFFF"/>
            <w:noWrap/>
            <w:vAlign w:val="bottom"/>
            <w:hideMark/>
          </w:tcPr>
          <w:p w14:paraId="24DDDD28" w14:textId="77777777" w:rsidR="006379C0" w:rsidRPr="00755915" w:rsidRDefault="006379C0" w:rsidP="00202D52">
            <w:pPr>
              <w:pStyle w:val="Tabletext"/>
            </w:pPr>
            <w:r w:rsidRPr="00755915">
              <w:t>2</w:t>
            </w:r>
          </w:p>
        </w:tc>
        <w:tc>
          <w:tcPr>
            <w:tcW w:w="236" w:type="dxa"/>
            <w:shd w:val="clear" w:color="auto" w:fill="000000" w:themeFill="text1"/>
          </w:tcPr>
          <w:p w14:paraId="6E7A0951" w14:textId="77777777" w:rsidR="006379C0" w:rsidRPr="00755915" w:rsidRDefault="006379C0" w:rsidP="00202D52">
            <w:pPr>
              <w:pStyle w:val="Tabletext"/>
            </w:pPr>
          </w:p>
        </w:tc>
        <w:tc>
          <w:tcPr>
            <w:tcW w:w="1673" w:type="dxa"/>
            <w:shd w:val="clear" w:color="000000" w:fill="FFFFFF"/>
            <w:vAlign w:val="bottom"/>
          </w:tcPr>
          <w:p w14:paraId="5AC454B2" w14:textId="77777777" w:rsidR="006379C0" w:rsidRPr="00755915" w:rsidRDefault="006379C0" w:rsidP="00202D52">
            <w:pPr>
              <w:pStyle w:val="Tabletext"/>
            </w:pPr>
            <w:proofErr w:type="spellStart"/>
            <w:r w:rsidRPr="00755915">
              <w:t>Societe</w:t>
            </w:r>
            <w:proofErr w:type="spellEnd"/>
            <w:r w:rsidRPr="00755915">
              <w:t xml:space="preserve"> </w:t>
            </w:r>
            <w:proofErr w:type="spellStart"/>
            <w:r w:rsidRPr="00755915">
              <w:t>Generale</w:t>
            </w:r>
            <w:proofErr w:type="spellEnd"/>
          </w:p>
        </w:tc>
        <w:tc>
          <w:tcPr>
            <w:tcW w:w="661" w:type="dxa"/>
            <w:shd w:val="clear" w:color="000000" w:fill="FFFFFF"/>
            <w:vAlign w:val="bottom"/>
          </w:tcPr>
          <w:p w14:paraId="38F21CA3" w14:textId="77777777" w:rsidR="006379C0" w:rsidRPr="00755915" w:rsidRDefault="006379C0" w:rsidP="00202D52">
            <w:pPr>
              <w:pStyle w:val="Tabletext"/>
            </w:pPr>
            <w:r w:rsidRPr="00755915">
              <w:t>8</w:t>
            </w:r>
          </w:p>
        </w:tc>
        <w:tc>
          <w:tcPr>
            <w:tcW w:w="983" w:type="dxa"/>
            <w:shd w:val="clear" w:color="000000" w:fill="FFFFFF"/>
            <w:vAlign w:val="bottom"/>
          </w:tcPr>
          <w:p w14:paraId="3B41693D" w14:textId="77777777" w:rsidR="006379C0" w:rsidRPr="00755915" w:rsidRDefault="006379C0" w:rsidP="00202D52">
            <w:pPr>
              <w:pStyle w:val="Tabletext"/>
            </w:pPr>
            <w:r w:rsidRPr="00755915">
              <w:t>0</w:t>
            </w:r>
          </w:p>
        </w:tc>
        <w:tc>
          <w:tcPr>
            <w:tcW w:w="983" w:type="dxa"/>
            <w:shd w:val="clear" w:color="000000" w:fill="FFFFFF"/>
            <w:vAlign w:val="bottom"/>
          </w:tcPr>
          <w:p w14:paraId="576F22B3" w14:textId="77777777" w:rsidR="006379C0" w:rsidRPr="00755915" w:rsidRDefault="006379C0" w:rsidP="00202D52">
            <w:pPr>
              <w:pStyle w:val="Tabletext"/>
            </w:pPr>
            <w:r w:rsidRPr="00755915">
              <w:t>4</w:t>
            </w:r>
          </w:p>
        </w:tc>
      </w:tr>
      <w:tr w:rsidR="006379C0" w:rsidRPr="00755915" w14:paraId="634A22E5" w14:textId="77777777" w:rsidTr="00116B90">
        <w:trPr>
          <w:trHeight w:hRule="exact" w:val="227"/>
        </w:trPr>
        <w:tc>
          <w:tcPr>
            <w:tcW w:w="1816" w:type="dxa"/>
            <w:shd w:val="clear" w:color="000000" w:fill="FFFFFF"/>
            <w:noWrap/>
            <w:vAlign w:val="bottom"/>
            <w:hideMark/>
          </w:tcPr>
          <w:p w14:paraId="6CD4604F" w14:textId="77777777" w:rsidR="006379C0" w:rsidRPr="00755915" w:rsidRDefault="006379C0" w:rsidP="00202D52">
            <w:pPr>
              <w:pStyle w:val="Tabletext"/>
            </w:pPr>
            <w:r w:rsidRPr="00755915">
              <w:t xml:space="preserve">EDF </w:t>
            </w:r>
          </w:p>
        </w:tc>
        <w:tc>
          <w:tcPr>
            <w:tcW w:w="726" w:type="dxa"/>
            <w:shd w:val="clear" w:color="000000" w:fill="FFFFFF"/>
            <w:noWrap/>
            <w:vAlign w:val="bottom"/>
            <w:hideMark/>
          </w:tcPr>
          <w:p w14:paraId="2A7FA9CA" w14:textId="77777777" w:rsidR="006379C0" w:rsidRPr="00755915" w:rsidRDefault="006379C0" w:rsidP="00202D52">
            <w:pPr>
              <w:pStyle w:val="Tabletext"/>
            </w:pPr>
            <w:r w:rsidRPr="00755915">
              <w:t>15</w:t>
            </w:r>
          </w:p>
        </w:tc>
        <w:tc>
          <w:tcPr>
            <w:tcW w:w="994" w:type="dxa"/>
            <w:shd w:val="clear" w:color="000000" w:fill="FFFFFF"/>
            <w:noWrap/>
            <w:vAlign w:val="bottom"/>
            <w:hideMark/>
          </w:tcPr>
          <w:p w14:paraId="7EA18438" w14:textId="77777777" w:rsidR="006379C0" w:rsidRPr="00755915" w:rsidRDefault="006379C0" w:rsidP="00202D52">
            <w:pPr>
              <w:pStyle w:val="Tabletext"/>
            </w:pPr>
            <w:r w:rsidRPr="00755915">
              <w:t>3</w:t>
            </w:r>
          </w:p>
        </w:tc>
        <w:tc>
          <w:tcPr>
            <w:tcW w:w="983" w:type="dxa"/>
            <w:shd w:val="clear" w:color="000000" w:fill="FFFFFF"/>
            <w:noWrap/>
            <w:vAlign w:val="bottom"/>
            <w:hideMark/>
          </w:tcPr>
          <w:p w14:paraId="155A5062" w14:textId="77777777" w:rsidR="006379C0" w:rsidRPr="00755915" w:rsidRDefault="006379C0" w:rsidP="00202D52">
            <w:pPr>
              <w:pStyle w:val="Tabletext"/>
            </w:pPr>
            <w:r w:rsidRPr="00755915">
              <w:t>2</w:t>
            </w:r>
          </w:p>
        </w:tc>
        <w:tc>
          <w:tcPr>
            <w:tcW w:w="236" w:type="dxa"/>
            <w:shd w:val="clear" w:color="auto" w:fill="000000" w:themeFill="text1"/>
          </w:tcPr>
          <w:p w14:paraId="44CA72C7" w14:textId="77777777" w:rsidR="006379C0" w:rsidRPr="00755915" w:rsidRDefault="006379C0" w:rsidP="00202D52">
            <w:pPr>
              <w:pStyle w:val="Tabletext"/>
            </w:pPr>
          </w:p>
        </w:tc>
        <w:tc>
          <w:tcPr>
            <w:tcW w:w="1673" w:type="dxa"/>
            <w:shd w:val="clear" w:color="000000" w:fill="FFFFFF"/>
            <w:vAlign w:val="bottom"/>
          </w:tcPr>
          <w:p w14:paraId="25A21875" w14:textId="77777777" w:rsidR="006379C0" w:rsidRPr="00755915" w:rsidRDefault="006379C0" w:rsidP="00202D52">
            <w:pPr>
              <w:pStyle w:val="Tabletext"/>
            </w:pPr>
            <w:r w:rsidRPr="00755915">
              <w:t>Banco Santander</w:t>
            </w:r>
          </w:p>
        </w:tc>
        <w:tc>
          <w:tcPr>
            <w:tcW w:w="661" w:type="dxa"/>
            <w:shd w:val="clear" w:color="000000" w:fill="FFFFFF"/>
            <w:vAlign w:val="bottom"/>
          </w:tcPr>
          <w:p w14:paraId="56910403" w14:textId="77777777" w:rsidR="006379C0" w:rsidRPr="00755915" w:rsidRDefault="006379C0" w:rsidP="00202D52">
            <w:pPr>
              <w:pStyle w:val="Tabletext"/>
            </w:pPr>
            <w:r w:rsidRPr="00755915">
              <w:t>8</w:t>
            </w:r>
          </w:p>
        </w:tc>
        <w:tc>
          <w:tcPr>
            <w:tcW w:w="983" w:type="dxa"/>
            <w:shd w:val="clear" w:color="000000" w:fill="FFFFFF"/>
            <w:vAlign w:val="bottom"/>
          </w:tcPr>
          <w:p w14:paraId="1453DA2F" w14:textId="77777777" w:rsidR="006379C0" w:rsidRPr="00755915" w:rsidRDefault="006379C0" w:rsidP="00202D52">
            <w:pPr>
              <w:pStyle w:val="Tabletext"/>
            </w:pPr>
            <w:r w:rsidRPr="00755915">
              <w:t>1</w:t>
            </w:r>
          </w:p>
        </w:tc>
        <w:tc>
          <w:tcPr>
            <w:tcW w:w="983" w:type="dxa"/>
            <w:shd w:val="clear" w:color="000000" w:fill="FFFFFF"/>
            <w:vAlign w:val="bottom"/>
          </w:tcPr>
          <w:p w14:paraId="6FE5F08C" w14:textId="77777777" w:rsidR="006379C0" w:rsidRPr="00755915" w:rsidRDefault="006379C0" w:rsidP="00202D52">
            <w:pPr>
              <w:pStyle w:val="Tabletext"/>
            </w:pPr>
            <w:r w:rsidRPr="00755915">
              <w:t>3</w:t>
            </w:r>
          </w:p>
        </w:tc>
      </w:tr>
      <w:tr w:rsidR="006379C0" w:rsidRPr="00755915" w14:paraId="1549D7AF" w14:textId="77777777" w:rsidTr="00116B90">
        <w:trPr>
          <w:trHeight w:hRule="exact" w:val="227"/>
        </w:trPr>
        <w:tc>
          <w:tcPr>
            <w:tcW w:w="1816" w:type="dxa"/>
            <w:shd w:val="clear" w:color="000000" w:fill="FFFFFF"/>
            <w:noWrap/>
            <w:vAlign w:val="bottom"/>
            <w:hideMark/>
          </w:tcPr>
          <w:p w14:paraId="2E2984BB" w14:textId="77777777" w:rsidR="006379C0" w:rsidRPr="00755915" w:rsidRDefault="006379C0" w:rsidP="00202D52">
            <w:pPr>
              <w:pStyle w:val="Tabletext"/>
            </w:pPr>
            <w:r w:rsidRPr="00755915">
              <w:t>Total</w:t>
            </w:r>
          </w:p>
        </w:tc>
        <w:tc>
          <w:tcPr>
            <w:tcW w:w="726" w:type="dxa"/>
            <w:shd w:val="clear" w:color="000000" w:fill="FFFFFF"/>
            <w:noWrap/>
            <w:vAlign w:val="bottom"/>
            <w:hideMark/>
          </w:tcPr>
          <w:p w14:paraId="09D5D619" w14:textId="77777777" w:rsidR="006379C0" w:rsidRPr="00755915" w:rsidRDefault="006379C0" w:rsidP="00202D52">
            <w:pPr>
              <w:pStyle w:val="Tabletext"/>
            </w:pPr>
            <w:r w:rsidRPr="00755915">
              <w:t>15</w:t>
            </w:r>
          </w:p>
        </w:tc>
        <w:tc>
          <w:tcPr>
            <w:tcW w:w="994" w:type="dxa"/>
            <w:shd w:val="clear" w:color="000000" w:fill="FFFFFF"/>
            <w:noWrap/>
            <w:vAlign w:val="bottom"/>
            <w:hideMark/>
          </w:tcPr>
          <w:p w14:paraId="6B834097" w14:textId="77777777" w:rsidR="006379C0" w:rsidRPr="00755915" w:rsidRDefault="006379C0" w:rsidP="00202D52">
            <w:pPr>
              <w:pStyle w:val="Tabletext"/>
            </w:pPr>
            <w:r w:rsidRPr="00755915">
              <w:t>6</w:t>
            </w:r>
          </w:p>
        </w:tc>
        <w:tc>
          <w:tcPr>
            <w:tcW w:w="983" w:type="dxa"/>
            <w:shd w:val="clear" w:color="000000" w:fill="FFFFFF"/>
            <w:noWrap/>
            <w:vAlign w:val="bottom"/>
            <w:hideMark/>
          </w:tcPr>
          <w:p w14:paraId="2551D3F3" w14:textId="77777777" w:rsidR="006379C0" w:rsidRPr="00755915" w:rsidRDefault="006379C0" w:rsidP="00202D52">
            <w:pPr>
              <w:pStyle w:val="Tabletext"/>
            </w:pPr>
            <w:r w:rsidRPr="00755915">
              <w:t>1</w:t>
            </w:r>
          </w:p>
        </w:tc>
        <w:tc>
          <w:tcPr>
            <w:tcW w:w="236" w:type="dxa"/>
            <w:shd w:val="clear" w:color="auto" w:fill="000000" w:themeFill="text1"/>
          </w:tcPr>
          <w:p w14:paraId="4F3CC4C1" w14:textId="77777777" w:rsidR="006379C0" w:rsidRPr="00755915" w:rsidRDefault="006379C0" w:rsidP="00202D52">
            <w:pPr>
              <w:pStyle w:val="Tabletext"/>
            </w:pPr>
          </w:p>
        </w:tc>
        <w:tc>
          <w:tcPr>
            <w:tcW w:w="1673" w:type="dxa"/>
            <w:shd w:val="clear" w:color="000000" w:fill="FFFFFF"/>
            <w:vAlign w:val="bottom"/>
          </w:tcPr>
          <w:p w14:paraId="6954F1C8" w14:textId="77777777" w:rsidR="006379C0" w:rsidRPr="00755915" w:rsidRDefault="006379C0" w:rsidP="00202D52">
            <w:pPr>
              <w:pStyle w:val="Tabletext"/>
            </w:pPr>
            <w:proofErr w:type="spellStart"/>
            <w:r w:rsidRPr="00755915">
              <w:t>Aegon</w:t>
            </w:r>
            <w:proofErr w:type="spellEnd"/>
            <w:r w:rsidRPr="00755915">
              <w:t xml:space="preserve"> </w:t>
            </w:r>
          </w:p>
        </w:tc>
        <w:tc>
          <w:tcPr>
            <w:tcW w:w="661" w:type="dxa"/>
            <w:shd w:val="clear" w:color="000000" w:fill="FFFFFF"/>
            <w:vAlign w:val="bottom"/>
          </w:tcPr>
          <w:p w14:paraId="7ACC8568" w14:textId="77777777" w:rsidR="006379C0" w:rsidRPr="00755915" w:rsidRDefault="006379C0" w:rsidP="00202D52">
            <w:pPr>
              <w:pStyle w:val="Tabletext"/>
            </w:pPr>
            <w:r w:rsidRPr="00755915">
              <w:t>8</w:t>
            </w:r>
          </w:p>
        </w:tc>
        <w:tc>
          <w:tcPr>
            <w:tcW w:w="983" w:type="dxa"/>
            <w:shd w:val="clear" w:color="000000" w:fill="FFFFFF"/>
            <w:vAlign w:val="bottom"/>
          </w:tcPr>
          <w:p w14:paraId="1326DB5F" w14:textId="77777777" w:rsidR="006379C0" w:rsidRPr="00755915" w:rsidRDefault="006379C0" w:rsidP="00202D52">
            <w:pPr>
              <w:pStyle w:val="Tabletext"/>
            </w:pPr>
            <w:r w:rsidRPr="00755915">
              <w:t>1</w:t>
            </w:r>
          </w:p>
        </w:tc>
        <w:tc>
          <w:tcPr>
            <w:tcW w:w="983" w:type="dxa"/>
            <w:shd w:val="clear" w:color="000000" w:fill="FFFFFF"/>
            <w:vAlign w:val="bottom"/>
          </w:tcPr>
          <w:p w14:paraId="54BA9743" w14:textId="77777777" w:rsidR="006379C0" w:rsidRPr="00755915" w:rsidRDefault="006379C0" w:rsidP="00202D52">
            <w:pPr>
              <w:pStyle w:val="Tabletext"/>
            </w:pPr>
            <w:r w:rsidRPr="00755915">
              <w:t>3</w:t>
            </w:r>
          </w:p>
        </w:tc>
      </w:tr>
      <w:tr w:rsidR="006379C0" w:rsidRPr="00755915" w14:paraId="16E2E715" w14:textId="77777777" w:rsidTr="00116B90">
        <w:trPr>
          <w:trHeight w:hRule="exact" w:val="227"/>
        </w:trPr>
        <w:tc>
          <w:tcPr>
            <w:tcW w:w="1816" w:type="dxa"/>
            <w:shd w:val="clear" w:color="000000" w:fill="FFFFFF"/>
            <w:noWrap/>
            <w:vAlign w:val="bottom"/>
            <w:hideMark/>
          </w:tcPr>
          <w:p w14:paraId="4CE40F18" w14:textId="77777777" w:rsidR="006379C0" w:rsidRPr="00755915" w:rsidRDefault="006379C0" w:rsidP="00202D52">
            <w:pPr>
              <w:pStyle w:val="Tabletext"/>
            </w:pPr>
            <w:proofErr w:type="spellStart"/>
            <w:r w:rsidRPr="00755915">
              <w:t>ArcelorMittal</w:t>
            </w:r>
            <w:proofErr w:type="spellEnd"/>
          </w:p>
        </w:tc>
        <w:tc>
          <w:tcPr>
            <w:tcW w:w="726" w:type="dxa"/>
            <w:shd w:val="clear" w:color="000000" w:fill="FFFFFF"/>
            <w:noWrap/>
            <w:vAlign w:val="bottom"/>
            <w:hideMark/>
          </w:tcPr>
          <w:p w14:paraId="6423E03C" w14:textId="77777777" w:rsidR="006379C0" w:rsidRPr="00755915" w:rsidRDefault="006379C0" w:rsidP="00202D52">
            <w:pPr>
              <w:pStyle w:val="Tabletext"/>
            </w:pPr>
            <w:r w:rsidRPr="00755915">
              <w:t>14</w:t>
            </w:r>
          </w:p>
        </w:tc>
        <w:tc>
          <w:tcPr>
            <w:tcW w:w="994" w:type="dxa"/>
            <w:shd w:val="clear" w:color="000000" w:fill="FFFFFF"/>
            <w:noWrap/>
            <w:vAlign w:val="bottom"/>
            <w:hideMark/>
          </w:tcPr>
          <w:p w14:paraId="4F5E59CD" w14:textId="77777777" w:rsidR="006379C0" w:rsidRPr="00755915" w:rsidRDefault="006379C0" w:rsidP="00202D52">
            <w:pPr>
              <w:pStyle w:val="Tabletext"/>
            </w:pPr>
            <w:r w:rsidRPr="00755915">
              <w:t>2</w:t>
            </w:r>
          </w:p>
        </w:tc>
        <w:tc>
          <w:tcPr>
            <w:tcW w:w="983" w:type="dxa"/>
            <w:shd w:val="clear" w:color="000000" w:fill="FFFFFF"/>
            <w:noWrap/>
            <w:vAlign w:val="bottom"/>
            <w:hideMark/>
          </w:tcPr>
          <w:p w14:paraId="71A7FEE9" w14:textId="77777777" w:rsidR="006379C0" w:rsidRPr="00755915" w:rsidRDefault="006379C0" w:rsidP="00202D52">
            <w:pPr>
              <w:pStyle w:val="Tabletext"/>
            </w:pPr>
            <w:r w:rsidRPr="00755915">
              <w:t>2</w:t>
            </w:r>
          </w:p>
        </w:tc>
        <w:tc>
          <w:tcPr>
            <w:tcW w:w="236" w:type="dxa"/>
            <w:shd w:val="clear" w:color="auto" w:fill="000000" w:themeFill="text1"/>
          </w:tcPr>
          <w:p w14:paraId="54EB30FF" w14:textId="77777777" w:rsidR="006379C0" w:rsidRPr="00755915" w:rsidRDefault="006379C0" w:rsidP="00202D52">
            <w:pPr>
              <w:pStyle w:val="Tabletext"/>
            </w:pPr>
          </w:p>
        </w:tc>
        <w:tc>
          <w:tcPr>
            <w:tcW w:w="1673" w:type="dxa"/>
            <w:shd w:val="clear" w:color="000000" w:fill="FFFFFF"/>
            <w:vAlign w:val="bottom"/>
          </w:tcPr>
          <w:p w14:paraId="5DC38652" w14:textId="77777777" w:rsidR="006379C0" w:rsidRPr="00755915" w:rsidRDefault="006379C0" w:rsidP="00202D52">
            <w:pPr>
              <w:pStyle w:val="Tabletext"/>
            </w:pPr>
            <w:r w:rsidRPr="00755915">
              <w:t>BPCE </w:t>
            </w:r>
          </w:p>
        </w:tc>
        <w:tc>
          <w:tcPr>
            <w:tcW w:w="661" w:type="dxa"/>
            <w:shd w:val="clear" w:color="000000" w:fill="FFFFFF"/>
            <w:vAlign w:val="bottom"/>
          </w:tcPr>
          <w:p w14:paraId="3104CFE8" w14:textId="77777777" w:rsidR="006379C0" w:rsidRPr="00755915" w:rsidRDefault="006379C0" w:rsidP="00202D52">
            <w:pPr>
              <w:pStyle w:val="Tabletext"/>
            </w:pPr>
            <w:r w:rsidRPr="00755915">
              <w:t>8</w:t>
            </w:r>
          </w:p>
        </w:tc>
        <w:tc>
          <w:tcPr>
            <w:tcW w:w="983" w:type="dxa"/>
            <w:shd w:val="clear" w:color="000000" w:fill="FFFFFF"/>
            <w:vAlign w:val="bottom"/>
          </w:tcPr>
          <w:p w14:paraId="20A8C223" w14:textId="77777777" w:rsidR="006379C0" w:rsidRPr="00755915" w:rsidRDefault="006379C0" w:rsidP="00202D52">
            <w:pPr>
              <w:pStyle w:val="Tabletext"/>
            </w:pPr>
            <w:r w:rsidRPr="00755915">
              <w:t>0</w:t>
            </w:r>
          </w:p>
        </w:tc>
        <w:tc>
          <w:tcPr>
            <w:tcW w:w="983" w:type="dxa"/>
            <w:shd w:val="clear" w:color="000000" w:fill="FFFFFF"/>
            <w:vAlign w:val="bottom"/>
          </w:tcPr>
          <w:p w14:paraId="052C7DCD" w14:textId="77777777" w:rsidR="006379C0" w:rsidRPr="00755915" w:rsidRDefault="006379C0" w:rsidP="00202D52">
            <w:pPr>
              <w:pStyle w:val="Tabletext"/>
            </w:pPr>
            <w:r w:rsidRPr="00755915">
              <w:t>3</w:t>
            </w:r>
          </w:p>
        </w:tc>
      </w:tr>
      <w:tr w:rsidR="006379C0" w:rsidRPr="00755915" w14:paraId="02126B6E" w14:textId="77777777" w:rsidTr="00116B90">
        <w:trPr>
          <w:trHeight w:hRule="exact" w:val="227"/>
        </w:trPr>
        <w:tc>
          <w:tcPr>
            <w:tcW w:w="1816" w:type="dxa"/>
            <w:shd w:val="clear" w:color="000000" w:fill="FFFFFF"/>
            <w:noWrap/>
            <w:vAlign w:val="bottom"/>
            <w:hideMark/>
          </w:tcPr>
          <w:p w14:paraId="19C7E0A8" w14:textId="77777777" w:rsidR="006379C0" w:rsidRPr="00755915" w:rsidRDefault="006379C0" w:rsidP="00202D52">
            <w:pPr>
              <w:pStyle w:val="Tabletext"/>
            </w:pPr>
            <w:r w:rsidRPr="00755915">
              <w:t xml:space="preserve">Anheuser-Busch </w:t>
            </w:r>
            <w:proofErr w:type="spellStart"/>
            <w:r w:rsidRPr="00755915">
              <w:t>InBev</w:t>
            </w:r>
            <w:proofErr w:type="spellEnd"/>
          </w:p>
        </w:tc>
        <w:tc>
          <w:tcPr>
            <w:tcW w:w="726" w:type="dxa"/>
            <w:shd w:val="clear" w:color="000000" w:fill="FFFFFF"/>
            <w:noWrap/>
            <w:vAlign w:val="bottom"/>
            <w:hideMark/>
          </w:tcPr>
          <w:p w14:paraId="24024036" w14:textId="77777777" w:rsidR="006379C0" w:rsidRPr="00755915" w:rsidRDefault="006379C0" w:rsidP="00202D52">
            <w:pPr>
              <w:pStyle w:val="Tabletext"/>
            </w:pPr>
            <w:r w:rsidRPr="00755915">
              <w:t>13</w:t>
            </w:r>
          </w:p>
        </w:tc>
        <w:tc>
          <w:tcPr>
            <w:tcW w:w="994" w:type="dxa"/>
            <w:shd w:val="clear" w:color="000000" w:fill="FFFFFF"/>
            <w:noWrap/>
            <w:vAlign w:val="bottom"/>
            <w:hideMark/>
          </w:tcPr>
          <w:p w14:paraId="05660D6B" w14:textId="77777777" w:rsidR="006379C0" w:rsidRPr="00755915" w:rsidRDefault="006379C0" w:rsidP="00202D52">
            <w:pPr>
              <w:pStyle w:val="Tabletext"/>
            </w:pPr>
            <w:r w:rsidRPr="00755915">
              <w:t>2</w:t>
            </w:r>
          </w:p>
        </w:tc>
        <w:tc>
          <w:tcPr>
            <w:tcW w:w="983" w:type="dxa"/>
            <w:shd w:val="clear" w:color="000000" w:fill="FFFFFF"/>
            <w:noWrap/>
            <w:vAlign w:val="bottom"/>
            <w:hideMark/>
          </w:tcPr>
          <w:p w14:paraId="371D8562" w14:textId="77777777" w:rsidR="006379C0" w:rsidRPr="00755915" w:rsidRDefault="006379C0" w:rsidP="00202D52">
            <w:pPr>
              <w:pStyle w:val="Tabletext"/>
            </w:pPr>
            <w:r w:rsidRPr="00755915">
              <w:t>4</w:t>
            </w:r>
          </w:p>
        </w:tc>
        <w:tc>
          <w:tcPr>
            <w:tcW w:w="236" w:type="dxa"/>
            <w:shd w:val="clear" w:color="auto" w:fill="000000" w:themeFill="text1"/>
          </w:tcPr>
          <w:p w14:paraId="0292CD55" w14:textId="77777777" w:rsidR="006379C0" w:rsidRPr="00755915" w:rsidRDefault="006379C0" w:rsidP="00202D52">
            <w:pPr>
              <w:pStyle w:val="Tabletext"/>
            </w:pPr>
          </w:p>
        </w:tc>
        <w:tc>
          <w:tcPr>
            <w:tcW w:w="1673" w:type="dxa"/>
            <w:shd w:val="clear" w:color="000000" w:fill="FFFFFF"/>
            <w:vAlign w:val="bottom"/>
          </w:tcPr>
          <w:p w14:paraId="54DBE95B" w14:textId="77777777" w:rsidR="006379C0" w:rsidRPr="00755915" w:rsidRDefault="006379C0" w:rsidP="00202D52">
            <w:pPr>
              <w:pStyle w:val="Tabletext"/>
            </w:pPr>
            <w:proofErr w:type="spellStart"/>
            <w:r w:rsidRPr="00755915">
              <w:t>Engie</w:t>
            </w:r>
            <w:proofErr w:type="spellEnd"/>
          </w:p>
        </w:tc>
        <w:tc>
          <w:tcPr>
            <w:tcW w:w="661" w:type="dxa"/>
            <w:shd w:val="clear" w:color="000000" w:fill="FFFFFF"/>
            <w:vAlign w:val="bottom"/>
          </w:tcPr>
          <w:p w14:paraId="139419BC" w14:textId="77777777" w:rsidR="006379C0" w:rsidRPr="00755915" w:rsidRDefault="006379C0" w:rsidP="00202D52">
            <w:pPr>
              <w:pStyle w:val="Tabletext"/>
            </w:pPr>
            <w:r w:rsidRPr="00755915">
              <w:t>8</w:t>
            </w:r>
          </w:p>
        </w:tc>
        <w:tc>
          <w:tcPr>
            <w:tcW w:w="983" w:type="dxa"/>
            <w:shd w:val="clear" w:color="000000" w:fill="FFFFFF"/>
            <w:vAlign w:val="bottom"/>
          </w:tcPr>
          <w:p w14:paraId="33AC0B54" w14:textId="77777777" w:rsidR="006379C0" w:rsidRPr="00755915" w:rsidRDefault="006379C0" w:rsidP="00202D52">
            <w:pPr>
              <w:pStyle w:val="Tabletext"/>
            </w:pPr>
            <w:r w:rsidRPr="00755915">
              <w:t>2</w:t>
            </w:r>
          </w:p>
        </w:tc>
        <w:tc>
          <w:tcPr>
            <w:tcW w:w="983" w:type="dxa"/>
            <w:shd w:val="clear" w:color="000000" w:fill="FFFFFF"/>
            <w:vAlign w:val="bottom"/>
          </w:tcPr>
          <w:p w14:paraId="6A3B5AAC" w14:textId="77777777" w:rsidR="006379C0" w:rsidRPr="00755915" w:rsidRDefault="006379C0" w:rsidP="00202D52">
            <w:pPr>
              <w:pStyle w:val="Tabletext"/>
            </w:pPr>
            <w:r w:rsidRPr="00755915">
              <w:t>2</w:t>
            </w:r>
          </w:p>
        </w:tc>
      </w:tr>
      <w:tr w:rsidR="006379C0" w:rsidRPr="00755915" w14:paraId="2091B055" w14:textId="77777777" w:rsidTr="00116B90">
        <w:trPr>
          <w:trHeight w:hRule="exact" w:val="227"/>
        </w:trPr>
        <w:tc>
          <w:tcPr>
            <w:tcW w:w="1816" w:type="dxa"/>
            <w:shd w:val="clear" w:color="000000" w:fill="FFFFFF"/>
            <w:noWrap/>
            <w:vAlign w:val="bottom"/>
            <w:hideMark/>
          </w:tcPr>
          <w:p w14:paraId="17B00081" w14:textId="77777777" w:rsidR="006379C0" w:rsidRPr="00755915" w:rsidRDefault="006379C0" w:rsidP="00202D52">
            <w:pPr>
              <w:pStyle w:val="Tabletext"/>
            </w:pPr>
            <w:r w:rsidRPr="00755915">
              <w:t>BP plc</w:t>
            </w:r>
          </w:p>
        </w:tc>
        <w:tc>
          <w:tcPr>
            <w:tcW w:w="726" w:type="dxa"/>
            <w:shd w:val="clear" w:color="000000" w:fill="FFFFFF"/>
            <w:noWrap/>
            <w:vAlign w:val="bottom"/>
            <w:hideMark/>
          </w:tcPr>
          <w:p w14:paraId="5610086A" w14:textId="77777777" w:rsidR="006379C0" w:rsidRPr="00755915" w:rsidRDefault="006379C0" w:rsidP="00202D52">
            <w:pPr>
              <w:pStyle w:val="Tabletext"/>
            </w:pPr>
            <w:r w:rsidRPr="00755915">
              <w:t>13</w:t>
            </w:r>
          </w:p>
        </w:tc>
        <w:tc>
          <w:tcPr>
            <w:tcW w:w="994" w:type="dxa"/>
            <w:shd w:val="clear" w:color="000000" w:fill="FFFFFF"/>
            <w:noWrap/>
            <w:vAlign w:val="bottom"/>
            <w:hideMark/>
          </w:tcPr>
          <w:p w14:paraId="401FBA27" w14:textId="77777777" w:rsidR="006379C0" w:rsidRPr="00755915" w:rsidRDefault="006379C0" w:rsidP="00202D52">
            <w:pPr>
              <w:pStyle w:val="Tabletext"/>
            </w:pPr>
            <w:r w:rsidRPr="00755915">
              <w:t>5</w:t>
            </w:r>
          </w:p>
        </w:tc>
        <w:tc>
          <w:tcPr>
            <w:tcW w:w="983" w:type="dxa"/>
            <w:shd w:val="clear" w:color="000000" w:fill="FFFFFF"/>
            <w:noWrap/>
            <w:vAlign w:val="bottom"/>
            <w:hideMark/>
          </w:tcPr>
          <w:p w14:paraId="1C35365F" w14:textId="77777777" w:rsidR="006379C0" w:rsidRPr="00755915" w:rsidRDefault="006379C0" w:rsidP="00202D52">
            <w:pPr>
              <w:pStyle w:val="Tabletext"/>
            </w:pPr>
            <w:r w:rsidRPr="00755915">
              <w:t>1</w:t>
            </w:r>
          </w:p>
        </w:tc>
        <w:tc>
          <w:tcPr>
            <w:tcW w:w="236" w:type="dxa"/>
            <w:shd w:val="clear" w:color="auto" w:fill="000000" w:themeFill="text1"/>
          </w:tcPr>
          <w:p w14:paraId="4073A9F0" w14:textId="77777777" w:rsidR="006379C0" w:rsidRPr="00755915" w:rsidRDefault="006379C0" w:rsidP="00202D52">
            <w:pPr>
              <w:pStyle w:val="Tabletext"/>
            </w:pPr>
          </w:p>
        </w:tc>
        <w:tc>
          <w:tcPr>
            <w:tcW w:w="1673" w:type="dxa"/>
            <w:shd w:val="clear" w:color="000000" w:fill="FFFFFF"/>
            <w:vAlign w:val="bottom"/>
          </w:tcPr>
          <w:p w14:paraId="304B2458" w14:textId="77777777" w:rsidR="006379C0" w:rsidRPr="00755915" w:rsidRDefault="006379C0" w:rsidP="00202D52">
            <w:pPr>
              <w:pStyle w:val="Tabletext"/>
            </w:pPr>
            <w:r w:rsidRPr="00755915">
              <w:t>Allianz</w:t>
            </w:r>
          </w:p>
        </w:tc>
        <w:tc>
          <w:tcPr>
            <w:tcW w:w="661" w:type="dxa"/>
            <w:shd w:val="clear" w:color="000000" w:fill="FFFFFF"/>
            <w:vAlign w:val="bottom"/>
          </w:tcPr>
          <w:p w14:paraId="4DBE1ABC" w14:textId="77777777" w:rsidR="006379C0" w:rsidRPr="00755915" w:rsidRDefault="006379C0" w:rsidP="00202D52">
            <w:pPr>
              <w:pStyle w:val="Tabletext"/>
            </w:pPr>
            <w:r w:rsidRPr="00755915">
              <w:t>8</w:t>
            </w:r>
          </w:p>
        </w:tc>
        <w:tc>
          <w:tcPr>
            <w:tcW w:w="983" w:type="dxa"/>
            <w:shd w:val="clear" w:color="000000" w:fill="FFFFFF"/>
            <w:vAlign w:val="bottom"/>
          </w:tcPr>
          <w:p w14:paraId="1114852D" w14:textId="77777777" w:rsidR="006379C0" w:rsidRPr="00755915" w:rsidRDefault="006379C0" w:rsidP="00202D52">
            <w:pPr>
              <w:pStyle w:val="Tabletext"/>
            </w:pPr>
            <w:r w:rsidRPr="00755915">
              <w:t>3</w:t>
            </w:r>
          </w:p>
        </w:tc>
        <w:tc>
          <w:tcPr>
            <w:tcW w:w="983" w:type="dxa"/>
            <w:shd w:val="clear" w:color="000000" w:fill="FFFFFF"/>
            <w:vAlign w:val="bottom"/>
          </w:tcPr>
          <w:p w14:paraId="5B45D1E2" w14:textId="77777777" w:rsidR="006379C0" w:rsidRPr="00755915" w:rsidRDefault="006379C0" w:rsidP="00202D52">
            <w:pPr>
              <w:pStyle w:val="Tabletext"/>
            </w:pPr>
            <w:r w:rsidRPr="00755915">
              <w:t>2</w:t>
            </w:r>
          </w:p>
        </w:tc>
      </w:tr>
      <w:tr w:rsidR="006379C0" w:rsidRPr="00755915" w14:paraId="4545E401" w14:textId="77777777" w:rsidTr="00116B90">
        <w:trPr>
          <w:trHeight w:hRule="exact" w:val="227"/>
        </w:trPr>
        <w:tc>
          <w:tcPr>
            <w:tcW w:w="1816" w:type="dxa"/>
            <w:shd w:val="clear" w:color="000000" w:fill="FFFFFF"/>
            <w:noWrap/>
            <w:vAlign w:val="bottom"/>
            <w:hideMark/>
          </w:tcPr>
          <w:p w14:paraId="10266F91" w14:textId="77777777" w:rsidR="006379C0" w:rsidRPr="00755915" w:rsidRDefault="006379C0" w:rsidP="00202D52">
            <w:pPr>
              <w:pStyle w:val="Tabletext"/>
            </w:pPr>
            <w:r w:rsidRPr="00755915">
              <w:t xml:space="preserve">Royal </w:t>
            </w:r>
            <w:proofErr w:type="spellStart"/>
            <w:r w:rsidRPr="00755915">
              <w:t>Ahold</w:t>
            </w:r>
            <w:proofErr w:type="spellEnd"/>
            <w:r w:rsidRPr="00755915">
              <w:t xml:space="preserve"> Delhaize</w:t>
            </w:r>
          </w:p>
        </w:tc>
        <w:tc>
          <w:tcPr>
            <w:tcW w:w="726" w:type="dxa"/>
            <w:shd w:val="clear" w:color="000000" w:fill="FFFFFF"/>
            <w:noWrap/>
            <w:vAlign w:val="bottom"/>
            <w:hideMark/>
          </w:tcPr>
          <w:p w14:paraId="2D92DA7B"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75D45B20" w14:textId="77777777" w:rsidR="006379C0" w:rsidRPr="00755915" w:rsidRDefault="006379C0" w:rsidP="00202D52">
            <w:pPr>
              <w:pStyle w:val="Tabletext"/>
            </w:pPr>
            <w:r w:rsidRPr="00755915">
              <w:t>4</w:t>
            </w:r>
          </w:p>
        </w:tc>
        <w:tc>
          <w:tcPr>
            <w:tcW w:w="983" w:type="dxa"/>
            <w:shd w:val="clear" w:color="000000" w:fill="FFFFFF"/>
            <w:noWrap/>
            <w:vAlign w:val="bottom"/>
            <w:hideMark/>
          </w:tcPr>
          <w:p w14:paraId="6EB8CE89" w14:textId="77777777" w:rsidR="006379C0" w:rsidRPr="00755915" w:rsidRDefault="006379C0" w:rsidP="00202D52">
            <w:pPr>
              <w:pStyle w:val="Tabletext"/>
            </w:pPr>
            <w:r w:rsidRPr="00755915">
              <w:t>3</w:t>
            </w:r>
          </w:p>
        </w:tc>
        <w:tc>
          <w:tcPr>
            <w:tcW w:w="236" w:type="dxa"/>
            <w:shd w:val="clear" w:color="auto" w:fill="000000" w:themeFill="text1"/>
          </w:tcPr>
          <w:p w14:paraId="42D85DF9" w14:textId="77777777" w:rsidR="006379C0" w:rsidRPr="00755915" w:rsidRDefault="006379C0" w:rsidP="00202D52">
            <w:pPr>
              <w:pStyle w:val="Tabletext"/>
            </w:pPr>
          </w:p>
        </w:tc>
        <w:tc>
          <w:tcPr>
            <w:tcW w:w="1673" w:type="dxa"/>
            <w:shd w:val="clear" w:color="000000" w:fill="FFFFFF"/>
            <w:vAlign w:val="bottom"/>
          </w:tcPr>
          <w:p w14:paraId="0199EB35" w14:textId="77777777" w:rsidR="006379C0" w:rsidRPr="00755915" w:rsidRDefault="006379C0" w:rsidP="00202D52">
            <w:pPr>
              <w:pStyle w:val="Tabletext"/>
            </w:pPr>
            <w:proofErr w:type="spellStart"/>
            <w:r w:rsidRPr="00755915">
              <w:t>Uniper</w:t>
            </w:r>
            <w:proofErr w:type="spellEnd"/>
          </w:p>
        </w:tc>
        <w:tc>
          <w:tcPr>
            <w:tcW w:w="661" w:type="dxa"/>
            <w:shd w:val="clear" w:color="000000" w:fill="FFFFFF"/>
            <w:vAlign w:val="bottom"/>
          </w:tcPr>
          <w:p w14:paraId="08E10A41" w14:textId="77777777" w:rsidR="006379C0" w:rsidRPr="00755915" w:rsidRDefault="006379C0" w:rsidP="00202D52">
            <w:pPr>
              <w:pStyle w:val="Tabletext"/>
            </w:pPr>
            <w:r w:rsidRPr="00755915">
              <w:t>8</w:t>
            </w:r>
          </w:p>
        </w:tc>
        <w:tc>
          <w:tcPr>
            <w:tcW w:w="983" w:type="dxa"/>
            <w:shd w:val="clear" w:color="000000" w:fill="FFFFFF"/>
            <w:vAlign w:val="bottom"/>
          </w:tcPr>
          <w:p w14:paraId="3C53035B" w14:textId="77777777" w:rsidR="006379C0" w:rsidRPr="00755915" w:rsidRDefault="006379C0" w:rsidP="00202D52">
            <w:pPr>
              <w:pStyle w:val="Tabletext"/>
            </w:pPr>
            <w:r w:rsidRPr="00755915">
              <w:t>2</w:t>
            </w:r>
          </w:p>
        </w:tc>
        <w:tc>
          <w:tcPr>
            <w:tcW w:w="983" w:type="dxa"/>
            <w:shd w:val="clear" w:color="000000" w:fill="FFFFFF"/>
            <w:vAlign w:val="bottom"/>
          </w:tcPr>
          <w:p w14:paraId="57B491B0" w14:textId="77777777" w:rsidR="006379C0" w:rsidRPr="00755915" w:rsidRDefault="006379C0" w:rsidP="00202D52">
            <w:pPr>
              <w:pStyle w:val="Tabletext"/>
            </w:pPr>
            <w:r w:rsidRPr="00755915">
              <w:t>1</w:t>
            </w:r>
          </w:p>
        </w:tc>
      </w:tr>
      <w:tr w:rsidR="006379C0" w:rsidRPr="00755915" w14:paraId="382EBA63" w14:textId="77777777" w:rsidTr="00116B90">
        <w:trPr>
          <w:trHeight w:hRule="exact" w:val="227"/>
        </w:trPr>
        <w:tc>
          <w:tcPr>
            <w:tcW w:w="1816" w:type="dxa"/>
            <w:shd w:val="clear" w:color="000000" w:fill="FFFFFF"/>
            <w:noWrap/>
            <w:vAlign w:val="bottom"/>
            <w:hideMark/>
          </w:tcPr>
          <w:p w14:paraId="2548D6C0" w14:textId="77777777" w:rsidR="006379C0" w:rsidRPr="00755915" w:rsidRDefault="006379C0" w:rsidP="00202D52">
            <w:pPr>
              <w:pStyle w:val="Tabletext"/>
            </w:pPr>
            <w:r w:rsidRPr="00755915">
              <w:t>PSA</w:t>
            </w:r>
          </w:p>
        </w:tc>
        <w:tc>
          <w:tcPr>
            <w:tcW w:w="726" w:type="dxa"/>
            <w:shd w:val="clear" w:color="000000" w:fill="FFFFFF"/>
            <w:noWrap/>
            <w:vAlign w:val="bottom"/>
            <w:hideMark/>
          </w:tcPr>
          <w:p w14:paraId="76635C2A"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5CD39DFC" w14:textId="77777777" w:rsidR="006379C0" w:rsidRPr="00755915" w:rsidRDefault="006379C0" w:rsidP="00202D52">
            <w:pPr>
              <w:pStyle w:val="Tabletext"/>
            </w:pPr>
            <w:r w:rsidRPr="00755915">
              <w:t>0</w:t>
            </w:r>
          </w:p>
        </w:tc>
        <w:tc>
          <w:tcPr>
            <w:tcW w:w="983" w:type="dxa"/>
            <w:shd w:val="clear" w:color="000000" w:fill="FFFFFF"/>
            <w:noWrap/>
            <w:vAlign w:val="bottom"/>
            <w:hideMark/>
          </w:tcPr>
          <w:p w14:paraId="3D60A796" w14:textId="77777777" w:rsidR="006379C0" w:rsidRPr="00755915" w:rsidRDefault="006379C0" w:rsidP="00202D52">
            <w:pPr>
              <w:pStyle w:val="Tabletext"/>
            </w:pPr>
            <w:r w:rsidRPr="00755915">
              <w:t>6</w:t>
            </w:r>
          </w:p>
        </w:tc>
        <w:tc>
          <w:tcPr>
            <w:tcW w:w="236" w:type="dxa"/>
            <w:shd w:val="clear" w:color="auto" w:fill="000000" w:themeFill="text1"/>
          </w:tcPr>
          <w:p w14:paraId="4009F391" w14:textId="77777777" w:rsidR="006379C0" w:rsidRPr="00755915" w:rsidRDefault="006379C0" w:rsidP="00202D52">
            <w:pPr>
              <w:pStyle w:val="Tabletext"/>
            </w:pPr>
          </w:p>
        </w:tc>
        <w:tc>
          <w:tcPr>
            <w:tcW w:w="1673" w:type="dxa"/>
            <w:shd w:val="clear" w:color="000000" w:fill="FFFFFF"/>
            <w:vAlign w:val="bottom"/>
          </w:tcPr>
          <w:p w14:paraId="58D1E5DB" w14:textId="77777777" w:rsidR="006379C0" w:rsidRPr="00755915" w:rsidRDefault="006379C0" w:rsidP="00202D52">
            <w:pPr>
              <w:pStyle w:val="Tabletext"/>
            </w:pPr>
            <w:proofErr w:type="spellStart"/>
            <w:r w:rsidRPr="00755915">
              <w:t>Finatis</w:t>
            </w:r>
            <w:proofErr w:type="spellEnd"/>
            <w:r w:rsidRPr="00755915">
              <w:t xml:space="preserve"> </w:t>
            </w:r>
          </w:p>
        </w:tc>
        <w:tc>
          <w:tcPr>
            <w:tcW w:w="661" w:type="dxa"/>
            <w:shd w:val="clear" w:color="000000" w:fill="FFFFFF"/>
            <w:vAlign w:val="bottom"/>
          </w:tcPr>
          <w:p w14:paraId="076BD6C8" w14:textId="77777777" w:rsidR="006379C0" w:rsidRPr="00755915" w:rsidRDefault="006379C0" w:rsidP="00202D52">
            <w:pPr>
              <w:pStyle w:val="Tabletext"/>
            </w:pPr>
            <w:r w:rsidRPr="00755915">
              <w:t>8</w:t>
            </w:r>
          </w:p>
        </w:tc>
        <w:tc>
          <w:tcPr>
            <w:tcW w:w="983" w:type="dxa"/>
            <w:shd w:val="clear" w:color="000000" w:fill="FFFFFF"/>
            <w:vAlign w:val="bottom"/>
          </w:tcPr>
          <w:p w14:paraId="4F1B706D" w14:textId="77777777" w:rsidR="006379C0" w:rsidRPr="00755915" w:rsidRDefault="006379C0" w:rsidP="00202D52">
            <w:pPr>
              <w:pStyle w:val="Tabletext"/>
            </w:pPr>
            <w:r w:rsidRPr="00755915">
              <w:t>5</w:t>
            </w:r>
          </w:p>
        </w:tc>
        <w:tc>
          <w:tcPr>
            <w:tcW w:w="983" w:type="dxa"/>
            <w:shd w:val="clear" w:color="000000" w:fill="FFFFFF"/>
            <w:vAlign w:val="bottom"/>
          </w:tcPr>
          <w:p w14:paraId="6AB4E128" w14:textId="77777777" w:rsidR="006379C0" w:rsidRPr="00755915" w:rsidRDefault="006379C0" w:rsidP="00202D52">
            <w:pPr>
              <w:pStyle w:val="Tabletext"/>
            </w:pPr>
            <w:r w:rsidRPr="00755915">
              <w:t>1</w:t>
            </w:r>
          </w:p>
        </w:tc>
      </w:tr>
      <w:tr w:rsidR="006379C0" w:rsidRPr="00755915" w14:paraId="2429E9EA" w14:textId="77777777" w:rsidTr="00116B90">
        <w:trPr>
          <w:trHeight w:hRule="exact" w:val="227"/>
        </w:trPr>
        <w:tc>
          <w:tcPr>
            <w:tcW w:w="1816" w:type="dxa"/>
            <w:shd w:val="clear" w:color="000000" w:fill="FFFFFF"/>
            <w:noWrap/>
            <w:vAlign w:val="bottom"/>
            <w:hideMark/>
          </w:tcPr>
          <w:p w14:paraId="73B12F4B" w14:textId="77777777" w:rsidR="006379C0" w:rsidRPr="00755915" w:rsidRDefault="006379C0" w:rsidP="00202D52">
            <w:pPr>
              <w:pStyle w:val="Tabletext"/>
            </w:pPr>
            <w:r w:rsidRPr="00755915">
              <w:t>Bosch Group</w:t>
            </w:r>
          </w:p>
        </w:tc>
        <w:tc>
          <w:tcPr>
            <w:tcW w:w="726" w:type="dxa"/>
            <w:shd w:val="clear" w:color="000000" w:fill="FFFFFF"/>
            <w:noWrap/>
            <w:vAlign w:val="bottom"/>
            <w:hideMark/>
          </w:tcPr>
          <w:p w14:paraId="6F704D73"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425822B3" w14:textId="77777777" w:rsidR="006379C0" w:rsidRPr="00755915" w:rsidRDefault="006379C0" w:rsidP="00202D52">
            <w:pPr>
              <w:pStyle w:val="Tabletext"/>
            </w:pPr>
            <w:r w:rsidRPr="00755915">
              <w:t>1</w:t>
            </w:r>
          </w:p>
        </w:tc>
        <w:tc>
          <w:tcPr>
            <w:tcW w:w="983" w:type="dxa"/>
            <w:shd w:val="clear" w:color="000000" w:fill="FFFFFF"/>
            <w:noWrap/>
            <w:vAlign w:val="bottom"/>
            <w:hideMark/>
          </w:tcPr>
          <w:p w14:paraId="4A37F27C" w14:textId="77777777" w:rsidR="006379C0" w:rsidRPr="00755915" w:rsidRDefault="006379C0" w:rsidP="00202D52">
            <w:pPr>
              <w:pStyle w:val="Tabletext"/>
            </w:pPr>
            <w:r w:rsidRPr="00755915">
              <w:t>5</w:t>
            </w:r>
          </w:p>
        </w:tc>
        <w:tc>
          <w:tcPr>
            <w:tcW w:w="236" w:type="dxa"/>
            <w:shd w:val="clear" w:color="auto" w:fill="000000" w:themeFill="text1"/>
          </w:tcPr>
          <w:p w14:paraId="5F5E677F" w14:textId="77777777" w:rsidR="006379C0" w:rsidRPr="00755915" w:rsidRDefault="006379C0" w:rsidP="00202D52">
            <w:pPr>
              <w:pStyle w:val="Tabletext"/>
            </w:pPr>
          </w:p>
        </w:tc>
        <w:tc>
          <w:tcPr>
            <w:tcW w:w="1673" w:type="dxa"/>
            <w:shd w:val="clear" w:color="000000" w:fill="FFFFFF"/>
            <w:vAlign w:val="bottom"/>
          </w:tcPr>
          <w:p w14:paraId="43B554EB" w14:textId="77777777" w:rsidR="006379C0" w:rsidRPr="00755915" w:rsidRDefault="006379C0" w:rsidP="00202D52">
            <w:pPr>
              <w:pStyle w:val="Tabletext"/>
            </w:pPr>
            <w:r w:rsidRPr="00755915">
              <w:t xml:space="preserve">Bayer </w:t>
            </w:r>
          </w:p>
        </w:tc>
        <w:tc>
          <w:tcPr>
            <w:tcW w:w="661" w:type="dxa"/>
            <w:shd w:val="clear" w:color="000000" w:fill="FFFFFF"/>
            <w:vAlign w:val="bottom"/>
          </w:tcPr>
          <w:p w14:paraId="1E8796C9" w14:textId="77777777" w:rsidR="006379C0" w:rsidRPr="00755915" w:rsidRDefault="006379C0" w:rsidP="00202D52">
            <w:pPr>
              <w:pStyle w:val="Tabletext"/>
            </w:pPr>
            <w:r w:rsidRPr="00755915">
              <w:t>8</w:t>
            </w:r>
          </w:p>
        </w:tc>
        <w:tc>
          <w:tcPr>
            <w:tcW w:w="983" w:type="dxa"/>
            <w:shd w:val="clear" w:color="000000" w:fill="FFFFFF"/>
            <w:vAlign w:val="bottom"/>
          </w:tcPr>
          <w:p w14:paraId="52B06793" w14:textId="77777777" w:rsidR="006379C0" w:rsidRPr="00755915" w:rsidRDefault="006379C0" w:rsidP="00202D52">
            <w:pPr>
              <w:pStyle w:val="Tabletext"/>
            </w:pPr>
            <w:r w:rsidRPr="00755915">
              <w:t>2</w:t>
            </w:r>
          </w:p>
        </w:tc>
        <w:tc>
          <w:tcPr>
            <w:tcW w:w="983" w:type="dxa"/>
            <w:shd w:val="clear" w:color="000000" w:fill="FFFFFF"/>
            <w:vAlign w:val="bottom"/>
          </w:tcPr>
          <w:p w14:paraId="548241FA" w14:textId="77777777" w:rsidR="006379C0" w:rsidRPr="00755915" w:rsidRDefault="006379C0" w:rsidP="00202D52">
            <w:pPr>
              <w:pStyle w:val="Tabletext"/>
            </w:pPr>
            <w:r w:rsidRPr="00755915">
              <w:t>0</w:t>
            </w:r>
          </w:p>
        </w:tc>
      </w:tr>
      <w:tr w:rsidR="006379C0" w:rsidRPr="00755915" w14:paraId="1D9A0096" w14:textId="77777777" w:rsidTr="00116B90">
        <w:trPr>
          <w:trHeight w:hRule="exact" w:val="227"/>
        </w:trPr>
        <w:tc>
          <w:tcPr>
            <w:tcW w:w="1816" w:type="dxa"/>
            <w:shd w:val="clear" w:color="000000" w:fill="FFFFFF"/>
            <w:noWrap/>
            <w:vAlign w:val="bottom"/>
            <w:hideMark/>
          </w:tcPr>
          <w:p w14:paraId="76FF8488" w14:textId="77777777" w:rsidR="006379C0" w:rsidRPr="00755915" w:rsidRDefault="006379C0" w:rsidP="00202D52">
            <w:pPr>
              <w:pStyle w:val="Tabletext"/>
            </w:pPr>
            <w:r w:rsidRPr="00755915">
              <w:t>Enel</w:t>
            </w:r>
          </w:p>
        </w:tc>
        <w:tc>
          <w:tcPr>
            <w:tcW w:w="726" w:type="dxa"/>
            <w:shd w:val="clear" w:color="000000" w:fill="FFFFFF"/>
            <w:noWrap/>
            <w:vAlign w:val="bottom"/>
            <w:hideMark/>
          </w:tcPr>
          <w:p w14:paraId="438C3D08"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760E3DD6" w14:textId="77777777" w:rsidR="006379C0" w:rsidRPr="00755915" w:rsidRDefault="006379C0" w:rsidP="00202D52">
            <w:pPr>
              <w:pStyle w:val="Tabletext"/>
            </w:pPr>
            <w:r w:rsidRPr="00755915">
              <w:t>2</w:t>
            </w:r>
          </w:p>
        </w:tc>
        <w:tc>
          <w:tcPr>
            <w:tcW w:w="983" w:type="dxa"/>
            <w:shd w:val="clear" w:color="000000" w:fill="FFFFFF"/>
            <w:noWrap/>
            <w:vAlign w:val="bottom"/>
            <w:hideMark/>
          </w:tcPr>
          <w:p w14:paraId="1B672418" w14:textId="77777777" w:rsidR="006379C0" w:rsidRPr="00755915" w:rsidRDefault="006379C0" w:rsidP="00202D52">
            <w:pPr>
              <w:pStyle w:val="Tabletext"/>
            </w:pPr>
            <w:r w:rsidRPr="00755915">
              <w:t>2</w:t>
            </w:r>
          </w:p>
        </w:tc>
        <w:tc>
          <w:tcPr>
            <w:tcW w:w="236" w:type="dxa"/>
            <w:shd w:val="clear" w:color="auto" w:fill="000000" w:themeFill="text1"/>
          </w:tcPr>
          <w:p w14:paraId="5EE06F2E" w14:textId="77777777" w:rsidR="006379C0" w:rsidRPr="00755915" w:rsidRDefault="006379C0" w:rsidP="00202D52">
            <w:pPr>
              <w:pStyle w:val="Tabletext"/>
            </w:pPr>
          </w:p>
        </w:tc>
        <w:tc>
          <w:tcPr>
            <w:tcW w:w="1673" w:type="dxa"/>
            <w:shd w:val="clear" w:color="000000" w:fill="FFFFFF"/>
            <w:vAlign w:val="bottom"/>
          </w:tcPr>
          <w:p w14:paraId="631615F8" w14:textId="77777777" w:rsidR="006379C0" w:rsidRPr="00755915" w:rsidRDefault="006379C0" w:rsidP="00202D52">
            <w:pPr>
              <w:pStyle w:val="Tabletext"/>
            </w:pPr>
            <w:r w:rsidRPr="00755915">
              <w:t>CNP Assurances</w:t>
            </w:r>
          </w:p>
        </w:tc>
        <w:tc>
          <w:tcPr>
            <w:tcW w:w="661" w:type="dxa"/>
            <w:shd w:val="clear" w:color="000000" w:fill="FFFFFF"/>
            <w:vAlign w:val="bottom"/>
          </w:tcPr>
          <w:p w14:paraId="6155B843" w14:textId="77777777" w:rsidR="006379C0" w:rsidRPr="00755915" w:rsidRDefault="006379C0" w:rsidP="00202D52">
            <w:pPr>
              <w:pStyle w:val="Tabletext"/>
            </w:pPr>
            <w:r w:rsidRPr="00755915">
              <w:t>7</w:t>
            </w:r>
          </w:p>
        </w:tc>
        <w:tc>
          <w:tcPr>
            <w:tcW w:w="983" w:type="dxa"/>
            <w:shd w:val="clear" w:color="000000" w:fill="FFFFFF"/>
            <w:vAlign w:val="bottom"/>
          </w:tcPr>
          <w:p w14:paraId="308AD522" w14:textId="77777777" w:rsidR="006379C0" w:rsidRPr="00755915" w:rsidRDefault="006379C0" w:rsidP="00202D52">
            <w:pPr>
              <w:pStyle w:val="Tabletext"/>
            </w:pPr>
            <w:r w:rsidRPr="00755915">
              <w:t>3</w:t>
            </w:r>
          </w:p>
        </w:tc>
        <w:tc>
          <w:tcPr>
            <w:tcW w:w="983" w:type="dxa"/>
            <w:shd w:val="clear" w:color="000000" w:fill="FFFFFF"/>
            <w:vAlign w:val="bottom"/>
          </w:tcPr>
          <w:p w14:paraId="591F3751" w14:textId="77777777" w:rsidR="006379C0" w:rsidRPr="00755915" w:rsidRDefault="006379C0" w:rsidP="00202D52">
            <w:pPr>
              <w:pStyle w:val="Tabletext"/>
            </w:pPr>
            <w:r w:rsidRPr="00755915">
              <w:t>0</w:t>
            </w:r>
          </w:p>
        </w:tc>
      </w:tr>
      <w:tr w:rsidR="006379C0" w:rsidRPr="00755915" w14:paraId="3BE2C839" w14:textId="77777777" w:rsidTr="00116B90">
        <w:trPr>
          <w:trHeight w:hRule="exact" w:val="227"/>
        </w:trPr>
        <w:tc>
          <w:tcPr>
            <w:tcW w:w="1816" w:type="dxa"/>
            <w:shd w:val="clear" w:color="000000" w:fill="FFFFFF"/>
            <w:noWrap/>
            <w:vAlign w:val="bottom"/>
            <w:hideMark/>
          </w:tcPr>
          <w:p w14:paraId="38152C05" w14:textId="77777777" w:rsidR="006379C0" w:rsidRPr="00755915" w:rsidRDefault="006379C0" w:rsidP="00202D52">
            <w:pPr>
              <w:pStyle w:val="Tabletext"/>
            </w:pPr>
            <w:r w:rsidRPr="00755915">
              <w:t>Munich Re Group</w:t>
            </w:r>
          </w:p>
        </w:tc>
        <w:tc>
          <w:tcPr>
            <w:tcW w:w="726" w:type="dxa"/>
            <w:shd w:val="clear" w:color="000000" w:fill="FFFFFF"/>
            <w:noWrap/>
            <w:vAlign w:val="bottom"/>
            <w:hideMark/>
          </w:tcPr>
          <w:p w14:paraId="1F469821"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7246FB6F" w14:textId="77777777" w:rsidR="006379C0" w:rsidRPr="00755915" w:rsidRDefault="006379C0" w:rsidP="00202D52">
            <w:pPr>
              <w:pStyle w:val="Tabletext"/>
            </w:pPr>
            <w:r w:rsidRPr="00755915">
              <w:t>4</w:t>
            </w:r>
          </w:p>
        </w:tc>
        <w:tc>
          <w:tcPr>
            <w:tcW w:w="983" w:type="dxa"/>
            <w:shd w:val="clear" w:color="000000" w:fill="FFFFFF"/>
            <w:noWrap/>
            <w:vAlign w:val="bottom"/>
            <w:hideMark/>
          </w:tcPr>
          <w:p w14:paraId="2828BC2C" w14:textId="77777777" w:rsidR="006379C0" w:rsidRPr="00755915" w:rsidRDefault="006379C0" w:rsidP="00202D52">
            <w:pPr>
              <w:pStyle w:val="Tabletext"/>
            </w:pPr>
            <w:r w:rsidRPr="00755915">
              <w:t>2</w:t>
            </w:r>
          </w:p>
        </w:tc>
        <w:tc>
          <w:tcPr>
            <w:tcW w:w="236" w:type="dxa"/>
            <w:shd w:val="clear" w:color="auto" w:fill="000000" w:themeFill="text1"/>
          </w:tcPr>
          <w:p w14:paraId="3DC7BEB9" w14:textId="77777777" w:rsidR="006379C0" w:rsidRPr="00755915" w:rsidRDefault="006379C0" w:rsidP="00202D52">
            <w:pPr>
              <w:pStyle w:val="Tabletext"/>
            </w:pPr>
          </w:p>
        </w:tc>
        <w:tc>
          <w:tcPr>
            <w:tcW w:w="1673" w:type="dxa"/>
            <w:shd w:val="clear" w:color="000000" w:fill="FFFFFF"/>
            <w:vAlign w:val="bottom"/>
          </w:tcPr>
          <w:p w14:paraId="32EC97C6" w14:textId="77777777" w:rsidR="006379C0" w:rsidRPr="00755915" w:rsidRDefault="006379C0" w:rsidP="00202D52">
            <w:pPr>
              <w:pStyle w:val="Tabletext"/>
            </w:pPr>
            <w:r w:rsidRPr="00755915">
              <w:t>Aviva </w:t>
            </w:r>
          </w:p>
        </w:tc>
        <w:tc>
          <w:tcPr>
            <w:tcW w:w="661" w:type="dxa"/>
            <w:shd w:val="clear" w:color="000000" w:fill="FFFFFF"/>
            <w:vAlign w:val="bottom"/>
          </w:tcPr>
          <w:p w14:paraId="3987553B" w14:textId="77777777" w:rsidR="006379C0" w:rsidRPr="00755915" w:rsidRDefault="006379C0" w:rsidP="00202D52">
            <w:pPr>
              <w:pStyle w:val="Tabletext"/>
            </w:pPr>
            <w:r w:rsidRPr="00755915">
              <w:t>7</w:t>
            </w:r>
          </w:p>
        </w:tc>
        <w:tc>
          <w:tcPr>
            <w:tcW w:w="983" w:type="dxa"/>
            <w:shd w:val="clear" w:color="000000" w:fill="FFFFFF"/>
            <w:vAlign w:val="bottom"/>
          </w:tcPr>
          <w:p w14:paraId="17DD8B28" w14:textId="77777777" w:rsidR="006379C0" w:rsidRPr="00755915" w:rsidRDefault="006379C0" w:rsidP="00202D52">
            <w:pPr>
              <w:pStyle w:val="Tabletext"/>
            </w:pPr>
            <w:r w:rsidRPr="00755915">
              <w:t>4</w:t>
            </w:r>
          </w:p>
        </w:tc>
        <w:tc>
          <w:tcPr>
            <w:tcW w:w="983" w:type="dxa"/>
            <w:shd w:val="clear" w:color="000000" w:fill="FFFFFF"/>
            <w:vAlign w:val="bottom"/>
          </w:tcPr>
          <w:p w14:paraId="29304564" w14:textId="77777777" w:rsidR="006379C0" w:rsidRPr="00755915" w:rsidRDefault="006379C0" w:rsidP="00202D52">
            <w:pPr>
              <w:pStyle w:val="Tabletext"/>
            </w:pPr>
            <w:r w:rsidRPr="00755915">
              <w:t>0</w:t>
            </w:r>
          </w:p>
        </w:tc>
      </w:tr>
      <w:tr w:rsidR="006379C0" w:rsidRPr="00755915" w14:paraId="08447832" w14:textId="77777777" w:rsidTr="00116B90">
        <w:trPr>
          <w:trHeight w:hRule="exact" w:val="227"/>
        </w:trPr>
        <w:tc>
          <w:tcPr>
            <w:tcW w:w="1816" w:type="dxa"/>
            <w:shd w:val="clear" w:color="000000" w:fill="FFFFFF"/>
            <w:noWrap/>
            <w:vAlign w:val="bottom"/>
            <w:hideMark/>
          </w:tcPr>
          <w:p w14:paraId="062803B5" w14:textId="77777777" w:rsidR="006379C0" w:rsidRPr="00755915" w:rsidRDefault="006379C0" w:rsidP="00202D52">
            <w:pPr>
              <w:pStyle w:val="Tabletext"/>
            </w:pPr>
            <w:r w:rsidRPr="00755915">
              <w:t>BMW Group</w:t>
            </w:r>
          </w:p>
        </w:tc>
        <w:tc>
          <w:tcPr>
            <w:tcW w:w="726" w:type="dxa"/>
            <w:shd w:val="clear" w:color="000000" w:fill="FFFFFF"/>
            <w:noWrap/>
            <w:vAlign w:val="bottom"/>
            <w:hideMark/>
          </w:tcPr>
          <w:p w14:paraId="4822F7CB"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0088F3B4" w14:textId="77777777" w:rsidR="006379C0" w:rsidRPr="00755915" w:rsidRDefault="006379C0" w:rsidP="00202D52">
            <w:pPr>
              <w:pStyle w:val="Tabletext"/>
            </w:pPr>
            <w:r w:rsidRPr="00755915">
              <w:t>2</w:t>
            </w:r>
          </w:p>
        </w:tc>
        <w:tc>
          <w:tcPr>
            <w:tcW w:w="983" w:type="dxa"/>
            <w:shd w:val="clear" w:color="000000" w:fill="FFFFFF"/>
            <w:noWrap/>
            <w:vAlign w:val="bottom"/>
            <w:hideMark/>
          </w:tcPr>
          <w:p w14:paraId="20F9E269" w14:textId="77777777" w:rsidR="006379C0" w:rsidRPr="00755915" w:rsidRDefault="006379C0" w:rsidP="00202D52">
            <w:pPr>
              <w:pStyle w:val="Tabletext"/>
            </w:pPr>
            <w:r w:rsidRPr="00755915">
              <w:t>3</w:t>
            </w:r>
          </w:p>
        </w:tc>
        <w:tc>
          <w:tcPr>
            <w:tcW w:w="236" w:type="dxa"/>
            <w:shd w:val="clear" w:color="auto" w:fill="000000" w:themeFill="text1"/>
          </w:tcPr>
          <w:p w14:paraId="2D6F9B75" w14:textId="77777777" w:rsidR="006379C0" w:rsidRPr="00755915" w:rsidRDefault="006379C0" w:rsidP="00202D52">
            <w:pPr>
              <w:pStyle w:val="Tabletext"/>
            </w:pPr>
          </w:p>
        </w:tc>
        <w:tc>
          <w:tcPr>
            <w:tcW w:w="1673" w:type="dxa"/>
            <w:shd w:val="clear" w:color="000000" w:fill="FFFFFF"/>
            <w:vAlign w:val="bottom"/>
          </w:tcPr>
          <w:p w14:paraId="2DAB9728" w14:textId="77777777" w:rsidR="006379C0" w:rsidRPr="00755915" w:rsidRDefault="006379C0" w:rsidP="00202D52">
            <w:pPr>
              <w:pStyle w:val="Tabletext"/>
            </w:pPr>
            <w:r w:rsidRPr="00755915">
              <w:t>Louis Dreyfus</w:t>
            </w:r>
          </w:p>
        </w:tc>
        <w:tc>
          <w:tcPr>
            <w:tcW w:w="661" w:type="dxa"/>
            <w:shd w:val="clear" w:color="000000" w:fill="FFFFFF"/>
            <w:vAlign w:val="bottom"/>
          </w:tcPr>
          <w:p w14:paraId="2AD2ABD7" w14:textId="77777777" w:rsidR="006379C0" w:rsidRPr="00755915" w:rsidRDefault="006379C0" w:rsidP="00202D52">
            <w:pPr>
              <w:pStyle w:val="Tabletext"/>
            </w:pPr>
            <w:r w:rsidRPr="00755915">
              <w:t>6</w:t>
            </w:r>
          </w:p>
        </w:tc>
        <w:tc>
          <w:tcPr>
            <w:tcW w:w="983" w:type="dxa"/>
            <w:shd w:val="clear" w:color="000000" w:fill="FFFFFF"/>
            <w:vAlign w:val="bottom"/>
          </w:tcPr>
          <w:p w14:paraId="6F17322E" w14:textId="77777777" w:rsidR="006379C0" w:rsidRPr="00755915" w:rsidRDefault="006379C0" w:rsidP="00202D52">
            <w:pPr>
              <w:pStyle w:val="Tabletext"/>
            </w:pPr>
            <w:r w:rsidRPr="00755915">
              <w:t>3</w:t>
            </w:r>
          </w:p>
        </w:tc>
        <w:tc>
          <w:tcPr>
            <w:tcW w:w="983" w:type="dxa"/>
            <w:shd w:val="clear" w:color="000000" w:fill="FFFFFF"/>
            <w:vAlign w:val="bottom"/>
          </w:tcPr>
          <w:p w14:paraId="67ECF373" w14:textId="77777777" w:rsidR="006379C0" w:rsidRPr="00755915" w:rsidRDefault="006379C0" w:rsidP="00202D52">
            <w:pPr>
              <w:pStyle w:val="Tabletext"/>
            </w:pPr>
            <w:r w:rsidRPr="00755915">
              <w:t>0</w:t>
            </w:r>
          </w:p>
        </w:tc>
      </w:tr>
      <w:tr w:rsidR="006379C0" w:rsidRPr="00755915" w14:paraId="219B9A7B" w14:textId="77777777" w:rsidTr="00116B90">
        <w:trPr>
          <w:trHeight w:hRule="exact" w:val="227"/>
        </w:trPr>
        <w:tc>
          <w:tcPr>
            <w:tcW w:w="1816" w:type="dxa"/>
            <w:shd w:val="clear" w:color="000000" w:fill="FFFFFF"/>
            <w:noWrap/>
            <w:vAlign w:val="bottom"/>
            <w:hideMark/>
          </w:tcPr>
          <w:p w14:paraId="45C3BB7A" w14:textId="77777777" w:rsidR="006379C0" w:rsidRPr="00755915" w:rsidRDefault="006379C0" w:rsidP="00202D52">
            <w:pPr>
              <w:pStyle w:val="Tabletext"/>
            </w:pPr>
            <w:r w:rsidRPr="00755915">
              <w:t>Vodafone</w:t>
            </w:r>
          </w:p>
        </w:tc>
        <w:tc>
          <w:tcPr>
            <w:tcW w:w="726" w:type="dxa"/>
            <w:shd w:val="clear" w:color="000000" w:fill="FFFFFF"/>
            <w:noWrap/>
            <w:vAlign w:val="bottom"/>
            <w:hideMark/>
          </w:tcPr>
          <w:p w14:paraId="00FC22B2"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63CBC54D" w14:textId="77777777" w:rsidR="006379C0" w:rsidRPr="00755915" w:rsidRDefault="006379C0" w:rsidP="00202D52">
            <w:pPr>
              <w:pStyle w:val="Tabletext"/>
            </w:pPr>
            <w:r w:rsidRPr="00755915">
              <w:t>3</w:t>
            </w:r>
          </w:p>
        </w:tc>
        <w:tc>
          <w:tcPr>
            <w:tcW w:w="983" w:type="dxa"/>
            <w:shd w:val="clear" w:color="000000" w:fill="FFFFFF"/>
            <w:noWrap/>
            <w:vAlign w:val="bottom"/>
            <w:hideMark/>
          </w:tcPr>
          <w:p w14:paraId="1B5D157C" w14:textId="77777777" w:rsidR="006379C0" w:rsidRPr="00755915" w:rsidRDefault="006379C0" w:rsidP="00202D52">
            <w:pPr>
              <w:pStyle w:val="Tabletext"/>
            </w:pPr>
            <w:r w:rsidRPr="00755915">
              <w:t>1</w:t>
            </w:r>
          </w:p>
        </w:tc>
        <w:tc>
          <w:tcPr>
            <w:tcW w:w="236" w:type="dxa"/>
            <w:shd w:val="clear" w:color="auto" w:fill="000000" w:themeFill="text1"/>
          </w:tcPr>
          <w:p w14:paraId="5D0DF450" w14:textId="77777777" w:rsidR="006379C0" w:rsidRPr="00755915" w:rsidRDefault="006379C0" w:rsidP="00202D52">
            <w:pPr>
              <w:pStyle w:val="Tabletext"/>
            </w:pPr>
          </w:p>
        </w:tc>
        <w:tc>
          <w:tcPr>
            <w:tcW w:w="1673" w:type="dxa"/>
            <w:shd w:val="clear" w:color="000000" w:fill="FFFFFF"/>
            <w:vAlign w:val="bottom"/>
          </w:tcPr>
          <w:p w14:paraId="7B6278BA" w14:textId="77777777" w:rsidR="006379C0" w:rsidRPr="00755915" w:rsidRDefault="006379C0" w:rsidP="00202D52">
            <w:pPr>
              <w:pStyle w:val="Tabletext"/>
            </w:pPr>
            <w:proofErr w:type="spellStart"/>
            <w:r w:rsidRPr="00755915">
              <w:t>Assicurazioni</w:t>
            </w:r>
            <w:proofErr w:type="spellEnd"/>
            <w:r w:rsidRPr="00755915">
              <w:t xml:space="preserve"> </w:t>
            </w:r>
            <w:proofErr w:type="spellStart"/>
            <w:r w:rsidRPr="00755915">
              <w:t>Generali</w:t>
            </w:r>
            <w:proofErr w:type="spellEnd"/>
          </w:p>
        </w:tc>
        <w:tc>
          <w:tcPr>
            <w:tcW w:w="661" w:type="dxa"/>
            <w:shd w:val="clear" w:color="000000" w:fill="FFFFFF"/>
            <w:vAlign w:val="bottom"/>
          </w:tcPr>
          <w:p w14:paraId="0BBE6558" w14:textId="77777777" w:rsidR="006379C0" w:rsidRPr="00755915" w:rsidRDefault="006379C0" w:rsidP="00202D52">
            <w:pPr>
              <w:pStyle w:val="Tabletext"/>
            </w:pPr>
            <w:r w:rsidRPr="00755915">
              <w:t>4</w:t>
            </w:r>
          </w:p>
        </w:tc>
        <w:tc>
          <w:tcPr>
            <w:tcW w:w="983" w:type="dxa"/>
            <w:shd w:val="clear" w:color="000000" w:fill="FFFFFF"/>
            <w:vAlign w:val="bottom"/>
          </w:tcPr>
          <w:p w14:paraId="2242987E" w14:textId="77777777" w:rsidR="006379C0" w:rsidRPr="00755915" w:rsidRDefault="006379C0" w:rsidP="00202D52">
            <w:pPr>
              <w:pStyle w:val="Tabletext"/>
            </w:pPr>
            <w:r w:rsidRPr="00755915">
              <w:t>1</w:t>
            </w:r>
          </w:p>
        </w:tc>
        <w:tc>
          <w:tcPr>
            <w:tcW w:w="983" w:type="dxa"/>
            <w:shd w:val="clear" w:color="000000" w:fill="FFFFFF"/>
            <w:vAlign w:val="bottom"/>
          </w:tcPr>
          <w:p w14:paraId="6FE0E41A" w14:textId="77777777" w:rsidR="006379C0" w:rsidRPr="00755915" w:rsidRDefault="006379C0" w:rsidP="00202D52">
            <w:pPr>
              <w:pStyle w:val="Tabletext"/>
            </w:pPr>
            <w:r w:rsidRPr="00755915">
              <w:t>2</w:t>
            </w:r>
          </w:p>
        </w:tc>
      </w:tr>
      <w:tr w:rsidR="006379C0" w:rsidRPr="00755915" w14:paraId="39FC95BC" w14:textId="77777777" w:rsidTr="00116B90">
        <w:trPr>
          <w:trHeight w:hRule="exact" w:val="227"/>
        </w:trPr>
        <w:tc>
          <w:tcPr>
            <w:tcW w:w="1816" w:type="dxa"/>
            <w:shd w:val="clear" w:color="000000" w:fill="FFFFFF"/>
            <w:noWrap/>
            <w:vAlign w:val="bottom"/>
            <w:hideMark/>
          </w:tcPr>
          <w:p w14:paraId="69821CD9" w14:textId="77777777" w:rsidR="006379C0" w:rsidRPr="00755915" w:rsidRDefault="006379C0" w:rsidP="00202D52">
            <w:pPr>
              <w:pStyle w:val="Tabletext"/>
            </w:pPr>
            <w:r w:rsidRPr="00755915">
              <w:t>ING Group</w:t>
            </w:r>
          </w:p>
        </w:tc>
        <w:tc>
          <w:tcPr>
            <w:tcW w:w="726" w:type="dxa"/>
            <w:shd w:val="clear" w:color="000000" w:fill="FFFFFF"/>
            <w:noWrap/>
            <w:vAlign w:val="bottom"/>
            <w:hideMark/>
          </w:tcPr>
          <w:p w14:paraId="3F99AB91"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0557A163" w14:textId="77777777" w:rsidR="006379C0" w:rsidRPr="00755915" w:rsidRDefault="006379C0" w:rsidP="00202D52">
            <w:pPr>
              <w:pStyle w:val="Tabletext"/>
            </w:pPr>
            <w:r w:rsidRPr="00755915">
              <w:t>0</w:t>
            </w:r>
          </w:p>
        </w:tc>
        <w:tc>
          <w:tcPr>
            <w:tcW w:w="983" w:type="dxa"/>
            <w:shd w:val="clear" w:color="000000" w:fill="FFFFFF"/>
            <w:noWrap/>
            <w:vAlign w:val="bottom"/>
            <w:hideMark/>
          </w:tcPr>
          <w:p w14:paraId="0DD6FFED" w14:textId="77777777" w:rsidR="006379C0" w:rsidRPr="00755915" w:rsidRDefault="006379C0" w:rsidP="00202D52">
            <w:pPr>
              <w:pStyle w:val="Tabletext"/>
            </w:pPr>
            <w:r w:rsidRPr="00755915">
              <w:t>6</w:t>
            </w:r>
          </w:p>
        </w:tc>
        <w:tc>
          <w:tcPr>
            <w:tcW w:w="236" w:type="dxa"/>
            <w:shd w:val="clear" w:color="auto" w:fill="000000" w:themeFill="text1"/>
          </w:tcPr>
          <w:p w14:paraId="0C24D9FA" w14:textId="77777777" w:rsidR="006379C0" w:rsidRPr="00755915" w:rsidRDefault="006379C0" w:rsidP="00202D52">
            <w:pPr>
              <w:pStyle w:val="Tabletext"/>
            </w:pPr>
          </w:p>
        </w:tc>
        <w:tc>
          <w:tcPr>
            <w:tcW w:w="1673" w:type="dxa"/>
            <w:shd w:val="clear" w:color="000000" w:fill="FFFFFF"/>
            <w:vAlign w:val="bottom"/>
          </w:tcPr>
          <w:p w14:paraId="7CCB0C1B" w14:textId="77777777" w:rsidR="006379C0" w:rsidRPr="00755915" w:rsidRDefault="006379C0" w:rsidP="00202D52">
            <w:pPr>
              <w:pStyle w:val="Tabletext"/>
            </w:pPr>
            <w:r w:rsidRPr="00755915">
              <w:t>Legal &amp; General Group</w:t>
            </w:r>
          </w:p>
        </w:tc>
        <w:tc>
          <w:tcPr>
            <w:tcW w:w="661" w:type="dxa"/>
            <w:shd w:val="clear" w:color="000000" w:fill="FFFFFF"/>
            <w:vAlign w:val="bottom"/>
          </w:tcPr>
          <w:p w14:paraId="149C622B" w14:textId="77777777" w:rsidR="006379C0" w:rsidRPr="00755915" w:rsidRDefault="006379C0" w:rsidP="00202D52">
            <w:pPr>
              <w:pStyle w:val="Tabletext"/>
            </w:pPr>
            <w:r w:rsidRPr="00755915">
              <w:t>4</w:t>
            </w:r>
          </w:p>
        </w:tc>
        <w:tc>
          <w:tcPr>
            <w:tcW w:w="983" w:type="dxa"/>
            <w:shd w:val="clear" w:color="000000" w:fill="FFFFFF"/>
            <w:vAlign w:val="bottom"/>
          </w:tcPr>
          <w:p w14:paraId="4E6ED6EC" w14:textId="77777777" w:rsidR="006379C0" w:rsidRPr="00755915" w:rsidRDefault="006379C0" w:rsidP="00202D52">
            <w:pPr>
              <w:pStyle w:val="Tabletext"/>
            </w:pPr>
            <w:r w:rsidRPr="00755915">
              <w:t>0</w:t>
            </w:r>
          </w:p>
        </w:tc>
        <w:tc>
          <w:tcPr>
            <w:tcW w:w="983" w:type="dxa"/>
            <w:shd w:val="clear" w:color="000000" w:fill="FFFFFF"/>
            <w:vAlign w:val="bottom"/>
          </w:tcPr>
          <w:p w14:paraId="0D380AA2" w14:textId="77777777" w:rsidR="006379C0" w:rsidRPr="00755915" w:rsidRDefault="006379C0" w:rsidP="00202D52">
            <w:pPr>
              <w:pStyle w:val="Tabletext"/>
            </w:pPr>
            <w:r w:rsidRPr="00755915">
              <w:t>1</w:t>
            </w:r>
          </w:p>
        </w:tc>
      </w:tr>
      <w:tr w:rsidR="006379C0" w:rsidRPr="00755915" w14:paraId="0889398D" w14:textId="77777777" w:rsidTr="00116B90">
        <w:trPr>
          <w:trHeight w:hRule="exact" w:val="227"/>
        </w:trPr>
        <w:tc>
          <w:tcPr>
            <w:tcW w:w="1816" w:type="dxa"/>
            <w:shd w:val="clear" w:color="000000" w:fill="FFFFFF"/>
            <w:noWrap/>
            <w:vAlign w:val="bottom"/>
            <w:hideMark/>
          </w:tcPr>
          <w:p w14:paraId="2A091F92" w14:textId="77777777" w:rsidR="006379C0" w:rsidRPr="00755915" w:rsidRDefault="006379C0" w:rsidP="00202D52">
            <w:pPr>
              <w:pStyle w:val="Tabletext"/>
            </w:pPr>
            <w:r w:rsidRPr="00755915">
              <w:t>Daimler</w:t>
            </w:r>
          </w:p>
        </w:tc>
        <w:tc>
          <w:tcPr>
            <w:tcW w:w="726" w:type="dxa"/>
            <w:shd w:val="clear" w:color="000000" w:fill="FFFFFF"/>
            <w:noWrap/>
            <w:vAlign w:val="bottom"/>
            <w:hideMark/>
          </w:tcPr>
          <w:p w14:paraId="3B0CE873"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793E5765" w14:textId="77777777" w:rsidR="006379C0" w:rsidRPr="00755915" w:rsidRDefault="006379C0" w:rsidP="00202D52">
            <w:pPr>
              <w:pStyle w:val="Tabletext"/>
            </w:pPr>
            <w:r w:rsidRPr="00755915">
              <w:t>3</w:t>
            </w:r>
          </w:p>
        </w:tc>
        <w:tc>
          <w:tcPr>
            <w:tcW w:w="983" w:type="dxa"/>
            <w:shd w:val="clear" w:color="000000" w:fill="FFFFFF"/>
            <w:noWrap/>
            <w:vAlign w:val="bottom"/>
            <w:hideMark/>
          </w:tcPr>
          <w:p w14:paraId="67ABB2CD" w14:textId="77777777" w:rsidR="006379C0" w:rsidRPr="00755915" w:rsidRDefault="006379C0" w:rsidP="00202D52">
            <w:pPr>
              <w:pStyle w:val="Tabletext"/>
            </w:pPr>
            <w:r w:rsidRPr="00755915">
              <w:t>5</w:t>
            </w:r>
          </w:p>
        </w:tc>
        <w:tc>
          <w:tcPr>
            <w:tcW w:w="236" w:type="dxa"/>
            <w:shd w:val="clear" w:color="auto" w:fill="000000" w:themeFill="text1"/>
          </w:tcPr>
          <w:p w14:paraId="40F75F14" w14:textId="77777777" w:rsidR="006379C0" w:rsidRPr="00755915" w:rsidRDefault="006379C0" w:rsidP="00202D52">
            <w:pPr>
              <w:pStyle w:val="Tabletext"/>
            </w:pPr>
          </w:p>
        </w:tc>
        <w:tc>
          <w:tcPr>
            <w:tcW w:w="1673" w:type="dxa"/>
            <w:shd w:val="clear" w:color="000000" w:fill="FFFFFF"/>
            <w:vAlign w:val="bottom"/>
          </w:tcPr>
          <w:p w14:paraId="6D075EBA" w14:textId="77777777" w:rsidR="006379C0" w:rsidRPr="00755915" w:rsidRDefault="006379C0" w:rsidP="00202D52">
            <w:pPr>
              <w:pStyle w:val="Tabletext"/>
            </w:pPr>
            <w:r w:rsidRPr="00755915">
              <w:t>Lloyds Banking Group</w:t>
            </w:r>
          </w:p>
        </w:tc>
        <w:tc>
          <w:tcPr>
            <w:tcW w:w="661" w:type="dxa"/>
            <w:shd w:val="clear" w:color="000000" w:fill="FFFFFF"/>
            <w:vAlign w:val="bottom"/>
          </w:tcPr>
          <w:p w14:paraId="4EC9E4F4" w14:textId="77777777" w:rsidR="006379C0" w:rsidRPr="00755915" w:rsidRDefault="006379C0" w:rsidP="00202D52">
            <w:pPr>
              <w:pStyle w:val="Tabletext"/>
            </w:pPr>
            <w:r w:rsidRPr="00755915">
              <w:t>4</w:t>
            </w:r>
          </w:p>
        </w:tc>
        <w:tc>
          <w:tcPr>
            <w:tcW w:w="983" w:type="dxa"/>
            <w:shd w:val="clear" w:color="000000" w:fill="FFFFFF"/>
            <w:vAlign w:val="bottom"/>
          </w:tcPr>
          <w:p w14:paraId="32614753" w14:textId="77777777" w:rsidR="006379C0" w:rsidRPr="00755915" w:rsidRDefault="006379C0" w:rsidP="00202D52">
            <w:pPr>
              <w:pStyle w:val="Tabletext"/>
            </w:pPr>
            <w:r w:rsidRPr="00755915">
              <w:t>0</w:t>
            </w:r>
          </w:p>
        </w:tc>
        <w:tc>
          <w:tcPr>
            <w:tcW w:w="983" w:type="dxa"/>
            <w:shd w:val="clear" w:color="000000" w:fill="FFFFFF"/>
            <w:vAlign w:val="bottom"/>
          </w:tcPr>
          <w:p w14:paraId="58F9F718" w14:textId="77777777" w:rsidR="006379C0" w:rsidRPr="00755915" w:rsidRDefault="006379C0" w:rsidP="00202D52">
            <w:pPr>
              <w:pStyle w:val="Tabletext"/>
            </w:pPr>
            <w:r w:rsidRPr="00755915">
              <w:t>1</w:t>
            </w:r>
          </w:p>
        </w:tc>
      </w:tr>
      <w:tr w:rsidR="006379C0" w:rsidRPr="00755915" w14:paraId="24FE13D4" w14:textId="77777777" w:rsidTr="00116B90">
        <w:trPr>
          <w:trHeight w:hRule="exact" w:val="227"/>
        </w:trPr>
        <w:tc>
          <w:tcPr>
            <w:tcW w:w="1816" w:type="dxa"/>
            <w:shd w:val="clear" w:color="000000" w:fill="FFFFFF"/>
            <w:noWrap/>
            <w:vAlign w:val="bottom"/>
            <w:hideMark/>
          </w:tcPr>
          <w:p w14:paraId="137183EF" w14:textId="77777777" w:rsidR="006379C0" w:rsidRPr="00755915" w:rsidRDefault="006379C0" w:rsidP="00202D52">
            <w:pPr>
              <w:pStyle w:val="Tabletext"/>
            </w:pPr>
            <w:r w:rsidRPr="00755915">
              <w:t xml:space="preserve">Credit </w:t>
            </w:r>
            <w:proofErr w:type="spellStart"/>
            <w:r w:rsidRPr="00755915">
              <w:t>Agricole</w:t>
            </w:r>
            <w:proofErr w:type="spellEnd"/>
          </w:p>
        </w:tc>
        <w:tc>
          <w:tcPr>
            <w:tcW w:w="726" w:type="dxa"/>
            <w:shd w:val="clear" w:color="000000" w:fill="FFFFFF"/>
            <w:noWrap/>
            <w:vAlign w:val="bottom"/>
            <w:hideMark/>
          </w:tcPr>
          <w:p w14:paraId="04DF13A9" w14:textId="77777777" w:rsidR="006379C0" w:rsidRPr="00755915" w:rsidRDefault="006379C0" w:rsidP="00202D52">
            <w:pPr>
              <w:pStyle w:val="Tabletext"/>
            </w:pPr>
            <w:r w:rsidRPr="00755915">
              <w:t>12</w:t>
            </w:r>
          </w:p>
        </w:tc>
        <w:tc>
          <w:tcPr>
            <w:tcW w:w="994" w:type="dxa"/>
            <w:shd w:val="clear" w:color="000000" w:fill="FFFFFF"/>
            <w:noWrap/>
            <w:vAlign w:val="bottom"/>
            <w:hideMark/>
          </w:tcPr>
          <w:p w14:paraId="7D01F7D5" w14:textId="77777777" w:rsidR="006379C0" w:rsidRPr="00755915" w:rsidRDefault="006379C0" w:rsidP="00202D52">
            <w:pPr>
              <w:pStyle w:val="Tabletext"/>
            </w:pPr>
            <w:r w:rsidRPr="00755915">
              <w:t>1</w:t>
            </w:r>
          </w:p>
        </w:tc>
        <w:tc>
          <w:tcPr>
            <w:tcW w:w="983" w:type="dxa"/>
            <w:shd w:val="clear" w:color="000000" w:fill="FFFFFF"/>
            <w:noWrap/>
            <w:vAlign w:val="bottom"/>
            <w:hideMark/>
          </w:tcPr>
          <w:p w14:paraId="4F8DA47C" w14:textId="77777777" w:rsidR="006379C0" w:rsidRPr="00755915" w:rsidRDefault="006379C0" w:rsidP="00202D52">
            <w:pPr>
              <w:pStyle w:val="Tabletext"/>
            </w:pPr>
            <w:r w:rsidRPr="00755915">
              <w:t>3</w:t>
            </w:r>
          </w:p>
        </w:tc>
        <w:tc>
          <w:tcPr>
            <w:tcW w:w="236" w:type="dxa"/>
            <w:shd w:val="clear" w:color="auto" w:fill="000000" w:themeFill="text1"/>
          </w:tcPr>
          <w:p w14:paraId="07EBF780" w14:textId="77777777" w:rsidR="006379C0" w:rsidRPr="00755915" w:rsidRDefault="006379C0" w:rsidP="00202D52">
            <w:pPr>
              <w:pStyle w:val="Tabletext"/>
            </w:pPr>
          </w:p>
        </w:tc>
        <w:tc>
          <w:tcPr>
            <w:tcW w:w="1673" w:type="dxa"/>
            <w:shd w:val="clear" w:color="000000" w:fill="FFFFFF"/>
            <w:vAlign w:val="bottom"/>
          </w:tcPr>
          <w:p w14:paraId="0282A3CC" w14:textId="77777777" w:rsidR="006379C0" w:rsidRPr="00755915" w:rsidRDefault="006379C0" w:rsidP="00202D52">
            <w:pPr>
              <w:pStyle w:val="Tabletext"/>
            </w:pPr>
            <w:r w:rsidRPr="00755915">
              <w:t>AXA</w:t>
            </w:r>
          </w:p>
        </w:tc>
        <w:tc>
          <w:tcPr>
            <w:tcW w:w="661" w:type="dxa"/>
            <w:shd w:val="clear" w:color="000000" w:fill="FFFFFF"/>
            <w:vAlign w:val="bottom"/>
          </w:tcPr>
          <w:p w14:paraId="68D288B9" w14:textId="77777777" w:rsidR="006379C0" w:rsidRPr="00755915" w:rsidRDefault="006379C0" w:rsidP="00202D52">
            <w:pPr>
              <w:pStyle w:val="Tabletext"/>
            </w:pPr>
            <w:r w:rsidRPr="00755915">
              <w:t>4</w:t>
            </w:r>
          </w:p>
        </w:tc>
        <w:tc>
          <w:tcPr>
            <w:tcW w:w="983" w:type="dxa"/>
            <w:shd w:val="clear" w:color="000000" w:fill="FFFFFF"/>
            <w:vAlign w:val="bottom"/>
          </w:tcPr>
          <w:p w14:paraId="6FD40337" w14:textId="77777777" w:rsidR="006379C0" w:rsidRPr="00755915" w:rsidRDefault="006379C0" w:rsidP="00202D52">
            <w:pPr>
              <w:pStyle w:val="Tabletext"/>
            </w:pPr>
            <w:r w:rsidRPr="00755915">
              <w:t>1</w:t>
            </w:r>
          </w:p>
        </w:tc>
        <w:tc>
          <w:tcPr>
            <w:tcW w:w="983" w:type="dxa"/>
            <w:shd w:val="clear" w:color="000000" w:fill="FFFFFF"/>
            <w:vAlign w:val="bottom"/>
          </w:tcPr>
          <w:p w14:paraId="338C35F0" w14:textId="77777777" w:rsidR="006379C0" w:rsidRPr="00755915" w:rsidRDefault="006379C0" w:rsidP="00202D52">
            <w:pPr>
              <w:pStyle w:val="Tabletext"/>
            </w:pPr>
            <w:r w:rsidRPr="00755915">
              <w:t>1</w:t>
            </w:r>
          </w:p>
        </w:tc>
      </w:tr>
    </w:tbl>
    <w:p w14:paraId="424B651C" w14:textId="77777777" w:rsidR="006379C0" w:rsidRPr="003A56CD" w:rsidRDefault="006379C0" w:rsidP="002F7336"/>
    <w:p w14:paraId="6172CCBE" w14:textId="77777777" w:rsidR="006379C0" w:rsidRPr="003A56CD" w:rsidRDefault="006379C0" w:rsidP="005035B4">
      <w:pPr>
        <w:pStyle w:val="Heading3"/>
      </w:pPr>
      <w:bookmarkStart w:id="29" w:name="_Toc157759492"/>
      <w:r w:rsidRPr="003A56CD">
        <w:t>Drivers of CE practices implementation</w:t>
      </w:r>
      <w:bookmarkEnd w:id="29"/>
    </w:p>
    <w:p w14:paraId="0C25929B" w14:textId="77777777" w:rsidR="006379C0" w:rsidRPr="003A56CD" w:rsidRDefault="006379C0" w:rsidP="002F7336">
      <w:r w:rsidRPr="003A56CD">
        <w:t xml:space="preserve">Companies adopt CE practices motivated by different types of benefits: economic, environmental, and social drivers. The sources behind each of these drivers were also classified using institutional isomorphism theoretical lenses (Table 12).  </w:t>
      </w:r>
    </w:p>
    <w:p w14:paraId="18760845" w14:textId="77777777" w:rsidR="006379C0" w:rsidRPr="003A56CD" w:rsidRDefault="006379C0" w:rsidP="002F7336">
      <w:r w:rsidRPr="003A56CD">
        <w:t xml:space="preserve">CE practices can help in reducing waste, the consumption of virgin resources, and emissions thanks to </w:t>
      </w:r>
      <w:r w:rsidRPr="003A56CD">
        <w:rPr>
          <w:lang w:val="en-US"/>
        </w:rPr>
        <w:t>less energy-intensive production processes that can re-use the available parts, components, and by-products. Economic drivers are frequently mentioned in CS reports</w:t>
      </w:r>
      <w:r w:rsidRPr="003A56CD">
        <w:t xml:space="preserve"> as well and they are mainly linked with increasing the amount of value that can be extracted </w:t>
      </w:r>
      <w:r w:rsidRPr="003A56CD">
        <w:lastRenderedPageBreak/>
        <w:t xml:space="preserve">from products by keeping resources in use and </w:t>
      </w:r>
      <w:r w:rsidRPr="003A56CD">
        <w:rPr>
          <w:iCs/>
        </w:rPr>
        <w:t>retaining the value of materials after the end of life of the products</w:t>
      </w:r>
      <w:r w:rsidRPr="003A56CD">
        <w:t xml:space="preserve">. Social drivers are generally overlooked and linked to the more traditional Corporate Social Responsibility agenda, without explicit links to the CE and the social impact of the implementation of these practices. </w:t>
      </w:r>
    </w:p>
    <w:p w14:paraId="03280F3E" w14:textId="77777777" w:rsidR="006379C0" w:rsidRPr="003A56CD" w:rsidRDefault="006379C0" w:rsidP="002F7336">
      <w:r w:rsidRPr="003A56CD">
        <w:t xml:space="preserve">Sources of drivers can be associated with isomorphic mechanisms. The high level of similarity within the same sector of type practices and levels of implementation and degree of involvement of supply chain partners is a first evidence of isomorphism. </w:t>
      </w:r>
      <w:r w:rsidRPr="003A56CD">
        <w:rPr>
          <w:i/>
          <w:iCs/>
        </w:rPr>
        <w:t>Coercive isomorphism</w:t>
      </w:r>
      <w:r w:rsidRPr="003A56CD">
        <w:t xml:space="preserve"> can be associated with the presence of regulations and legislation imposing fines or bans. For instance, many organisations have taken action to fight waste deriving from the consumption of plastics (</w:t>
      </w:r>
      <w:r w:rsidRPr="003A56CD">
        <w:rPr>
          <w:i/>
          <w:iCs/>
        </w:rPr>
        <w:t xml:space="preserve">Unilever, Carrefour, ING, BASF, Shell, Total, </w:t>
      </w:r>
      <w:proofErr w:type="gramStart"/>
      <w:r w:rsidRPr="003A56CD">
        <w:rPr>
          <w:i/>
          <w:iCs/>
        </w:rPr>
        <w:t>ENI</w:t>
      </w:r>
      <w:proofErr w:type="gramEnd"/>
      <w:r w:rsidRPr="003A56CD">
        <w:t>) pressured by current regulation (EU Directive 2018/852/EC), as well as by more stringent future ones. The French law on food waste (law 138 of 2016) bans supermarkets from throwing away or destroying unsold food. Accordingly, companies (</w:t>
      </w:r>
      <w:r w:rsidRPr="003A56CD">
        <w:rPr>
          <w:i/>
          <w:iCs/>
        </w:rPr>
        <w:t xml:space="preserve">Carrefour, Auchan, </w:t>
      </w:r>
      <w:proofErr w:type="spellStart"/>
      <w:proofErr w:type="gramStart"/>
      <w:r w:rsidRPr="003A56CD">
        <w:rPr>
          <w:i/>
          <w:iCs/>
        </w:rPr>
        <w:t>Finatis</w:t>
      </w:r>
      <w:proofErr w:type="spellEnd"/>
      <w:proofErr w:type="gramEnd"/>
      <w:r w:rsidRPr="003A56CD">
        <w:t xml:space="preserve">) were forced to act on the root of the problem, to reduce systematically waste streams leveraging on multiple strategies: donating surplus food (to charitable trusts, food banks, and other types of organisations which provide redistribution services), establishing dynamic pricing in their sale points, and also reducing packaging waste. </w:t>
      </w:r>
    </w:p>
    <w:p w14:paraId="32DD7EA3" w14:textId="62A476A6" w:rsidR="006379C0" w:rsidRDefault="006379C0" w:rsidP="002F7336">
      <w:r w:rsidRPr="003A56CD">
        <w:t>Changing industry norms are another driver source: new standards have been developed to use materials more efficiently, for example recovering end-of-life products, and closing material loops (</w:t>
      </w:r>
      <w:r w:rsidR="00B651D9" w:rsidRPr="003A56CD">
        <w:t>e.g.,</w:t>
      </w:r>
      <w:r w:rsidRPr="003A56CD">
        <w:t xml:space="preserve"> aluminium, steel, plastic). In an industrial context,</w:t>
      </w:r>
      <w:r w:rsidRPr="003A56CD">
        <w:rPr>
          <w:i/>
        </w:rPr>
        <w:t xml:space="preserve"> normative isomorphism</w:t>
      </w:r>
      <w:r w:rsidRPr="003A56CD">
        <w:t xml:space="preserve"> can be traced back to professional, educational, or trading standards which are adopted as </w:t>
      </w:r>
      <w:r w:rsidRPr="003A56CD">
        <w:rPr>
          <w:i/>
        </w:rPr>
        <w:t xml:space="preserve">norms. </w:t>
      </w:r>
      <w:r w:rsidRPr="003A56CD">
        <w:rPr>
          <w:iCs/>
        </w:rPr>
        <w:t>P</w:t>
      </w:r>
      <w:r w:rsidRPr="003A56CD">
        <w:t xml:space="preserve">ractices are adopted regardless of the presence of an actual legal constraint; however, some external pressures can still be recognised as the main force driving the change. The </w:t>
      </w:r>
      <w:r w:rsidRPr="003A56CD">
        <w:rPr>
          <w:i/>
        </w:rPr>
        <w:t>Global Battery</w:t>
      </w:r>
      <w:r w:rsidRPr="003A56CD">
        <w:t xml:space="preserve">, </w:t>
      </w:r>
      <w:r w:rsidRPr="003A56CD">
        <w:rPr>
          <w:i/>
        </w:rPr>
        <w:t>Aluminium Stewardship,</w:t>
      </w:r>
      <w:r w:rsidRPr="003A56CD">
        <w:t xml:space="preserve"> and </w:t>
      </w:r>
      <w:r w:rsidRPr="003A56CD">
        <w:rPr>
          <w:i/>
        </w:rPr>
        <w:t>Responsible Steel</w:t>
      </w:r>
      <w:r w:rsidRPr="003A56CD">
        <w:t xml:space="preserve"> initiatives are all powerful examples of current attempts, which are defining norms and standards for a transparent and sustainable supply chain, promoting the adoption of CE practices. In the financial sector, banks are cooperating to create standards to finance the transition to the Circular Economy (</w:t>
      </w:r>
      <w:r w:rsidRPr="003A56CD">
        <w:rPr>
          <w:i/>
          <w:iCs/>
        </w:rPr>
        <w:t>ING</w:t>
      </w:r>
      <w:r w:rsidRPr="003A56CD">
        <w:t xml:space="preserve"> and others) and reach climate goals</w:t>
      </w:r>
      <w:r w:rsidRPr="003A56CD">
        <w:rPr>
          <w:vertAlign w:val="superscript"/>
        </w:rPr>
        <w:footnoteReference w:id="8"/>
      </w:r>
      <w:r w:rsidRPr="003A56CD">
        <w:t xml:space="preserve"> (</w:t>
      </w:r>
      <w:r w:rsidRPr="003A56CD">
        <w:rPr>
          <w:i/>
          <w:iCs/>
        </w:rPr>
        <w:t xml:space="preserve">BNP Paribas, ING, </w:t>
      </w:r>
      <w:proofErr w:type="spellStart"/>
      <w:r w:rsidRPr="003A56CD">
        <w:rPr>
          <w:i/>
          <w:iCs/>
        </w:rPr>
        <w:t>Société</w:t>
      </w:r>
      <w:proofErr w:type="spellEnd"/>
      <w:r w:rsidRPr="003A56CD">
        <w:rPr>
          <w:i/>
          <w:iCs/>
        </w:rPr>
        <w:t xml:space="preserve"> </w:t>
      </w:r>
      <w:proofErr w:type="spellStart"/>
      <w:r w:rsidRPr="003A56CD">
        <w:rPr>
          <w:i/>
          <w:iCs/>
        </w:rPr>
        <w:t>Générale</w:t>
      </w:r>
      <w:proofErr w:type="spellEnd"/>
      <w:r w:rsidRPr="003A56CD">
        <w:rPr>
          <w:i/>
          <w:iCs/>
        </w:rPr>
        <w:t>,</w:t>
      </w:r>
      <w:r w:rsidRPr="003A56CD">
        <w:t xml:space="preserve"> and others).</w:t>
      </w:r>
    </w:p>
    <w:p w14:paraId="0680E5A0" w14:textId="31572888" w:rsidR="00E12455" w:rsidRPr="003A56CD" w:rsidRDefault="00E12455" w:rsidP="00E12455">
      <w:r w:rsidRPr="003A56CD">
        <w:lastRenderedPageBreak/>
        <w:t xml:space="preserve">Even in the absence of coercive or normative pressures, a company could still adopt CE practices, for instance by following the example of industry peers or also by seeking opportunities for competitive advantages – this is described as </w:t>
      </w:r>
      <w:r w:rsidRPr="003A56CD">
        <w:rPr>
          <w:i/>
        </w:rPr>
        <w:t xml:space="preserve">mimetic isomorphism. </w:t>
      </w:r>
    </w:p>
    <w:p w14:paraId="772EA4F9" w14:textId="77777777" w:rsidR="006379C0" w:rsidRPr="003A56CD" w:rsidRDefault="006379C0" w:rsidP="002F7336">
      <w:pPr>
        <w:pStyle w:val="Figurecaption"/>
      </w:pPr>
      <w:r w:rsidRPr="003A56CD">
        <w:t xml:space="preserve">Table 12 – Types, sources, and examples of CE drivers. </w:t>
      </w:r>
    </w:p>
    <w:tbl>
      <w:tblPr>
        <w:tblStyle w:val="TableGrid"/>
        <w:tblW w:w="5085" w:type="pct"/>
        <w:tblInd w:w="-5" w:type="dxa"/>
        <w:tblLook w:val="04A0" w:firstRow="1" w:lastRow="0" w:firstColumn="1" w:lastColumn="0" w:noHBand="0" w:noVBand="1"/>
      </w:tblPr>
      <w:tblGrid>
        <w:gridCol w:w="2044"/>
        <w:gridCol w:w="2342"/>
        <w:gridCol w:w="2263"/>
        <w:gridCol w:w="2000"/>
      </w:tblGrid>
      <w:tr w:rsidR="006379C0" w:rsidRPr="00755915" w14:paraId="0F02013C" w14:textId="77777777" w:rsidTr="00116B90">
        <w:trPr>
          <w:trHeight w:val="590"/>
        </w:trPr>
        <w:tc>
          <w:tcPr>
            <w:tcW w:w="1182" w:type="pct"/>
            <w:tcBorders>
              <w:top w:val="single" w:sz="4" w:space="0" w:color="auto"/>
              <w:left w:val="nil"/>
              <w:bottom w:val="single" w:sz="4" w:space="0" w:color="auto"/>
              <w:right w:val="nil"/>
              <w:tl2br w:val="single" w:sz="4" w:space="0" w:color="auto"/>
            </w:tcBorders>
          </w:tcPr>
          <w:p w14:paraId="537BEDF3" w14:textId="77777777" w:rsidR="006379C0" w:rsidRPr="00755915" w:rsidRDefault="006379C0" w:rsidP="00202D52">
            <w:pPr>
              <w:pStyle w:val="Tabletext"/>
            </w:pPr>
            <w:r w:rsidRPr="00755915">
              <w:t xml:space="preserve">              Type</w:t>
            </w:r>
          </w:p>
          <w:p w14:paraId="5464691B" w14:textId="77777777" w:rsidR="006379C0" w:rsidRPr="00755915" w:rsidRDefault="006379C0" w:rsidP="00202D52">
            <w:pPr>
              <w:pStyle w:val="Tabletext"/>
            </w:pPr>
            <w:r w:rsidRPr="00755915">
              <w:t>Source</w:t>
            </w:r>
          </w:p>
        </w:tc>
        <w:tc>
          <w:tcPr>
            <w:tcW w:w="1354" w:type="pct"/>
            <w:tcBorders>
              <w:top w:val="single" w:sz="4" w:space="0" w:color="auto"/>
              <w:left w:val="nil"/>
              <w:bottom w:val="single" w:sz="4" w:space="0" w:color="auto"/>
              <w:right w:val="nil"/>
              <w:tl2br w:val="nil"/>
            </w:tcBorders>
          </w:tcPr>
          <w:p w14:paraId="2B2104E1" w14:textId="77777777" w:rsidR="006379C0" w:rsidRPr="00755915" w:rsidRDefault="006379C0" w:rsidP="00202D52">
            <w:pPr>
              <w:pStyle w:val="Tabletext"/>
            </w:pPr>
            <w:r w:rsidRPr="00755915">
              <w:t>Economic</w:t>
            </w:r>
          </w:p>
        </w:tc>
        <w:tc>
          <w:tcPr>
            <w:tcW w:w="1308" w:type="pct"/>
            <w:tcBorders>
              <w:top w:val="single" w:sz="4" w:space="0" w:color="auto"/>
              <w:left w:val="nil"/>
              <w:bottom w:val="single" w:sz="4" w:space="0" w:color="auto"/>
              <w:right w:val="nil"/>
              <w:tl2br w:val="nil"/>
            </w:tcBorders>
          </w:tcPr>
          <w:p w14:paraId="2CC4FDF0" w14:textId="77777777" w:rsidR="006379C0" w:rsidRPr="00755915" w:rsidRDefault="006379C0" w:rsidP="00202D52">
            <w:pPr>
              <w:pStyle w:val="Tabletext"/>
            </w:pPr>
            <w:r w:rsidRPr="00755915">
              <w:t>Environmental</w:t>
            </w:r>
          </w:p>
        </w:tc>
        <w:tc>
          <w:tcPr>
            <w:tcW w:w="1156" w:type="pct"/>
            <w:tcBorders>
              <w:top w:val="single" w:sz="4" w:space="0" w:color="auto"/>
              <w:left w:val="nil"/>
              <w:bottom w:val="single" w:sz="4" w:space="0" w:color="auto"/>
              <w:right w:val="nil"/>
              <w:tl2br w:val="nil"/>
            </w:tcBorders>
          </w:tcPr>
          <w:p w14:paraId="1C4E9DA2" w14:textId="77777777" w:rsidR="006379C0" w:rsidRPr="00755915" w:rsidRDefault="006379C0" w:rsidP="00202D52">
            <w:pPr>
              <w:pStyle w:val="Tabletext"/>
            </w:pPr>
            <w:r w:rsidRPr="00755915">
              <w:t>Social</w:t>
            </w:r>
          </w:p>
        </w:tc>
      </w:tr>
      <w:tr w:rsidR="006379C0" w:rsidRPr="00755915" w14:paraId="066ECCD3" w14:textId="77777777" w:rsidTr="00116B90">
        <w:trPr>
          <w:trHeight w:val="1104"/>
        </w:trPr>
        <w:tc>
          <w:tcPr>
            <w:tcW w:w="1182" w:type="pct"/>
            <w:tcBorders>
              <w:top w:val="single" w:sz="4" w:space="0" w:color="auto"/>
              <w:left w:val="nil"/>
              <w:bottom w:val="single" w:sz="4" w:space="0" w:color="auto"/>
              <w:right w:val="nil"/>
            </w:tcBorders>
            <w:hideMark/>
          </w:tcPr>
          <w:p w14:paraId="5AF602CF" w14:textId="77777777" w:rsidR="006379C0" w:rsidRPr="00755915" w:rsidRDefault="006379C0" w:rsidP="00202D52">
            <w:pPr>
              <w:pStyle w:val="Tabletext"/>
            </w:pPr>
            <w:r w:rsidRPr="00755915">
              <w:t xml:space="preserve">Coercive pressures </w:t>
            </w:r>
          </w:p>
        </w:tc>
        <w:tc>
          <w:tcPr>
            <w:tcW w:w="1354" w:type="pct"/>
            <w:tcBorders>
              <w:top w:val="single" w:sz="4" w:space="0" w:color="auto"/>
              <w:left w:val="nil"/>
              <w:bottom w:val="single" w:sz="4" w:space="0" w:color="auto"/>
              <w:right w:val="nil"/>
            </w:tcBorders>
            <w:hideMark/>
          </w:tcPr>
          <w:p w14:paraId="2AD698E4" w14:textId="0D1AE410" w:rsidR="006379C0" w:rsidRPr="00755915" w:rsidRDefault="006379C0" w:rsidP="00202D52">
            <w:pPr>
              <w:pStyle w:val="Tabletext"/>
            </w:pPr>
            <w:r w:rsidRPr="00755915">
              <w:t>Meet future law requirements for a more circular economy</w:t>
            </w:r>
            <w:r w:rsidR="00202D52">
              <w:t>;</w:t>
            </w:r>
            <w:r w:rsidRPr="00755915">
              <w:t xml:space="preserve"> </w:t>
            </w:r>
          </w:p>
          <w:p w14:paraId="05B42691" w14:textId="059FAE39" w:rsidR="006379C0" w:rsidRPr="00755915" w:rsidRDefault="006379C0" w:rsidP="00202D52">
            <w:pPr>
              <w:pStyle w:val="Tabletext"/>
            </w:pPr>
            <w:r w:rsidRPr="00755915">
              <w:t>Start integrating recycled materials as an input</w:t>
            </w:r>
            <w:r w:rsidR="00202D52">
              <w:t>.</w:t>
            </w:r>
          </w:p>
        </w:tc>
        <w:tc>
          <w:tcPr>
            <w:tcW w:w="1308" w:type="pct"/>
            <w:tcBorders>
              <w:top w:val="single" w:sz="4" w:space="0" w:color="auto"/>
              <w:left w:val="nil"/>
              <w:bottom w:val="single" w:sz="4" w:space="0" w:color="auto"/>
              <w:right w:val="nil"/>
            </w:tcBorders>
          </w:tcPr>
          <w:p w14:paraId="6B3843F1" w14:textId="244769D9" w:rsidR="006379C0" w:rsidRPr="00755915" w:rsidRDefault="006379C0" w:rsidP="00202D52">
            <w:pPr>
              <w:pStyle w:val="Tabletext"/>
            </w:pPr>
            <w:r w:rsidRPr="00755915">
              <w:t>follow European Commission Directives</w:t>
            </w:r>
            <w:r w:rsidR="00202D52">
              <w:t>:</w:t>
            </w:r>
          </w:p>
          <w:p w14:paraId="68936863" w14:textId="6BB9EC0D" w:rsidR="006379C0" w:rsidRPr="00755915" w:rsidRDefault="006379C0" w:rsidP="0081080C">
            <w:pPr>
              <w:pStyle w:val="Tabletext"/>
              <w:numPr>
                <w:ilvl w:val="0"/>
                <w:numId w:val="17"/>
              </w:numPr>
            </w:pPr>
            <w:r w:rsidRPr="00755915">
              <w:t>2000/53/EC (end-of-life vehicles)</w:t>
            </w:r>
            <w:r w:rsidR="00202D52">
              <w:t>;</w:t>
            </w:r>
          </w:p>
          <w:p w14:paraId="7A189745" w14:textId="387C7336" w:rsidR="006379C0" w:rsidRPr="00755915" w:rsidRDefault="006379C0" w:rsidP="0081080C">
            <w:pPr>
              <w:pStyle w:val="Tabletext"/>
              <w:numPr>
                <w:ilvl w:val="0"/>
                <w:numId w:val="17"/>
              </w:numPr>
            </w:pPr>
            <w:r w:rsidRPr="00755915">
              <w:t>2018/852/EC (Packaging Waste)</w:t>
            </w:r>
            <w:r w:rsidR="00202D52">
              <w:t>;</w:t>
            </w:r>
          </w:p>
          <w:p w14:paraId="1C703532" w14:textId="77777777" w:rsidR="006379C0" w:rsidRPr="00755915" w:rsidRDefault="006379C0" w:rsidP="00202D52">
            <w:pPr>
              <w:pStyle w:val="Tabletext"/>
            </w:pPr>
            <w:r w:rsidRPr="00755915">
              <w:t xml:space="preserve">follow National laws </w:t>
            </w:r>
          </w:p>
          <w:p w14:paraId="17B56DD9" w14:textId="71B63438" w:rsidR="006379C0" w:rsidRPr="00755915" w:rsidRDefault="006379C0" w:rsidP="0081080C">
            <w:pPr>
              <w:pStyle w:val="Tabletext"/>
              <w:numPr>
                <w:ilvl w:val="0"/>
                <w:numId w:val="18"/>
              </w:numPr>
            </w:pPr>
            <w:r w:rsidRPr="00755915">
              <w:t>French law 2016-138 (against food waste)</w:t>
            </w:r>
            <w:r w:rsidR="00202D52">
              <w:t>;</w:t>
            </w:r>
          </w:p>
          <w:p w14:paraId="2643D787" w14:textId="37264384" w:rsidR="006379C0" w:rsidRPr="00755915" w:rsidRDefault="006379C0" w:rsidP="00202D52">
            <w:pPr>
              <w:pStyle w:val="Tabletext"/>
            </w:pPr>
            <w:r w:rsidRPr="00755915">
              <w:t>Meet customer expectations</w:t>
            </w:r>
            <w:r w:rsidR="00202D52">
              <w:t>;</w:t>
            </w:r>
          </w:p>
          <w:p w14:paraId="13B02AA4" w14:textId="22F542A3" w:rsidR="006379C0" w:rsidRPr="00755915" w:rsidRDefault="006379C0" w:rsidP="00202D52">
            <w:pPr>
              <w:pStyle w:val="Tabletext"/>
            </w:pPr>
            <w:r w:rsidRPr="00755915">
              <w:t>Disclose reparability index</w:t>
            </w:r>
            <w:r w:rsidR="00202D52">
              <w:t>.</w:t>
            </w:r>
          </w:p>
        </w:tc>
        <w:tc>
          <w:tcPr>
            <w:tcW w:w="1156" w:type="pct"/>
            <w:tcBorders>
              <w:top w:val="single" w:sz="4" w:space="0" w:color="auto"/>
              <w:left w:val="nil"/>
              <w:bottom w:val="single" w:sz="4" w:space="0" w:color="auto"/>
              <w:right w:val="nil"/>
            </w:tcBorders>
          </w:tcPr>
          <w:p w14:paraId="68608BD3" w14:textId="348BF59B" w:rsidR="006379C0" w:rsidRPr="00755915" w:rsidRDefault="006379C0" w:rsidP="00202D52">
            <w:pPr>
              <w:pStyle w:val="Tabletext"/>
            </w:pPr>
            <w:r w:rsidRPr="00755915">
              <w:t>Avoid sanctions and loss of legitimacy</w:t>
            </w:r>
            <w:r w:rsidR="00202D52">
              <w:t>;</w:t>
            </w:r>
          </w:p>
          <w:p w14:paraId="5AE10AF9" w14:textId="77CAA807" w:rsidR="006379C0" w:rsidRPr="00755915" w:rsidRDefault="006379C0" w:rsidP="00202D52">
            <w:pPr>
              <w:pStyle w:val="Tabletext"/>
            </w:pPr>
            <w:r w:rsidRPr="00755915">
              <w:t>Anticipate future regulation on plastics waste</w:t>
            </w:r>
            <w:r w:rsidR="00202D52">
              <w:t>.</w:t>
            </w:r>
          </w:p>
        </w:tc>
      </w:tr>
      <w:tr w:rsidR="006379C0" w:rsidRPr="00755915" w14:paraId="4B5D62C8" w14:textId="77777777" w:rsidTr="00116B90">
        <w:trPr>
          <w:trHeight w:val="568"/>
        </w:trPr>
        <w:tc>
          <w:tcPr>
            <w:tcW w:w="1182" w:type="pct"/>
            <w:tcBorders>
              <w:top w:val="single" w:sz="4" w:space="0" w:color="auto"/>
              <w:left w:val="nil"/>
              <w:bottom w:val="single" w:sz="4" w:space="0" w:color="auto"/>
              <w:right w:val="nil"/>
            </w:tcBorders>
            <w:hideMark/>
          </w:tcPr>
          <w:p w14:paraId="63B47060" w14:textId="77777777" w:rsidR="006379C0" w:rsidRPr="00755915" w:rsidRDefault="006379C0" w:rsidP="00202D52">
            <w:pPr>
              <w:pStyle w:val="Tabletext"/>
            </w:pPr>
            <w:r w:rsidRPr="00755915">
              <w:t xml:space="preserve">Normative pressures </w:t>
            </w:r>
          </w:p>
        </w:tc>
        <w:tc>
          <w:tcPr>
            <w:tcW w:w="1354" w:type="pct"/>
            <w:tcBorders>
              <w:top w:val="single" w:sz="4" w:space="0" w:color="auto"/>
              <w:left w:val="nil"/>
              <w:bottom w:val="single" w:sz="4" w:space="0" w:color="auto"/>
              <w:right w:val="nil"/>
            </w:tcBorders>
          </w:tcPr>
          <w:p w14:paraId="1C47F5C8" w14:textId="7B696882" w:rsidR="006379C0" w:rsidRPr="00755915" w:rsidRDefault="006379C0" w:rsidP="00202D52">
            <w:pPr>
              <w:pStyle w:val="Tabletext"/>
            </w:pPr>
            <w:r w:rsidRPr="00755915">
              <w:t>Reduce uncertainty and risks</w:t>
            </w:r>
            <w:r w:rsidR="00202D52">
              <w:t>;</w:t>
            </w:r>
            <w:r w:rsidRPr="00755915">
              <w:t xml:space="preserve"> </w:t>
            </w:r>
          </w:p>
          <w:p w14:paraId="0FACCA82" w14:textId="782A9DDE" w:rsidR="006379C0" w:rsidRPr="00755915" w:rsidRDefault="006379C0" w:rsidP="00202D52">
            <w:pPr>
              <w:pStyle w:val="Tabletext"/>
            </w:pPr>
            <w:r w:rsidRPr="00755915">
              <w:t>Aluminium Stewardship Initiative</w:t>
            </w:r>
            <w:r w:rsidR="00202D52">
              <w:t>;</w:t>
            </w:r>
            <w:r w:rsidRPr="00755915">
              <w:t xml:space="preserve"> </w:t>
            </w:r>
          </w:p>
          <w:p w14:paraId="72E19053" w14:textId="77777777" w:rsidR="006379C0" w:rsidRPr="00755915" w:rsidRDefault="006379C0" w:rsidP="00202D52">
            <w:pPr>
              <w:pStyle w:val="Tabletext"/>
            </w:pPr>
            <w:r w:rsidRPr="00755915">
              <w:t>Global Battery Alliance</w:t>
            </w:r>
          </w:p>
          <w:p w14:paraId="526ABBB5" w14:textId="79E57BCA" w:rsidR="006379C0" w:rsidRPr="00755915" w:rsidRDefault="006379C0" w:rsidP="00202D52">
            <w:pPr>
              <w:pStyle w:val="Tabletext"/>
            </w:pPr>
            <w:r w:rsidRPr="00755915">
              <w:t>Responsible Steel</w:t>
            </w:r>
            <w:r w:rsidR="00202D52">
              <w:t>;</w:t>
            </w:r>
          </w:p>
          <w:p w14:paraId="63AFFCD2" w14:textId="314878F1" w:rsidR="006379C0" w:rsidRPr="00755915" w:rsidRDefault="006379C0" w:rsidP="00202D52">
            <w:pPr>
              <w:pStyle w:val="Tabletext"/>
            </w:pPr>
            <w:r w:rsidRPr="00755915">
              <w:t>Invest for future and green growth</w:t>
            </w:r>
            <w:r w:rsidR="00202D52">
              <w:t>;</w:t>
            </w:r>
            <w:r w:rsidRPr="00755915">
              <w:t xml:space="preserve"> </w:t>
            </w:r>
          </w:p>
          <w:p w14:paraId="7182FDF8" w14:textId="7CC8B2FE" w:rsidR="006379C0" w:rsidRPr="00755915" w:rsidRDefault="006379C0" w:rsidP="00202D52">
            <w:pPr>
              <w:pStyle w:val="Tabletext"/>
            </w:pPr>
            <w:r w:rsidRPr="00755915">
              <w:t>Milestone pledge for global climate goals</w:t>
            </w:r>
            <w:r w:rsidR="00202D52">
              <w:t>.</w:t>
            </w:r>
          </w:p>
          <w:p w14:paraId="495612B2" w14:textId="77777777" w:rsidR="006379C0" w:rsidRPr="00755915" w:rsidRDefault="006379C0" w:rsidP="00202D52">
            <w:pPr>
              <w:pStyle w:val="Tabletext"/>
            </w:pPr>
          </w:p>
          <w:p w14:paraId="06181D65" w14:textId="77777777" w:rsidR="006379C0" w:rsidRPr="00755915" w:rsidRDefault="006379C0" w:rsidP="00202D52">
            <w:pPr>
              <w:pStyle w:val="Tabletext"/>
            </w:pPr>
          </w:p>
        </w:tc>
        <w:tc>
          <w:tcPr>
            <w:tcW w:w="1308" w:type="pct"/>
            <w:tcBorders>
              <w:top w:val="single" w:sz="4" w:space="0" w:color="auto"/>
              <w:left w:val="nil"/>
              <w:bottom w:val="single" w:sz="4" w:space="0" w:color="auto"/>
              <w:right w:val="nil"/>
            </w:tcBorders>
          </w:tcPr>
          <w:p w14:paraId="662C604A" w14:textId="64949091" w:rsidR="006379C0" w:rsidRPr="00755915" w:rsidRDefault="006379C0" w:rsidP="00202D52">
            <w:pPr>
              <w:pStyle w:val="Tabletext"/>
            </w:pPr>
            <w:r w:rsidRPr="00755915">
              <w:t>Reduce products environmental footprint</w:t>
            </w:r>
            <w:r w:rsidR="00202D52">
              <w:t>;</w:t>
            </w:r>
            <w:r w:rsidRPr="00755915">
              <w:t xml:space="preserve"> </w:t>
            </w:r>
          </w:p>
          <w:p w14:paraId="4F76E45A" w14:textId="60ECC7B7" w:rsidR="006379C0" w:rsidRPr="00755915" w:rsidRDefault="006379C0" w:rsidP="00202D52">
            <w:pPr>
              <w:pStyle w:val="Tabletext"/>
            </w:pPr>
            <w:r w:rsidRPr="00755915">
              <w:t>Life Cycle Assessments for product lines</w:t>
            </w:r>
            <w:r w:rsidR="00202D52">
              <w:t>.</w:t>
            </w:r>
          </w:p>
        </w:tc>
        <w:tc>
          <w:tcPr>
            <w:tcW w:w="1156" w:type="pct"/>
            <w:tcBorders>
              <w:top w:val="single" w:sz="4" w:space="0" w:color="auto"/>
              <w:left w:val="nil"/>
              <w:bottom w:val="single" w:sz="4" w:space="0" w:color="auto"/>
              <w:right w:val="nil"/>
            </w:tcBorders>
          </w:tcPr>
          <w:p w14:paraId="1F2338FF" w14:textId="77777777" w:rsidR="006379C0" w:rsidRPr="00755915" w:rsidRDefault="006379C0" w:rsidP="00202D52">
            <w:pPr>
              <w:pStyle w:val="Tabletext"/>
            </w:pPr>
            <w:r w:rsidRPr="00755915">
              <w:t xml:space="preserve">Reduce external costs for the Society </w:t>
            </w:r>
          </w:p>
          <w:p w14:paraId="254E627C" w14:textId="46C5430C" w:rsidR="006379C0" w:rsidRPr="00755915" w:rsidRDefault="006379C0" w:rsidP="00202D52">
            <w:pPr>
              <w:pStyle w:val="Tabletext"/>
            </w:pPr>
            <w:r w:rsidRPr="00755915">
              <w:t>Alliance to end plastic waste</w:t>
            </w:r>
            <w:r w:rsidR="00202D52">
              <w:t>;</w:t>
            </w:r>
          </w:p>
          <w:p w14:paraId="4B24EC56" w14:textId="389EB960" w:rsidR="006379C0" w:rsidRPr="00755915" w:rsidRDefault="006379C0" w:rsidP="00202D52">
            <w:pPr>
              <w:pStyle w:val="Tabletext"/>
            </w:pPr>
            <w:r w:rsidRPr="00755915">
              <w:t>Become a promoter for a systemic change of the economic paradigm</w:t>
            </w:r>
            <w:r w:rsidR="00202D52">
              <w:t>;</w:t>
            </w:r>
          </w:p>
          <w:p w14:paraId="628B8F68" w14:textId="32EB5F65" w:rsidR="006379C0" w:rsidRPr="00755915" w:rsidRDefault="006379C0" w:rsidP="00202D52">
            <w:pPr>
              <w:pStyle w:val="Tabletext"/>
            </w:pPr>
            <w:r w:rsidRPr="00755915">
              <w:t>The Circular Economy Finance guidelines</w:t>
            </w:r>
            <w:r w:rsidR="00202D52">
              <w:t>;</w:t>
            </w:r>
            <w:r w:rsidRPr="00755915">
              <w:t xml:space="preserve"> </w:t>
            </w:r>
          </w:p>
          <w:p w14:paraId="1F0985C4" w14:textId="26820D1D" w:rsidR="006379C0" w:rsidRPr="00755915" w:rsidRDefault="006379C0" w:rsidP="00202D52">
            <w:pPr>
              <w:pStyle w:val="Tabletext"/>
            </w:pPr>
            <w:r w:rsidRPr="00755915">
              <w:t>Support the local economy</w:t>
            </w:r>
            <w:r w:rsidR="00202D52">
              <w:t>.</w:t>
            </w:r>
          </w:p>
        </w:tc>
      </w:tr>
      <w:tr w:rsidR="006379C0" w:rsidRPr="00755915" w14:paraId="4AA2B124" w14:textId="77777777" w:rsidTr="00116B90">
        <w:trPr>
          <w:trHeight w:val="835"/>
        </w:trPr>
        <w:tc>
          <w:tcPr>
            <w:tcW w:w="1182" w:type="pct"/>
            <w:tcBorders>
              <w:top w:val="single" w:sz="4" w:space="0" w:color="auto"/>
              <w:left w:val="nil"/>
              <w:bottom w:val="single" w:sz="4" w:space="0" w:color="auto"/>
              <w:right w:val="nil"/>
            </w:tcBorders>
            <w:hideMark/>
          </w:tcPr>
          <w:p w14:paraId="58A35D6F" w14:textId="5CF19080" w:rsidR="006379C0" w:rsidRPr="00755915" w:rsidRDefault="00444F93" w:rsidP="00202D52">
            <w:pPr>
              <w:pStyle w:val="Tabletext"/>
            </w:pPr>
            <w:r>
              <w:t>Mi</w:t>
            </w:r>
            <w:r w:rsidR="006379C0" w:rsidRPr="00755915">
              <w:t>metic pressures</w:t>
            </w:r>
          </w:p>
        </w:tc>
        <w:tc>
          <w:tcPr>
            <w:tcW w:w="1354" w:type="pct"/>
            <w:tcBorders>
              <w:top w:val="single" w:sz="4" w:space="0" w:color="auto"/>
              <w:left w:val="nil"/>
              <w:bottom w:val="single" w:sz="4" w:space="0" w:color="auto"/>
              <w:right w:val="nil"/>
            </w:tcBorders>
            <w:hideMark/>
          </w:tcPr>
          <w:p w14:paraId="0E444FCE" w14:textId="19EC8C5D" w:rsidR="006379C0" w:rsidRPr="00755915" w:rsidRDefault="006379C0" w:rsidP="00202D52">
            <w:pPr>
              <w:pStyle w:val="Tabletext"/>
            </w:pPr>
            <w:r w:rsidRPr="00755915">
              <w:t>Opportunity for growth and competitiveness by following best practices</w:t>
            </w:r>
            <w:r w:rsidR="00202D52">
              <w:t>;</w:t>
            </w:r>
          </w:p>
          <w:p w14:paraId="6DB65B90" w14:textId="05C796DC" w:rsidR="006379C0" w:rsidRPr="00755915" w:rsidRDefault="006379C0" w:rsidP="00202D52">
            <w:pPr>
              <w:pStyle w:val="Tabletext"/>
            </w:pPr>
            <w:r w:rsidRPr="00755915">
              <w:t xml:space="preserve">Invest in renewable energy </w:t>
            </w:r>
            <w:r w:rsidR="00202D52">
              <w:t>;</w:t>
            </w:r>
            <w:r w:rsidRPr="00755915">
              <w:t xml:space="preserve"> </w:t>
            </w:r>
          </w:p>
          <w:p w14:paraId="07E39954" w14:textId="1272F2A3" w:rsidR="006379C0" w:rsidRPr="00755915" w:rsidRDefault="006379C0" w:rsidP="00202D52">
            <w:pPr>
              <w:pStyle w:val="Tabletext"/>
            </w:pPr>
            <w:r w:rsidRPr="00755915">
              <w:t>Invest in recycling technologies capacity</w:t>
            </w:r>
            <w:r w:rsidR="00202D52">
              <w:t>;</w:t>
            </w:r>
          </w:p>
          <w:p w14:paraId="417DE24A" w14:textId="4A2E0604" w:rsidR="006379C0" w:rsidRPr="00755915" w:rsidRDefault="006379C0" w:rsidP="00202D52">
            <w:pPr>
              <w:pStyle w:val="Tabletext"/>
            </w:pPr>
            <w:r w:rsidRPr="00755915">
              <w:t>Identify market gaps, innovate and try to achieve competitive advantage</w:t>
            </w:r>
            <w:r w:rsidR="00202D52">
              <w:t>;</w:t>
            </w:r>
          </w:p>
          <w:p w14:paraId="155F0242" w14:textId="60154294" w:rsidR="006379C0" w:rsidRPr="00755915" w:rsidRDefault="006379C0" w:rsidP="00202D52">
            <w:pPr>
              <w:pStyle w:val="Tabletext"/>
            </w:pPr>
            <w:r w:rsidRPr="00755915">
              <w:t>Mobility-as-a-service</w:t>
            </w:r>
            <w:r w:rsidR="00202D52">
              <w:t>;</w:t>
            </w:r>
            <w:r w:rsidRPr="00755915">
              <w:t xml:space="preserve"> </w:t>
            </w:r>
          </w:p>
          <w:p w14:paraId="78E65B7D" w14:textId="7CE307EB" w:rsidR="006379C0" w:rsidRPr="00755915" w:rsidRDefault="006379C0" w:rsidP="00202D52">
            <w:pPr>
              <w:pStyle w:val="Tabletext"/>
            </w:pPr>
            <w:r w:rsidRPr="00755915">
              <w:t>Electric mobility</w:t>
            </w:r>
            <w:r w:rsidR="00202D52">
              <w:t>.</w:t>
            </w:r>
          </w:p>
        </w:tc>
        <w:tc>
          <w:tcPr>
            <w:tcW w:w="1308" w:type="pct"/>
            <w:tcBorders>
              <w:top w:val="single" w:sz="4" w:space="0" w:color="auto"/>
              <w:left w:val="nil"/>
              <w:bottom w:val="single" w:sz="4" w:space="0" w:color="auto"/>
              <w:right w:val="nil"/>
            </w:tcBorders>
          </w:tcPr>
          <w:p w14:paraId="3850CF7C" w14:textId="7CA1BE05" w:rsidR="006379C0" w:rsidRPr="00755915" w:rsidRDefault="006379C0" w:rsidP="00202D52">
            <w:pPr>
              <w:pStyle w:val="Tabletext"/>
            </w:pPr>
            <w:r w:rsidRPr="00755915">
              <w:t>Use regenerative resources</w:t>
            </w:r>
            <w:r w:rsidR="00202D52">
              <w:t>;</w:t>
            </w:r>
          </w:p>
          <w:p w14:paraId="0F34924E" w14:textId="1952315D" w:rsidR="006379C0" w:rsidRPr="00755915" w:rsidRDefault="006379C0" w:rsidP="00202D52">
            <w:pPr>
              <w:pStyle w:val="Tabletext"/>
            </w:pPr>
            <w:proofErr w:type="gramStart"/>
            <w:r w:rsidRPr="00755915">
              <w:t>disinvest</w:t>
            </w:r>
            <w:proofErr w:type="gramEnd"/>
            <w:r w:rsidRPr="00755915">
              <w:t xml:space="preserve"> from “carbon-intensive assets”</w:t>
            </w:r>
            <w:r w:rsidR="00202D52">
              <w:t>.</w:t>
            </w:r>
          </w:p>
        </w:tc>
        <w:tc>
          <w:tcPr>
            <w:tcW w:w="1156" w:type="pct"/>
            <w:tcBorders>
              <w:top w:val="single" w:sz="4" w:space="0" w:color="auto"/>
              <w:left w:val="nil"/>
              <w:bottom w:val="single" w:sz="4" w:space="0" w:color="auto"/>
              <w:right w:val="nil"/>
            </w:tcBorders>
          </w:tcPr>
          <w:p w14:paraId="6EDD6E09" w14:textId="3DF760FB" w:rsidR="006379C0" w:rsidRPr="00755915" w:rsidRDefault="006379C0" w:rsidP="00202D52">
            <w:pPr>
              <w:pStyle w:val="Tabletext"/>
            </w:pPr>
            <w:r w:rsidRPr="00755915">
              <w:t>Avoid wasting valuable resources</w:t>
            </w:r>
            <w:r w:rsidR="00202D52">
              <w:t>;</w:t>
            </w:r>
            <w:r w:rsidRPr="00755915">
              <w:t xml:space="preserve"> </w:t>
            </w:r>
          </w:p>
          <w:p w14:paraId="3FD335D9" w14:textId="28E698B1" w:rsidR="006379C0" w:rsidRPr="00755915" w:rsidRDefault="006379C0" w:rsidP="00202D52">
            <w:pPr>
              <w:pStyle w:val="Tabletext"/>
            </w:pPr>
            <w:r w:rsidRPr="00755915">
              <w:t>Repair and reuse IT hardware</w:t>
            </w:r>
            <w:r w:rsidR="00202D52">
              <w:t>.</w:t>
            </w:r>
          </w:p>
          <w:p w14:paraId="24C592EF" w14:textId="77777777" w:rsidR="006379C0" w:rsidRPr="00755915" w:rsidRDefault="006379C0" w:rsidP="00202D52">
            <w:pPr>
              <w:pStyle w:val="Tabletext"/>
            </w:pPr>
          </w:p>
        </w:tc>
      </w:tr>
    </w:tbl>
    <w:p w14:paraId="5E729582" w14:textId="1DC40EBC" w:rsidR="006379C0" w:rsidRDefault="006379C0" w:rsidP="002F7336"/>
    <w:p w14:paraId="220E1B4C" w14:textId="77777777" w:rsidR="00E12455" w:rsidRPr="003A56CD" w:rsidRDefault="00E12455" w:rsidP="00E12455">
      <w:r w:rsidRPr="003A56CD">
        <w:t>Companies imitate each other by designing more environmentally friendly and energy-efficient products and showing responsibility when investing in assets.  A representative example is an initiative, adopted by many financial institutions, related to the divestment from the coal sector. It is possible to notice, indeed, that all the surveyed companies from this sector report such a practice, while investing in renewable energy solutions and products. Companies that are experimenting Circular Business Models are mostly motivated by identifying market gaps and exploiting market opportunities (</w:t>
      </w:r>
      <w:r w:rsidRPr="003A56CD">
        <w:rPr>
          <w:i/>
          <w:iCs/>
        </w:rPr>
        <w:t>Bosch, Telefonica</w:t>
      </w:r>
      <w:r w:rsidRPr="003A56CD">
        <w:t xml:space="preserve">). </w:t>
      </w:r>
    </w:p>
    <w:p w14:paraId="2892A939" w14:textId="34A169E4" w:rsidR="006379C0" w:rsidRPr="003A56CD" w:rsidRDefault="006379C0" w:rsidP="005035B4">
      <w:pPr>
        <w:pStyle w:val="Heading3"/>
      </w:pPr>
      <w:bookmarkStart w:id="30" w:name="_Toc157759493"/>
      <w:r w:rsidRPr="003A56CD">
        <w:t>Supply Chain Integration, a possible enabler of CE</w:t>
      </w:r>
      <w:bookmarkEnd w:id="30"/>
    </w:p>
    <w:p w14:paraId="1D72A5A8" w14:textId="77777777" w:rsidR="006379C0" w:rsidRPr="003A56CD" w:rsidRDefault="006379C0" w:rsidP="002F7336">
      <w:r w:rsidRPr="003A56CD">
        <w:t xml:space="preserve">As mentioned above, the literature recognises that a higher level of collaboration with suppliers and customers is beneficial to deliver superior environmental performance and moderates the effect of institutional pressures on green </w:t>
      </w:r>
      <w:r w:rsidRPr="003A56CD">
        <w:fldChar w:fldCharType="begin" w:fldLock="1"/>
      </w:r>
      <w:r w:rsidRPr="003A56CD">
        <w:instrText>ADDIN CSL_CITATION {"citationItems":[{"id":"ITEM-1","itemData":{"DOI":"10.1016/j.ijpe.2016.08.033","ISSN":"09255273","abstract":"This paper aims to understand and analyze how different institutional pressures created by stakeholders tend to promote the green bullwhip effect and the consequent adoption of green supply chain management (GSCM) practices across a supply chain. It examines GSCM practices adopted in the supply chain as a result of pressures from primary stakeholders, and how they exert environmental/institutional pressures. A case study methodology has been adopted to study a focal company (an automotive battery company located in Brazil) and its stakeholders, including customers, its supplier, and the government. The results, synthesized through eight propositions, highlight the effect that the institutional environment exercises on generating the green bullwhip effect in the supply chain.","author":[{"dropping-particle":"","family":"Seles","given":"Bruno Michel Roman Pais","non-dropping-particle":"","parse-names":false,"suffix":""},{"dropping-particle":"","family":"Sousa Jabbour","given":"Ana Beatriz Lopes","non-dropping-particle":"de","parse-names":false,"suffix":""},{"dropping-particle":"","family":"Jabbour","given":"Charbel José Chiappetta","non-dropping-particle":"","parse-names":false,"suffix":""},{"dropping-particle":"","family":"Dangelico","given":"Rosa Maria","non-dropping-particle":"","parse-names":false,"suffix":""}],"container-title":"International Journal of Production Economics","id":"ITEM-1","issued":{"date-parts":[["2016"]]},"page":"342-355","publisher":"Elsevier","title":"The green bullwhip effect, the diffusion of green supply chain practices, and institutional pressures: Evidence from the automotive sector","type":"article-journal","volume":"182"},"uris":["http://www.mendeley.com/documents/?uuid=896d2c85-c766-4dd9-b178-612ea28d994f"]}],"mendeley":{"formattedCitation":"(Seles et al., 2016)","manualFormatting":"(Seles et al., 2016; Govindan &amp; Hasanagic, 2018)","plainTextFormattedCitation":"(Seles et al., 2016)","previouslyFormattedCitation":"(Seles et al., 2016)"},"properties":{"noteIndex":0},"schema":"https://github.com/citation-style-language/schema/raw/master/csl-citation.json"}</w:instrText>
      </w:r>
      <w:r w:rsidRPr="003A56CD">
        <w:fldChar w:fldCharType="separate"/>
      </w:r>
      <w:r w:rsidRPr="003A56CD">
        <w:t>(Seles et al., 2016; Govindan &amp; Hasanagic, 2018)</w:t>
      </w:r>
      <w:r w:rsidRPr="003A56CD">
        <w:fldChar w:fldCharType="end"/>
      </w:r>
      <w:r w:rsidRPr="003A56CD">
        <w:t xml:space="preserve"> and sustainable practices </w:t>
      </w:r>
      <w:r w:rsidRPr="003A56CD">
        <w:fldChar w:fldCharType="begin" w:fldLock="1"/>
      </w:r>
      <w:r w:rsidRPr="003A56CD">
        <w:instrText>ADDIN CSL_CITATION {"citationItems":[{"id":"ITEM-1","itemData":{"DOI":"10.1016/j.pursup.2014.12.004","ISSN":"14784092","abstract":"The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Management","id":"ITEM-1","issue":"2","issued":{"date-parts":[["2015"]]},"page":"95-102","publisher":"Elsevier","title":"Sustainable supplier development practices: Drivers and enablers in a global context","type":"article-journal","volume":"21"},"uris":["http://www.mendeley.com/documents/?uuid=121cabff-e9cf-4ff0-bbb3-eebcc9a65ad2"]}],"mendeley":{"formattedCitation":"(Sancha et al., 2015)","plainTextFormattedCitation":"(Sancha et al., 2015)","previouslyFormattedCitation":"(Sancha et al., 2015)"},"properties":{"noteIndex":0},"schema":"https://github.com/citation-style-language/schema/raw/master/csl-citation.json"}</w:instrText>
      </w:r>
      <w:r w:rsidRPr="003A56CD">
        <w:fldChar w:fldCharType="separate"/>
      </w:r>
      <w:r w:rsidRPr="003A56CD">
        <w:t>(Sancha et al., 2015)</w:t>
      </w:r>
      <w:r w:rsidRPr="003A56CD">
        <w:fldChar w:fldCharType="end"/>
      </w:r>
      <w:r w:rsidRPr="003A56CD">
        <w:t xml:space="preserve"> adoption. For these reasons, the configuration of the supply chain might play a role also as an enabling mechanism of the adoption of CE practices. </w:t>
      </w:r>
    </w:p>
    <w:p w14:paraId="5249EF7A" w14:textId="7B1F8B57" w:rsidR="006379C0" w:rsidRDefault="006379C0" w:rsidP="002F7336">
      <w:r w:rsidRPr="003A56CD">
        <w:t xml:space="preserve">This effect of SCI could be initially assessed in this sample. In order to measure the level of SCI, the relevant code has been extracted from the reports for each SCI measurement item (some examples are shown in Table 13). </w:t>
      </w:r>
    </w:p>
    <w:p w14:paraId="40FBA00D" w14:textId="7B6CDA68" w:rsidR="00F64705" w:rsidRPr="003A56CD" w:rsidRDefault="00F64705" w:rsidP="00F64705">
      <w:r w:rsidRPr="003A56CD">
        <w:t xml:space="preserve">The 50 companies were assigned a score from 0 to 8 (see the detail in Appendix </w:t>
      </w:r>
      <w:r w:rsidR="00602B25">
        <w:t>2</w:t>
      </w:r>
      <w:r w:rsidRPr="003A56CD">
        <w:t xml:space="preserve">C), on the basis of the presence in their report of SCI items (Table 3). </w:t>
      </w:r>
    </w:p>
    <w:p w14:paraId="04317063" w14:textId="2CFC6C56" w:rsidR="00F64705" w:rsidRPr="003A56CD" w:rsidRDefault="00F64705" w:rsidP="00F64705">
      <w:r w:rsidRPr="003A56CD">
        <w:t xml:space="preserve">Three classes of companies were finally defined, based on the level of supply chain integration. Examples from the reports include: creating stable and long-term relationships with key suppliers and customers, involving suppliers and customers in the design of products and services, and engaging in development programs with suppliers helping them to comply with environmental and human rights standards. Reported collaborations at a supply chain level are mainly focused on suppliers’ auditing and development programmes, involving some life-cycle evaluation of the overall environmental impact of products and services. Highly integrated supply chains seem to have adopted CE practices at a higher level of implementation (higher average CE score) and to adopt a higher number of CSC practices </w:t>
      </w:r>
      <w:r w:rsidRPr="003A56CD">
        <w:lastRenderedPageBreak/>
        <w:t>(Table 14). Furthermore, companies with medium integration have a higher number of internal/CSC practices than companies with low integration</w:t>
      </w:r>
      <w:r w:rsidR="00461CB5">
        <w:rPr>
          <w:rStyle w:val="FootnoteReference"/>
        </w:rPr>
        <w:footnoteReference w:id="9"/>
      </w:r>
      <w:r w:rsidRPr="003A56CD">
        <w:t>.</w:t>
      </w:r>
    </w:p>
    <w:p w14:paraId="197A7A36" w14:textId="77777777" w:rsidR="006379C0" w:rsidRPr="003A56CD" w:rsidRDefault="006379C0" w:rsidP="002F7336">
      <w:pPr>
        <w:pStyle w:val="Figurecaption"/>
      </w:pPr>
      <w:r w:rsidRPr="003A56CD">
        <w:t xml:space="preserve">Table 13. Examples of Supply Chain Integration from the CS Reports. The dimensions to assess the level of SCI have been derived from the literature </w:t>
      </w:r>
      <w:r w:rsidRPr="003A56CD">
        <w:fldChar w:fldCharType="begin" w:fldLock="1"/>
      </w:r>
      <w:r w:rsidRPr="003A56CD">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Management","id":"ITEM-2","issue":"2","issued":{"date-parts":[["2015"]]},"page":"139-150","title":"A nuanced view on supply chain integration: A coordinative and collaborative approach to operational and sustainability performance improvement","type":"article-journal","volume":"20"},"uris":["http://www.mendeley.com/documents/?uuid=174b8afa-dd16-4160-947a-5442a28b75d4"]}],"mendeley":{"formattedCitation":"(Frohlich &amp; Westbrook, 2001; Wiengarten &amp; Longoni, 2015)","plainTextFormattedCitation":"(Frohlich &amp; Westbrook, 2001; Wiengarten &amp; Longoni, 2015)","previouslyFormattedCitation":"(Frohlich &amp; Westbrook, 2001; Wiengarten &amp; Longoni, 2015)"},"properties":{"noteIndex":0},"schema":"https://github.com/citation-style-language/schema/raw/master/csl-citation.json"}</w:instrText>
      </w:r>
      <w:r w:rsidRPr="003A56CD">
        <w:fldChar w:fldCharType="separate"/>
      </w:r>
      <w:r w:rsidRPr="003A56CD">
        <w:t>(Frohlich &amp; Westbrook, 2001; Wiengarten &amp; Longoni, 2015)</w:t>
      </w:r>
      <w:r w:rsidRPr="003A56CD">
        <w:fldChar w:fldCharType="end"/>
      </w:r>
      <w:r w:rsidRPr="003A56CD">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5065"/>
        <w:gridCol w:w="1167"/>
      </w:tblGrid>
      <w:tr w:rsidR="006379C0" w:rsidRPr="00755915" w14:paraId="7384AC00" w14:textId="77777777" w:rsidTr="00116B90">
        <w:tc>
          <w:tcPr>
            <w:tcW w:w="0" w:type="auto"/>
            <w:tcBorders>
              <w:top w:val="single" w:sz="4" w:space="0" w:color="auto"/>
              <w:bottom w:val="single" w:sz="4" w:space="0" w:color="auto"/>
            </w:tcBorders>
            <w:vAlign w:val="center"/>
          </w:tcPr>
          <w:p w14:paraId="0AAF3453" w14:textId="77777777" w:rsidR="006379C0" w:rsidRPr="00755915" w:rsidRDefault="006379C0" w:rsidP="00EC7CA7">
            <w:pPr>
              <w:pStyle w:val="Tabletext"/>
            </w:pPr>
            <w:r w:rsidRPr="00755915">
              <w:t>SCI dimension</w:t>
            </w:r>
          </w:p>
        </w:tc>
        <w:tc>
          <w:tcPr>
            <w:tcW w:w="0" w:type="auto"/>
            <w:tcBorders>
              <w:top w:val="single" w:sz="4" w:space="0" w:color="auto"/>
              <w:bottom w:val="single" w:sz="4" w:space="0" w:color="auto"/>
            </w:tcBorders>
            <w:vAlign w:val="center"/>
          </w:tcPr>
          <w:p w14:paraId="7E770B4C" w14:textId="77777777" w:rsidR="006379C0" w:rsidRPr="00755915" w:rsidRDefault="006379C0" w:rsidP="00EC7CA7">
            <w:pPr>
              <w:pStyle w:val="Tabletext"/>
            </w:pPr>
            <w:r w:rsidRPr="00755915">
              <w:t>Examples</w:t>
            </w:r>
          </w:p>
        </w:tc>
        <w:tc>
          <w:tcPr>
            <w:tcW w:w="0" w:type="auto"/>
            <w:tcBorders>
              <w:top w:val="single" w:sz="4" w:space="0" w:color="auto"/>
              <w:bottom w:val="single" w:sz="4" w:space="0" w:color="auto"/>
            </w:tcBorders>
            <w:vAlign w:val="center"/>
          </w:tcPr>
          <w:p w14:paraId="37F956D3" w14:textId="77777777" w:rsidR="006379C0" w:rsidRPr="00755915" w:rsidRDefault="006379C0" w:rsidP="00EC7CA7">
            <w:pPr>
              <w:pStyle w:val="Tabletext"/>
            </w:pPr>
            <w:r w:rsidRPr="00755915">
              <w:t>Company</w:t>
            </w:r>
          </w:p>
        </w:tc>
      </w:tr>
      <w:tr w:rsidR="006379C0" w:rsidRPr="00755915" w14:paraId="707109AF" w14:textId="77777777" w:rsidTr="00116B90">
        <w:tc>
          <w:tcPr>
            <w:tcW w:w="0" w:type="auto"/>
            <w:tcBorders>
              <w:top w:val="single" w:sz="4" w:space="0" w:color="auto"/>
              <w:bottom w:val="single" w:sz="4" w:space="0" w:color="auto"/>
            </w:tcBorders>
            <w:vAlign w:val="center"/>
          </w:tcPr>
          <w:p w14:paraId="43C7638D" w14:textId="77777777" w:rsidR="006379C0" w:rsidRPr="00755915" w:rsidRDefault="006379C0" w:rsidP="00EC7CA7">
            <w:pPr>
              <w:pStyle w:val="Tabletext"/>
            </w:pPr>
            <w:r w:rsidRPr="00755915">
              <w:t xml:space="preserve">Sharing information </w:t>
            </w:r>
          </w:p>
        </w:tc>
        <w:tc>
          <w:tcPr>
            <w:tcW w:w="0" w:type="auto"/>
            <w:tcBorders>
              <w:top w:val="single" w:sz="4" w:space="0" w:color="auto"/>
              <w:bottom w:val="single" w:sz="4" w:space="0" w:color="auto"/>
            </w:tcBorders>
            <w:vAlign w:val="center"/>
          </w:tcPr>
          <w:p w14:paraId="5342F342" w14:textId="49F85E7E" w:rsidR="006379C0" w:rsidRPr="00755915" w:rsidRDefault="00EA69AD" w:rsidP="00EC7CA7">
            <w:pPr>
              <w:pStyle w:val="Tabletext"/>
            </w:pPr>
            <w:r>
              <w:t>“We minimis</w:t>
            </w:r>
            <w:r w:rsidR="006379C0" w:rsidRPr="00755915">
              <w:t xml:space="preserve">e food waste in our own operations by preventing it, through optimised store replenishment and on-shelf management, and by re-directing unsold food to feed people.” </w:t>
            </w:r>
          </w:p>
        </w:tc>
        <w:tc>
          <w:tcPr>
            <w:tcW w:w="0" w:type="auto"/>
            <w:tcBorders>
              <w:top w:val="single" w:sz="4" w:space="0" w:color="auto"/>
              <w:bottom w:val="single" w:sz="4" w:space="0" w:color="auto"/>
            </w:tcBorders>
            <w:vAlign w:val="center"/>
          </w:tcPr>
          <w:p w14:paraId="4A7B1F6A" w14:textId="77777777" w:rsidR="006379C0" w:rsidRPr="00755915" w:rsidRDefault="006379C0" w:rsidP="00EC7CA7">
            <w:pPr>
              <w:pStyle w:val="Tabletext"/>
            </w:pPr>
            <w:r w:rsidRPr="00755915">
              <w:t xml:space="preserve">Royal </w:t>
            </w:r>
            <w:proofErr w:type="spellStart"/>
            <w:r w:rsidRPr="00755915">
              <w:t>Ahold</w:t>
            </w:r>
            <w:proofErr w:type="spellEnd"/>
            <w:r w:rsidRPr="00755915">
              <w:t xml:space="preserve"> Delhaize</w:t>
            </w:r>
          </w:p>
        </w:tc>
      </w:tr>
      <w:tr w:rsidR="006379C0" w:rsidRPr="00755915" w14:paraId="65A5AE47" w14:textId="77777777" w:rsidTr="00116B90">
        <w:tc>
          <w:tcPr>
            <w:tcW w:w="0" w:type="auto"/>
            <w:tcBorders>
              <w:top w:val="single" w:sz="4" w:space="0" w:color="auto"/>
              <w:bottom w:val="single" w:sz="4" w:space="0" w:color="auto"/>
            </w:tcBorders>
            <w:vAlign w:val="center"/>
          </w:tcPr>
          <w:p w14:paraId="3B8D7928" w14:textId="77777777" w:rsidR="006379C0" w:rsidRPr="00755915" w:rsidRDefault="006379C0" w:rsidP="00EC7CA7">
            <w:pPr>
              <w:pStyle w:val="Tabletext"/>
            </w:pPr>
            <w:r w:rsidRPr="00755915">
              <w:t xml:space="preserve">Developing collaborative approaches </w:t>
            </w:r>
          </w:p>
        </w:tc>
        <w:tc>
          <w:tcPr>
            <w:tcW w:w="0" w:type="auto"/>
            <w:tcBorders>
              <w:top w:val="single" w:sz="4" w:space="0" w:color="auto"/>
              <w:bottom w:val="single" w:sz="4" w:space="0" w:color="auto"/>
            </w:tcBorders>
            <w:vAlign w:val="center"/>
          </w:tcPr>
          <w:p w14:paraId="3D6DD3AA" w14:textId="77777777" w:rsidR="006379C0" w:rsidRPr="00755915" w:rsidRDefault="006379C0" w:rsidP="00EC7CA7">
            <w:pPr>
              <w:pStyle w:val="Tabletext"/>
            </w:pPr>
            <w:r w:rsidRPr="00755915">
              <w:t xml:space="preserve">“We work tirelessly with our suppliers to ensure that our quality standards are met. We run a bespoke due diligence audit programme that offers documented evidence of compliance to our standards and monitors continual improvement.” </w:t>
            </w:r>
          </w:p>
        </w:tc>
        <w:tc>
          <w:tcPr>
            <w:tcW w:w="0" w:type="auto"/>
            <w:tcBorders>
              <w:top w:val="single" w:sz="4" w:space="0" w:color="auto"/>
              <w:bottom w:val="single" w:sz="4" w:space="0" w:color="auto"/>
            </w:tcBorders>
            <w:vAlign w:val="center"/>
          </w:tcPr>
          <w:p w14:paraId="395DFC52" w14:textId="77777777" w:rsidR="006379C0" w:rsidRPr="00755915" w:rsidRDefault="006379C0" w:rsidP="00EC7CA7">
            <w:pPr>
              <w:pStyle w:val="Tabletext"/>
            </w:pPr>
            <w:r w:rsidRPr="00755915">
              <w:t>Tesco</w:t>
            </w:r>
          </w:p>
        </w:tc>
      </w:tr>
      <w:tr w:rsidR="006379C0" w:rsidRPr="00755915" w14:paraId="2B935380" w14:textId="77777777" w:rsidTr="00116B90">
        <w:tc>
          <w:tcPr>
            <w:tcW w:w="0" w:type="auto"/>
            <w:tcBorders>
              <w:top w:val="single" w:sz="4" w:space="0" w:color="auto"/>
              <w:bottom w:val="single" w:sz="4" w:space="0" w:color="auto"/>
            </w:tcBorders>
            <w:vAlign w:val="center"/>
          </w:tcPr>
          <w:p w14:paraId="201BC77E" w14:textId="77777777" w:rsidR="006379C0" w:rsidRPr="00755915" w:rsidRDefault="006379C0" w:rsidP="00EC7CA7">
            <w:pPr>
              <w:pStyle w:val="Tabletext"/>
            </w:pPr>
            <w:r w:rsidRPr="00755915">
              <w:t xml:space="preserve">Joint decision-making with key suppliers/customers </w:t>
            </w:r>
          </w:p>
        </w:tc>
        <w:tc>
          <w:tcPr>
            <w:tcW w:w="0" w:type="auto"/>
            <w:tcBorders>
              <w:top w:val="single" w:sz="4" w:space="0" w:color="auto"/>
              <w:bottom w:val="single" w:sz="4" w:space="0" w:color="auto"/>
            </w:tcBorders>
            <w:vAlign w:val="center"/>
          </w:tcPr>
          <w:p w14:paraId="64C0DD40" w14:textId="77777777" w:rsidR="006379C0" w:rsidRPr="00755915" w:rsidRDefault="006379C0" w:rsidP="00EC7CA7">
            <w:pPr>
              <w:pStyle w:val="Tabletext"/>
            </w:pPr>
            <w:r w:rsidRPr="00755915">
              <w:t xml:space="preserve">“Another aspect of supplier engagement focuses on fostering innovation to improve products, processes and content, often leading to sustainable solutions such as the use of recycled raw materials or weight reduction” </w:t>
            </w:r>
          </w:p>
        </w:tc>
        <w:tc>
          <w:tcPr>
            <w:tcW w:w="0" w:type="auto"/>
            <w:tcBorders>
              <w:top w:val="single" w:sz="4" w:space="0" w:color="auto"/>
              <w:bottom w:val="single" w:sz="4" w:space="0" w:color="auto"/>
            </w:tcBorders>
            <w:vAlign w:val="center"/>
          </w:tcPr>
          <w:p w14:paraId="55F4CE18" w14:textId="77777777" w:rsidR="006379C0" w:rsidRPr="00755915" w:rsidRDefault="006379C0" w:rsidP="00EC7CA7">
            <w:pPr>
              <w:pStyle w:val="Tabletext"/>
            </w:pPr>
            <w:r w:rsidRPr="00755915">
              <w:t>FCA</w:t>
            </w:r>
          </w:p>
        </w:tc>
      </w:tr>
      <w:tr w:rsidR="006379C0" w:rsidRPr="00755915" w14:paraId="7EDEE850" w14:textId="77777777" w:rsidTr="00116B90">
        <w:trPr>
          <w:trHeight w:val="77"/>
        </w:trPr>
        <w:tc>
          <w:tcPr>
            <w:tcW w:w="0" w:type="auto"/>
            <w:tcBorders>
              <w:top w:val="single" w:sz="4" w:space="0" w:color="auto"/>
              <w:bottom w:val="single" w:sz="4" w:space="0" w:color="auto"/>
            </w:tcBorders>
            <w:vAlign w:val="center"/>
          </w:tcPr>
          <w:p w14:paraId="4DF714BD" w14:textId="77777777" w:rsidR="006379C0" w:rsidRPr="00755915" w:rsidRDefault="006379C0" w:rsidP="00EC7CA7">
            <w:pPr>
              <w:pStyle w:val="Tabletext"/>
            </w:pPr>
            <w:r w:rsidRPr="00755915">
              <w:t xml:space="preserve">System coupling with key suppliers/customers </w:t>
            </w:r>
          </w:p>
        </w:tc>
        <w:tc>
          <w:tcPr>
            <w:tcW w:w="0" w:type="auto"/>
            <w:tcBorders>
              <w:top w:val="single" w:sz="4" w:space="0" w:color="auto"/>
              <w:bottom w:val="single" w:sz="4" w:space="0" w:color="auto"/>
            </w:tcBorders>
            <w:vAlign w:val="center"/>
          </w:tcPr>
          <w:p w14:paraId="1AE37C31" w14:textId="77777777" w:rsidR="006379C0" w:rsidRPr="00755915" w:rsidRDefault="006379C0" w:rsidP="00EC7CA7">
            <w:pPr>
              <w:pStyle w:val="Tabletext"/>
            </w:pPr>
            <w:r w:rsidRPr="00755915">
              <w:t xml:space="preserve">As the Company performs a strong platform prime integrator role, managing the supplier base to enable the delivery of on time and on quality product to the final customer. […] The Company’s suppliers provide a large proportion of the value in our products, necessitating a robust supply-chain governance framework. This is supported by processes and tools that foster partnership, risk mitigation and supplier performance development. </w:t>
            </w:r>
          </w:p>
        </w:tc>
        <w:tc>
          <w:tcPr>
            <w:tcW w:w="0" w:type="auto"/>
            <w:tcBorders>
              <w:top w:val="single" w:sz="4" w:space="0" w:color="auto"/>
              <w:bottom w:val="single" w:sz="4" w:space="0" w:color="auto"/>
            </w:tcBorders>
            <w:vAlign w:val="center"/>
          </w:tcPr>
          <w:p w14:paraId="24201C00" w14:textId="77777777" w:rsidR="006379C0" w:rsidRPr="00755915" w:rsidRDefault="006379C0" w:rsidP="00EC7CA7">
            <w:pPr>
              <w:pStyle w:val="Tabletext"/>
            </w:pPr>
            <w:r w:rsidRPr="00755915">
              <w:t>Airbus</w:t>
            </w:r>
          </w:p>
        </w:tc>
      </w:tr>
    </w:tbl>
    <w:p w14:paraId="0D5C8249" w14:textId="77777777" w:rsidR="00F64705" w:rsidRDefault="00F64705" w:rsidP="00F64705"/>
    <w:p w14:paraId="6631A16B" w14:textId="43898267" w:rsidR="006379C0" w:rsidRPr="003A56CD" w:rsidRDefault="006379C0" w:rsidP="005035B4">
      <w:pPr>
        <w:pStyle w:val="Heading2"/>
      </w:pPr>
      <w:bookmarkStart w:id="31" w:name="_Toc157759494"/>
      <w:r w:rsidRPr="009B5B29">
        <w:t>Implications</w:t>
      </w:r>
      <w:bookmarkEnd w:id="31"/>
    </w:p>
    <w:p w14:paraId="190A7D9C" w14:textId="77777777" w:rsidR="006379C0" w:rsidRPr="003A56CD" w:rsidRDefault="006379C0" w:rsidP="002F7336">
      <w:r w:rsidRPr="003A56CD">
        <w:t xml:space="preserve">CE practices, as well as their drivers, were identified for the largest MNEs in Europe. Such a large scale observation of empirical cases of CE adoption is analysed in the following discussion section, in an attempt to understand the dynamics of the transition towards the CE in supply chains. </w:t>
      </w:r>
    </w:p>
    <w:p w14:paraId="42818730" w14:textId="334BB4CF" w:rsidR="006379C0" w:rsidRDefault="006379C0" w:rsidP="002F7336">
      <w:r w:rsidRPr="003A56CD">
        <w:t xml:space="preserve">Some general considerations are drawn, taking inspiration from the recent debate around Circular Economy, and its feasibility in the current economic paradigm. A theoretical discussion is then introduced by looking at how this change is taking place in industrial </w:t>
      </w:r>
      <w:r w:rsidRPr="003A56CD">
        <w:lastRenderedPageBreak/>
        <w:t xml:space="preserve">organisations and their supply chains and where the adoption has been successful and where it has not. </w:t>
      </w:r>
    </w:p>
    <w:p w14:paraId="61760E8E" w14:textId="77777777" w:rsidR="004222D4" w:rsidRPr="003A56CD" w:rsidRDefault="004222D4" w:rsidP="004222D4">
      <w:pPr>
        <w:pStyle w:val="Figurecaption"/>
      </w:pPr>
      <w:r w:rsidRPr="00755915">
        <w:t>Table 14. The relation between SCI level and the adoption of CE practices; CE score was previously defined, as well as the number of internal CE practices and of CSC practices (Table 11). These values represent the average values of each score, within groups of MNEs with a similar level of supply chain integration</w:t>
      </w:r>
      <w:r w:rsidRPr="003A56CD">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921"/>
        <w:gridCol w:w="1768"/>
        <w:gridCol w:w="1576"/>
        <w:gridCol w:w="2857"/>
      </w:tblGrid>
      <w:tr w:rsidR="004222D4" w:rsidRPr="00755915" w14:paraId="2E2A41BE" w14:textId="77777777" w:rsidTr="00931D6C">
        <w:trPr>
          <w:jc w:val="center"/>
        </w:trPr>
        <w:tc>
          <w:tcPr>
            <w:tcW w:w="0" w:type="auto"/>
            <w:tcBorders>
              <w:top w:val="single" w:sz="4" w:space="0" w:color="auto"/>
              <w:bottom w:val="single" w:sz="4" w:space="0" w:color="auto"/>
            </w:tcBorders>
          </w:tcPr>
          <w:p w14:paraId="09194930" w14:textId="77777777" w:rsidR="004222D4" w:rsidRPr="00755915" w:rsidRDefault="004222D4" w:rsidP="00931D6C">
            <w:pPr>
              <w:pStyle w:val="Tabletext"/>
            </w:pPr>
            <w:r w:rsidRPr="00755915">
              <w:t>SCI class</w:t>
            </w:r>
          </w:p>
        </w:tc>
        <w:tc>
          <w:tcPr>
            <w:tcW w:w="0" w:type="auto"/>
            <w:tcBorders>
              <w:top w:val="single" w:sz="4" w:space="0" w:color="auto"/>
              <w:bottom w:val="single" w:sz="4" w:space="0" w:color="auto"/>
            </w:tcBorders>
          </w:tcPr>
          <w:p w14:paraId="2A19639F" w14:textId="77777777" w:rsidR="004222D4" w:rsidRPr="00755915" w:rsidRDefault="004222D4" w:rsidP="00931D6C">
            <w:pPr>
              <w:pStyle w:val="Tabletext"/>
            </w:pPr>
            <w:r w:rsidRPr="00755915">
              <w:t>Avg. CE score</w:t>
            </w:r>
          </w:p>
        </w:tc>
        <w:tc>
          <w:tcPr>
            <w:tcW w:w="0" w:type="auto"/>
            <w:tcBorders>
              <w:top w:val="single" w:sz="4" w:space="0" w:color="auto"/>
              <w:bottom w:val="single" w:sz="4" w:space="0" w:color="auto"/>
            </w:tcBorders>
          </w:tcPr>
          <w:p w14:paraId="2B0F928B" w14:textId="77777777" w:rsidR="004222D4" w:rsidRPr="00755915" w:rsidRDefault="004222D4" w:rsidP="00931D6C">
            <w:pPr>
              <w:pStyle w:val="Tabletext"/>
            </w:pPr>
            <w:r w:rsidRPr="00755915">
              <w:t>Avg. Number of internal CE practices</w:t>
            </w:r>
          </w:p>
        </w:tc>
        <w:tc>
          <w:tcPr>
            <w:tcW w:w="0" w:type="auto"/>
            <w:tcBorders>
              <w:top w:val="single" w:sz="4" w:space="0" w:color="auto"/>
              <w:bottom w:val="single" w:sz="4" w:space="0" w:color="auto"/>
            </w:tcBorders>
          </w:tcPr>
          <w:p w14:paraId="0F75B8CA" w14:textId="77777777" w:rsidR="004222D4" w:rsidRPr="00755915" w:rsidRDefault="004222D4" w:rsidP="00931D6C">
            <w:pPr>
              <w:pStyle w:val="Tabletext"/>
            </w:pPr>
            <w:r w:rsidRPr="00755915">
              <w:t>Avg. Number of CSC practices</w:t>
            </w:r>
          </w:p>
        </w:tc>
        <w:tc>
          <w:tcPr>
            <w:tcW w:w="0" w:type="auto"/>
            <w:tcBorders>
              <w:top w:val="single" w:sz="4" w:space="0" w:color="auto"/>
              <w:bottom w:val="single" w:sz="4" w:space="0" w:color="auto"/>
            </w:tcBorders>
          </w:tcPr>
          <w:p w14:paraId="323ECC24" w14:textId="77777777" w:rsidR="004222D4" w:rsidRPr="00755915" w:rsidRDefault="004222D4" w:rsidP="00931D6C">
            <w:pPr>
              <w:pStyle w:val="Tabletext"/>
            </w:pPr>
            <w:r w:rsidRPr="00755915">
              <w:t>Companies</w:t>
            </w:r>
          </w:p>
        </w:tc>
      </w:tr>
      <w:tr w:rsidR="004222D4" w:rsidRPr="00755915" w14:paraId="50E866A5" w14:textId="77777777" w:rsidTr="00931D6C">
        <w:trPr>
          <w:trHeight w:val="865"/>
          <w:jc w:val="center"/>
        </w:trPr>
        <w:tc>
          <w:tcPr>
            <w:tcW w:w="0" w:type="auto"/>
            <w:tcBorders>
              <w:top w:val="single" w:sz="4" w:space="0" w:color="auto"/>
              <w:bottom w:val="single" w:sz="4" w:space="0" w:color="auto"/>
            </w:tcBorders>
            <w:vAlign w:val="center"/>
          </w:tcPr>
          <w:p w14:paraId="2628E680" w14:textId="77777777" w:rsidR="004222D4" w:rsidRPr="00755915" w:rsidRDefault="004222D4" w:rsidP="00931D6C">
            <w:pPr>
              <w:pStyle w:val="Tabletext"/>
            </w:pPr>
            <w:r w:rsidRPr="00755915">
              <w:t>High integration</w:t>
            </w:r>
          </w:p>
          <w:p w14:paraId="0A1F7320" w14:textId="77777777" w:rsidR="004222D4" w:rsidRPr="00755915" w:rsidRDefault="004222D4" w:rsidP="00931D6C">
            <w:pPr>
              <w:pStyle w:val="Tabletext"/>
            </w:pPr>
            <w:r w:rsidRPr="00755915">
              <w:t>(SCI score ≥4)</w:t>
            </w:r>
          </w:p>
        </w:tc>
        <w:tc>
          <w:tcPr>
            <w:tcW w:w="0" w:type="auto"/>
            <w:tcBorders>
              <w:top w:val="single" w:sz="4" w:space="0" w:color="auto"/>
              <w:bottom w:val="single" w:sz="4" w:space="0" w:color="auto"/>
            </w:tcBorders>
            <w:vAlign w:val="center"/>
          </w:tcPr>
          <w:p w14:paraId="7390560F" w14:textId="77777777" w:rsidR="004222D4" w:rsidRPr="00755915" w:rsidRDefault="004222D4" w:rsidP="00931D6C">
            <w:pPr>
              <w:pStyle w:val="Tabletext"/>
              <w:rPr>
                <w:b/>
              </w:rPr>
            </w:pPr>
            <w:r w:rsidRPr="00755915">
              <w:t>14</w:t>
            </w:r>
          </w:p>
        </w:tc>
        <w:tc>
          <w:tcPr>
            <w:tcW w:w="0" w:type="auto"/>
            <w:tcBorders>
              <w:top w:val="single" w:sz="4" w:space="0" w:color="auto"/>
              <w:bottom w:val="single" w:sz="4" w:space="0" w:color="auto"/>
            </w:tcBorders>
            <w:vAlign w:val="center"/>
          </w:tcPr>
          <w:p w14:paraId="03426993" w14:textId="77777777" w:rsidR="004222D4" w:rsidRPr="00755915" w:rsidRDefault="004222D4" w:rsidP="00931D6C">
            <w:pPr>
              <w:pStyle w:val="Tabletext"/>
            </w:pPr>
            <w:r w:rsidRPr="00755915">
              <w:t>2.6</w:t>
            </w:r>
          </w:p>
        </w:tc>
        <w:tc>
          <w:tcPr>
            <w:tcW w:w="0" w:type="auto"/>
            <w:tcBorders>
              <w:top w:val="single" w:sz="4" w:space="0" w:color="auto"/>
              <w:bottom w:val="single" w:sz="4" w:space="0" w:color="auto"/>
            </w:tcBorders>
            <w:vAlign w:val="center"/>
          </w:tcPr>
          <w:p w14:paraId="25D8E413" w14:textId="77777777" w:rsidR="004222D4" w:rsidRPr="00755915" w:rsidRDefault="004222D4" w:rsidP="00931D6C">
            <w:pPr>
              <w:pStyle w:val="Tabletext"/>
            </w:pPr>
            <w:r w:rsidRPr="00755915">
              <w:t>4.6</w:t>
            </w:r>
          </w:p>
        </w:tc>
        <w:tc>
          <w:tcPr>
            <w:tcW w:w="0" w:type="auto"/>
            <w:tcBorders>
              <w:top w:val="single" w:sz="4" w:space="0" w:color="auto"/>
              <w:bottom w:val="single" w:sz="4" w:space="0" w:color="auto"/>
            </w:tcBorders>
            <w:vAlign w:val="center"/>
          </w:tcPr>
          <w:p w14:paraId="0CB2852C" w14:textId="77777777" w:rsidR="004222D4" w:rsidRPr="00755915" w:rsidRDefault="004222D4" w:rsidP="00931D6C">
            <w:pPr>
              <w:pStyle w:val="Tabletext"/>
            </w:pPr>
            <w:r w:rsidRPr="00755915">
              <w:t xml:space="preserve">FCA, Telefonica, </w:t>
            </w:r>
          </w:p>
          <w:p w14:paraId="37ABB26A" w14:textId="77777777" w:rsidR="004222D4" w:rsidRPr="00755915" w:rsidRDefault="004222D4" w:rsidP="00931D6C">
            <w:pPr>
              <w:pStyle w:val="Tabletext"/>
            </w:pPr>
            <w:r w:rsidRPr="00755915">
              <w:t xml:space="preserve">Royal </w:t>
            </w:r>
            <w:proofErr w:type="spellStart"/>
            <w:r w:rsidRPr="00755915">
              <w:t>Ahold</w:t>
            </w:r>
            <w:proofErr w:type="spellEnd"/>
            <w:r w:rsidRPr="00755915">
              <w:t xml:space="preserve"> Delhaize, Renault, Shell</w:t>
            </w:r>
          </w:p>
        </w:tc>
      </w:tr>
      <w:tr w:rsidR="004222D4" w:rsidRPr="00755915" w14:paraId="54F594C4" w14:textId="77777777" w:rsidTr="00931D6C">
        <w:trPr>
          <w:trHeight w:val="1073"/>
          <w:jc w:val="center"/>
        </w:trPr>
        <w:tc>
          <w:tcPr>
            <w:tcW w:w="0" w:type="auto"/>
            <w:tcBorders>
              <w:top w:val="single" w:sz="4" w:space="0" w:color="auto"/>
              <w:bottom w:val="single" w:sz="4" w:space="0" w:color="auto"/>
            </w:tcBorders>
            <w:vAlign w:val="center"/>
          </w:tcPr>
          <w:p w14:paraId="7EB6B57C" w14:textId="77777777" w:rsidR="004222D4" w:rsidRPr="00755915" w:rsidRDefault="004222D4" w:rsidP="00931D6C">
            <w:pPr>
              <w:pStyle w:val="Tabletext"/>
            </w:pPr>
            <w:r w:rsidRPr="00755915">
              <w:t>Medium integration</w:t>
            </w:r>
          </w:p>
          <w:p w14:paraId="425D4551" w14:textId="77777777" w:rsidR="004222D4" w:rsidRPr="00755915" w:rsidRDefault="004222D4" w:rsidP="00931D6C">
            <w:pPr>
              <w:pStyle w:val="Tabletext"/>
            </w:pPr>
            <w:r w:rsidRPr="00755915">
              <w:t>(2≤SCI score&lt;4)</w:t>
            </w:r>
          </w:p>
        </w:tc>
        <w:tc>
          <w:tcPr>
            <w:tcW w:w="0" w:type="auto"/>
            <w:tcBorders>
              <w:top w:val="single" w:sz="4" w:space="0" w:color="auto"/>
              <w:bottom w:val="single" w:sz="4" w:space="0" w:color="auto"/>
            </w:tcBorders>
            <w:vAlign w:val="center"/>
          </w:tcPr>
          <w:p w14:paraId="0F39043A" w14:textId="77777777" w:rsidR="004222D4" w:rsidRPr="00755915" w:rsidRDefault="004222D4" w:rsidP="00931D6C">
            <w:pPr>
              <w:pStyle w:val="Tabletext"/>
            </w:pPr>
            <w:r w:rsidRPr="00755915">
              <w:t>13</w:t>
            </w:r>
          </w:p>
        </w:tc>
        <w:tc>
          <w:tcPr>
            <w:tcW w:w="0" w:type="auto"/>
            <w:tcBorders>
              <w:top w:val="single" w:sz="4" w:space="0" w:color="auto"/>
              <w:bottom w:val="single" w:sz="4" w:space="0" w:color="auto"/>
            </w:tcBorders>
            <w:vAlign w:val="center"/>
          </w:tcPr>
          <w:p w14:paraId="1963E9B5" w14:textId="77777777" w:rsidR="004222D4" w:rsidRPr="00755915" w:rsidRDefault="004222D4" w:rsidP="00931D6C">
            <w:pPr>
              <w:pStyle w:val="Tabletext"/>
            </w:pPr>
            <w:r w:rsidRPr="00755915">
              <w:t>3.4</w:t>
            </w:r>
          </w:p>
        </w:tc>
        <w:tc>
          <w:tcPr>
            <w:tcW w:w="0" w:type="auto"/>
            <w:tcBorders>
              <w:top w:val="single" w:sz="4" w:space="0" w:color="auto"/>
              <w:bottom w:val="single" w:sz="4" w:space="0" w:color="auto"/>
            </w:tcBorders>
            <w:vAlign w:val="center"/>
          </w:tcPr>
          <w:p w14:paraId="290986EB" w14:textId="77777777" w:rsidR="004222D4" w:rsidRPr="00755915" w:rsidRDefault="004222D4" w:rsidP="00931D6C">
            <w:pPr>
              <w:pStyle w:val="Tabletext"/>
            </w:pPr>
            <w:r w:rsidRPr="00755915">
              <w:t>2.8</w:t>
            </w:r>
          </w:p>
        </w:tc>
        <w:tc>
          <w:tcPr>
            <w:tcW w:w="0" w:type="auto"/>
            <w:tcBorders>
              <w:top w:val="single" w:sz="4" w:space="0" w:color="auto"/>
              <w:bottom w:val="single" w:sz="4" w:space="0" w:color="auto"/>
            </w:tcBorders>
            <w:vAlign w:val="center"/>
          </w:tcPr>
          <w:p w14:paraId="6D89A7C1" w14:textId="77777777" w:rsidR="004222D4" w:rsidRPr="00755915" w:rsidRDefault="004222D4" w:rsidP="00931D6C">
            <w:pPr>
              <w:pStyle w:val="Tabletext"/>
            </w:pPr>
            <w:r w:rsidRPr="00755915">
              <w:t>Bosch Group, Tesco, PSA, Carrefour, Enel, Deutsche Telekom, Other 5</w:t>
            </w:r>
          </w:p>
        </w:tc>
      </w:tr>
      <w:tr w:rsidR="004222D4" w:rsidRPr="00755915" w14:paraId="40475ED2" w14:textId="77777777" w:rsidTr="00931D6C">
        <w:trPr>
          <w:jc w:val="center"/>
        </w:trPr>
        <w:tc>
          <w:tcPr>
            <w:tcW w:w="0" w:type="auto"/>
            <w:tcBorders>
              <w:top w:val="single" w:sz="4" w:space="0" w:color="auto"/>
            </w:tcBorders>
            <w:vAlign w:val="center"/>
          </w:tcPr>
          <w:p w14:paraId="6C591491" w14:textId="77777777" w:rsidR="004222D4" w:rsidRPr="00755915" w:rsidRDefault="004222D4" w:rsidP="00931D6C">
            <w:pPr>
              <w:pStyle w:val="Tabletext"/>
            </w:pPr>
            <w:r w:rsidRPr="00755915">
              <w:t xml:space="preserve">Low integration </w:t>
            </w:r>
            <w:r w:rsidRPr="00755915">
              <w:br/>
              <w:t>(SCI score&lt;2)</w:t>
            </w:r>
          </w:p>
        </w:tc>
        <w:tc>
          <w:tcPr>
            <w:tcW w:w="0" w:type="auto"/>
            <w:tcBorders>
              <w:top w:val="single" w:sz="4" w:space="0" w:color="auto"/>
            </w:tcBorders>
            <w:vAlign w:val="center"/>
          </w:tcPr>
          <w:p w14:paraId="3076F810" w14:textId="77777777" w:rsidR="004222D4" w:rsidRPr="00755915" w:rsidRDefault="004222D4" w:rsidP="00931D6C">
            <w:pPr>
              <w:pStyle w:val="Tabletext"/>
              <w:rPr>
                <w:b/>
              </w:rPr>
            </w:pPr>
            <w:r w:rsidRPr="00755915">
              <w:t>10</w:t>
            </w:r>
          </w:p>
        </w:tc>
        <w:tc>
          <w:tcPr>
            <w:tcW w:w="0" w:type="auto"/>
            <w:tcBorders>
              <w:top w:val="single" w:sz="4" w:space="0" w:color="auto"/>
            </w:tcBorders>
            <w:vAlign w:val="center"/>
          </w:tcPr>
          <w:p w14:paraId="5F173B2D" w14:textId="77777777" w:rsidR="004222D4" w:rsidRPr="00755915" w:rsidRDefault="004222D4" w:rsidP="00931D6C">
            <w:pPr>
              <w:pStyle w:val="Tabletext"/>
            </w:pPr>
            <w:r w:rsidRPr="00755915">
              <w:t>2.6</w:t>
            </w:r>
          </w:p>
        </w:tc>
        <w:tc>
          <w:tcPr>
            <w:tcW w:w="0" w:type="auto"/>
            <w:tcBorders>
              <w:top w:val="single" w:sz="4" w:space="0" w:color="auto"/>
            </w:tcBorders>
            <w:vAlign w:val="center"/>
          </w:tcPr>
          <w:p w14:paraId="1946247C" w14:textId="77777777" w:rsidR="004222D4" w:rsidRPr="00755915" w:rsidRDefault="004222D4" w:rsidP="00931D6C">
            <w:pPr>
              <w:pStyle w:val="Tabletext"/>
            </w:pPr>
            <w:r w:rsidRPr="00755915">
              <w:t>2.0</w:t>
            </w:r>
          </w:p>
        </w:tc>
        <w:tc>
          <w:tcPr>
            <w:tcW w:w="0" w:type="auto"/>
            <w:tcBorders>
              <w:top w:val="single" w:sz="4" w:space="0" w:color="auto"/>
            </w:tcBorders>
            <w:vAlign w:val="center"/>
          </w:tcPr>
          <w:p w14:paraId="32F27B8B" w14:textId="77777777" w:rsidR="004222D4" w:rsidRPr="00755915" w:rsidRDefault="004222D4" w:rsidP="00931D6C">
            <w:pPr>
              <w:pStyle w:val="Tabletext"/>
            </w:pPr>
            <w:r w:rsidRPr="00755915">
              <w:t>Auchan Holding, BNP Paribas,</w:t>
            </w:r>
          </w:p>
          <w:p w14:paraId="1B7A5CD0" w14:textId="77777777" w:rsidR="004222D4" w:rsidRPr="00755915" w:rsidRDefault="004222D4" w:rsidP="00931D6C">
            <w:pPr>
              <w:pStyle w:val="Tabletext"/>
            </w:pPr>
            <w:r w:rsidRPr="00755915">
              <w:t>Prudential, BMW Group, Vodafone, Other 30</w:t>
            </w:r>
          </w:p>
        </w:tc>
      </w:tr>
    </w:tbl>
    <w:p w14:paraId="7A6439AB" w14:textId="77777777" w:rsidR="004222D4" w:rsidRPr="003A56CD" w:rsidRDefault="004222D4" w:rsidP="002F7336"/>
    <w:p w14:paraId="7E2C1B25" w14:textId="77777777" w:rsidR="006379C0" w:rsidRPr="003A56CD" w:rsidRDefault="006379C0" w:rsidP="002F7336">
      <w:r w:rsidRPr="003A56CD">
        <w:t>By drawing on institutional theory and on the concept of supply chain integration, and on results from Section 4, the main antecedents (enabling factors) of CE practices adoptions in global supply chains are identified and two general propositions are suggested to inspire future research.</w:t>
      </w:r>
    </w:p>
    <w:p w14:paraId="74BE5896" w14:textId="77777777" w:rsidR="006379C0" w:rsidRPr="003A56CD" w:rsidRDefault="006379C0" w:rsidP="005035B4">
      <w:pPr>
        <w:pStyle w:val="Heading3"/>
      </w:pPr>
      <w:bookmarkStart w:id="32" w:name="_Toc157759495"/>
      <w:r w:rsidRPr="003A56CD">
        <w:t>CE state of the practice – paradigm shift or Greenwashing?</w:t>
      </w:r>
      <w:bookmarkEnd w:id="32"/>
    </w:p>
    <w:p w14:paraId="4559601D" w14:textId="77777777" w:rsidR="006379C0" w:rsidRPr="003A56CD" w:rsidRDefault="006379C0" w:rsidP="002F7336">
      <w:r w:rsidRPr="003A56CD">
        <w:t xml:space="preserve">While it is acquiring a growing relevance in corporate sustainability strategies, Circular Economy remains for the moment a peripheral topic. Despite strong societal pressures companies seem to face a linear lock-in re-thinking deeply how value is created. Half of the sample analysed do not even mention the term “circular economy”, even though CS reports had clear evidence of implemented CE practices. </w:t>
      </w:r>
    </w:p>
    <w:p w14:paraId="10C9087D" w14:textId="2967FEED" w:rsidR="006379C0" w:rsidRPr="003A56CD" w:rsidRDefault="006379C0" w:rsidP="002F7336">
      <w:r w:rsidRPr="003A56CD">
        <w:t xml:space="preserve">In general, CE does not seem to have a prominent role in the process of value creation of organisations. While the necessity of closing material loops is often recognised, the adoption of CE practices seems linked to a few sporadic initiatives. Their level of implementation is either still at a conceptual stage with no evidence of an implementation, or at an early one. In most cases, the expected results and impacts of CE practices are not disclosed, and when reported, they are negligible and far from affecting the overall business performance. MNEs </w:t>
      </w:r>
      <w:r w:rsidRPr="003A56CD">
        <w:lastRenderedPageBreak/>
        <w:t>show a clear preference for recycling practices, where current linear business models are not challenged, rather integrated with value recovery activities. Results confirm that prevalent approaches so far have had a reductionist interpretation of the CE concept where reduce and reuse actions (which are linked to deeper revisions of business models) are still avoided, as they could compromise economic growth through ever-growing outputs or from the launch of new products (</w:t>
      </w:r>
      <w:r w:rsidR="00B651D9" w:rsidRPr="003A56CD">
        <w:t>e.g.,</w:t>
      </w:r>
      <w:r w:rsidRPr="003A56CD">
        <w:t xml:space="preserve"> manufacturing easy to repair products might cannibalise future sales). </w:t>
      </w:r>
    </w:p>
    <w:p w14:paraId="0B574F9F" w14:textId="77777777" w:rsidR="006379C0" w:rsidRPr="003A56CD" w:rsidRDefault="006379C0" w:rsidP="002F7336">
      <w:r w:rsidRPr="003A56CD">
        <w:t xml:space="preserve">Furthermore, there is a lack of declared long-term objectives regarding strategic and structural investments in this direction. This is also reflected by the fact that companies seldom employ true circularity indicators for keeping track of their performance; indeed, in most of the cases, companies adopt some environmental measures which are designed as </w:t>
      </w:r>
      <w:r w:rsidRPr="003A56CD">
        <w:rPr>
          <w:i/>
        </w:rPr>
        <w:t>efficiency</w:t>
      </w:r>
      <w:r w:rsidRPr="003A56CD">
        <w:t xml:space="preserve"> metrics, and thus highly sensitive to productivity improvements </w:t>
      </w:r>
      <w:r w:rsidRPr="003A56CD">
        <w:fldChar w:fldCharType="begin" w:fldLock="1"/>
      </w:r>
      <w:r w:rsidRPr="003A56CD">
        <w:instrText>ADDIN CSL_CITATION {"citationItems":[{"id":"ITEM-1","itemData":{"DOI":"10.1016/j.resconrec.2021.105399","ISSN":"18790658","author":[{"dropping-particle":"","family":"Bimpizas-Pinis","given":"Meletios","non-dropping-particle":"","parse-names":false,"suffix":""},{"dropping-particle":"","family":"Bozhinovska","given":"Emilija","non-dropping-particle":"","parse-names":false,"suffix":""},{"dropping-particle":"","family":"Genovese","given":"Andrea","non-dropping-particle":"","parse-names":false,"suffix":""},{"dropping-particle":"","family":"Lowe","given":"Benjamin","non-dropping-particle":"","parse-names":false,"suffix":""},{"dropping-particle":"","family":"Pansera","given":"Mario","non-dropping-particle":"","parse-names":false,"suffix":""},{"dropping-particle":"","family":"Alberich","given":"Josep Pinyol","non-dropping-particle":"","parse-names":false,"suffix":""},{"dropping-particle":"","family":"Ramezankhani","given":"Mohammad Javad","non-dropping-particle":"","parse-names":false,"suffix":""}],"container-title":"Resources, Conservation and Recycling","id":"ITEM-1","issue":"January","issued":{"date-parts":[["2021"]]},"page":"4-5","title":"Is efficiency enough for circular economy?","type":"article-journal","volume":"167"},"uris":["http://www.mendeley.com/documents/?uuid=2198296a-772a-47b5-bad3-6f0e847ed995"]}],"mendeley":{"formattedCitation":"(Bimpizas-Pinis et al., 2021)","plainTextFormattedCitation":"(Bimpizas-Pinis et al., 2021)","previouslyFormattedCitation":"(Bimpizas-Pinis et al., 2021)"},"properties":{"noteIndex":0},"schema":"https://github.com/citation-style-language/schema/raw/master/csl-citation.json"}</w:instrText>
      </w:r>
      <w:r w:rsidRPr="003A56CD">
        <w:fldChar w:fldCharType="separate"/>
      </w:r>
      <w:r w:rsidRPr="003A56CD">
        <w:t>(Bimpizas-Pinis et al., 2021)</w:t>
      </w:r>
      <w:r w:rsidRPr="003A56CD">
        <w:fldChar w:fldCharType="end"/>
      </w:r>
      <w:r w:rsidRPr="003A56CD">
        <w:t>. It must be highlighted that the usage of such indicators for measuring the success of CE practices is problematic. Figures could be manipulated to obtain better results, for example just by increasing production volumes (for instance, through productivity improvements), rather than by implementing practices that can promote more efficient usage of resources.</w:t>
      </w:r>
    </w:p>
    <w:p w14:paraId="2F9640AF" w14:textId="231E08C4" w:rsidR="006379C0" w:rsidRPr="003A56CD" w:rsidRDefault="006379C0" w:rsidP="00B76714">
      <w:r w:rsidRPr="003A56CD">
        <w:t>This reductionist approach would increase the risk of a CE Rebound effect</w:t>
      </w:r>
      <w:r w:rsidR="00EF6017">
        <w:rPr>
          <w:rStyle w:val="FootnoteReference"/>
        </w:rPr>
        <w:footnoteReference w:id="10"/>
      </w:r>
      <w:r w:rsidRPr="003A56CD">
        <w:t xml:space="preserve"> </w:t>
      </w:r>
      <w:r w:rsidRPr="003A56CD">
        <w:fldChar w:fldCharType="begin" w:fldLock="1"/>
      </w:r>
      <w:r w:rsidRPr="003A56CD">
        <w:instrText>ADDIN CSL_CITATION {"citationItems":[{"id":"ITEM-1","itemData":{"DOI":"10.1111/jiec.12545","ISSN":"15309290","abstract":"The so-called circular economy—the concept of closing material loops to preserve products, parts, and materials in the industrial system and extract their maximum utility—has recently started gaining momentum. The idea of substituting lower-impact secondary production for environmentally intensive primary production gives the circular economy a strong intuitive environmental appeal. However, proponents of the circular economy have tended to look at the world purely as an engineering system and have overlooked the economic part of the circular economy. Recent research has started to question the core of the circular economy—namely, whether closing material and product loops does, in fact, prevent primary production. In this article, we argue that circular economy activities can increase overall production, which can partially or fully offset their benefits. Because there is a strong parallel in this respect to energy efficiency rebound, we have termed this effect “circular economy rebound.” Circular economy rebound occurs when circular economy activities, which have lower per-unit-production impacts, also cause increased levels of production, reducing their benefit. We describe the mechanisms that cause circular economy rebound, which include the limited ability of secondary products to substitute for primary products, and price effects. We then offer some potential strategies for avoiding circular economy rebound. However, these strategies are unlikely to be attractive to for-profit firms, so we caution that simply encouraging private firms to find profitable opportunities in the circular economy is likely to cause rebound and lower or eliminate the potential environmental benefits.","author":[{"dropping-particle":"","family":"Zink","given":"Trevor","non-dropping-particle":"","parse-names":false,"suffix":""},{"dropping-particle":"","family":"Geyer","given":"Roland","non-dropping-particle":"","parse-names":false,"suffix":""}],"container-title":"Journal of Industrial Ecology","id":"ITEM-1","issue":"3","issued":{"date-parts":[["2017"]]},"page":"593-602","title":"Circular Economy Rebound","type":"article-journal","volume":"21"},"uris":["http://www.mendeley.com/documents/?uuid=e322df32-603a-4876-bc06-f19f87f0db63"]}],"mendeley":{"formattedCitation":"(Zink &amp; Geyer, 2017)","plainTextFormattedCitation":"(Zink &amp; Geyer, 2017)","previouslyFormattedCitation":"(Zink &amp; Geyer, 2017)"},"properties":{"noteIndex":0},"schema":"https://github.com/citation-style-language/schema/raw/master/csl-citation.json"}</w:instrText>
      </w:r>
      <w:r w:rsidRPr="003A56CD">
        <w:fldChar w:fldCharType="separate"/>
      </w:r>
      <w:r w:rsidRPr="003A56CD">
        <w:t>(Zink &amp; Geyer, 2017)</w:t>
      </w:r>
      <w:r w:rsidRPr="003A56CD">
        <w:fldChar w:fldCharType="end"/>
      </w:r>
      <w:r w:rsidRPr="003A56CD">
        <w:t xml:space="preserve">, where </w:t>
      </w:r>
      <w:r w:rsidR="00B76714">
        <w:t xml:space="preserve">an increase of </w:t>
      </w:r>
      <w:r w:rsidR="00B76714" w:rsidRPr="00B76714">
        <w:t xml:space="preserve">secondary production does not replace primary production </w:t>
      </w:r>
      <w:r w:rsidR="00B76714">
        <w:t>at an equivalent level</w:t>
      </w:r>
      <w:r w:rsidR="00B76714" w:rsidRPr="00B76714">
        <w:t xml:space="preserve">, and </w:t>
      </w:r>
      <w:r w:rsidR="00B76714">
        <w:t xml:space="preserve">as a result </w:t>
      </w:r>
      <w:r w:rsidR="00B76714" w:rsidRPr="00B76714">
        <w:t>environmental impacts are increased, not reduced</w:t>
      </w:r>
      <w:r w:rsidRPr="003A56CD">
        <w:t xml:space="preserve">. In general, there are many doubts that individual actions </w:t>
      </w:r>
      <w:r w:rsidR="00B651D9" w:rsidRPr="003A56CD">
        <w:t>could be</w:t>
      </w:r>
      <w:r w:rsidRPr="003A56CD">
        <w:t xml:space="preserve"> able to reduce the overall impact of entire sectors and contribute to the sustainability objectives that institutions have set, in an economic context that still incentivises growing levels of consumption and pollution, rather than contrasting them. </w:t>
      </w:r>
    </w:p>
    <w:p w14:paraId="323C3CB6" w14:textId="77777777" w:rsidR="006379C0" w:rsidRPr="003A56CD" w:rsidRDefault="006379C0" w:rsidP="002F7336">
      <w:r w:rsidRPr="003A56CD">
        <w:t xml:space="preserve">At the same time, the analysis pointed out factors that might increase MNEs’ propensity to adopt CE practices, as well as their level of implementation, their overall impact, and the extent that supply networks are involved. This constitutes an opportunity to better look at uncovering these possible relationships through quantitative statistical studies and contribute to generalisable results. </w:t>
      </w:r>
    </w:p>
    <w:p w14:paraId="1985F83B" w14:textId="77777777" w:rsidR="006379C0" w:rsidRPr="003A56CD" w:rsidRDefault="006379C0" w:rsidP="005035B4">
      <w:pPr>
        <w:pStyle w:val="Heading3"/>
      </w:pPr>
      <w:bookmarkStart w:id="33" w:name="_Toc157759496"/>
      <w:r w:rsidRPr="003A56CD">
        <w:lastRenderedPageBreak/>
        <w:t>Institutional pressures, SCI and CE practices adoption: a suggested conceptual framework</w:t>
      </w:r>
      <w:bookmarkEnd w:id="33"/>
    </w:p>
    <w:p w14:paraId="4390BF3B" w14:textId="310C23DF" w:rsidR="006379C0" w:rsidRPr="003A56CD" w:rsidRDefault="006379C0" w:rsidP="002F7336">
      <w:r w:rsidRPr="003A56CD">
        <w:t>On the basis of the evidence provided, which found support in the analysed literature, two propositions on the factors (</w:t>
      </w:r>
      <w:r w:rsidR="00B651D9" w:rsidRPr="003A56CD">
        <w:t>e.g.,</w:t>
      </w:r>
      <w:r w:rsidRPr="003A56CD">
        <w:t xml:space="preserve"> drivers and mechanisms) that drive or hinder industrial organisations to adopt CE practices can be generated. We propose a conceptual framework (Figure 4), which will be tested in future studies. The three main building blocks of the framework have been identified: CE practices adoption, SCI, and Institutional Pressures.</w:t>
      </w:r>
    </w:p>
    <w:p w14:paraId="2305256F" w14:textId="77777777" w:rsidR="006379C0" w:rsidRPr="003A56CD" w:rsidRDefault="006379C0" w:rsidP="002F7336">
      <w:r w:rsidRPr="003A56CD">
        <w:t xml:space="preserve">The first proposition finds foundation in the literature </w:t>
      </w:r>
      <w:r w:rsidRPr="003A56CD">
        <w:fldChar w:fldCharType="begin" w:fldLock="1"/>
      </w:r>
      <w:r w:rsidRPr="003A56CD">
        <w:instrText>ADDIN CSL_CITATION {"citationItems":[{"id":"ITEM-1","itemData":{"DOI":"10.1016/j.ijpe.2010.11.010","ISSN":"09255273","abstract":"Green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author":[{"dropping-particle":"","family":"Sarkis","given":"Joseph","non-dropping-particle":"","parse-names":false,"suffix":""},{"dropping-particle":"","family":"Zhu","given":"Qinghua","non-dropping-particle":"","parse-names":false,"suffix":""},{"dropping-particle":"","family":"Lai","given":"Kee Hung","non-dropping-particle":"","parse-names":false,"suffix":""}],"container-title":"International Journal of Production Economics","id":"ITEM-1","issue":"1","issued":{"date-parts":[["2011"]]},"page":"1-15","publisher":"Elsevier","title":"An organizational theoretic review of green supply chain management literature","type":"article-journal","volume":"130"},"uris":["http://www.mendeley.com/documents/?uuid=8957105b-d7b9-4460-89c4-91bc5d837cde"]},{"id":"ITEM-2","itemData":{"DOI":"10.3390/su9091602","ISSN":"20711050","abstract":"As the circular economy (CE) gains traction in literature and practice, several academic communities are opening up spaces that move away from the CE as a pure engineering concept. This systematic literature review (n = 77) analyses and discusses the fragmented body of knowledge on the meso-level of supply chains (SCs): (a) to find common ground that underpins the current implementation of the CE on this level; and (b) to identify drivers, inhibitors, and enablers from which CE SC configurations emerge. The review finds that there remain differences in CE definitions that result from claimed antecedents and scopes, resulting in distinct research streams. On the meso-level, eco-industrial parks, environmental SCs, and closed-loop SCs each face significant challenges. The latter potentially offers the largest environmental benefits but engenders radical changes for business models and exposes SCs to more risk. We firstly argue for moving away from using a prescriptive set of practices as definitions for the CE towards a set of overarching goals to allow for the inclusion of future practices and techniques. Secondly, we highlight that research going beyond the meso-level to consider the wider social and institutional environment is needed to solve current challenges.","author":[{"dropping-particle":"","family":"Masi","given":"Donato","non-dropping-particle":"","parse-names":false,"suffix":""},{"dropping-particle":"","family":"Day","given":"Steven","non-dropping-particle":"","parse-names":false,"suffix":""},{"dropping-particle":"","family":"Godsell","given":"Janet","non-dropping-particle":"","parse-names":false,"suffix":""}],"container-title":"Sustainability (Switzerland)","id":"ITEM-2","issue":"9","issued":{"date-parts":[["2017"]]},"title":"Supply chain configurations in the circular economy: A systematic literature review","type":"article-journal","volume":"9"},"uris":["http://www.mendeley.com/documents/?uuid=ab7c22f4-4bd3-4163-8e68-d35ddac9bd78"]},{"id":"ITEM-3","itemData":{"DOI":"10.1016/j.ecolecon.2018.04.028","ISSN":"09218009","abstract":"The circular economy concept is much discussed in the European Union (EU), but only limited progress has been accomplished so far regarding its implementation. Most scholarly studies blame this on various technological barriers. Our work rebuts these studies. We present the first large-N-study on circular economy barriers in the EU (208 survey respondents, 47 expert interviews). We find that cultural barriers, particularly a lack of consumer interest and awareness as well as a hesitant company culture, are considered the main circular economy barriers by businesses and policy-makers. These are driven by market barriers which, in turn, are induced by a lack of synergistic governmental interventions to accelerate the transition towards a circular economy. Meanwhile, not a single technological barrier is ranked among the most pressing circular economy barriers, according to our research. Overall, our work suggests that circular economy is a niche discussion among sustainable development professionals at this stage. Significant efforts need to be undertaken for the concept to maintain its momentum.","author":[{"dropping-particle":"","family":"Kirchherr","given":"Julian","non-dropping-particle":"","parse-names":false,"suffix":""},{"dropping-particle":"","family":"Piscicelli","given":"Laura","non-dropping-particle":"","parse-names":false,"suffix":""},{"dropping-particle":"","family":"Bour","given":"Ruben","non-dropping-particle":"","parse-names":false,"suffix":""},{"dropping-particle":"","family":"Kostense-Smit","given":"Erica","non-dropping-particle":"","parse-names":false,"suffix":""},{"dropping-particle":"","family":"Muller","given":"Jennifer","non-dropping-particle":"","parse-names":false,"suffix":""},{"dropping-particle":"","family":"Huibrechtse-Truijens","given":"Anne","non-dropping-particle":"","parse-names":false,"suffix":""},{"dropping-particle":"","family":"Hekkert","given":"Marko","non-dropping-particle":"","parse-names":false,"suffix":""}],"container-title":"Ecological Economics","id":"ITEM-3","issue":"December 2017","issued":{"date-parts":[["2018"]]},"page":"264-272","publisher":"Elsevier","title":"Barriers to the Circular Economy: Evidence From the European Union (EU)","type":"article-journal","volume":"150"},"uris":["http://www.mendeley.com/documents/?uuid=a9277404-ee50-4c75-b7b3-f338cd89b5bb"]},{"id":"ITEM-4","itemData":{"DOI":"10.1016/j.resconrec.2017.08.017","ISSN":"18790658","abstract":"The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Recycling","id":"ITEM-4","issue":"August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id":"ITEM-5","itemData":{"DOI":"10.1080/09537287.2018.1449244","ISSN":"0953-7287","author":[{"dropping-particle":"","family":"Angelis","given":"Roberta","non-dropping-particle":"De","parse-names":false,"suffix":""},{"dropping-particle":"","family":"Howard","given":"Mickey","non-dropping-particle":"","parse-names":false,"suffix":""},{"dropping-particle":"","family":"Miemczyk","given":"Joe","non-dropping-particle":"","parse-names":false,"suffix":""}],"container-title":"Production Planning &amp; Control","id":"ITEM-5","issued":{"date-parts":[["2018"]]},"page":"1-13","publisher":"Taylor &amp; Francis","title":"Supply chain management and the circular economy : towards the circular supply chain","type":"article-journal","volume":"7287"},"uris":["http://www.mendeley.com/documents/?uuid=fe1f0ac4-aff7-4bf0-83e5-8da1170559f8"]},{"id":"ITEM-6","itemData":{"DOI":"10.1111/j.1530-9290.2011.00332.x","ISSN":"10881980","abstract":"Eco-industrial initiatives, which close industrial loops by turning wastes at one point in a value chain into inputs at another point, are attracting growing interest as a solution to the problem of sustainability of industrial systems. Although Germany and Japan have made important advances in building recycling incentives into their industrial systems and sought competitive advantage from doing so, China is arguably taking the issue even further (in principle) through its pursuit of a circular economy, now enshrined in law as an official national development goal. In this article, we review a number of the eco-industrial initiatives taken in China and compare them using a common graphical representation with comparable initiatives taken in the West and elsewhere in East Asia. Our aim is to demonstrate some common themes across the case studies, such as the transformation from the former linear economy to a circular economy and the evolutionary processes in which dynamic linkages are gradually established over time. We discuss the drivers of these eco-industrial initiatives as well as the inhibitors, setting the initiatives in an evolutionary framework and introducing a notion of Pareto eco-efficiency to evaluate them. We make the argument that China might be capturing latecomer advantages through its systematic promotion of eco-industrial initiatives within a circular economy framework. © 2011 by Yale University.","author":[{"dropping-particle":"","family":"Mathews","given":"John A.","non-dropping-particle":"","parse-names":false,"suffix":""},{"dropping-particle":"","family":"Tan","given":"Hao","non-dropping-particle":"","parse-names":false,"suffix":""}],"container-title":"Journal of Industrial Ecology","id":"ITEM-6","issue":"3","issued":{"date-parts":[["2011"]]},"page":"435-457","title":"Progress toward a circular economy in China: The drivers (and inhibitors) of eco-industrial initiative","type":"article-journal","volume":"15"},"uris":["http://www.mendeley.com/documents/?uuid=617f8dbf-d52d-45c2-be20-c9ba6cf489c1"]},{"id":"ITEM-7","itemData":{"DOI":"10.1016/j.pursup.2012.12.001","ISSN":"14784092","abstract":"Green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Management","id":"ITEM-7","issue":"2","issued":{"date-parts":[["2013"]]},"page":"106-117","publisher":"Elsevier","title":"Institutional-based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practices","type":"article-journal","volume":"19"},"uris":["http://www.mendeley.com/documents/?uuid=1da0a602-27b6-41eb-b893-9cf81eeae654"]}],"mendeley":{"formattedCitation":"(Mathews &amp; Tan, 2011; Sarkis et al., 2011; Zhu et al., 2013; Masi et al., 2017; De Angelis et al., 2018; Kirchherr et al., 2018; Ranta et al., 2018)","plainTextFormattedCitation":"(Mathews &amp; Tan, 2011; Sarkis et al., 2011; Zhu et al., 2013; Masi et al., 2017; De Angelis et al., 2018; Kirchherr et al., 2018; Ranta et al., 2018)","previouslyFormattedCitation":"(Mathews &amp; Tan, 2011; Sarkis et al., 2011; Zhu et al., 2013; Masi et al., 2017; De Angelis et al., 2018; Kirchherr et al., 2018; Ranta et al., 2018)"},"properties":{"noteIndex":0},"schema":"https://github.com/citation-style-language/schema/raw/master/csl-citation.json"}</w:instrText>
      </w:r>
      <w:r w:rsidRPr="003A56CD">
        <w:fldChar w:fldCharType="separate"/>
      </w:r>
      <w:r w:rsidRPr="003A56CD">
        <w:t>(Mathews &amp; Tan, 2011; Sarkis et al., 2011; Zhu et al., 2013; Masi et al., 2017; De Angelis et al., 2018; Kirchherr et al., 2018; Ranta et al., 2018)</w:t>
      </w:r>
      <w:r w:rsidRPr="003A56CD">
        <w:fldChar w:fldCharType="end"/>
      </w:r>
      <w:r w:rsidRPr="003A56CD">
        <w:t xml:space="preserve"> according to which the institutional environment is a driver (or inhibitor) of CE practices adoption. </w:t>
      </w:r>
    </w:p>
    <w:p w14:paraId="37FFDECC" w14:textId="77777777" w:rsidR="006379C0" w:rsidRPr="003A56CD" w:rsidRDefault="006379C0" w:rsidP="002F7336">
      <w:r w:rsidRPr="003A56CD">
        <w:rPr>
          <w:bCs/>
        </w:rPr>
        <w:t xml:space="preserve">General Proposition 1: </w:t>
      </w:r>
      <w:r w:rsidRPr="003A56CD">
        <w:t>Institutional pressures drive the adoption of CE practices in supply chains</w:t>
      </w:r>
    </w:p>
    <w:p w14:paraId="6C42AD58" w14:textId="77777777" w:rsidR="006379C0" w:rsidRPr="003A56CD" w:rsidRDefault="006379C0" w:rsidP="002F7336">
      <w:pPr>
        <w:rPr>
          <w:lang w:val="fr-FR"/>
        </w:rPr>
      </w:pPr>
      <w:r w:rsidRPr="003A56CD">
        <w:t xml:space="preserve">The second proposition entails that higher levels of supply chain integration might support the transition towards the CE in the supply chain, in the presence of institutional pressures. This second general proposition finds support in the studies of Wong et al. </w:t>
      </w:r>
      <w:r w:rsidRPr="003A56CD">
        <w:rPr>
          <w:lang w:val="fr-FR"/>
        </w:rPr>
        <w:t xml:space="preserve">(2020), Bressanelli et al. (2019), Herczeg et al. (2018), </w:t>
      </w:r>
      <w:proofErr w:type="spellStart"/>
      <w:r w:rsidRPr="003A56CD">
        <w:rPr>
          <w:lang w:val="fr-FR"/>
        </w:rPr>
        <w:t>Sancha</w:t>
      </w:r>
      <w:proofErr w:type="spellEnd"/>
      <w:r w:rsidRPr="003A56CD">
        <w:rPr>
          <w:lang w:val="fr-FR"/>
        </w:rPr>
        <w:t xml:space="preserve"> et al. (2015), and Wu (2013).</w:t>
      </w:r>
    </w:p>
    <w:p w14:paraId="21B8C687" w14:textId="77777777" w:rsidR="006379C0" w:rsidRPr="003A56CD" w:rsidRDefault="006379C0" w:rsidP="002F7336">
      <w:pPr>
        <w:rPr>
          <w:bCs/>
        </w:rPr>
      </w:pPr>
      <w:r w:rsidRPr="003A56CD">
        <w:rPr>
          <w:bCs/>
        </w:rPr>
        <w:t xml:space="preserve">General Proposition 2: </w:t>
      </w:r>
      <w:r w:rsidRPr="003A56CD">
        <w:t>SCI has a moderating effect on Institutional pressures driving force on the adoption of CE practices in supply chains</w:t>
      </w:r>
    </w:p>
    <w:p w14:paraId="7D0D8E0A" w14:textId="77777777" w:rsidR="006379C0" w:rsidRPr="003A56CD" w:rsidRDefault="006379C0" w:rsidP="002F7336">
      <w:r w:rsidRPr="003A56CD">
        <w:t xml:space="preserve">Further steps could include the validation of the framework. The need to verify such a potential causal relationship constitutes an interesting research gap that should be further investigated and proved by more articulated inferential studies, similarly to what was done, by using secondary data, by Ancarani et al. (2019a and 2019b). </w:t>
      </w:r>
    </w:p>
    <w:p w14:paraId="75B8D407" w14:textId="5AFCD672" w:rsidR="006379C0" w:rsidRDefault="006379C0" w:rsidP="00E12455">
      <w:pPr>
        <w:jc w:val="center"/>
      </w:pPr>
      <w:r w:rsidRPr="003A56CD">
        <w:rPr>
          <w:noProof/>
          <w:lang w:eastAsia="zh-CN"/>
        </w:rPr>
        <w:lastRenderedPageBreak/>
        <w:drawing>
          <wp:inline distT="0" distB="0" distL="0" distR="0" wp14:anchorId="3CF56CDA" wp14:editId="2E5DC4C8">
            <wp:extent cx="4660900" cy="2430564"/>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0103" cy="2461437"/>
                    </a:xfrm>
                    <a:prstGeom prst="rect">
                      <a:avLst/>
                    </a:prstGeom>
                    <a:noFill/>
                  </pic:spPr>
                </pic:pic>
              </a:graphicData>
            </a:graphic>
          </wp:inline>
        </w:drawing>
      </w:r>
    </w:p>
    <w:p w14:paraId="2C84D62E" w14:textId="77777777" w:rsidR="00DB00A3" w:rsidRPr="003A56CD" w:rsidRDefault="00DB00A3" w:rsidP="002F7336">
      <w:pPr>
        <w:pStyle w:val="Figurecaption"/>
      </w:pPr>
      <w:r w:rsidRPr="003A56CD">
        <w:t>Figure 4 – The conceptual model on the antecedents of CE practices adoption</w:t>
      </w:r>
    </w:p>
    <w:p w14:paraId="4EAAF851" w14:textId="77777777" w:rsidR="006379C0" w:rsidRPr="003A56CD" w:rsidRDefault="006379C0" w:rsidP="005035B4">
      <w:pPr>
        <w:pStyle w:val="Heading3"/>
      </w:pPr>
      <w:bookmarkStart w:id="34" w:name="_Toc157759497"/>
      <w:r w:rsidRPr="003A56CD">
        <w:t>Limitations</w:t>
      </w:r>
      <w:bookmarkEnd w:id="34"/>
    </w:p>
    <w:p w14:paraId="10052B4C" w14:textId="77777777" w:rsidR="006379C0" w:rsidRPr="003A56CD" w:rsidRDefault="006379C0" w:rsidP="002F7336">
      <w:r w:rsidRPr="003A56CD">
        <w:t>These results should be interpreted by taking into account the possible limitations of the method. The reliability of secondary data and public information that were found in reports might constitute a challenge. We assumed that it is in the interest of the organisations to report all the virtuous practices that contribute to their overall sustainability performance. However, there is the risk that organisations might over report – to gain more legitimacy from its stakeholders – or under-report – not to disclose information that could be linked to competitive advantage positions (The Guardian, 2019)</w:t>
      </w:r>
      <w:r w:rsidRPr="003A56CD">
        <w:rPr>
          <w:vertAlign w:val="superscript"/>
        </w:rPr>
        <w:footnoteReference w:id="11"/>
      </w:r>
      <w:r w:rsidRPr="003A56CD">
        <w:t>. Future studies could explore ways to triangulate data from more than one source so as to improve the reliability of the analysis.</w:t>
      </w:r>
    </w:p>
    <w:p w14:paraId="315ABD5B" w14:textId="77777777" w:rsidR="006379C0" w:rsidRPr="003A56CD" w:rsidRDefault="006379C0" w:rsidP="002F7336">
      <w:r w:rsidRPr="003A56CD">
        <w:rPr>
          <w:bCs/>
        </w:rPr>
        <w:t xml:space="preserve">The study also </w:t>
      </w:r>
      <w:r w:rsidRPr="003A56CD">
        <w:t xml:space="preserve">discusses the antecedents of CE adoption in supply chains from a theoretical perspective. Many companies in the sample also mention supply chain integration practices and how they are related to sustainability results. This seems to strengthen the hypothesised relationship among two of the constructs (SCI and CE practices adoption). </w:t>
      </w:r>
    </w:p>
    <w:p w14:paraId="011F0F20" w14:textId="77777777" w:rsidR="006379C0" w:rsidRPr="003A56CD" w:rsidRDefault="006379C0" w:rsidP="005035B4">
      <w:pPr>
        <w:pStyle w:val="Heading2"/>
      </w:pPr>
      <w:bookmarkStart w:id="35" w:name="_Toc157759498"/>
      <w:r w:rsidRPr="009B5B29">
        <w:t>Conclusions</w:t>
      </w:r>
      <w:bookmarkEnd w:id="35"/>
      <w:r w:rsidRPr="003A56CD">
        <w:t xml:space="preserve"> </w:t>
      </w:r>
    </w:p>
    <w:p w14:paraId="1F93E18B" w14:textId="77777777" w:rsidR="006379C0" w:rsidRPr="003A56CD" w:rsidRDefault="006379C0" w:rsidP="002F7336">
      <w:r w:rsidRPr="003A56CD">
        <w:t xml:space="preserve">This paper aims to investigate which CE practices MNEs have adopted, the extent of the adoption, and the level of involvement of the supply chain, along with the CE drivers behind the adoption. Following empirical observations and referring to the recent literature on the </w:t>
      </w:r>
      <w:r w:rsidRPr="003A56CD">
        <w:lastRenderedPageBreak/>
        <w:t>topic, institutional isomorphism and the concept of supply chain integration were employed to investigate the adoption of CE practices in the top 50 European MNEs.</w:t>
      </w:r>
    </w:p>
    <w:p w14:paraId="07405DB4" w14:textId="77777777" w:rsidR="006379C0" w:rsidRPr="003A56CD" w:rsidRDefault="006379C0" w:rsidP="002F7336">
      <w:r w:rsidRPr="003A56CD">
        <w:t xml:space="preserve">The analysis reveals that the attention devoted to CE practices is generally increasing. Practices associated with </w:t>
      </w:r>
      <w:r w:rsidRPr="003A56CD">
        <w:rPr>
          <w:i/>
          <w:iCs/>
        </w:rPr>
        <w:t>Resource Efficiency</w:t>
      </w:r>
      <w:r w:rsidRPr="003A56CD">
        <w:t xml:space="preserve"> and </w:t>
      </w:r>
      <w:r w:rsidRPr="003A56CD">
        <w:rPr>
          <w:i/>
          <w:iCs/>
        </w:rPr>
        <w:t>Reduction</w:t>
      </w:r>
      <w:r w:rsidRPr="003A56CD">
        <w:t xml:space="preserve">, along with </w:t>
      </w:r>
      <w:r w:rsidRPr="003A56CD">
        <w:rPr>
          <w:i/>
          <w:iCs/>
        </w:rPr>
        <w:t>Recycling</w:t>
      </w:r>
      <w:r w:rsidRPr="003A56CD">
        <w:t xml:space="preserve"> are the most popular, while developments related to product </w:t>
      </w:r>
      <w:r w:rsidRPr="003A56CD">
        <w:rPr>
          <w:i/>
          <w:iCs/>
        </w:rPr>
        <w:t>Reuse</w:t>
      </w:r>
      <w:r w:rsidRPr="003A56CD">
        <w:t xml:space="preserve"> are currently overlooked. In general, an ambiguous attitude is reported towards the implementation of practices that deal with rethinking product design, product functions, and business models. </w:t>
      </w:r>
    </w:p>
    <w:p w14:paraId="4B5776F4" w14:textId="77777777" w:rsidR="006379C0" w:rsidRPr="003A56CD" w:rsidRDefault="006379C0" w:rsidP="002F7336">
      <w:r w:rsidRPr="003A56CD">
        <w:t>The initial evidence also shows that the presence of higher levels of integration in the supply chain usually reflects in a higher propensity of having more CE practices implemented and at a higher level of implementation and with greater involvement of key suppliers and customers.</w:t>
      </w:r>
    </w:p>
    <w:p w14:paraId="757B4571" w14:textId="77777777" w:rsidR="006379C0" w:rsidRPr="003A56CD" w:rsidRDefault="006379C0" w:rsidP="002F7336">
      <w:r w:rsidRPr="003A56CD">
        <w:t xml:space="preserve">A framework is developed to explain the factors that drive or hinder industrial organisations to adopt CE practices. It is proposed that the adoption of CE practices is the result of the driving force of institutional pressures moderated by the level of supply chain integration. </w:t>
      </w:r>
    </w:p>
    <w:p w14:paraId="1523FDA2" w14:textId="46981966" w:rsidR="006379C0" w:rsidRDefault="006379C0" w:rsidP="002F7336">
      <w:pPr>
        <w:rPr>
          <w:bCs/>
        </w:rPr>
      </w:pPr>
      <w:r w:rsidRPr="003A56CD">
        <w:t>Future research will be aimed at: (</w:t>
      </w:r>
      <w:proofErr w:type="spellStart"/>
      <w:r w:rsidRPr="003A56CD">
        <w:t>i</w:t>
      </w:r>
      <w:proofErr w:type="spellEnd"/>
      <w:r w:rsidRPr="003A56CD">
        <w:t xml:space="preserve">) increasing the sample coverage, reviewing reports and other data for the Top-100 European companies in terms of revenues, (ii) validating the framework in a round of interviews, and (iii) testing the causal relationships conceptual framework, on the effect of the level of SCI and the institutional pressures on CE practices adoption. </w:t>
      </w:r>
      <w:r w:rsidRPr="003A56CD">
        <w:rPr>
          <w:bCs/>
        </w:rPr>
        <w:t xml:space="preserve">Further steps of this research might also look at extending the study to a broader set of companies or geographical areas. </w:t>
      </w:r>
    </w:p>
    <w:p w14:paraId="652742BC" w14:textId="77777777" w:rsidR="006379C0" w:rsidRDefault="006379C0" w:rsidP="002F7336">
      <w:bookmarkStart w:id="36" w:name="_Hlk137657658"/>
      <w:r w:rsidRPr="003A56CD">
        <w:rPr>
          <w:b/>
        </w:rPr>
        <w:t>Acknowledgments:</w:t>
      </w:r>
      <w:r w:rsidRPr="003A56CD">
        <w:t xml:space="preserve"> This research has received funding from the European Union’s Horizon 2020 research and innovation programme under the Marie Skłodowska-Curie Innovative Training Networks (H2020-MSCA-ITN-2018) scheme, grant agreement number 814247 (ReTraCE project).</w:t>
      </w:r>
    </w:p>
    <w:bookmarkEnd w:id="36"/>
    <w:p w14:paraId="574E55FB" w14:textId="77777777" w:rsidR="00BE15A4" w:rsidRDefault="00BE15A4" w:rsidP="002F7336"/>
    <w:p w14:paraId="4D341932" w14:textId="77777777" w:rsidR="00880A63" w:rsidRDefault="00880A63">
      <w:pPr>
        <w:spacing w:line="259" w:lineRule="auto"/>
        <w:jc w:val="left"/>
        <w:rPr>
          <w:rFonts w:eastAsia="Arial" w:cs="Arial"/>
          <w:b/>
          <w:sz w:val="30"/>
          <w:szCs w:val="30"/>
          <w:lang w:val="it-IT"/>
        </w:rPr>
      </w:pPr>
      <w:r>
        <w:rPr>
          <w:lang w:val="it-IT"/>
        </w:rPr>
        <w:br w:type="page"/>
      </w:r>
    </w:p>
    <w:p w14:paraId="6E664EC4" w14:textId="1AE7E475" w:rsidR="00BE15A4" w:rsidRPr="001B6A35" w:rsidRDefault="00BE15A4" w:rsidP="00BE15A4">
      <w:pPr>
        <w:pStyle w:val="Heading2"/>
        <w:numPr>
          <w:ilvl w:val="0"/>
          <w:numId w:val="0"/>
        </w:numPr>
        <w:ind w:left="357" w:hanging="357"/>
        <w:rPr>
          <w:lang w:val="it-IT"/>
        </w:rPr>
      </w:pPr>
      <w:bookmarkStart w:id="37" w:name="_Toc157759499"/>
      <w:r w:rsidRPr="001B6A35">
        <w:rPr>
          <w:lang w:val="it-IT"/>
        </w:rPr>
        <w:lastRenderedPageBreak/>
        <w:t>References</w:t>
      </w:r>
      <w:bookmarkEnd w:id="37"/>
    </w:p>
    <w:p w14:paraId="1C502E2A" w14:textId="77777777" w:rsidR="00BE15A4" w:rsidRDefault="00BE15A4" w:rsidP="00BE15A4">
      <w:r w:rsidRPr="00BE15A4">
        <w:rPr>
          <w:lang w:val="it-IT"/>
        </w:rPr>
        <w:t xml:space="preserve">Ancarani, A., Di Mauro, C., Legenvre, H., &amp; Cardella, M. S. (2019). </w:t>
      </w:r>
      <w:r>
        <w:t>Internet of things adoption: a typology of projects. International Journal of Operations and Production Management. https://doi.org/10.1108/IJOPM-01-2019-0095</w:t>
      </w:r>
    </w:p>
    <w:p w14:paraId="4B07CD03" w14:textId="77777777" w:rsidR="00BE15A4" w:rsidRDefault="00BE15A4" w:rsidP="00BE15A4">
      <w:r w:rsidRPr="00BE15A4">
        <w:rPr>
          <w:lang w:val="it-IT"/>
        </w:rPr>
        <w:t xml:space="preserve">Ancarani, A., Di Mauro, C., &amp; Mascali, F. (2019). </w:t>
      </w:r>
      <w:proofErr w:type="spellStart"/>
      <w:r>
        <w:t>Backshoring</w:t>
      </w:r>
      <w:proofErr w:type="spellEnd"/>
      <w:r>
        <w:t xml:space="preserve"> strategy and the adoption of Industry 4.0: Evidence from Europe. Journal of World Business. https://doi.org/10.1016/j.jwb.2019.04.003</w:t>
      </w:r>
    </w:p>
    <w:p w14:paraId="0550C393" w14:textId="77777777" w:rsidR="00BE15A4" w:rsidRDefault="00BE15A4" w:rsidP="00BE15A4">
      <w:r>
        <w:t xml:space="preserve">Batista, L., </w:t>
      </w:r>
      <w:proofErr w:type="spellStart"/>
      <w:r>
        <w:t>Bourlakis</w:t>
      </w:r>
      <w:proofErr w:type="spellEnd"/>
      <w:r>
        <w:t xml:space="preserve">, M., Smart, P., &amp; </w:t>
      </w:r>
      <w:proofErr w:type="spellStart"/>
      <w:r>
        <w:t>Maull</w:t>
      </w:r>
      <w:proofErr w:type="spellEnd"/>
      <w:r>
        <w:t>, R. (2018). In search of a circular supply chain archetype–a content-analysis-based literature review. Production Planning and Control, 29(6), 438–451. https://doi.org/10.1080/09537287.2017.1343502</w:t>
      </w:r>
    </w:p>
    <w:p w14:paraId="066B812C" w14:textId="77777777" w:rsidR="00BE15A4" w:rsidRDefault="00BE15A4" w:rsidP="00BE15A4">
      <w:proofErr w:type="spellStart"/>
      <w:r>
        <w:t>Bauwens</w:t>
      </w:r>
      <w:proofErr w:type="spellEnd"/>
      <w:r>
        <w:t xml:space="preserve">, T., </w:t>
      </w:r>
      <w:proofErr w:type="spellStart"/>
      <w:r>
        <w:t>Hekkert</w:t>
      </w:r>
      <w:proofErr w:type="spellEnd"/>
      <w:r>
        <w:t xml:space="preserve">, M., &amp; </w:t>
      </w:r>
      <w:proofErr w:type="spellStart"/>
      <w:r>
        <w:t>Kirchherr</w:t>
      </w:r>
      <w:proofErr w:type="spellEnd"/>
      <w:r>
        <w:t>, J. (2020). Circular futures: What Will They Look Like? Ecological Economics, 175(April), 106703. https://doi.org/10.1016/j.ecolecon.2020.106703</w:t>
      </w:r>
    </w:p>
    <w:p w14:paraId="6547333F" w14:textId="77777777" w:rsidR="00BE15A4" w:rsidRDefault="00BE15A4" w:rsidP="00BE15A4">
      <w:r>
        <w:t xml:space="preserve">Bimpizas-Pinis, M., </w:t>
      </w:r>
      <w:proofErr w:type="spellStart"/>
      <w:r>
        <w:t>Bozhinovska</w:t>
      </w:r>
      <w:proofErr w:type="spellEnd"/>
      <w:r>
        <w:t xml:space="preserve">, E., Genovese, A., Lowe, B., </w:t>
      </w:r>
      <w:proofErr w:type="spellStart"/>
      <w:r>
        <w:t>Pansera</w:t>
      </w:r>
      <w:proofErr w:type="spellEnd"/>
      <w:r>
        <w:t xml:space="preserve">, M., </w:t>
      </w:r>
      <w:proofErr w:type="spellStart"/>
      <w:r>
        <w:t>Alberich</w:t>
      </w:r>
      <w:proofErr w:type="spellEnd"/>
      <w:r>
        <w:t xml:space="preserve">, J. P., &amp; </w:t>
      </w:r>
      <w:proofErr w:type="spellStart"/>
      <w:r>
        <w:t>Ramezankhani</w:t>
      </w:r>
      <w:proofErr w:type="spellEnd"/>
      <w:r>
        <w:t>, M. J. (2021). Is efficiency enough for circular economy? Resources, Conservation and Recycling, 167(January), 4–5. https://doi.org/10.1016/j.resconrec.2021.105399</w:t>
      </w:r>
    </w:p>
    <w:p w14:paraId="7785F5EA" w14:textId="43A810D2" w:rsidR="00BE15A4" w:rsidRPr="00BE15A4" w:rsidRDefault="00BE15A4" w:rsidP="00BE15A4">
      <w:pPr>
        <w:rPr>
          <w:lang w:val="it-IT"/>
        </w:rPr>
      </w:pPr>
      <w:r w:rsidRPr="00BE15A4">
        <w:rPr>
          <w:lang w:val="it-IT"/>
        </w:rPr>
        <w:t xml:space="preserve">Borrello, M., Pascucci, S., &amp; Cembalo, L. (2020). </w:t>
      </w:r>
      <w:r>
        <w:t xml:space="preserve">Three Propositions to Unify Circular Economy </w:t>
      </w:r>
      <w:r w:rsidR="00B651D9">
        <w:t>Research</w:t>
      </w:r>
      <w:r w:rsidR="00B651D9">
        <w:rPr>
          <w:rFonts w:ascii="Times New Roman" w:hAnsi="Times New Roman" w:cs="Times New Roman"/>
        </w:rPr>
        <w:t>:</w:t>
      </w:r>
      <w:r>
        <w:t xml:space="preserve"> A Review. </w:t>
      </w:r>
      <w:r w:rsidRPr="00BE15A4">
        <w:rPr>
          <w:lang w:val="it-IT"/>
        </w:rPr>
        <w:t>1</w:t>
      </w:r>
      <w:r w:rsidRPr="00BE15A4">
        <w:rPr>
          <w:rFonts w:cs="Garamond"/>
          <w:lang w:val="it-IT"/>
        </w:rPr>
        <w:t>–</w:t>
      </w:r>
      <w:r w:rsidRPr="00BE15A4">
        <w:rPr>
          <w:lang w:val="it-IT"/>
        </w:rPr>
        <w:t>24. https://doi.org/10.3390/su12104069</w:t>
      </w:r>
    </w:p>
    <w:p w14:paraId="6937FFC7" w14:textId="77777777" w:rsidR="00BE15A4" w:rsidRDefault="00BE15A4" w:rsidP="00BE15A4">
      <w:r w:rsidRPr="00BE15A4">
        <w:rPr>
          <w:lang w:val="it-IT"/>
        </w:rPr>
        <w:t xml:space="preserve">Bressanelli, G., Perona, M., &amp; Saccani, N. (2019). </w:t>
      </w:r>
      <w:r>
        <w:t>Challenges in supply chain redesign for the Circular Economy: a literature review and a multiple case study. International Journal of Production Research, 57(23), 7395–7422. https://doi.org/10.1080/00207543.2018.1542176</w:t>
      </w:r>
    </w:p>
    <w:p w14:paraId="245C532E" w14:textId="771AFF2A" w:rsidR="00BE15A4" w:rsidRDefault="00BE15A4" w:rsidP="00BE15A4">
      <w:r>
        <w:t xml:space="preserve">De Angelis, R., Howard, M., &amp; </w:t>
      </w:r>
      <w:proofErr w:type="spellStart"/>
      <w:r>
        <w:t>Miemczyk</w:t>
      </w:r>
      <w:proofErr w:type="spellEnd"/>
      <w:r>
        <w:t xml:space="preserve">, J. (2018). Supply chain management and the circular </w:t>
      </w:r>
      <w:r w:rsidR="00B651D9">
        <w:t>economy</w:t>
      </w:r>
      <w:r w:rsidR="00B651D9">
        <w:rPr>
          <w:rFonts w:ascii="Times New Roman" w:hAnsi="Times New Roman" w:cs="Times New Roman"/>
        </w:rPr>
        <w:t>:</w:t>
      </w:r>
      <w:r>
        <w:t xml:space="preserve"> towards the circular supply chain. Production Planning &amp; Control, 7287, 1</w:t>
      </w:r>
      <w:r>
        <w:rPr>
          <w:rFonts w:cs="Garamond"/>
        </w:rPr>
        <w:t>–</w:t>
      </w:r>
      <w:r>
        <w:t>13. https://doi.org/10.1080/09537287.2018.1449244</w:t>
      </w:r>
    </w:p>
    <w:p w14:paraId="04EFD60B" w14:textId="590B54E5" w:rsidR="00BE15A4" w:rsidRDefault="00BE15A4" w:rsidP="00BE15A4">
      <w:r w:rsidRPr="00DB35FC">
        <w:t xml:space="preserve">DiMaggio, P. J., &amp; Powell, W. W. (1983). </w:t>
      </w:r>
      <w:r>
        <w:t xml:space="preserve">The Iron Cage </w:t>
      </w:r>
      <w:r w:rsidR="00B651D9">
        <w:t>Revisited</w:t>
      </w:r>
      <w:r w:rsidR="00B651D9">
        <w:rPr>
          <w:rFonts w:ascii="Times New Roman" w:hAnsi="Times New Roman" w:cs="Times New Roman"/>
        </w:rPr>
        <w:t>:</w:t>
      </w:r>
      <w:r>
        <w:t xml:space="preserve"> Institutional Isomorphism and Collective Rationality in Organizational Fields Author </w:t>
      </w:r>
      <w:proofErr w:type="gramStart"/>
      <w:r>
        <w:t>( s</w:t>
      </w:r>
      <w:proofErr w:type="gramEnd"/>
      <w:r>
        <w:t xml:space="preserve"> ): Paul J . DiMaggio and Walter </w:t>
      </w:r>
      <w:r w:rsidR="00B651D9">
        <w:t>W.</w:t>
      </w:r>
      <w:r>
        <w:t xml:space="preserve"> Powell Published </w:t>
      </w:r>
      <w:r w:rsidR="00B651D9">
        <w:t>by</w:t>
      </w:r>
      <w:r w:rsidR="00B651D9">
        <w:rPr>
          <w:rFonts w:ascii="Times New Roman" w:hAnsi="Times New Roman" w:cs="Times New Roman"/>
        </w:rPr>
        <w:t>:</w:t>
      </w:r>
      <w:r>
        <w:t xml:space="preserve"> American Sociological Association Stable URL</w:t>
      </w:r>
      <w:r>
        <w:rPr>
          <w:rFonts w:ascii="Times New Roman" w:hAnsi="Times New Roman" w:cs="Times New Roman"/>
        </w:rPr>
        <w:t> </w:t>
      </w:r>
      <w:r>
        <w:t>: http://www.jstor.org/stable/2095101. American Sociological Review, 48(2), 147–160.</w:t>
      </w:r>
    </w:p>
    <w:p w14:paraId="7FF31EA9" w14:textId="77777777" w:rsidR="00BE15A4" w:rsidRDefault="00BE15A4" w:rsidP="00BE15A4">
      <w:r>
        <w:lastRenderedPageBreak/>
        <w:t>Ellram, L. M., &amp; Tate, W. L. (2016). The use of secondary data in purchasing and supply management (P/SM) research. Journal of Purchasing and Supply Management, 22(4), 250–254. https://doi.org/10.1016/j.pursup.2016.08.005</w:t>
      </w:r>
    </w:p>
    <w:p w14:paraId="2CEC4237" w14:textId="6DEEECBF" w:rsidR="00BE15A4" w:rsidRDefault="00BE15A4" w:rsidP="00BE15A4">
      <w:r>
        <w:t xml:space="preserve">EMAF. (2015). Growth </w:t>
      </w:r>
      <w:r w:rsidR="00B651D9">
        <w:t>within</w:t>
      </w:r>
      <w:r>
        <w:t xml:space="preserve"> a circular economy vision for a competitive </w:t>
      </w:r>
      <w:proofErr w:type="spellStart"/>
      <w:proofErr w:type="gramStart"/>
      <w:r>
        <w:t>europe</w:t>
      </w:r>
      <w:proofErr w:type="spellEnd"/>
      <w:proofErr w:type="gramEnd"/>
      <w:r>
        <w:t>. Ellen MacArthur Foundation, 100. https://doi.org/Article</w:t>
      </w:r>
    </w:p>
    <w:p w14:paraId="7EB50587" w14:textId="77777777" w:rsidR="00BE15A4" w:rsidRDefault="00BE15A4" w:rsidP="00BE15A4">
      <w:r>
        <w:t xml:space="preserve">Escobar, L. F., &amp; </w:t>
      </w:r>
      <w:proofErr w:type="spellStart"/>
      <w:r>
        <w:t>Vredenburg</w:t>
      </w:r>
      <w:proofErr w:type="spellEnd"/>
      <w:r>
        <w:t>, H. (2011). Multinational Oil Companies and the Adoption of Sustainable Development: A Resource-Based and Institutional Theory Interpretation of Adoption Heterogeneity. Journal of Business Ethics, 98(1), 39–65. https://doi.org/10.1007/s10551-010-0534-x</w:t>
      </w:r>
    </w:p>
    <w:p w14:paraId="01A20C2D" w14:textId="77777777" w:rsidR="00BE15A4" w:rsidRDefault="00BE15A4" w:rsidP="00BE15A4">
      <w:r>
        <w:t>European Commission. (2008). Directive 2008/98/EC of the European Parliament and of the Council of 19 November 2008 on waste and repealing certain Directives. Available online at: https://eur-lex.europa.eu/legal-con. Last accessed: 11/06/2020.</w:t>
      </w:r>
    </w:p>
    <w:p w14:paraId="40B9BED7" w14:textId="77777777" w:rsidR="00BE15A4" w:rsidRDefault="00BE15A4" w:rsidP="00BE15A4">
      <w:r>
        <w:t xml:space="preserve">European Commission. (2015). Closing the loop </w:t>
      </w:r>
      <w:r>
        <w:rPr>
          <w:rFonts w:ascii="Times New Roman" w:hAnsi="Times New Roman" w:cs="Times New Roman"/>
        </w:rPr>
        <w:t>‐</w:t>
      </w:r>
      <w:r>
        <w:t xml:space="preserve"> An EU action plan for the Circular Economy. Available online at: https://eur-lex.europa.eu/legal-content/EN/TXT/?uri=CELEX%3A52015DC0614. Last accessed: 11/06/2020. https://eur-lex.europa.eu/legal-content/EN/TXT/?uri=CELEX%3A52015DC0614</w:t>
      </w:r>
    </w:p>
    <w:p w14:paraId="30DB0331" w14:textId="77777777" w:rsidR="00BE15A4" w:rsidRDefault="00BE15A4" w:rsidP="00BE15A4">
      <w:r>
        <w:t>European Commission. (2020). A new Circular Economy Action Plan For a cleaner and more competitive Europe. Available online at: https://eur-lex.europa.eu/legal-content/EN/TXT/?qid=1583933814386&amp;uri=COM:2020:98:FIN. Last accessed: 11/06/2020.</w:t>
      </w:r>
    </w:p>
    <w:p w14:paraId="5D163FDF" w14:textId="77777777" w:rsidR="00BE15A4" w:rsidRDefault="00BE15A4" w:rsidP="00BE15A4">
      <w:r>
        <w:t xml:space="preserve">Fitch-Roy, O., Benson, D., &amp; </w:t>
      </w:r>
      <w:proofErr w:type="spellStart"/>
      <w:r>
        <w:t>Monciardini</w:t>
      </w:r>
      <w:proofErr w:type="spellEnd"/>
      <w:r>
        <w:t>, D. (2020). Going around in circles? Conceptual recycling, patching and policy layering in the EU circular economy package. Environmental Politics, 29(6), 983–1003. https://doi.org/10.1080/09644016.2019.1673996</w:t>
      </w:r>
    </w:p>
    <w:p w14:paraId="399D3C62" w14:textId="77777777" w:rsidR="00BE15A4" w:rsidRDefault="00BE15A4" w:rsidP="00BE15A4">
      <w:r>
        <w:t>Flynn, B., Pagell, M., &amp; Fugate, B. (2018). Editorial: Survey Research Design in Supply Chain Management: The Need for Evolution in Our Expectations. Journal of Supply Chain Management, 54(1), 1–15. https://doi.org/10.1111/jscm.12161</w:t>
      </w:r>
    </w:p>
    <w:p w14:paraId="6022446E" w14:textId="77777777" w:rsidR="00BE15A4" w:rsidRDefault="00BE15A4" w:rsidP="00BE15A4">
      <w:proofErr w:type="spellStart"/>
      <w:r>
        <w:t>Frohlich</w:t>
      </w:r>
      <w:proofErr w:type="spellEnd"/>
      <w:r>
        <w:t>, M. T., &amp; Westbrook, R. (2001). Arcs of integration: An international study of supply chain strategies. Journal of Operations Management, 19(2), 185–200. https://doi.org/10.1016/S0272-</w:t>
      </w:r>
      <w:proofErr w:type="gramStart"/>
      <w:r>
        <w:t>6963(</w:t>
      </w:r>
      <w:proofErr w:type="gramEnd"/>
      <w:r>
        <w:t>00)00055-3</w:t>
      </w:r>
    </w:p>
    <w:p w14:paraId="1DA81F15" w14:textId="77777777" w:rsidR="00BE15A4" w:rsidRPr="00BE15A4" w:rsidRDefault="00BE15A4" w:rsidP="00BE15A4">
      <w:pPr>
        <w:rPr>
          <w:lang w:val="sv-SE"/>
        </w:rPr>
      </w:pPr>
      <w:r>
        <w:lastRenderedPageBreak/>
        <w:t xml:space="preserve">Genovese, A., </w:t>
      </w:r>
      <w:proofErr w:type="spellStart"/>
      <w:r>
        <w:t>Acquaye</w:t>
      </w:r>
      <w:proofErr w:type="spellEnd"/>
      <w:r>
        <w:t xml:space="preserve">, A. A., Figueroa, A., &amp; </w:t>
      </w:r>
      <w:proofErr w:type="spellStart"/>
      <w:r>
        <w:t>Koh</w:t>
      </w:r>
      <w:proofErr w:type="spellEnd"/>
      <w:r>
        <w:t xml:space="preserve">, S. C. L. (2017). Sustainable supply chain management and the transition towards a circular economy: Evidence and some applications. </w:t>
      </w:r>
      <w:r w:rsidRPr="00BE15A4">
        <w:rPr>
          <w:lang w:val="sv-SE"/>
        </w:rPr>
        <w:t>Omega (United Kingdom), 66, 344–357. https://doi.org/10.1016/j.omega.2015.05.015</w:t>
      </w:r>
    </w:p>
    <w:p w14:paraId="55BD2A6A" w14:textId="77777777" w:rsidR="00BE15A4" w:rsidRDefault="00BE15A4" w:rsidP="00BE15A4">
      <w:r w:rsidRPr="00BE15A4">
        <w:rPr>
          <w:lang w:val="sv-SE"/>
        </w:rPr>
        <w:t xml:space="preserve">Ghisellini, P., Cialani, C., &amp; Ulgiati, S. (2016). </w:t>
      </w:r>
      <w:r>
        <w:t>A review on circular economy: The expected transition to a balanced interplay of environmental and economic systems. Journal of Cleaner Production, 114, 11–32. https://doi.org/10.1016/j.jclepro.2015.09.007</w:t>
      </w:r>
    </w:p>
    <w:p w14:paraId="551110C7" w14:textId="77777777" w:rsidR="00BE15A4" w:rsidRDefault="00BE15A4" w:rsidP="00BE15A4">
      <w:proofErr w:type="spellStart"/>
      <w:r>
        <w:t>Ghisellini</w:t>
      </w:r>
      <w:proofErr w:type="spellEnd"/>
      <w:r>
        <w:t xml:space="preserve">, P., &amp; </w:t>
      </w:r>
      <w:proofErr w:type="spellStart"/>
      <w:r>
        <w:t>Ulgiati</w:t>
      </w:r>
      <w:proofErr w:type="spellEnd"/>
      <w:r>
        <w:t>, S. (2020). Circular economy transition in Italy. Achievements, perspectives and constraints. Journal of Cleaner Production, 243, 118360. https://doi.org/10.1016/j.jclepro.2019.118360</w:t>
      </w:r>
    </w:p>
    <w:p w14:paraId="0ABD8E31" w14:textId="77777777" w:rsidR="00BE15A4" w:rsidRDefault="00BE15A4" w:rsidP="00BE15A4">
      <w:r w:rsidRPr="00BE15A4">
        <w:rPr>
          <w:lang w:val="sv-SE"/>
        </w:rPr>
        <w:t xml:space="preserve">Gold, S., Seuring, S., &amp; Beske, P. (2010). </w:t>
      </w:r>
      <w:r>
        <w:t>Sustainable supply chain management and inter-organizational resources: A literature review. Corporate Social Responsibility and Environmental Management, 17(4), 230–245. https://doi.org/10.1002/csr.207</w:t>
      </w:r>
    </w:p>
    <w:p w14:paraId="2504B6DC" w14:textId="77777777" w:rsidR="00BE15A4" w:rsidRDefault="00BE15A4" w:rsidP="00BE15A4">
      <w:r>
        <w:t xml:space="preserve">Govindan, K., &amp; </w:t>
      </w:r>
      <w:proofErr w:type="spellStart"/>
      <w:r>
        <w:t>Hasanagic</w:t>
      </w:r>
      <w:proofErr w:type="spellEnd"/>
      <w:r>
        <w:t>, M. (2018). A systematic review on drivers, barriers, and practices towards circular economy: a supply chain perspective. International Journal of Production Research, 56(1–2), 278–311. https://doi.org/10.1080/00207543.2017.1402141</w:t>
      </w:r>
    </w:p>
    <w:p w14:paraId="40E7CD38" w14:textId="77777777" w:rsidR="00BE15A4" w:rsidRDefault="00BE15A4" w:rsidP="00BE15A4">
      <w:proofErr w:type="spellStart"/>
      <w:r>
        <w:t>Gusmerotti</w:t>
      </w:r>
      <w:proofErr w:type="spellEnd"/>
      <w:r>
        <w:t xml:space="preserve">, N. M., </w:t>
      </w:r>
      <w:proofErr w:type="spellStart"/>
      <w:r>
        <w:t>Testa</w:t>
      </w:r>
      <w:proofErr w:type="spellEnd"/>
      <w:r>
        <w:t xml:space="preserve">, F., </w:t>
      </w:r>
      <w:proofErr w:type="spellStart"/>
      <w:r>
        <w:t>Corsini</w:t>
      </w:r>
      <w:proofErr w:type="spellEnd"/>
      <w:r>
        <w:t xml:space="preserve">, F., </w:t>
      </w:r>
      <w:proofErr w:type="spellStart"/>
      <w:r>
        <w:t>Pretner</w:t>
      </w:r>
      <w:proofErr w:type="spellEnd"/>
      <w:r>
        <w:t xml:space="preserve">, G., &amp; </w:t>
      </w:r>
      <w:proofErr w:type="spellStart"/>
      <w:r>
        <w:t>Iraldo</w:t>
      </w:r>
      <w:proofErr w:type="spellEnd"/>
      <w:r>
        <w:t>, F. (2019). Drivers and approaches to the circular economy in manufacturing firms. Journal of Cleaner Production, 230, 314–327. https://doi.org/10.1016/j.jclepro.2019.05.044</w:t>
      </w:r>
    </w:p>
    <w:p w14:paraId="17B8B922" w14:textId="77777777" w:rsidR="00BE15A4" w:rsidRDefault="00BE15A4" w:rsidP="00BE15A4">
      <w:r>
        <w:t xml:space="preserve">Hahn, R., &amp; </w:t>
      </w:r>
      <w:proofErr w:type="spellStart"/>
      <w:r>
        <w:t>Kühnen</w:t>
      </w:r>
      <w:proofErr w:type="spellEnd"/>
      <w:r>
        <w:t>, M. (2013). Determinants of sustainability reporting: A review of results, trends, theory, and opportunities in an expanding field of research. Journal of Cleaner Production, 59, 5–21. https://doi.org/10.1016/j.jclepro.2013.07.005</w:t>
      </w:r>
    </w:p>
    <w:p w14:paraId="24A31463" w14:textId="77777777" w:rsidR="00BE15A4" w:rsidRDefault="00BE15A4" w:rsidP="00BE15A4">
      <w:r>
        <w:t xml:space="preserve">Herczeg, G., </w:t>
      </w:r>
      <w:proofErr w:type="spellStart"/>
      <w:r>
        <w:t>Akkerman</w:t>
      </w:r>
      <w:proofErr w:type="spellEnd"/>
      <w:r>
        <w:t xml:space="preserve">, R., &amp; </w:t>
      </w:r>
      <w:proofErr w:type="spellStart"/>
      <w:r>
        <w:t>Hauschild</w:t>
      </w:r>
      <w:proofErr w:type="spellEnd"/>
      <w:r>
        <w:t>, M. Z. (2018). Supply chain collaboration in industrial symbiosis networks. Journal of Cleaner Production, 171, 1058–1067. https://doi.org/10.1016/j.jclepro.2017.10.046</w:t>
      </w:r>
    </w:p>
    <w:p w14:paraId="1F51D4F0" w14:textId="77777777" w:rsidR="00BE15A4" w:rsidRDefault="00BE15A4" w:rsidP="00BE15A4">
      <w:proofErr w:type="spellStart"/>
      <w:r>
        <w:t>Hoejmose</w:t>
      </w:r>
      <w:proofErr w:type="spellEnd"/>
      <w:r>
        <w:t xml:space="preserve">, S. U., </w:t>
      </w:r>
      <w:proofErr w:type="spellStart"/>
      <w:r>
        <w:t>Grosvold</w:t>
      </w:r>
      <w:proofErr w:type="spellEnd"/>
      <w:r>
        <w:t>, J., &amp; Millington, A. (2014). The effect of institutional pressure on cooperative and coercive “green” supply chain practices. Journal of Purchasing and Supply Management, 20(4), 215–224. https://doi.org/10.1016/j.pursup.2014.07.002</w:t>
      </w:r>
    </w:p>
    <w:p w14:paraId="2162ACCB" w14:textId="77777777" w:rsidR="00BE15A4" w:rsidRDefault="00BE15A4" w:rsidP="00BE15A4">
      <w:r>
        <w:t>Hofmann, F. (2019). Circular business models: Business approach as driver or obstructer of sustainability transitions? Journal of Cleaner Production, 224, 361–374. https://doi.org/10.1016/j.jclepro.2019.03.115</w:t>
      </w:r>
    </w:p>
    <w:p w14:paraId="618BA4A9" w14:textId="3D056C94" w:rsidR="00BE15A4" w:rsidRDefault="00BE15A4" w:rsidP="00BE15A4">
      <w:r>
        <w:lastRenderedPageBreak/>
        <w:t xml:space="preserve">Howard, M., Hopkinson, P., &amp; </w:t>
      </w:r>
      <w:proofErr w:type="spellStart"/>
      <w:r>
        <w:t>Miemczyk</w:t>
      </w:r>
      <w:proofErr w:type="spellEnd"/>
      <w:r>
        <w:t xml:space="preserve">, J. (2019). The regenerative supply </w:t>
      </w:r>
      <w:r w:rsidR="00B651D9">
        <w:t>chain</w:t>
      </w:r>
      <w:r w:rsidR="00B651D9">
        <w:rPr>
          <w:rFonts w:ascii="Times New Roman" w:hAnsi="Times New Roman" w:cs="Times New Roman"/>
        </w:rPr>
        <w:t>:</w:t>
      </w:r>
      <w:r>
        <w:t xml:space="preserve"> a framework for developing circular economy indicators. 7543. https://doi.org/10.1080/00207543.2018.1524166</w:t>
      </w:r>
    </w:p>
    <w:p w14:paraId="4538DB15" w14:textId="77777777" w:rsidR="00BE15A4" w:rsidRDefault="00BE15A4" w:rsidP="00BE15A4">
      <w:r>
        <w:t xml:space="preserve">Jain, N. K., Panda, A., &amp; </w:t>
      </w:r>
      <w:proofErr w:type="spellStart"/>
      <w:r>
        <w:t>Choudhary</w:t>
      </w:r>
      <w:proofErr w:type="spellEnd"/>
      <w:r>
        <w:t>, P. (2020). Institutional pressures and circular economy performance: The role of environmental management system and organizational flexibility in oil and gas sector. Business Strategy and the Environment, 29(8), 3509–3525. https://doi.org/10.1002/bse.2593</w:t>
      </w:r>
    </w:p>
    <w:p w14:paraId="31399FDA" w14:textId="77777777" w:rsidR="00BE15A4" w:rsidRDefault="00BE15A4" w:rsidP="00BE15A4">
      <w:proofErr w:type="spellStart"/>
      <w:r>
        <w:t>Ketchen</w:t>
      </w:r>
      <w:proofErr w:type="spellEnd"/>
      <w:r>
        <w:t xml:space="preserve">, D. J., &amp; </w:t>
      </w:r>
      <w:proofErr w:type="spellStart"/>
      <w:r>
        <w:t>Hult</w:t>
      </w:r>
      <w:proofErr w:type="spellEnd"/>
      <w:r>
        <w:t>, G. T. M. (2007). Bridging organization theory and supply chain management: The case of best value supply chains. Journal of Operations Management, 25(2), 573–580. https://doi.org/10.1016/j.jom.2006.05.010</w:t>
      </w:r>
    </w:p>
    <w:p w14:paraId="0AB64544" w14:textId="77777777" w:rsidR="00BE15A4" w:rsidRDefault="00BE15A4" w:rsidP="00BE15A4">
      <w:r>
        <w:t>King, N., &amp; Brooks, J. M. (2018). Doing Template Analysis: A Guide to the Main Components and Procedures. Template Analysis for Business and Management Students, 25–46. https://doi.org/10.4135/9781473983304.n3</w:t>
      </w:r>
    </w:p>
    <w:p w14:paraId="0D8BF7BB" w14:textId="77777777" w:rsidR="00BE15A4" w:rsidRDefault="00BE15A4" w:rsidP="00BE15A4">
      <w:proofErr w:type="spellStart"/>
      <w:r>
        <w:t>Kirchherr</w:t>
      </w:r>
      <w:proofErr w:type="spellEnd"/>
      <w:r>
        <w:t xml:space="preserve">, J., </w:t>
      </w:r>
      <w:proofErr w:type="spellStart"/>
      <w:r>
        <w:t>Piscicelli</w:t>
      </w:r>
      <w:proofErr w:type="spellEnd"/>
      <w:r>
        <w:t xml:space="preserve">, L., </w:t>
      </w:r>
      <w:proofErr w:type="spellStart"/>
      <w:r>
        <w:t>Bour</w:t>
      </w:r>
      <w:proofErr w:type="spellEnd"/>
      <w:r>
        <w:t xml:space="preserve">, R., </w:t>
      </w:r>
      <w:proofErr w:type="spellStart"/>
      <w:r>
        <w:t>Kostense</w:t>
      </w:r>
      <w:proofErr w:type="spellEnd"/>
      <w:r>
        <w:t xml:space="preserve">-Smit, E., Muller, J., </w:t>
      </w:r>
      <w:proofErr w:type="spellStart"/>
      <w:r>
        <w:t>Huibrechtse-Truijens</w:t>
      </w:r>
      <w:proofErr w:type="spellEnd"/>
      <w:r>
        <w:t xml:space="preserve">, A., &amp; </w:t>
      </w:r>
      <w:proofErr w:type="spellStart"/>
      <w:r>
        <w:t>Hekkert</w:t>
      </w:r>
      <w:proofErr w:type="spellEnd"/>
      <w:r>
        <w:t xml:space="preserve">, M. (2018). Barriers to the Circular Economy: Evidence </w:t>
      </w:r>
      <w:proofErr w:type="gramStart"/>
      <w:r>
        <w:t>From</w:t>
      </w:r>
      <w:proofErr w:type="gramEnd"/>
      <w:r>
        <w:t xml:space="preserve"> the European Union (EU). Ecological Economics, 150(December 2017), 264–272. https://doi.org/10.1016/j.ecolecon.2018.04.028</w:t>
      </w:r>
    </w:p>
    <w:p w14:paraId="4DAB72FC" w14:textId="77777777" w:rsidR="00BE15A4" w:rsidRDefault="00BE15A4" w:rsidP="00BE15A4">
      <w:proofErr w:type="spellStart"/>
      <w:r>
        <w:t>Kirchherr</w:t>
      </w:r>
      <w:proofErr w:type="spellEnd"/>
      <w:r>
        <w:t xml:space="preserve">, J., </w:t>
      </w:r>
      <w:proofErr w:type="spellStart"/>
      <w:r>
        <w:t>Reike</w:t>
      </w:r>
      <w:proofErr w:type="spellEnd"/>
      <w:r>
        <w:t xml:space="preserve">, D., &amp; </w:t>
      </w:r>
      <w:proofErr w:type="spellStart"/>
      <w:r>
        <w:t>Hekkert</w:t>
      </w:r>
      <w:proofErr w:type="spellEnd"/>
      <w:r>
        <w:t>, M. (2017). Conceptualizing the circular economy: An analysis of 114 definitions. Resources, Conservation and Recycling, 127(April), 221–232. https://doi.org/10.1016/j.resconrec.2017.09.005</w:t>
      </w:r>
    </w:p>
    <w:p w14:paraId="45671446" w14:textId="77777777" w:rsidR="00BE15A4" w:rsidRDefault="00BE15A4" w:rsidP="00BE15A4">
      <w:r w:rsidRPr="00BE15A4">
        <w:rPr>
          <w:lang w:val="de-DE"/>
        </w:rPr>
        <w:t xml:space="preserve">Kirchherr, J., &amp; van Santen, R. (2019). </w:t>
      </w:r>
      <w:r>
        <w:t>Research on the circular economy: A critique of the field. Resources, Conservation and Recycling, 151(September), 4–5. https://doi.org/10.1016/j.resconrec.2019.104480</w:t>
      </w:r>
    </w:p>
    <w:p w14:paraId="1E819C65" w14:textId="77777777" w:rsidR="00BE15A4" w:rsidRDefault="00BE15A4" w:rsidP="00BE15A4">
      <w:r w:rsidRPr="00BE15A4">
        <w:rPr>
          <w:lang w:val="sv-SE"/>
        </w:rPr>
        <w:t xml:space="preserve">Korhonen, J., Honkasalo, A., &amp; Seppälä, J. (2018). </w:t>
      </w:r>
      <w:r>
        <w:t>Circular Economy: The Concept and its Limitations. Ecological Economics, 143(January), 37–46. https://doi.org/10.1016/j.ecolecon.2017.06.041</w:t>
      </w:r>
    </w:p>
    <w:p w14:paraId="6D5995CC" w14:textId="77777777" w:rsidR="00BE15A4" w:rsidRDefault="00BE15A4" w:rsidP="00BE15A4">
      <w:r>
        <w:t>KPMG. (2020). The KPMG Survey of Sustainability Reporting 2020. Available at (Https://Assets.Kpmg/Content/Dam/Kpmg/Xx/Pdf/2020/11/the-Time-Has-Come.Pdf). https://doi.org/10.6004/jnccn.2019.0020</w:t>
      </w:r>
    </w:p>
    <w:p w14:paraId="20D49B69" w14:textId="77777777" w:rsidR="00BE15A4" w:rsidRDefault="00BE15A4" w:rsidP="00BE15A4">
      <w:proofErr w:type="spellStart"/>
      <w:r>
        <w:lastRenderedPageBreak/>
        <w:t>Lahane</w:t>
      </w:r>
      <w:proofErr w:type="spellEnd"/>
      <w:r>
        <w:t>, S., Kant, R., &amp; Shankar, R. (2020). Circular supply chain management: A state-of-art review and future opportunities. Journal of Cleaner Production, 258, 120859. https://doi.org/10.1016/j.jclepro.2020.120859</w:t>
      </w:r>
    </w:p>
    <w:p w14:paraId="175ADEFE" w14:textId="77777777" w:rsidR="00BE15A4" w:rsidRDefault="00BE15A4" w:rsidP="00BE15A4">
      <w:r>
        <w:t xml:space="preserve">Liu, J., Feng, Y., Zhu, Q., &amp; </w:t>
      </w:r>
      <w:proofErr w:type="spellStart"/>
      <w:r>
        <w:t>Sarkis</w:t>
      </w:r>
      <w:proofErr w:type="spellEnd"/>
      <w:r>
        <w:t>, J. (2018). Green supply chain management and the circular economy: Reviewing theory for advancement of both fields. International Journal of Physical Distribution and Logistics Management, 48(8), 794–817. https://doi.org/10.1108/IJPDLM-01-2017-0049</w:t>
      </w:r>
    </w:p>
    <w:p w14:paraId="14297391" w14:textId="77777777" w:rsidR="00BE15A4" w:rsidRDefault="00BE15A4" w:rsidP="00BE15A4">
      <w:r w:rsidRPr="00BE15A4">
        <w:rPr>
          <w:lang w:val="de-DE"/>
        </w:rPr>
        <w:t xml:space="preserve">Lüdeke-Freund, F., Gold, S., &amp; Bocken, N. M. P. (2019). </w:t>
      </w:r>
      <w:r>
        <w:t>A Review and Typology of Circular Economy Business Model Patterns. Journal of Industrial Ecology, 23(1), 36–61. https://doi.org/10.1111/jiec.12763</w:t>
      </w:r>
    </w:p>
    <w:p w14:paraId="15434B7C" w14:textId="77777777" w:rsidR="00BE15A4" w:rsidRDefault="00BE15A4" w:rsidP="00BE15A4">
      <w:r>
        <w:t xml:space="preserve">Masi, D., Day, S., &amp; </w:t>
      </w:r>
      <w:proofErr w:type="spellStart"/>
      <w:r>
        <w:t>Godsell</w:t>
      </w:r>
      <w:proofErr w:type="spellEnd"/>
      <w:r>
        <w:t>, J. (2017). Supply chain configurations in the circular economy: A systematic literature review. Sustainability (Switzerland), 9(9). https://doi.org/10.3390/su9091602</w:t>
      </w:r>
    </w:p>
    <w:p w14:paraId="51B3844D" w14:textId="77777777" w:rsidR="00BE15A4" w:rsidRDefault="00BE15A4" w:rsidP="00BE15A4">
      <w:r>
        <w:t xml:space="preserve">Masi, D., Kumar, V., Garza-Reyes, J. A., &amp; </w:t>
      </w:r>
      <w:proofErr w:type="spellStart"/>
      <w:r>
        <w:t>Godsell</w:t>
      </w:r>
      <w:proofErr w:type="spellEnd"/>
      <w:r>
        <w:t>, J. (2018). Towards a more circular economy: exploring the awareness, practices, and barriers from a focal firm perspective. Production Planning and Control, 29(6), 539–550. https://doi.org/10.1080/09537287.2018.1449246</w:t>
      </w:r>
    </w:p>
    <w:p w14:paraId="6EE756E9" w14:textId="77777777" w:rsidR="00BE15A4" w:rsidRDefault="00BE15A4" w:rsidP="00BE15A4">
      <w:r>
        <w:t>Mathews, J. A., &amp; Tan, H. (2011). Progress toward a circular economy in China: The drivers (and inhibitors) of eco-industrial initiative. Journal of Industrial Ecology, 15(3), 435–457. https://doi.org/10.1111/j.1530-9290.2011.00332.x</w:t>
      </w:r>
    </w:p>
    <w:p w14:paraId="3BFE19C9" w14:textId="77777777" w:rsidR="00BE15A4" w:rsidRDefault="00BE15A4" w:rsidP="00BE15A4">
      <w:proofErr w:type="spellStart"/>
      <w:r>
        <w:t>Mejías</w:t>
      </w:r>
      <w:proofErr w:type="spellEnd"/>
      <w:r>
        <w:t xml:space="preserve">, A. M., </w:t>
      </w:r>
      <w:proofErr w:type="spellStart"/>
      <w:r>
        <w:t>Bellas</w:t>
      </w:r>
      <w:proofErr w:type="spellEnd"/>
      <w:r>
        <w:t>, R., Pardo, J. E., &amp; Paz, E. (2019). Traceability management systems and capacity building as new approaches for improving sustainability in the fashion multi-tier supply chain. International Journal of Production Economics, 217(March), 143–158. https://doi.org/10.1016/j.ijpe.2019.03.022</w:t>
      </w:r>
    </w:p>
    <w:p w14:paraId="1E3018A7" w14:textId="77777777" w:rsidR="00BE15A4" w:rsidRDefault="00BE15A4" w:rsidP="00BE15A4">
      <w:r>
        <w:t>Pagell, M., &amp; Shevchenko, A. (2014). Why research in sustainable supply chain management should have no future. Journal of Supply Chain Management, 50(1), 44–55. https://doi.org/10.1111/jscm.12037</w:t>
      </w:r>
    </w:p>
    <w:p w14:paraId="362E6FF9" w14:textId="77777777" w:rsidR="00BE15A4" w:rsidRDefault="00BE15A4" w:rsidP="00BE15A4">
      <w:proofErr w:type="spellStart"/>
      <w:r>
        <w:t>Ranta</w:t>
      </w:r>
      <w:proofErr w:type="spellEnd"/>
      <w:r>
        <w:t xml:space="preserve">, V., </w:t>
      </w:r>
      <w:proofErr w:type="spellStart"/>
      <w:r>
        <w:t>Aarikka-Stenroos</w:t>
      </w:r>
      <w:proofErr w:type="spellEnd"/>
      <w:r>
        <w:t xml:space="preserve">, L., </w:t>
      </w:r>
      <w:proofErr w:type="spellStart"/>
      <w:r>
        <w:t>Ritala</w:t>
      </w:r>
      <w:proofErr w:type="spellEnd"/>
      <w:r>
        <w:t xml:space="preserve">, P., &amp; </w:t>
      </w:r>
      <w:proofErr w:type="spellStart"/>
      <w:r>
        <w:t>Mäkinen</w:t>
      </w:r>
      <w:proofErr w:type="spellEnd"/>
      <w:r>
        <w:t xml:space="preserve">, S. J. (2018). Exploring institutional drivers and barriers of the circular economy: A cross-regional comparison of China, the US, </w:t>
      </w:r>
      <w:r>
        <w:lastRenderedPageBreak/>
        <w:t>and Europe. Resources, Conservation and Recycling, 135(August 2017), 70–82. https://doi.org/10.1016/j.resconrec.2017.08.017</w:t>
      </w:r>
    </w:p>
    <w:p w14:paraId="2E8A6ADD" w14:textId="77777777" w:rsidR="00BE15A4" w:rsidRDefault="00BE15A4" w:rsidP="00BE15A4">
      <w:r>
        <w:t xml:space="preserve">Roth, A., &amp; </w:t>
      </w:r>
      <w:proofErr w:type="spellStart"/>
      <w:r>
        <w:t>Rosenzweig</w:t>
      </w:r>
      <w:proofErr w:type="spellEnd"/>
      <w:r>
        <w:t>, E. (2020). Advancing empirical science in operations management research: A clarion call to action. Manufacturing and Service Operations Management, 22(1), 179–190. https://doi.org/10.1287/msom.2019.0829</w:t>
      </w:r>
    </w:p>
    <w:p w14:paraId="0F327E19" w14:textId="77777777" w:rsidR="00BE15A4" w:rsidRDefault="00BE15A4" w:rsidP="00BE15A4">
      <w:r>
        <w:t xml:space="preserve">Salmenperä, H., </w:t>
      </w:r>
      <w:proofErr w:type="spellStart"/>
      <w:r>
        <w:t>Pitkänen</w:t>
      </w:r>
      <w:proofErr w:type="spellEnd"/>
      <w:r>
        <w:t xml:space="preserve">, K., </w:t>
      </w:r>
      <w:proofErr w:type="spellStart"/>
      <w:r>
        <w:t>Kautto</w:t>
      </w:r>
      <w:proofErr w:type="spellEnd"/>
      <w:r>
        <w:t xml:space="preserve">, P., &amp; </w:t>
      </w:r>
      <w:proofErr w:type="spellStart"/>
      <w:r>
        <w:t>Saikku</w:t>
      </w:r>
      <w:proofErr w:type="spellEnd"/>
      <w:r>
        <w:t>, L. (2021). Critical factors for enhancing the circular economy in waste management. Journal of Cleaner Production, 280. https://doi.org/10.1016/j.jclepro.2020.124339</w:t>
      </w:r>
    </w:p>
    <w:p w14:paraId="1F1C4872" w14:textId="77777777" w:rsidR="00BE15A4" w:rsidRDefault="00BE15A4" w:rsidP="00BE15A4">
      <w:proofErr w:type="spellStart"/>
      <w:r>
        <w:t>Sancha</w:t>
      </w:r>
      <w:proofErr w:type="spellEnd"/>
      <w:r>
        <w:t xml:space="preserve">, C., Longoni, A., &amp; </w:t>
      </w:r>
      <w:proofErr w:type="spellStart"/>
      <w:r>
        <w:t>Giménez</w:t>
      </w:r>
      <w:proofErr w:type="spellEnd"/>
      <w:r>
        <w:t>, C. (2015). Sustainable supplier development practices: Drivers and enablers in a global context. Journal of Purchasing and Supply Management, 21(2), 95–102. https://doi.org/10.1016/j.pursup.2014.12.004</w:t>
      </w:r>
    </w:p>
    <w:p w14:paraId="1B13FC35" w14:textId="77777777" w:rsidR="00BE15A4" w:rsidRDefault="00BE15A4" w:rsidP="00BE15A4">
      <w:proofErr w:type="spellStart"/>
      <w:r>
        <w:t>Sarkis</w:t>
      </w:r>
      <w:proofErr w:type="spellEnd"/>
      <w:r>
        <w:t>, J., Zhu, Q., &amp; Lai, K. H. (2011). An organizational theoretic review of green supply chain management literature. International Journal of Production Economics, 130(1), 1–15. https://doi.org/10.1016/j.ijpe.2010.11.010</w:t>
      </w:r>
    </w:p>
    <w:p w14:paraId="68BF38F8" w14:textId="77777777" w:rsidR="00BE15A4" w:rsidRDefault="00BE15A4" w:rsidP="00BE15A4">
      <w:proofErr w:type="spellStart"/>
      <w:r>
        <w:t>Schoenherr</w:t>
      </w:r>
      <w:proofErr w:type="spellEnd"/>
      <w:r>
        <w:t xml:space="preserve">, T., &amp; </w:t>
      </w:r>
      <w:proofErr w:type="spellStart"/>
      <w:r>
        <w:t>Swink</w:t>
      </w:r>
      <w:proofErr w:type="spellEnd"/>
      <w:r>
        <w:t>, M. (2012). Revisiting the arcs of integration: Cross-validations and extensions. Journal of Operations Management, 30(1–2), 99–115. https://doi.org/10.1016/j.jom.2011.09.001</w:t>
      </w:r>
    </w:p>
    <w:p w14:paraId="0AF97962" w14:textId="77777777" w:rsidR="00BE15A4" w:rsidRDefault="00BE15A4" w:rsidP="00BE15A4">
      <w:r>
        <w:t xml:space="preserve">Seles, B. M. R. P., de Sousa </w:t>
      </w:r>
      <w:proofErr w:type="spellStart"/>
      <w:r>
        <w:t>Jabbour</w:t>
      </w:r>
      <w:proofErr w:type="spellEnd"/>
      <w:r>
        <w:t xml:space="preserve">, A. B. L., </w:t>
      </w:r>
      <w:proofErr w:type="spellStart"/>
      <w:r>
        <w:t>Jabbour</w:t>
      </w:r>
      <w:proofErr w:type="spellEnd"/>
      <w:r>
        <w:t xml:space="preserve">, C. J. C., &amp; </w:t>
      </w:r>
      <w:proofErr w:type="spellStart"/>
      <w:r>
        <w:t>Dangelico</w:t>
      </w:r>
      <w:proofErr w:type="spellEnd"/>
      <w:r>
        <w:t>, R. M. (2016). The green bullwhip effect, the diffusion of green supply chain practices, and institutional pressures: Evidence from the automotive sector. International Journal of Production Economics, 182, 342–355. https://doi.org/10.1016/j.ijpe.2016.08.033</w:t>
      </w:r>
    </w:p>
    <w:p w14:paraId="1FB25EAC" w14:textId="77777777" w:rsidR="00BE15A4" w:rsidRDefault="00BE15A4" w:rsidP="00BE15A4">
      <w:proofErr w:type="spellStart"/>
      <w:r>
        <w:t>Sihvonen</w:t>
      </w:r>
      <w:proofErr w:type="spellEnd"/>
      <w:r>
        <w:t xml:space="preserve">, S., &amp; </w:t>
      </w:r>
      <w:proofErr w:type="spellStart"/>
      <w:r>
        <w:t>Partanen</w:t>
      </w:r>
      <w:proofErr w:type="spellEnd"/>
      <w:r>
        <w:t>, J. (2017). Eco-design practices with a focus on quantitative environmental targets: An exploratory content analysis within ICT sector. Journal of Cleaner Production, 143, 769–783. https://doi.org/10.1016/j.jclepro.2016.12.047</w:t>
      </w:r>
    </w:p>
    <w:p w14:paraId="18E6BD8F" w14:textId="77777777" w:rsidR="00BE15A4" w:rsidRDefault="00BE15A4" w:rsidP="00BE15A4">
      <w:proofErr w:type="spellStart"/>
      <w:r>
        <w:t>Soosay</w:t>
      </w:r>
      <w:proofErr w:type="spellEnd"/>
      <w:r>
        <w:t>, C. A., Hyland, P. W., &amp; Ferrer, M. (2008). Supply chain collaboration: Capabilities for continuous innovation. Supply Chain Management, 13(2), 160–169. https://doi.org/10.1108/13598540810860994</w:t>
      </w:r>
    </w:p>
    <w:p w14:paraId="6702DEF4" w14:textId="77777777" w:rsidR="00BE15A4" w:rsidRDefault="00BE15A4" w:rsidP="00BE15A4">
      <w:r>
        <w:t>Stewart, R., &amp; Niero, M. (2018). Circular economy in corporate sustainability strategies: A review of corporate sustainability reports in the fast-moving consumer goods sector. Business Strategy and the Environment, 27(7), 1005–1022. https://doi.org/10.1002/bse.2048</w:t>
      </w:r>
    </w:p>
    <w:p w14:paraId="743025D5" w14:textId="77777777" w:rsidR="00BE15A4" w:rsidRDefault="00BE15A4" w:rsidP="00BE15A4">
      <w:r>
        <w:lastRenderedPageBreak/>
        <w:t xml:space="preserve">Tate, W. L., Ellram, L. M., &amp; </w:t>
      </w:r>
      <w:proofErr w:type="spellStart"/>
      <w:r>
        <w:t>Kirchoff</w:t>
      </w:r>
      <w:proofErr w:type="spellEnd"/>
      <w:r>
        <w:t>, J. F. (2010). Corporate social responsibility reports: A thematic analysis related to supply chain management. Journal of Supply Chain Management, 46(1), 19–44. https://doi.org/10.1111/j.1745-493X.2009.03184.x</w:t>
      </w:r>
    </w:p>
    <w:p w14:paraId="76284B7F" w14:textId="77777777" w:rsidR="00BE15A4" w:rsidRDefault="00BE15A4" w:rsidP="00BE15A4">
      <w:proofErr w:type="spellStart"/>
      <w:r>
        <w:t>Touboulic</w:t>
      </w:r>
      <w:proofErr w:type="spellEnd"/>
      <w:r>
        <w:t>, A., &amp; Walker, H. (2015). Theories in sustainable supply chain management: A structured literature review. In International Journal of Physical Distribution and Logistics Management (Vol. 45, pp. 16–42). Emerald Group Publishing Ltd. https://doi.org/10.1108/IJPDLM-05-2013-0106</w:t>
      </w:r>
    </w:p>
    <w:p w14:paraId="02E52F5E" w14:textId="77777777" w:rsidR="00BE15A4" w:rsidRDefault="00BE15A4" w:rsidP="00BE15A4">
      <w:proofErr w:type="spellStart"/>
      <w:r>
        <w:t>Widmer</w:t>
      </w:r>
      <w:proofErr w:type="spellEnd"/>
      <w:r>
        <w:t xml:space="preserve">, T., &amp; Prior, D. (2019). Institutional Isomorphism, Institutional Logics and Organisational Fields: An Institutionalist Perspective on Circular Economy. Proceedings of the Spring </w:t>
      </w:r>
      <w:proofErr w:type="spellStart"/>
      <w:r>
        <w:t>Servitization</w:t>
      </w:r>
      <w:proofErr w:type="spellEnd"/>
      <w:r>
        <w:t xml:space="preserve"> Conference 2019, May.</w:t>
      </w:r>
    </w:p>
    <w:p w14:paraId="2D56CFBD" w14:textId="77777777" w:rsidR="00BE15A4" w:rsidRDefault="00BE15A4" w:rsidP="00BE15A4">
      <w:r w:rsidRPr="00BE15A4">
        <w:rPr>
          <w:lang w:val="sv-SE"/>
        </w:rPr>
        <w:t xml:space="preserve">Wiengarten, F., Li, H., Singh, P. J., &amp; Fynes, B. (2019). </w:t>
      </w:r>
      <w:r>
        <w:t>Re-evaluating supply chain integration and firm performance: linking operations strategy to supply chain strategy. Supply Chain Management, 24(4), 540–559. https://doi.org/10.1108/SCM-05-2018-0189</w:t>
      </w:r>
    </w:p>
    <w:p w14:paraId="766C4E0A" w14:textId="77777777" w:rsidR="00BE15A4" w:rsidRDefault="00BE15A4" w:rsidP="00BE15A4">
      <w:r>
        <w:t>Wiengarten, F., &amp; Longoni, A. (2015). A nuanced view on supply chain integration: A coordinative and collaborative approach to operational and sustainability performance improvement. Supply Chain Management, 20(2), 139–150. https://doi.org/10.1108/SCM-04-2014-0120</w:t>
      </w:r>
    </w:p>
    <w:p w14:paraId="33FAD84F" w14:textId="77777777" w:rsidR="00BE15A4" w:rsidRDefault="00BE15A4" w:rsidP="00BE15A4">
      <w:r>
        <w:t>Wong, C. Y., Wong, C. W. Y., &amp; Boon-</w:t>
      </w:r>
      <w:proofErr w:type="spellStart"/>
      <w:r>
        <w:t>itt</w:t>
      </w:r>
      <w:proofErr w:type="spellEnd"/>
      <w:r>
        <w:t>, S. (2020). Effects of green supply chain integration and green innovation on environmental and cost performance. International Journal of Production Research, 0(0), 1–21. https://doi.org/10.1080/00207543.2020.1756510</w:t>
      </w:r>
    </w:p>
    <w:p w14:paraId="39492026" w14:textId="77777777" w:rsidR="00BE15A4" w:rsidRDefault="00BE15A4" w:rsidP="00BE15A4">
      <w:r>
        <w:t>Zeng, H., Chen, X., Xiao, X., &amp; Zhou, Z. (2017). Institutional pressures, sustainable supply chain management, and circular economy capability: Empirical evidence from Chinese eco-industrial park firms. Journal of Cleaner Production, 155(May 2014), 54–65. https://doi.org/10.1016/j.jclepro.2016.10.093</w:t>
      </w:r>
    </w:p>
    <w:p w14:paraId="4563164A" w14:textId="77777777" w:rsidR="00BE15A4" w:rsidRDefault="00BE15A4" w:rsidP="00BE15A4">
      <w:r w:rsidRPr="00BE15A4">
        <w:rPr>
          <w:lang w:val="de-DE"/>
        </w:rPr>
        <w:t xml:space="preserve">Zhu, Q., Geng, Y., &amp; Lai, K. hung. </w:t>
      </w:r>
      <w:r>
        <w:t>(2010). Circular economy practices among Chinese manufacturers varying in environmental-oriented supply chain cooperation and the performance implications. Journal of Environmental Management, 91(6), 1324–1331. https://doi.org/10.1016/j.jenvman.2010.02.013</w:t>
      </w:r>
    </w:p>
    <w:p w14:paraId="055AEF7A" w14:textId="77777777" w:rsidR="00BE15A4" w:rsidRDefault="00BE15A4" w:rsidP="00BE15A4">
      <w:r>
        <w:t xml:space="preserve">Zhu, Q., </w:t>
      </w:r>
      <w:proofErr w:type="spellStart"/>
      <w:r>
        <w:t>Sarkis</w:t>
      </w:r>
      <w:proofErr w:type="spellEnd"/>
      <w:r>
        <w:t xml:space="preserve">, J., &amp; Lai, K. hung. (2013). Institutional-based antecedents and performance outcomes of internal and external green supply chain management practices. Journal of </w:t>
      </w:r>
      <w:r>
        <w:lastRenderedPageBreak/>
        <w:t>Purchasing and Supply Management, 19(2), 106–117. https://doi.org/10.1016/j.pursup.2012.12.001</w:t>
      </w:r>
    </w:p>
    <w:p w14:paraId="0CA1BF97" w14:textId="5B7CD5A0" w:rsidR="00BE15A4" w:rsidRDefault="00BE15A4" w:rsidP="00BE15A4">
      <w:r>
        <w:t xml:space="preserve">Zink, T., &amp; Geyer, R. (2017). Circular Economy Rebound. Journal of Industrial Ecology, 21(3), 593–602. </w:t>
      </w:r>
      <w:hyperlink r:id="rId57" w:history="1">
        <w:r w:rsidRPr="00E13EDD">
          <w:rPr>
            <w:rStyle w:val="Hyperlink"/>
          </w:rPr>
          <w:t>https://doi.org/10.1111/jiec.12545</w:t>
        </w:r>
      </w:hyperlink>
    </w:p>
    <w:p w14:paraId="28725A6B" w14:textId="77777777" w:rsidR="00BE15A4" w:rsidRDefault="00BE15A4">
      <w:pPr>
        <w:spacing w:line="259" w:lineRule="auto"/>
        <w:jc w:val="left"/>
      </w:pPr>
      <w:r>
        <w:br w:type="page"/>
      </w:r>
    </w:p>
    <w:p w14:paraId="0D35CCC8" w14:textId="12849C30" w:rsidR="00BE15A4" w:rsidRDefault="00BE15A4" w:rsidP="00BE15A4">
      <w:pPr>
        <w:pStyle w:val="Heading2"/>
        <w:numPr>
          <w:ilvl w:val="0"/>
          <w:numId w:val="0"/>
        </w:numPr>
        <w:ind w:left="357" w:hanging="357"/>
      </w:pPr>
      <w:bookmarkStart w:id="38" w:name="_Toc157759500"/>
      <w:r w:rsidRPr="00BE15A4">
        <w:lastRenderedPageBreak/>
        <w:t xml:space="preserve">Appendix </w:t>
      </w:r>
      <w:r w:rsidR="00A36EEC">
        <w:t>2</w:t>
      </w:r>
      <w:r w:rsidRPr="00BE15A4">
        <w:t>A</w:t>
      </w:r>
      <w:bookmarkEnd w:id="38"/>
      <w:r w:rsidRPr="00BE15A4">
        <w:t xml:space="preserve"> </w:t>
      </w:r>
    </w:p>
    <w:p w14:paraId="2775B6CF" w14:textId="6446DA69" w:rsidR="00BE15A4" w:rsidRPr="00BE15A4" w:rsidRDefault="00BE15A4" w:rsidP="00BE15A4">
      <w:r w:rsidRPr="00BE15A4">
        <w:t xml:space="preserve">Classification dimensions of a CS Report. LOI: level of implementation (0: no practice; 1: conceptual; 2: testing; 3: early implementation; 4: company implementation) SC: Supply Chain involvement in that CE practice (yes - no) </w:t>
      </w:r>
    </w:p>
    <w:tbl>
      <w:tblPr>
        <w:tblStyle w:val="TableGrid8"/>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6"/>
        <w:gridCol w:w="2689"/>
        <w:gridCol w:w="2580"/>
        <w:gridCol w:w="867"/>
        <w:gridCol w:w="812"/>
      </w:tblGrid>
      <w:tr w:rsidR="00BE15A4" w:rsidRPr="00BE15A4" w14:paraId="10FD3F0D" w14:textId="77777777" w:rsidTr="007B6F6D">
        <w:trPr>
          <w:trHeight w:val="354"/>
          <w:jc w:val="center"/>
        </w:trPr>
        <w:tc>
          <w:tcPr>
            <w:tcW w:w="1272" w:type="dxa"/>
            <w:tcBorders>
              <w:top w:val="single" w:sz="4" w:space="0" w:color="auto"/>
              <w:bottom w:val="single" w:sz="4" w:space="0" w:color="auto"/>
            </w:tcBorders>
          </w:tcPr>
          <w:p w14:paraId="69F2D9F8"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Category</w:t>
            </w:r>
          </w:p>
        </w:tc>
        <w:tc>
          <w:tcPr>
            <w:tcW w:w="3283" w:type="dxa"/>
            <w:tcBorders>
              <w:top w:val="single" w:sz="4" w:space="0" w:color="auto"/>
              <w:bottom w:val="single" w:sz="4" w:space="0" w:color="auto"/>
            </w:tcBorders>
          </w:tcPr>
          <w:p w14:paraId="24A0F6D5"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Sub-category</w:t>
            </w:r>
          </w:p>
        </w:tc>
        <w:tc>
          <w:tcPr>
            <w:tcW w:w="3228" w:type="dxa"/>
            <w:tcBorders>
              <w:top w:val="single" w:sz="4" w:space="0" w:color="auto"/>
              <w:bottom w:val="single" w:sz="4" w:space="0" w:color="auto"/>
            </w:tcBorders>
          </w:tcPr>
          <w:p w14:paraId="4E2A06E5"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sz w:val="20"/>
                <w:szCs w:val="20"/>
              </w:rPr>
              <w:t>Code</w:t>
            </w:r>
          </w:p>
        </w:tc>
        <w:tc>
          <w:tcPr>
            <w:tcW w:w="583" w:type="dxa"/>
            <w:tcBorders>
              <w:top w:val="single" w:sz="4" w:space="0" w:color="auto"/>
              <w:bottom w:val="single" w:sz="4" w:space="0" w:color="auto"/>
            </w:tcBorders>
          </w:tcPr>
          <w:p w14:paraId="3D575DE7"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sz w:val="20"/>
                <w:szCs w:val="20"/>
              </w:rPr>
              <w:t>LOI</w:t>
            </w:r>
          </w:p>
        </w:tc>
        <w:tc>
          <w:tcPr>
            <w:tcW w:w="699" w:type="dxa"/>
            <w:tcBorders>
              <w:top w:val="single" w:sz="4" w:space="0" w:color="auto"/>
              <w:bottom w:val="single" w:sz="4" w:space="0" w:color="auto"/>
            </w:tcBorders>
          </w:tcPr>
          <w:p w14:paraId="5BBA312C"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sz w:val="20"/>
                <w:szCs w:val="20"/>
              </w:rPr>
              <w:t>SC</w:t>
            </w:r>
          </w:p>
        </w:tc>
      </w:tr>
      <w:tr w:rsidR="00BE15A4" w:rsidRPr="00BE15A4" w14:paraId="3EBD4535" w14:textId="77777777" w:rsidTr="007B6F6D">
        <w:trPr>
          <w:jc w:val="center"/>
        </w:trPr>
        <w:tc>
          <w:tcPr>
            <w:tcW w:w="1272" w:type="dxa"/>
            <w:vMerge w:val="restart"/>
            <w:tcBorders>
              <w:top w:val="single" w:sz="4" w:space="0" w:color="auto"/>
            </w:tcBorders>
          </w:tcPr>
          <w:p w14:paraId="5E6895EF"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General Information</w:t>
            </w:r>
          </w:p>
        </w:tc>
        <w:tc>
          <w:tcPr>
            <w:tcW w:w="3283" w:type="dxa"/>
            <w:tcBorders>
              <w:top w:val="single" w:sz="4" w:space="0" w:color="auto"/>
              <w:bottom w:val="nil"/>
            </w:tcBorders>
          </w:tcPr>
          <w:p w14:paraId="6D4CE536"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Organisation name</w:t>
            </w:r>
          </w:p>
        </w:tc>
        <w:tc>
          <w:tcPr>
            <w:tcW w:w="3228" w:type="dxa"/>
            <w:tcBorders>
              <w:top w:val="single" w:sz="4" w:space="0" w:color="auto"/>
              <w:bottom w:val="nil"/>
            </w:tcBorders>
          </w:tcPr>
          <w:p w14:paraId="3A023E55"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Company A</w:t>
            </w:r>
          </w:p>
        </w:tc>
        <w:tc>
          <w:tcPr>
            <w:tcW w:w="583" w:type="dxa"/>
            <w:tcBorders>
              <w:top w:val="single" w:sz="4" w:space="0" w:color="auto"/>
              <w:bottom w:val="nil"/>
            </w:tcBorders>
          </w:tcPr>
          <w:p w14:paraId="031E0425"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single" w:sz="4" w:space="0" w:color="auto"/>
              <w:bottom w:val="nil"/>
            </w:tcBorders>
          </w:tcPr>
          <w:p w14:paraId="3191BAF0"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35D4FB70" w14:textId="77777777" w:rsidTr="007B6F6D">
        <w:trPr>
          <w:jc w:val="center"/>
        </w:trPr>
        <w:tc>
          <w:tcPr>
            <w:tcW w:w="1272" w:type="dxa"/>
            <w:vMerge/>
          </w:tcPr>
          <w:p w14:paraId="7E14DFB0"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bottom w:val="nil"/>
            </w:tcBorders>
          </w:tcPr>
          <w:p w14:paraId="01D65030"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sz w:val="20"/>
                <w:szCs w:val="20"/>
              </w:rPr>
              <w:t>Industry</w:t>
            </w:r>
          </w:p>
        </w:tc>
        <w:tc>
          <w:tcPr>
            <w:tcW w:w="3228" w:type="dxa"/>
            <w:tcBorders>
              <w:top w:val="nil"/>
              <w:bottom w:val="nil"/>
            </w:tcBorders>
          </w:tcPr>
          <w:p w14:paraId="15CEEE9F" w14:textId="77777777" w:rsidR="00BE15A4" w:rsidRPr="00BE15A4" w:rsidRDefault="00BE15A4" w:rsidP="00BE15A4">
            <w:pPr>
              <w:spacing w:line="240" w:lineRule="auto"/>
              <w:rPr>
                <w:rFonts w:ascii="Times New Roman" w:eastAsia="Times New Roman" w:hAnsi="Times New Roman"/>
                <w:sz w:val="20"/>
                <w:szCs w:val="20"/>
              </w:rPr>
            </w:pPr>
            <w:r w:rsidRPr="00BE15A4">
              <w:rPr>
                <w:rFonts w:asciiTheme="majorBidi" w:eastAsia="Times New Roman" w:hAnsiTheme="majorBidi" w:cstheme="majorBidi"/>
                <w:bCs/>
                <w:sz w:val="20"/>
                <w:szCs w:val="20"/>
              </w:rPr>
              <w:t>Energy</w:t>
            </w:r>
            <w:r w:rsidRPr="00BE15A4">
              <w:rPr>
                <w:rFonts w:asciiTheme="majorBidi" w:eastAsia="Times New Roman" w:hAnsiTheme="majorBidi" w:cstheme="majorBidi"/>
                <w:bCs/>
                <w:sz w:val="20"/>
                <w:szCs w:val="20"/>
              </w:rPr>
              <w:br/>
              <w:t>Petroleum Refining</w:t>
            </w:r>
          </w:p>
        </w:tc>
        <w:tc>
          <w:tcPr>
            <w:tcW w:w="583" w:type="dxa"/>
            <w:tcBorders>
              <w:top w:val="nil"/>
              <w:bottom w:val="nil"/>
            </w:tcBorders>
          </w:tcPr>
          <w:p w14:paraId="3EA5118C"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bottom w:val="nil"/>
            </w:tcBorders>
          </w:tcPr>
          <w:p w14:paraId="5D9EF2C9"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44D22264" w14:textId="77777777" w:rsidTr="007B6F6D">
        <w:trPr>
          <w:jc w:val="center"/>
        </w:trPr>
        <w:tc>
          <w:tcPr>
            <w:tcW w:w="1272" w:type="dxa"/>
            <w:vMerge/>
          </w:tcPr>
          <w:p w14:paraId="46BEB92D"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tcBorders>
          </w:tcPr>
          <w:p w14:paraId="1DD2C3C0"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sz w:val="20"/>
                <w:szCs w:val="20"/>
              </w:rPr>
              <w:t>Country of the Headquarter</w:t>
            </w:r>
          </w:p>
        </w:tc>
        <w:tc>
          <w:tcPr>
            <w:tcW w:w="3228" w:type="dxa"/>
            <w:tcBorders>
              <w:top w:val="nil"/>
            </w:tcBorders>
          </w:tcPr>
          <w:p w14:paraId="39AC4C68" w14:textId="77777777" w:rsidR="00BE15A4" w:rsidRPr="00BE15A4" w:rsidRDefault="00BE15A4" w:rsidP="00BE15A4">
            <w:pPr>
              <w:spacing w:line="240" w:lineRule="auto"/>
              <w:rPr>
                <w:rFonts w:ascii="Times New Roman" w:eastAsia="Times New Roman" w:hAnsi="Times New Roman"/>
                <w:sz w:val="20"/>
                <w:szCs w:val="20"/>
              </w:rPr>
            </w:pPr>
            <w:r w:rsidRPr="00BE15A4">
              <w:rPr>
                <w:rFonts w:asciiTheme="majorBidi" w:eastAsia="Times New Roman" w:hAnsiTheme="majorBidi" w:cstheme="majorBidi"/>
                <w:bCs/>
                <w:sz w:val="20"/>
                <w:szCs w:val="20"/>
              </w:rPr>
              <w:t>The Netherlands</w:t>
            </w:r>
          </w:p>
        </w:tc>
        <w:tc>
          <w:tcPr>
            <w:tcW w:w="583" w:type="dxa"/>
            <w:tcBorders>
              <w:top w:val="nil"/>
            </w:tcBorders>
          </w:tcPr>
          <w:p w14:paraId="21FBF957"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tcBorders>
          </w:tcPr>
          <w:p w14:paraId="5A9943FD"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0A1834C1" w14:textId="77777777" w:rsidTr="007B6F6D">
        <w:trPr>
          <w:jc w:val="center"/>
        </w:trPr>
        <w:tc>
          <w:tcPr>
            <w:tcW w:w="1272" w:type="dxa"/>
            <w:vMerge/>
          </w:tcPr>
          <w:p w14:paraId="4C7E3C3B"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Pr>
          <w:p w14:paraId="21D97E79"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sz w:val="20"/>
                <w:szCs w:val="20"/>
              </w:rPr>
              <w:t>Report analysed</w:t>
            </w:r>
          </w:p>
        </w:tc>
        <w:tc>
          <w:tcPr>
            <w:tcW w:w="3228" w:type="dxa"/>
          </w:tcPr>
          <w:p w14:paraId="2FD5B609" w14:textId="77777777" w:rsidR="00BE15A4" w:rsidRPr="00BE15A4" w:rsidRDefault="00BE15A4" w:rsidP="00BE15A4">
            <w:pPr>
              <w:spacing w:line="240" w:lineRule="auto"/>
              <w:rPr>
                <w:rFonts w:ascii="Times New Roman" w:eastAsia="Times New Roman" w:hAnsi="Times New Roman"/>
                <w:sz w:val="20"/>
                <w:szCs w:val="20"/>
              </w:rPr>
            </w:pPr>
            <w:r w:rsidRPr="00BE15A4">
              <w:rPr>
                <w:rFonts w:asciiTheme="majorBidi" w:eastAsia="Times New Roman" w:hAnsiTheme="majorBidi" w:cstheme="majorBidi"/>
                <w:bCs/>
                <w:sz w:val="20"/>
                <w:szCs w:val="20"/>
              </w:rPr>
              <w:t>Sustainability Report 2018</w:t>
            </w:r>
          </w:p>
        </w:tc>
        <w:tc>
          <w:tcPr>
            <w:tcW w:w="583" w:type="dxa"/>
          </w:tcPr>
          <w:p w14:paraId="34B53516"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Pr>
          <w:p w14:paraId="26C26137"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0F86AEA6" w14:textId="77777777" w:rsidTr="007B6F6D">
        <w:trPr>
          <w:jc w:val="center"/>
        </w:trPr>
        <w:tc>
          <w:tcPr>
            <w:tcW w:w="1272" w:type="dxa"/>
            <w:vMerge/>
            <w:tcBorders>
              <w:bottom w:val="single" w:sz="4" w:space="0" w:color="auto"/>
            </w:tcBorders>
          </w:tcPr>
          <w:p w14:paraId="5DAC8550"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bottom w:val="single" w:sz="4" w:space="0" w:color="auto"/>
            </w:tcBorders>
          </w:tcPr>
          <w:p w14:paraId="3E83268E"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sz w:val="20"/>
                <w:szCs w:val="20"/>
              </w:rPr>
              <w:t>Year of the Report</w:t>
            </w:r>
          </w:p>
        </w:tc>
        <w:tc>
          <w:tcPr>
            <w:tcW w:w="3228" w:type="dxa"/>
            <w:tcBorders>
              <w:bottom w:val="single" w:sz="4" w:space="0" w:color="auto"/>
            </w:tcBorders>
          </w:tcPr>
          <w:p w14:paraId="486ADCEB" w14:textId="77777777" w:rsidR="00BE15A4" w:rsidRPr="00BE15A4" w:rsidRDefault="00BE15A4" w:rsidP="00BE15A4">
            <w:pPr>
              <w:spacing w:line="240" w:lineRule="auto"/>
              <w:rPr>
                <w:rFonts w:ascii="Times New Roman" w:eastAsia="Times New Roman" w:hAnsi="Times New Roman"/>
                <w:sz w:val="20"/>
                <w:szCs w:val="20"/>
              </w:rPr>
            </w:pPr>
            <w:r w:rsidRPr="00BE15A4">
              <w:rPr>
                <w:rFonts w:asciiTheme="majorBidi" w:eastAsia="Times New Roman" w:hAnsiTheme="majorBidi" w:cstheme="majorBidi"/>
                <w:bCs/>
                <w:sz w:val="20"/>
                <w:szCs w:val="20"/>
              </w:rPr>
              <w:t>2018</w:t>
            </w:r>
          </w:p>
        </w:tc>
        <w:tc>
          <w:tcPr>
            <w:tcW w:w="583" w:type="dxa"/>
            <w:tcBorders>
              <w:bottom w:val="single" w:sz="4" w:space="0" w:color="auto"/>
            </w:tcBorders>
          </w:tcPr>
          <w:p w14:paraId="46A9FA37"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bottom w:val="single" w:sz="4" w:space="0" w:color="auto"/>
            </w:tcBorders>
          </w:tcPr>
          <w:p w14:paraId="01F0D777"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71035BA4" w14:textId="77777777" w:rsidTr="007B6F6D">
        <w:trPr>
          <w:jc w:val="center"/>
        </w:trPr>
        <w:tc>
          <w:tcPr>
            <w:tcW w:w="1272" w:type="dxa"/>
            <w:vMerge w:val="restart"/>
            <w:tcBorders>
              <w:top w:val="single" w:sz="4" w:space="0" w:color="auto"/>
              <w:left w:val="nil"/>
              <w:bottom w:val="nil"/>
              <w:right w:val="nil"/>
            </w:tcBorders>
          </w:tcPr>
          <w:p w14:paraId="3CE6D58C"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Circular Economy practices</w:t>
            </w:r>
          </w:p>
        </w:tc>
        <w:tc>
          <w:tcPr>
            <w:tcW w:w="3283" w:type="dxa"/>
            <w:tcBorders>
              <w:top w:val="single" w:sz="4" w:space="0" w:color="auto"/>
              <w:left w:val="nil"/>
              <w:bottom w:val="nil"/>
              <w:right w:val="nil"/>
            </w:tcBorders>
          </w:tcPr>
          <w:p w14:paraId="7E9B3206"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sz w:val="20"/>
                <w:szCs w:val="20"/>
              </w:rPr>
              <w:t>"Circular Economy" occurrences in the report</w:t>
            </w:r>
          </w:p>
        </w:tc>
        <w:tc>
          <w:tcPr>
            <w:tcW w:w="3228" w:type="dxa"/>
            <w:tcBorders>
              <w:top w:val="single" w:sz="4" w:space="0" w:color="auto"/>
              <w:left w:val="nil"/>
              <w:bottom w:val="nil"/>
              <w:right w:val="nil"/>
            </w:tcBorders>
          </w:tcPr>
          <w:p w14:paraId="22DB0C0A" w14:textId="77777777" w:rsidR="00BE15A4" w:rsidRPr="00BE15A4" w:rsidRDefault="00BE15A4" w:rsidP="00BE15A4">
            <w:pPr>
              <w:spacing w:line="240" w:lineRule="auto"/>
              <w:rPr>
                <w:rFonts w:ascii="Times New Roman" w:eastAsia="Times New Roman" w:hAnsi="Times New Roman"/>
                <w:sz w:val="20"/>
                <w:szCs w:val="20"/>
              </w:rPr>
            </w:pPr>
            <w:r w:rsidRPr="00BE15A4">
              <w:rPr>
                <w:rFonts w:asciiTheme="majorBidi" w:eastAsia="Times New Roman" w:hAnsiTheme="majorBidi" w:cstheme="majorBidi"/>
                <w:bCs/>
                <w:sz w:val="20"/>
                <w:szCs w:val="20"/>
              </w:rPr>
              <w:t>2</w:t>
            </w:r>
          </w:p>
        </w:tc>
        <w:tc>
          <w:tcPr>
            <w:tcW w:w="583" w:type="dxa"/>
            <w:tcBorders>
              <w:top w:val="single" w:sz="4" w:space="0" w:color="auto"/>
              <w:left w:val="nil"/>
              <w:bottom w:val="nil"/>
              <w:right w:val="nil"/>
            </w:tcBorders>
          </w:tcPr>
          <w:p w14:paraId="486998D9"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single" w:sz="4" w:space="0" w:color="auto"/>
              <w:left w:val="nil"/>
              <w:bottom w:val="nil"/>
              <w:right w:val="nil"/>
            </w:tcBorders>
          </w:tcPr>
          <w:p w14:paraId="1619A609"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344030F7" w14:textId="77777777" w:rsidTr="007B6F6D">
        <w:trPr>
          <w:jc w:val="center"/>
        </w:trPr>
        <w:tc>
          <w:tcPr>
            <w:tcW w:w="1272" w:type="dxa"/>
            <w:vMerge/>
            <w:tcBorders>
              <w:top w:val="nil"/>
              <w:left w:val="nil"/>
              <w:bottom w:val="nil"/>
              <w:right w:val="nil"/>
            </w:tcBorders>
          </w:tcPr>
          <w:p w14:paraId="28DFA182"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vMerge w:val="restart"/>
            <w:tcBorders>
              <w:top w:val="nil"/>
              <w:left w:val="nil"/>
              <w:bottom w:val="nil"/>
              <w:right w:val="nil"/>
            </w:tcBorders>
          </w:tcPr>
          <w:p w14:paraId="2643C6AE"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Reduce practices</w:t>
            </w:r>
          </w:p>
        </w:tc>
        <w:tc>
          <w:tcPr>
            <w:tcW w:w="3228" w:type="dxa"/>
            <w:tcBorders>
              <w:top w:val="nil"/>
              <w:left w:val="nil"/>
              <w:bottom w:val="nil"/>
              <w:right w:val="nil"/>
            </w:tcBorders>
          </w:tcPr>
          <w:p w14:paraId="1129BB82"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Redesign packaging for resource recovery</w:t>
            </w:r>
          </w:p>
        </w:tc>
        <w:tc>
          <w:tcPr>
            <w:tcW w:w="583" w:type="dxa"/>
            <w:tcBorders>
              <w:top w:val="nil"/>
              <w:left w:val="nil"/>
              <w:bottom w:val="nil"/>
              <w:right w:val="nil"/>
            </w:tcBorders>
          </w:tcPr>
          <w:p w14:paraId="090B29D8"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2</w:t>
            </w:r>
          </w:p>
          <w:p w14:paraId="0C50FF1D"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left w:val="nil"/>
              <w:bottom w:val="nil"/>
              <w:right w:val="nil"/>
            </w:tcBorders>
          </w:tcPr>
          <w:p w14:paraId="1A57C57E"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No</w:t>
            </w:r>
          </w:p>
        </w:tc>
      </w:tr>
      <w:tr w:rsidR="00BE15A4" w:rsidRPr="00BE15A4" w14:paraId="05021A96" w14:textId="77777777" w:rsidTr="007B6F6D">
        <w:trPr>
          <w:jc w:val="center"/>
        </w:trPr>
        <w:tc>
          <w:tcPr>
            <w:tcW w:w="1272" w:type="dxa"/>
            <w:vMerge/>
            <w:tcBorders>
              <w:top w:val="nil"/>
              <w:left w:val="nil"/>
              <w:bottom w:val="nil"/>
              <w:right w:val="nil"/>
            </w:tcBorders>
          </w:tcPr>
          <w:p w14:paraId="1DA3446E"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vMerge/>
            <w:tcBorders>
              <w:top w:val="nil"/>
              <w:left w:val="nil"/>
              <w:bottom w:val="nil"/>
              <w:right w:val="nil"/>
            </w:tcBorders>
          </w:tcPr>
          <w:p w14:paraId="1B84FB7E"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28" w:type="dxa"/>
            <w:tcBorders>
              <w:top w:val="nil"/>
              <w:left w:val="nil"/>
              <w:bottom w:val="nil"/>
              <w:right w:val="nil"/>
            </w:tcBorders>
          </w:tcPr>
          <w:p w14:paraId="57B0C7D8"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583" w:type="dxa"/>
            <w:tcBorders>
              <w:top w:val="nil"/>
              <w:left w:val="nil"/>
              <w:bottom w:val="nil"/>
              <w:right w:val="nil"/>
            </w:tcBorders>
          </w:tcPr>
          <w:p w14:paraId="33EF96B7"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4</w:t>
            </w:r>
          </w:p>
        </w:tc>
        <w:tc>
          <w:tcPr>
            <w:tcW w:w="699" w:type="dxa"/>
            <w:tcBorders>
              <w:top w:val="nil"/>
              <w:left w:val="nil"/>
              <w:bottom w:val="nil"/>
              <w:right w:val="nil"/>
            </w:tcBorders>
          </w:tcPr>
          <w:p w14:paraId="0975BDE1"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Yes</w:t>
            </w:r>
          </w:p>
        </w:tc>
      </w:tr>
      <w:tr w:rsidR="00BE15A4" w:rsidRPr="00BE15A4" w14:paraId="0BEA7EC0" w14:textId="77777777" w:rsidTr="007B6F6D">
        <w:trPr>
          <w:jc w:val="center"/>
        </w:trPr>
        <w:tc>
          <w:tcPr>
            <w:tcW w:w="1272" w:type="dxa"/>
            <w:vMerge/>
            <w:tcBorders>
              <w:top w:val="nil"/>
              <w:left w:val="nil"/>
              <w:bottom w:val="nil"/>
              <w:right w:val="nil"/>
            </w:tcBorders>
          </w:tcPr>
          <w:p w14:paraId="3CC2A8A9"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left w:val="nil"/>
              <w:bottom w:val="nil"/>
              <w:right w:val="nil"/>
            </w:tcBorders>
          </w:tcPr>
          <w:p w14:paraId="12CD2FC4"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 xml:space="preserve">Renewable Energy &amp; Resource Efficiency practices </w:t>
            </w:r>
          </w:p>
        </w:tc>
        <w:tc>
          <w:tcPr>
            <w:tcW w:w="3228" w:type="dxa"/>
            <w:tcBorders>
              <w:top w:val="nil"/>
              <w:left w:val="nil"/>
              <w:bottom w:val="nil"/>
              <w:right w:val="nil"/>
            </w:tcBorders>
          </w:tcPr>
          <w:p w14:paraId="64AE39E8" w14:textId="77777777" w:rsidR="00BE15A4" w:rsidRPr="00BE15A4" w:rsidRDefault="00BE15A4" w:rsidP="00BE15A4">
            <w:pPr>
              <w:spacing w:line="240" w:lineRule="auto"/>
              <w:rPr>
                <w:rFonts w:asciiTheme="majorBidi" w:eastAsia="Times New Roman" w:hAnsiTheme="majorBidi" w:cstheme="majorBidi"/>
                <w:sz w:val="20"/>
                <w:szCs w:val="20"/>
              </w:rPr>
            </w:pPr>
            <w:r w:rsidRPr="00BE15A4">
              <w:rPr>
                <w:rFonts w:asciiTheme="majorBidi" w:eastAsia="Times New Roman" w:hAnsiTheme="majorBidi" w:cstheme="majorBidi"/>
                <w:bCs/>
                <w:sz w:val="20"/>
                <w:szCs w:val="20"/>
              </w:rPr>
              <w:t xml:space="preserve">Incremental improvement of </w:t>
            </w:r>
          </w:p>
        </w:tc>
        <w:tc>
          <w:tcPr>
            <w:tcW w:w="583" w:type="dxa"/>
            <w:tcBorders>
              <w:top w:val="nil"/>
              <w:left w:val="nil"/>
              <w:bottom w:val="nil"/>
              <w:right w:val="nil"/>
            </w:tcBorders>
          </w:tcPr>
          <w:p w14:paraId="0AF072F8"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0</w:t>
            </w:r>
          </w:p>
        </w:tc>
        <w:tc>
          <w:tcPr>
            <w:tcW w:w="699" w:type="dxa"/>
            <w:tcBorders>
              <w:top w:val="nil"/>
              <w:left w:val="nil"/>
              <w:bottom w:val="nil"/>
              <w:right w:val="nil"/>
            </w:tcBorders>
          </w:tcPr>
          <w:p w14:paraId="457746F8"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2E51B300" w14:textId="77777777" w:rsidTr="007B6F6D">
        <w:trPr>
          <w:jc w:val="center"/>
        </w:trPr>
        <w:tc>
          <w:tcPr>
            <w:tcW w:w="1272" w:type="dxa"/>
            <w:vMerge/>
            <w:tcBorders>
              <w:top w:val="nil"/>
              <w:left w:val="nil"/>
              <w:bottom w:val="nil"/>
              <w:right w:val="nil"/>
            </w:tcBorders>
          </w:tcPr>
          <w:p w14:paraId="3E0D3962"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left w:val="nil"/>
              <w:bottom w:val="nil"/>
              <w:right w:val="nil"/>
            </w:tcBorders>
          </w:tcPr>
          <w:p w14:paraId="1C5F2FD5"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Reuse practices</w:t>
            </w:r>
          </w:p>
        </w:tc>
        <w:tc>
          <w:tcPr>
            <w:tcW w:w="3228" w:type="dxa"/>
            <w:tcBorders>
              <w:top w:val="nil"/>
              <w:left w:val="nil"/>
              <w:bottom w:val="nil"/>
              <w:right w:val="nil"/>
            </w:tcBorders>
          </w:tcPr>
          <w:p w14:paraId="0ABABFF2" w14:textId="77777777" w:rsidR="00BE15A4" w:rsidRPr="00BE15A4" w:rsidRDefault="00BE15A4" w:rsidP="00BE15A4">
            <w:pPr>
              <w:spacing w:line="240" w:lineRule="auto"/>
              <w:rPr>
                <w:rFonts w:asciiTheme="majorBidi" w:eastAsia="Times New Roman" w:hAnsiTheme="majorBidi" w:cstheme="majorBidi"/>
                <w:sz w:val="20"/>
                <w:szCs w:val="20"/>
              </w:rPr>
            </w:pPr>
            <w:r w:rsidRPr="00BE15A4">
              <w:rPr>
                <w:rFonts w:asciiTheme="majorBidi" w:eastAsia="Times New Roman" w:hAnsiTheme="majorBidi" w:cstheme="majorBidi"/>
                <w:bCs/>
                <w:sz w:val="20"/>
                <w:szCs w:val="20"/>
              </w:rPr>
              <w:t>No practice</w:t>
            </w:r>
          </w:p>
        </w:tc>
        <w:tc>
          <w:tcPr>
            <w:tcW w:w="583" w:type="dxa"/>
            <w:tcBorders>
              <w:top w:val="nil"/>
              <w:left w:val="nil"/>
              <w:bottom w:val="nil"/>
              <w:right w:val="nil"/>
            </w:tcBorders>
          </w:tcPr>
          <w:p w14:paraId="396257EB"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0</w:t>
            </w:r>
          </w:p>
        </w:tc>
        <w:tc>
          <w:tcPr>
            <w:tcW w:w="699" w:type="dxa"/>
            <w:tcBorders>
              <w:top w:val="nil"/>
              <w:left w:val="nil"/>
              <w:bottom w:val="nil"/>
              <w:right w:val="nil"/>
            </w:tcBorders>
          </w:tcPr>
          <w:p w14:paraId="0CD3A445"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65F45E0F" w14:textId="77777777" w:rsidTr="007B6F6D">
        <w:trPr>
          <w:jc w:val="center"/>
        </w:trPr>
        <w:tc>
          <w:tcPr>
            <w:tcW w:w="1272" w:type="dxa"/>
            <w:vMerge/>
            <w:tcBorders>
              <w:top w:val="nil"/>
              <w:left w:val="nil"/>
              <w:bottom w:val="nil"/>
              <w:right w:val="nil"/>
            </w:tcBorders>
          </w:tcPr>
          <w:p w14:paraId="0F4CC8DE"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vMerge w:val="restart"/>
            <w:tcBorders>
              <w:top w:val="nil"/>
              <w:left w:val="nil"/>
              <w:bottom w:val="nil"/>
              <w:right w:val="nil"/>
            </w:tcBorders>
          </w:tcPr>
          <w:p w14:paraId="0FC2932A"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Recycle practices</w:t>
            </w:r>
          </w:p>
        </w:tc>
        <w:tc>
          <w:tcPr>
            <w:tcW w:w="3228" w:type="dxa"/>
            <w:tcBorders>
              <w:top w:val="nil"/>
              <w:left w:val="nil"/>
              <w:bottom w:val="nil"/>
              <w:right w:val="nil"/>
            </w:tcBorders>
          </w:tcPr>
          <w:p w14:paraId="369473AC"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Investments in recycling technologies</w:t>
            </w:r>
          </w:p>
        </w:tc>
        <w:tc>
          <w:tcPr>
            <w:tcW w:w="583" w:type="dxa"/>
            <w:tcBorders>
              <w:top w:val="nil"/>
              <w:left w:val="nil"/>
              <w:bottom w:val="nil"/>
              <w:right w:val="nil"/>
            </w:tcBorders>
          </w:tcPr>
          <w:p w14:paraId="782656E9"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3</w:t>
            </w:r>
          </w:p>
        </w:tc>
        <w:tc>
          <w:tcPr>
            <w:tcW w:w="699" w:type="dxa"/>
            <w:tcBorders>
              <w:top w:val="nil"/>
              <w:left w:val="nil"/>
              <w:bottom w:val="nil"/>
              <w:right w:val="nil"/>
            </w:tcBorders>
          </w:tcPr>
          <w:p w14:paraId="71E12925"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No</w:t>
            </w:r>
          </w:p>
        </w:tc>
      </w:tr>
      <w:tr w:rsidR="00BE15A4" w:rsidRPr="00BE15A4" w14:paraId="50D5D55D" w14:textId="77777777" w:rsidTr="007B6F6D">
        <w:trPr>
          <w:jc w:val="center"/>
        </w:trPr>
        <w:tc>
          <w:tcPr>
            <w:tcW w:w="1272" w:type="dxa"/>
            <w:vMerge/>
            <w:tcBorders>
              <w:top w:val="nil"/>
              <w:left w:val="nil"/>
              <w:bottom w:val="nil"/>
              <w:right w:val="nil"/>
            </w:tcBorders>
          </w:tcPr>
          <w:p w14:paraId="6AC95BC2"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vMerge/>
            <w:tcBorders>
              <w:top w:val="nil"/>
              <w:left w:val="nil"/>
              <w:bottom w:val="nil"/>
              <w:right w:val="nil"/>
            </w:tcBorders>
          </w:tcPr>
          <w:p w14:paraId="49D21A69"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28" w:type="dxa"/>
            <w:tcBorders>
              <w:top w:val="nil"/>
              <w:left w:val="nil"/>
              <w:bottom w:val="nil"/>
              <w:right w:val="nil"/>
            </w:tcBorders>
          </w:tcPr>
          <w:p w14:paraId="1C4C0E94"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lang w:val="de-DE"/>
              </w:rPr>
              <w:t>Recycle materials (plastic)</w:t>
            </w:r>
          </w:p>
        </w:tc>
        <w:tc>
          <w:tcPr>
            <w:tcW w:w="583" w:type="dxa"/>
            <w:tcBorders>
              <w:top w:val="nil"/>
              <w:left w:val="nil"/>
              <w:bottom w:val="nil"/>
              <w:right w:val="nil"/>
            </w:tcBorders>
          </w:tcPr>
          <w:p w14:paraId="2CD814D7"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lang w:val="de-DE"/>
              </w:rPr>
              <w:t>2</w:t>
            </w:r>
          </w:p>
        </w:tc>
        <w:tc>
          <w:tcPr>
            <w:tcW w:w="699" w:type="dxa"/>
            <w:tcBorders>
              <w:top w:val="nil"/>
              <w:left w:val="nil"/>
              <w:bottom w:val="nil"/>
              <w:right w:val="nil"/>
            </w:tcBorders>
          </w:tcPr>
          <w:p w14:paraId="78A4441C"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Yes</w:t>
            </w:r>
          </w:p>
        </w:tc>
      </w:tr>
      <w:tr w:rsidR="00BE15A4" w:rsidRPr="00BE15A4" w14:paraId="685E248F" w14:textId="77777777" w:rsidTr="007B6F6D">
        <w:trPr>
          <w:jc w:val="center"/>
        </w:trPr>
        <w:tc>
          <w:tcPr>
            <w:tcW w:w="1272" w:type="dxa"/>
            <w:vMerge/>
            <w:tcBorders>
              <w:top w:val="nil"/>
              <w:left w:val="nil"/>
              <w:bottom w:val="nil"/>
              <w:right w:val="nil"/>
            </w:tcBorders>
          </w:tcPr>
          <w:p w14:paraId="36673FE8"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vMerge w:val="restart"/>
            <w:tcBorders>
              <w:top w:val="nil"/>
              <w:left w:val="nil"/>
              <w:bottom w:val="nil"/>
              <w:right w:val="nil"/>
            </w:tcBorders>
          </w:tcPr>
          <w:p w14:paraId="320B6912"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Recover practices</w:t>
            </w:r>
          </w:p>
        </w:tc>
        <w:tc>
          <w:tcPr>
            <w:tcW w:w="3228" w:type="dxa"/>
            <w:tcBorders>
              <w:top w:val="nil"/>
              <w:left w:val="nil"/>
              <w:bottom w:val="nil"/>
              <w:right w:val="nil"/>
            </w:tcBorders>
          </w:tcPr>
          <w:p w14:paraId="7ACA9D72"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Investing in recovery infrastructure</w:t>
            </w:r>
          </w:p>
        </w:tc>
        <w:tc>
          <w:tcPr>
            <w:tcW w:w="583" w:type="dxa"/>
            <w:tcBorders>
              <w:top w:val="nil"/>
              <w:left w:val="nil"/>
              <w:bottom w:val="nil"/>
              <w:right w:val="nil"/>
            </w:tcBorders>
          </w:tcPr>
          <w:p w14:paraId="4A070A4F"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2</w:t>
            </w:r>
          </w:p>
        </w:tc>
        <w:tc>
          <w:tcPr>
            <w:tcW w:w="699" w:type="dxa"/>
            <w:tcBorders>
              <w:top w:val="nil"/>
              <w:left w:val="nil"/>
              <w:bottom w:val="nil"/>
              <w:right w:val="nil"/>
            </w:tcBorders>
          </w:tcPr>
          <w:p w14:paraId="0B23681F"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Yes</w:t>
            </w:r>
          </w:p>
        </w:tc>
      </w:tr>
      <w:tr w:rsidR="00BE15A4" w:rsidRPr="00BE15A4" w14:paraId="7AF11294" w14:textId="77777777" w:rsidTr="007B6F6D">
        <w:trPr>
          <w:jc w:val="center"/>
        </w:trPr>
        <w:tc>
          <w:tcPr>
            <w:tcW w:w="1272" w:type="dxa"/>
            <w:vMerge/>
            <w:tcBorders>
              <w:top w:val="nil"/>
              <w:left w:val="nil"/>
              <w:bottom w:val="nil"/>
              <w:right w:val="nil"/>
            </w:tcBorders>
          </w:tcPr>
          <w:p w14:paraId="7EAD5DBC"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vMerge/>
            <w:tcBorders>
              <w:top w:val="nil"/>
              <w:left w:val="nil"/>
              <w:bottom w:val="nil"/>
              <w:right w:val="nil"/>
            </w:tcBorders>
          </w:tcPr>
          <w:p w14:paraId="5BF1E2B1"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28" w:type="dxa"/>
            <w:tcBorders>
              <w:top w:val="nil"/>
              <w:left w:val="nil"/>
              <w:bottom w:val="nil"/>
              <w:right w:val="nil"/>
            </w:tcBorders>
          </w:tcPr>
          <w:p w14:paraId="699281A1"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Energy Recovery from by-products/waste</w:t>
            </w:r>
          </w:p>
        </w:tc>
        <w:tc>
          <w:tcPr>
            <w:tcW w:w="583" w:type="dxa"/>
            <w:tcBorders>
              <w:top w:val="nil"/>
              <w:left w:val="nil"/>
              <w:bottom w:val="nil"/>
              <w:right w:val="nil"/>
            </w:tcBorders>
          </w:tcPr>
          <w:p w14:paraId="3483FBD2"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3</w:t>
            </w:r>
          </w:p>
        </w:tc>
        <w:tc>
          <w:tcPr>
            <w:tcW w:w="699" w:type="dxa"/>
            <w:tcBorders>
              <w:top w:val="nil"/>
              <w:left w:val="nil"/>
              <w:bottom w:val="nil"/>
              <w:right w:val="nil"/>
            </w:tcBorders>
          </w:tcPr>
          <w:p w14:paraId="46606435"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Yes</w:t>
            </w:r>
          </w:p>
        </w:tc>
      </w:tr>
      <w:tr w:rsidR="00BE15A4" w:rsidRPr="00BE15A4" w14:paraId="1A320F2B" w14:textId="77777777" w:rsidTr="007B6F6D">
        <w:trPr>
          <w:jc w:val="center"/>
        </w:trPr>
        <w:tc>
          <w:tcPr>
            <w:tcW w:w="1272" w:type="dxa"/>
            <w:tcBorders>
              <w:top w:val="nil"/>
              <w:left w:val="nil"/>
              <w:bottom w:val="nil"/>
              <w:right w:val="nil"/>
            </w:tcBorders>
          </w:tcPr>
          <w:p w14:paraId="0D62A2FE"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left w:val="nil"/>
              <w:bottom w:val="nil"/>
              <w:right w:val="nil"/>
            </w:tcBorders>
          </w:tcPr>
          <w:p w14:paraId="1C139B0E"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CE score</w:t>
            </w:r>
          </w:p>
        </w:tc>
        <w:tc>
          <w:tcPr>
            <w:tcW w:w="3228" w:type="dxa"/>
            <w:tcBorders>
              <w:top w:val="nil"/>
              <w:left w:val="nil"/>
              <w:bottom w:val="nil"/>
              <w:right w:val="nil"/>
            </w:tcBorders>
          </w:tcPr>
          <w:p w14:paraId="37302514"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10</w:t>
            </w:r>
          </w:p>
        </w:tc>
        <w:tc>
          <w:tcPr>
            <w:tcW w:w="583" w:type="dxa"/>
            <w:tcBorders>
              <w:top w:val="nil"/>
              <w:left w:val="nil"/>
              <w:bottom w:val="nil"/>
              <w:right w:val="nil"/>
            </w:tcBorders>
          </w:tcPr>
          <w:p w14:paraId="4D0B448F"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left w:val="nil"/>
              <w:bottom w:val="nil"/>
              <w:right w:val="nil"/>
            </w:tcBorders>
          </w:tcPr>
          <w:p w14:paraId="4452090D"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6633BA5D" w14:textId="77777777" w:rsidTr="007B6F6D">
        <w:trPr>
          <w:jc w:val="center"/>
        </w:trPr>
        <w:tc>
          <w:tcPr>
            <w:tcW w:w="1272" w:type="dxa"/>
            <w:tcBorders>
              <w:top w:val="nil"/>
              <w:left w:val="nil"/>
              <w:bottom w:val="nil"/>
              <w:right w:val="nil"/>
            </w:tcBorders>
          </w:tcPr>
          <w:p w14:paraId="0D7C9720"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left w:val="nil"/>
              <w:bottom w:val="nil"/>
              <w:right w:val="nil"/>
            </w:tcBorders>
          </w:tcPr>
          <w:p w14:paraId="7FBE6A6E"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N internal CE practices</w:t>
            </w:r>
          </w:p>
        </w:tc>
        <w:tc>
          <w:tcPr>
            <w:tcW w:w="3228" w:type="dxa"/>
            <w:tcBorders>
              <w:top w:val="nil"/>
              <w:left w:val="nil"/>
              <w:bottom w:val="nil"/>
              <w:right w:val="nil"/>
            </w:tcBorders>
          </w:tcPr>
          <w:p w14:paraId="47060CED"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2</w:t>
            </w:r>
          </w:p>
        </w:tc>
        <w:tc>
          <w:tcPr>
            <w:tcW w:w="583" w:type="dxa"/>
            <w:tcBorders>
              <w:top w:val="nil"/>
              <w:left w:val="nil"/>
              <w:bottom w:val="nil"/>
              <w:right w:val="nil"/>
            </w:tcBorders>
          </w:tcPr>
          <w:p w14:paraId="4E2AA974"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left w:val="nil"/>
              <w:bottom w:val="nil"/>
              <w:right w:val="nil"/>
            </w:tcBorders>
          </w:tcPr>
          <w:p w14:paraId="55B39A4F"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6866B8D6" w14:textId="77777777" w:rsidTr="007B6F6D">
        <w:trPr>
          <w:jc w:val="center"/>
        </w:trPr>
        <w:tc>
          <w:tcPr>
            <w:tcW w:w="1272" w:type="dxa"/>
            <w:tcBorders>
              <w:top w:val="nil"/>
              <w:left w:val="nil"/>
              <w:bottom w:val="single" w:sz="4" w:space="0" w:color="auto"/>
              <w:right w:val="nil"/>
            </w:tcBorders>
          </w:tcPr>
          <w:p w14:paraId="698170AD"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left w:val="nil"/>
              <w:bottom w:val="single" w:sz="4" w:space="0" w:color="auto"/>
              <w:right w:val="nil"/>
            </w:tcBorders>
          </w:tcPr>
          <w:p w14:paraId="25CC9675"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N CSC practices</w:t>
            </w:r>
          </w:p>
        </w:tc>
        <w:tc>
          <w:tcPr>
            <w:tcW w:w="3228" w:type="dxa"/>
            <w:tcBorders>
              <w:top w:val="nil"/>
              <w:left w:val="nil"/>
              <w:bottom w:val="single" w:sz="4" w:space="0" w:color="auto"/>
              <w:right w:val="nil"/>
            </w:tcBorders>
          </w:tcPr>
          <w:p w14:paraId="34B4D8C7"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4</w:t>
            </w:r>
          </w:p>
        </w:tc>
        <w:tc>
          <w:tcPr>
            <w:tcW w:w="583" w:type="dxa"/>
            <w:tcBorders>
              <w:top w:val="nil"/>
              <w:left w:val="nil"/>
              <w:bottom w:val="single" w:sz="4" w:space="0" w:color="auto"/>
              <w:right w:val="nil"/>
            </w:tcBorders>
          </w:tcPr>
          <w:p w14:paraId="18ED0EB5"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left w:val="nil"/>
              <w:bottom w:val="single" w:sz="4" w:space="0" w:color="auto"/>
              <w:right w:val="nil"/>
            </w:tcBorders>
          </w:tcPr>
          <w:p w14:paraId="5959E302"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27B473A1" w14:textId="77777777" w:rsidTr="007B6F6D">
        <w:trPr>
          <w:jc w:val="center"/>
        </w:trPr>
        <w:tc>
          <w:tcPr>
            <w:tcW w:w="1272" w:type="dxa"/>
            <w:vMerge w:val="restart"/>
            <w:tcBorders>
              <w:top w:val="nil"/>
              <w:left w:val="nil"/>
              <w:right w:val="nil"/>
            </w:tcBorders>
          </w:tcPr>
          <w:p w14:paraId="47CDE646"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Circular Economy indicators</w:t>
            </w:r>
          </w:p>
        </w:tc>
        <w:tc>
          <w:tcPr>
            <w:tcW w:w="3283" w:type="dxa"/>
            <w:tcBorders>
              <w:top w:val="nil"/>
              <w:left w:val="nil"/>
              <w:bottom w:val="nil"/>
              <w:right w:val="nil"/>
            </w:tcBorders>
          </w:tcPr>
          <w:p w14:paraId="4107E0EC"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Economic</w:t>
            </w:r>
          </w:p>
        </w:tc>
        <w:tc>
          <w:tcPr>
            <w:tcW w:w="3228" w:type="dxa"/>
            <w:tcBorders>
              <w:top w:val="nil"/>
              <w:left w:val="nil"/>
              <w:bottom w:val="nil"/>
              <w:right w:val="nil"/>
            </w:tcBorders>
          </w:tcPr>
          <w:p w14:paraId="664CA13D"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No economic indicator</w:t>
            </w:r>
          </w:p>
        </w:tc>
        <w:tc>
          <w:tcPr>
            <w:tcW w:w="583" w:type="dxa"/>
            <w:tcBorders>
              <w:top w:val="nil"/>
              <w:left w:val="nil"/>
              <w:bottom w:val="nil"/>
              <w:right w:val="nil"/>
            </w:tcBorders>
          </w:tcPr>
          <w:p w14:paraId="24D28365"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left w:val="nil"/>
              <w:bottom w:val="nil"/>
              <w:right w:val="nil"/>
            </w:tcBorders>
          </w:tcPr>
          <w:p w14:paraId="3B077230"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19D6A8C9" w14:textId="77777777" w:rsidTr="007B6F6D">
        <w:trPr>
          <w:jc w:val="center"/>
        </w:trPr>
        <w:tc>
          <w:tcPr>
            <w:tcW w:w="1272" w:type="dxa"/>
            <w:vMerge/>
            <w:tcBorders>
              <w:left w:val="nil"/>
              <w:right w:val="nil"/>
            </w:tcBorders>
          </w:tcPr>
          <w:p w14:paraId="50C4B94F"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left w:val="nil"/>
              <w:bottom w:val="nil"/>
              <w:right w:val="nil"/>
            </w:tcBorders>
          </w:tcPr>
          <w:p w14:paraId="2605F307"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Environmental</w:t>
            </w:r>
          </w:p>
        </w:tc>
        <w:tc>
          <w:tcPr>
            <w:tcW w:w="3228" w:type="dxa"/>
            <w:tcBorders>
              <w:top w:val="nil"/>
              <w:left w:val="nil"/>
              <w:bottom w:val="nil"/>
              <w:right w:val="nil"/>
            </w:tcBorders>
          </w:tcPr>
          <w:p w14:paraId="4D491987"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CO2 eq. per functional unit; Absolute CO2 eq.; Energy intensity; Energy from renewable sources; Waste sent to landfill.</w:t>
            </w:r>
          </w:p>
        </w:tc>
        <w:tc>
          <w:tcPr>
            <w:tcW w:w="583" w:type="dxa"/>
            <w:tcBorders>
              <w:top w:val="nil"/>
              <w:left w:val="nil"/>
              <w:bottom w:val="nil"/>
              <w:right w:val="nil"/>
            </w:tcBorders>
          </w:tcPr>
          <w:p w14:paraId="08651C8C"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left w:val="nil"/>
              <w:bottom w:val="nil"/>
              <w:right w:val="nil"/>
            </w:tcBorders>
          </w:tcPr>
          <w:p w14:paraId="2A04EBCC"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0DFDE37E" w14:textId="77777777" w:rsidTr="007B6F6D">
        <w:trPr>
          <w:jc w:val="center"/>
        </w:trPr>
        <w:tc>
          <w:tcPr>
            <w:tcW w:w="1272" w:type="dxa"/>
            <w:vMerge/>
            <w:tcBorders>
              <w:left w:val="nil"/>
              <w:bottom w:val="single" w:sz="4" w:space="0" w:color="auto"/>
              <w:right w:val="nil"/>
            </w:tcBorders>
          </w:tcPr>
          <w:p w14:paraId="5B15D8EC"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left w:val="nil"/>
              <w:bottom w:val="single" w:sz="4" w:space="0" w:color="auto"/>
              <w:right w:val="nil"/>
            </w:tcBorders>
          </w:tcPr>
          <w:p w14:paraId="702FAE86"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Social</w:t>
            </w:r>
          </w:p>
        </w:tc>
        <w:tc>
          <w:tcPr>
            <w:tcW w:w="3228" w:type="dxa"/>
            <w:tcBorders>
              <w:top w:val="nil"/>
              <w:left w:val="nil"/>
              <w:bottom w:val="single" w:sz="4" w:space="0" w:color="auto"/>
              <w:right w:val="nil"/>
            </w:tcBorders>
          </w:tcPr>
          <w:p w14:paraId="70472DE2"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No social indicator</w:t>
            </w:r>
          </w:p>
        </w:tc>
        <w:tc>
          <w:tcPr>
            <w:tcW w:w="583" w:type="dxa"/>
            <w:tcBorders>
              <w:top w:val="nil"/>
              <w:left w:val="nil"/>
              <w:bottom w:val="single" w:sz="4" w:space="0" w:color="auto"/>
              <w:right w:val="nil"/>
            </w:tcBorders>
          </w:tcPr>
          <w:p w14:paraId="75B823D2"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left w:val="nil"/>
              <w:bottom w:val="single" w:sz="4" w:space="0" w:color="auto"/>
              <w:right w:val="nil"/>
            </w:tcBorders>
          </w:tcPr>
          <w:p w14:paraId="34431EB5"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0939C0FC" w14:textId="77777777" w:rsidTr="007B6F6D">
        <w:trPr>
          <w:trHeight w:val="219"/>
          <w:jc w:val="center"/>
        </w:trPr>
        <w:tc>
          <w:tcPr>
            <w:tcW w:w="1272" w:type="dxa"/>
            <w:vMerge w:val="restart"/>
            <w:tcBorders>
              <w:top w:val="single" w:sz="4" w:space="0" w:color="auto"/>
              <w:bottom w:val="nil"/>
            </w:tcBorders>
          </w:tcPr>
          <w:p w14:paraId="600D152A"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Supply Chain Integration</w:t>
            </w:r>
          </w:p>
        </w:tc>
        <w:tc>
          <w:tcPr>
            <w:tcW w:w="3283" w:type="dxa"/>
            <w:vMerge w:val="restart"/>
            <w:tcBorders>
              <w:top w:val="single" w:sz="4" w:space="0" w:color="auto"/>
              <w:bottom w:val="nil"/>
            </w:tcBorders>
          </w:tcPr>
          <w:p w14:paraId="70F1D588" w14:textId="410E5965" w:rsidR="00BE15A4" w:rsidRPr="00BE15A4" w:rsidRDefault="00B651D9"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Suppliers’</w:t>
            </w:r>
            <w:r w:rsidR="00BE15A4" w:rsidRPr="00BE15A4">
              <w:rPr>
                <w:rFonts w:asciiTheme="majorBidi" w:eastAsia="Times New Roman" w:hAnsiTheme="majorBidi" w:cstheme="majorBidi"/>
                <w:b/>
                <w:bCs/>
                <w:sz w:val="20"/>
                <w:szCs w:val="20"/>
              </w:rPr>
              <w:t xml:space="preserve"> integration measures</w:t>
            </w:r>
          </w:p>
        </w:tc>
        <w:tc>
          <w:tcPr>
            <w:tcW w:w="4510" w:type="dxa"/>
            <w:gridSpan w:val="3"/>
            <w:tcBorders>
              <w:top w:val="single" w:sz="4" w:space="0" w:color="auto"/>
              <w:bottom w:val="nil"/>
            </w:tcBorders>
          </w:tcPr>
          <w:p w14:paraId="0899A41E"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Develop collaborative approaches with key suppliers and customers (+1)</w:t>
            </w:r>
          </w:p>
        </w:tc>
      </w:tr>
      <w:tr w:rsidR="00BE15A4" w:rsidRPr="00BE15A4" w14:paraId="06135082" w14:textId="77777777" w:rsidTr="007B6F6D">
        <w:trPr>
          <w:jc w:val="center"/>
        </w:trPr>
        <w:tc>
          <w:tcPr>
            <w:tcW w:w="1272" w:type="dxa"/>
            <w:vMerge/>
            <w:tcBorders>
              <w:top w:val="nil"/>
              <w:bottom w:val="nil"/>
            </w:tcBorders>
          </w:tcPr>
          <w:p w14:paraId="07AD2BDD"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vMerge/>
            <w:tcBorders>
              <w:top w:val="nil"/>
              <w:bottom w:val="nil"/>
            </w:tcBorders>
          </w:tcPr>
          <w:p w14:paraId="19786620"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4510" w:type="dxa"/>
            <w:gridSpan w:val="3"/>
            <w:tcBorders>
              <w:top w:val="nil"/>
              <w:bottom w:val="nil"/>
            </w:tcBorders>
          </w:tcPr>
          <w:p w14:paraId="3AF28CE0"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Share information with key suppliers and customers (+1)</w:t>
            </w:r>
          </w:p>
        </w:tc>
      </w:tr>
      <w:tr w:rsidR="00BE15A4" w:rsidRPr="00BE15A4" w14:paraId="3800E55B" w14:textId="77777777" w:rsidTr="007B6F6D">
        <w:trPr>
          <w:jc w:val="center"/>
        </w:trPr>
        <w:tc>
          <w:tcPr>
            <w:tcW w:w="1272" w:type="dxa"/>
            <w:vMerge/>
            <w:tcBorders>
              <w:top w:val="nil"/>
              <w:bottom w:val="nil"/>
            </w:tcBorders>
          </w:tcPr>
          <w:p w14:paraId="2E044A9E"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bottom w:val="nil"/>
            </w:tcBorders>
          </w:tcPr>
          <w:p w14:paraId="75AF5C7F"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4510" w:type="dxa"/>
            <w:gridSpan w:val="3"/>
            <w:tcBorders>
              <w:top w:val="nil"/>
              <w:bottom w:val="nil"/>
            </w:tcBorders>
          </w:tcPr>
          <w:p w14:paraId="637C70D1"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Joint decision-making and System coupling are not mentioned</w:t>
            </w:r>
          </w:p>
        </w:tc>
      </w:tr>
      <w:tr w:rsidR="00BE15A4" w:rsidRPr="00BE15A4" w14:paraId="3DABD228" w14:textId="77777777" w:rsidTr="007B6F6D">
        <w:trPr>
          <w:trHeight w:val="373"/>
          <w:jc w:val="center"/>
        </w:trPr>
        <w:tc>
          <w:tcPr>
            <w:tcW w:w="1272" w:type="dxa"/>
            <w:vMerge/>
            <w:tcBorders>
              <w:bottom w:val="nil"/>
            </w:tcBorders>
          </w:tcPr>
          <w:p w14:paraId="156BAF53"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bottom w:val="nil"/>
            </w:tcBorders>
          </w:tcPr>
          <w:p w14:paraId="5F31BFC5"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Customers integration measures</w:t>
            </w:r>
          </w:p>
        </w:tc>
        <w:tc>
          <w:tcPr>
            <w:tcW w:w="3228" w:type="dxa"/>
            <w:tcBorders>
              <w:bottom w:val="nil"/>
            </w:tcBorders>
          </w:tcPr>
          <w:p w14:paraId="1296C063" w14:textId="77777777" w:rsidR="00BE15A4" w:rsidRPr="00BE15A4" w:rsidRDefault="00BE15A4" w:rsidP="00BE15A4">
            <w:pPr>
              <w:spacing w:line="240" w:lineRule="auto"/>
              <w:rPr>
                <w:rFonts w:asciiTheme="majorBidi" w:eastAsia="Times New Roman" w:hAnsiTheme="majorBidi" w:cstheme="majorBidi"/>
                <w:sz w:val="20"/>
                <w:szCs w:val="20"/>
              </w:rPr>
            </w:pPr>
            <w:r w:rsidRPr="00BE15A4">
              <w:rPr>
                <w:rFonts w:asciiTheme="majorBidi" w:eastAsia="Times New Roman" w:hAnsiTheme="majorBidi" w:cstheme="majorBidi"/>
                <w:bCs/>
                <w:sz w:val="20"/>
                <w:szCs w:val="20"/>
              </w:rPr>
              <w:t>Not mentioned at all</w:t>
            </w:r>
          </w:p>
        </w:tc>
        <w:tc>
          <w:tcPr>
            <w:tcW w:w="583" w:type="dxa"/>
            <w:tcBorders>
              <w:bottom w:val="nil"/>
            </w:tcBorders>
          </w:tcPr>
          <w:p w14:paraId="3C5F44F2"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bottom w:val="nil"/>
            </w:tcBorders>
          </w:tcPr>
          <w:p w14:paraId="2DE4CD7C"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4D72709F" w14:textId="77777777" w:rsidTr="007B6F6D">
        <w:trPr>
          <w:trHeight w:val="373"/>
          <w:jc w:val="center"/>
        </w:trPr>
        <w:tc>
          <w:tcPr>
            <w:tcW w:w="1272" w:type="dxa"/>
            <w:tcBorders>
              <w:top w:val="nil"/>
              <w:bottom w:val="single" w:sz="4" w:space="0" w:color="auto"/>
            </w:tcBorders>
          </w:tcPr>
          <w:p w14:paraId="03AA26A5"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top w:val="nil"/>
              <w:bottom w:val="single" w:sz="4" w:space="0" w:color="auto"/>
            </w:tcBorders>
          </w:tcPr>
          <w:p w14:paraId="319940D0"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SCI score</w:t>
            </w:r>
          </w:p>
        </w:tc>
        <w:tc>
          <w:tcPr>
            <w:tcW w:w="3228" w:type="dxa"/>
            <w:tcBorders>
              <w:top w:val="nil"/>
              <w:bottom w:val="single" w:sz="4" w:space="0" w:color="auto"/>
            </w:tcBorders>
          </w:tcPr>
          <w:p w14:paraId="5F58403B"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2</w:t>
            </w:r>
          </w:p>
        </w:tc>
        <w:tc>
          <w:tcPr>
            <w:tcW w:w="583" w:type="dxa"/>
            <w:tcBorders>
              <w:top w:val="nil"/>
              <w:bottom w:val="single" w:sz="4" w:space="0" w:color="auto"/>
            </w:tcBorders>
          </w:tcPr>
          <w:p w14:paraId="57A4FB03"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nil"/>
              <w:bottom w:val="single" w:sz="4" w:space="0" w:color="auto"/>
            </w:tcBorders>
          </w:tcPr>
          <w:p w14:paraId="6F3E8B49"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642B5C5D" w14:textId="77777777" w:rsidTr="007B6F6D">
        <w:trPr>
          <w:jc w:val="center"/>
        </w:trPr>
        <w:tc>
          <w:tcPr>
            <w:tcW w:w="1272" w:type="dxa"/>
            <w:vMerge w:val="restart"/>
            <w:tcBorders>
              <w:top w:val="single" w:sz="4" w:space="0" w:color="auto"/>
              <w:bottom w:val="nil"/>
            </w:tcBorders>
          </w:tcPr>
          <w:p w14:paraId="3A575C67"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Institutional pressures</w:t>
            </w:r>
          </w:p>
        </w:tc>
        <w:tc>
          <w:tcPr>
            <w:tcW w:w="3283" w:type="dxa"/>
            <w:tcBorders>
              <w:top w:val="single" w:sz="4" w:space="0" w:color="auto"/>
              <w:bottom w:val="nil"/>
            </w:tcBorders>
          </w:tcPr>
          <w:p w14:paraId="4480B0B0"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Coercive</w:t>
            </w:r>
          </w:p>
        </w:tc>
        <w:tc>
          <w:tcPr>
            <w:tcW w:w="4510" w:type="dxa"/>
            <w:gridSpan w:val="3"/>
            <w:tcBorders>
              <w:top w:val="single" w:sz="4" w:space="0" w:color="auto"/>
              <w:bottom w:val="nil"/>
            </w:tcBorders>
          </w:tcPr>
          <w:p w14:paraId="18071E8A"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Presence of National regulation: A Circular Economy in the Netherlands by 2050</w:t>
            </w:r>
          </w:p>
        </w:tc>
      </w:tr>
      <w:tr w:rsidR="00BE15A4" w:rsidRPr="00BE15A4" w14:paraId="5F085202" w14:textId="77777777" w:rsidTr="007B6F6D">
        <w:trPr>
          <w:jc w:val="center"/>
        </w:trPr>
        <w:tc>
          <w:tcPr>
            <w:tcW w:w="1272" w:type="dxa"/>
            <w:vMerge/>
            <w:tcBorders>
              <w:bottom w:val="nil"/>
            </w:tcBorders>
          </w:tcPr>
          <w:p w14:paraId="6E833985"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bottom w:val="nil"/>
            </w:tcBorders>
          </w:tcPr>
          <w:p w14:paraId="3B428613"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Normative</w:t>
            </w:r>
          </w:p>
        </w:tc>
        <w:tc>
          <w:tcPr>
            <w:tcW w:w="4510" w:type="dxa"/>
            <w:gridSpan w:val="3"/>
            <w:tcBorders>
              <w:bottom w:val="nil"/>
            </w:tcBorders>
          </w:tcPr>
          <w:p w14:paraId="021E49F8"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Alliance to End Plastic Waste</w:t>
            </w:r>
          </w:p>
        </w:tc>
      </w:tr>
      <w:tr w:rsidR="00BE15A4" w:rsidRPr="00BE15A4" w14:paraId="66AC95C7" w14:textId="77777777" w:rsidTr="007B6F6D">
        <w:trPr>
          <w:jc w:val="center"/>
        </w:trPr>
        <w:tc>
          <w:tcPr>
            <w:tcW w:w="1272" w:type="dxa"/>
            <w:vMerge/>
            <w:tcBorders>
              <w:bottom w:val="single" w:sz="4" w:space="0" w:color="auto"/>
            </w:tcBorders>
          </w:tcPr>
          <w:p w14:paraId="5D3F094B"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Borders>
              <w:bottom w:val="single" w:sz="4" w:space="0" w:color="auto"/>
            </w:tcBorders>
          </w:tcPr>
          <w:p w14:paraId="565468AC" w14:textId="7243DED8" w:rsidR="00BE15A4" w:rsidRPr="00BE15A4" w:rsidRDefault="00444F93" w:rsidP="00BE15A4">
            <w:pPr>
              <w:spacing w:line="240" w:lineRule="auto"/>
              <w:rPr>
                <w:rFonts w:asciiTheme="majorBidi" w:eastAsia="Times New Roman" w:hAnsiTheme="majorBidi" w:cstheme="majorBidi"/>
                <w:b/>
                <w:bCs/>
                <w:sz w:val="20"/>
                <w:szCs w:val="20"/>
              </w:rPr>
            </w:pPr>
            <w:r>
              <w:rPr>
                <w:rFonts w:asciiTheme="majorBidi" w:eastAsia="Times New Roman" w:hAnsiTheme="majorBidi" w:cstheme="majorBidi"/>
                <w:b/>
                <w:bCs/>
                <w:sz w:val="20"/>
                <w:szCs w:val="20"/>
              </w:rPr>
              <w:t>Mi</w:t>
            </w:r>
            <w:r w:rsidR="00BE15A4" w:rsidRPr="00BE15A4">
              <w:rPr>
                <w:rFonts w:asciiTheme="majorBidi" w:eastAsia="Times New Roman" w:hAnsiTheme="majorBidi" w:cstheme="majorBidi"/>
                <w:b/>
                <w:bCs/>
                <w:sz w:val="20"/>
                <w:szCs w:val="20"/>
              </w:rPr>
              <w:t>metic</w:t>
            </w:r>
          </w:p>
        </w:tc>
        <w:tc>
          <w:tcPr>
            <w:tcW w:w="4510" w:type="dxa"/>
            <w:gridSpan w:val="3"/>
            <w:tcBorders>
              <w:bottom w:val="single" w:sz="4" w:space="0" w:color="auto"/>
            </w:tcBorders>
          </w:tcPr>
          <w:p w14:paraId="7F4073EF"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 xml:space="preserve">Not mentioned. However, a high degree of similarity with companies in the same sectors is noticed (type of practice, level of implementation). </w:t>
            </w:r>
          </w:p>
        </w:tc>
      </w:tr>
      <w:tr w:rsidR="00BE15A4" w:rsidRPr="00BE15A4" w14:paraId="59CE4F33" w14:textId="77777777" w:rsidTr="007B6F6D">
        <w:trPr>
          <w:jc w:val="center"/>
        </w:trPr>
        <w:tc>
          <w:tcPr>
            <w:tcW w:w="1272" w:type="dxa"/>
            <w:vMerge w:val="restart"/>
            <w:tcBorders>
              <w:top w:val="single" w:sz="4" w:space="0" w:color="auto"/>
            </w:tcBorders>
          </w:tcPr>
          <w:p w14:paraId="05FADA2C"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Further information</w:t>
            </w:r>
          </w:p>
        </w:tc>
        <w:tc>
          <w:tcPr>
            <w:tcW w:w="3283" w:type="dxa"/>
          </w:tcPr>
          <w:p w14:paraId="03908C86"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 xml:space="preserve">Expected results </w:t>
            </w:r>
          </w:p>
        </w:tc>
        <w:tc>
          <w:tcPr>
            <w:tcW w:w="3228" w:type="dxa"/>
          </w:tcPr>
          <w:p w14:paraId="5B6BAF8B" w14:textId="77777777" w:rsidR="00BE15A4" w:rsidRPr="00BE15A4" w:rsidRDefault="00BE15A4" w:rsidP="00BE15A4">
            <w:pPr>
              <w:spacing w:line="240" w:lineRule="auto"/>
              <w:rPr>
                <w:rFonts w:asciiTheme="majorBidi" w:eastAsia="Times New Roman" w:hAnsiTheme="majorBidi" w:cstheme="majorBidi"/>
                <w:sz w:val="20"/>
                <w:szCs w:val="20"/>
              </w:rPr>
            </w:pPr>
            <w:r w:rsidRPr="00BE15A4">
              <w:rPr>
                <w:rFonts w:asciiTheme="majorBidi" w:eastAsia="Times New Roman" w:hAnsiTheme="majorBidi" w:cstheme="majorBidi"/>
                <w:bCs/>
                <w:sz w:val="20"/>
                <w:szCs w:val="20"/>
              </w:rPr>
              <w:t>Not explicitly mentioned</w:t>
            </w:r>
          </w:p>
        </w:tc>
        <w:tc>
          <w:tcPr>
            <w:tcW w:w="583" w:type="dxa"/>
            <w:tcBorders>
              <w:top w:val="single" w:sz="4" w:space="0" w:color="auto"/>
            </w:tcBorders>
          </w:tcPr>
          <w:p w14:paraId="4D3A508C"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Borders>
              <w:top w:val="single" w:sz="4" w:space="0" w:color="auto"/>
            </w:tcBorders>
          </w:tcPr>
          <w:p w14:paraId="5130D7A9"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195EA479" w14:textId="77777777" w:rsidTr="007B6F6D">
        <w:trPr>
          <w:jc w:val="center"/>
        </w:trPr>
        <w:tc>
          <w:tcPr>
            <w:tcW w:w="1272" w:type="dxa"/>
            <w:vMerge/>
          </w:tcPr>
          <w:p w14:paraId="5AC14B71"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Pr>
          <w:p w14:paraId="447807D1"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sz w:val="20"/>
                <w:szCs w:val="20"/>
              </w:rPr>
              <w:t>Registered Impact on performance</w:t>
            </w:r>
          </w:p>
        </w:tc>
        <w:tc>
          <w:tcPr>
            <w:tcW w:w="3228" w:type="dxa"/>
          </w:tcPr>
          <w:p w14:paraId="4BD0A7A1"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Cs/>
                <w:sz w:val="20"/>
                <w:szCs w:val="20"/>
              </w:rPr>
              <w:t>400,000 tonnes waste for recycling or reuse</w:t>
            </w:r>
          </w:p>
        </w:tc>
        <w:tc>
          <w:tcPr>
            <w:tcW w:w="583" w:type="dxa"/>
          </w:tcPr>
          <w:p w14:paraId="1EBBA900"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Pr>
          <w:p w14:paraId="204F32DA" w14:textId="77777777" w:rsidR="00BE15A4" w:rsidRPr="00BE15A4" w:rsidRDefault="00BE15A4" w:rsidP="00BE15A4">
            <w:pPr>
              <w:spacing w:line="240" w:lineRule="auto"/>
              <w:rPr>
                <w:rFonts w:asciiTheme="majorBidi" w:eastAsia="Times New Roman" w:hAnsiTheme="majorBidi" w:cstheme="majorBidi"/>
                <w:bCs/>
                <w:sz w:val="20"/>
                <w:szCs w:val="20"/>
              </w:rPr>
            </w:pPr>
          </w:p>
        </w:tc>
      </w:tr>
      <w:tr w:rsidR="00BE15A4" w:rsidRPr="00BE15A4" w14:paraId="65889A58" w14:textId="77777777" w:rsidTr="007B6F6D">
        <w:trPr>
          <w:jc w:val="center"/>
        </w:trPr>
        <w:tc>
          <w:tcPr>
            <w:tcW w:w="1272" w:type="dxa"/>
            <w:vMerge/>
          </w:tcPr>
          <w:p w14:paraId="5ED8702D" w14:textId="77777777" w:rsidR="00BE15A4" w:rsidRPr="00BE15A4" w:rsidRDefault="00BE15A4" w:rsidP="00BE15A4">
            <w:pPr>
              <w:spacing w:line="240" w:lineRule="auto"/>
              <w:rPr>
                <w:rFonts w:asciiTheme="majorBidi" w:eastAsia="Times New Roman" w:hAnsiTheme="majorBidi" w:cstheme="majorBidi"/>
                <w:b/>
                <w:bCs/>
                <w:sz w:val="20"/>
                <w:szCs w:val="20"/>
              </w:rPr>
            </w:pPr>
          </w:p>
        </w:tc>
        <w:tc>
          <w:tcPr>
            <w:tcW w:w="3283" w:type="dxa"/>
          </w:tcPr>
          <w:p w14:paraId="30544D5C"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sz w:val="20"/>
                <w:szCs w:val="20"/>
              </w:rPr>
              <w:t>Type of ownership</w:t>
            </w:r>
          </w:p>
        </w:tc>
        <w:tc>
          <w:tcPr>
            <w:tcW w:w="3228" w:type="dxa"/>
          </w:tcPr>
          <w:p w14:paraId="2D288230" w14:textId="77777777" w:rsidR="00BE15A4" w:rsidRPr="00BE15A4" w:rsidRDefault="00BE15A4" w:rsidP="00BE15A4">
            <w:pPr>
              <w:spacing w:line="240" w:lineRule="auto"/>
              <w:rPr>
                <w:rFonts w:asciiTheme="majorBidi" w:eastAsia="Times New Roman" w:hAnsiTheme="majorBidi" w:cstheme="majorBidi"/>
                <w:sz w:val="20"/>
                <w:szCs w:val="20"/>
              </w:rPr>
            </w:pPr>
            <w:r w:rsidRPr="00BE15A4">
              <w:rPr>
                <w:rFonts w:asciiTheme="majorBidi" w:eastAsia="Times New Roman" w:hAnsiTheme="majorBidi" w:cstheme="majorBidi"/>
                <w:bCs/>
                <w:sz w:val="20"/>
                <w:szCs w:val="20"/>
              </w:rPr>
              <w:t>Private</w:t>
            </w:r>
          </w:p>
        </w:tc>
        <w:tc>
          <w:tcPr>
            <w:tcW w:w="583" w:type="dxa"/>
          </w:tcPr>
          <w:p w14:paraId="06173505" w14:textId="77777777" w:rsidR="00BE15A4" w:rsidRPr="00BE15A4" w:rsidRDefault="00BE15A4" w:rsidP="00BE15A4">
            <w:pPr>
              <w:spacing w:line="240" w:lineRule="auto"/>
              <w:rPr>
                <w:rFonts w:asciiTheme="majorBidi" w:eastAsia="Times New Roman" w:hAnsiTheme="majorBidi" w:cstheme="majorBidi"/>
                <w:bCs/>
                <w:sz w:val="20"/>
                <w:szCs w:val="20"/>
              </w:rPr>
            </w:pPr>
          </w:p>
        </w:tc>
        <w:tc>
          <w:tcPr>
            <w:tcW w:w="699" w:type="dxa"/>
          </w:tcPr>
          <w:p w14:paraId="4359C287" w14:textId="77777777" w:rsidR="00BE15A4" w:rsidRPr="00BE15A4" w:rsidRDefault="00BE15A4" w:rsidP="00BE15A4">
            <w:pPr>
              <w:spacing w:line="240" w:lineRule="auto"/>
              <w:rPr>
                <w:rFonts w:asciiTheme="majorBidi" w:eastAsia="Times New Roman" w:hAnsiTheme="majorBidi" w:cstheme="majorBidi"/>
                <w:bCs/>
                <w:sz w:val="20"/>
                <w:szCs w:val="20"/>
              </w:rPr>
            </w:pPr>
          </w:p>
        </w:tc>
      </w:tr>
    </w:tbl>
    <w:p w14:paraId="449611FD" w14:textId="77777777" w:rsidR="00BE15A4" w:rsidRPr="00BE15A4" w:rsidRDefault="00BE15A4" w:rsidP="00BE15A4">
      <w:pPr>
        <w:spacing w:after="0" w:line="276" w:lineRule="auto"/>
        <w:ind w:right="-57"/>
        <w:rPr>
          <w:rFonts w:ascii="Times New Roman" w:eastAsia="Times New Roman" w:hAnsi="Times New Roman" w:cs="Times New Roman"/>
        </w:rPr>
      </w:pPr>
    </w:p>
    <w:p w14:paraId="4C3CDF97" w14:textId="77777777" w:rsidR="00BE15A4" w:rsidRPr="00BE15A4" w:rsidRDefault="00BE15A4" w:rsidP="00BE15A4">
      <w:pPr>
        <w:spacing w:after="0" w:line="276" w:lineRule="auto"/>
        <w:ind w:right="-57" w:firstLine="284"/>
        <w:rPr>
          <w:rFonts w:ascii="Times New Roman" w:eastAsia="Times New Roman" w:hAnsi="Times New Roman" w:cs="Times New Roman"/>
        </w:rPr>
      </w:pPr>
      <w:r w:rsidRPr="00BE15A4">
        <w:rPr>
          <w:rFonts w:ascii="Times New Roman" w:eastAsia="Times New Roman" w:hAnsi="Times New Roman" w:cs="Times New Roman"/>
        </w:rPr>
        <w:br w:type="page"/>
      </w:r>
    </w:p>
    <w:p w14:paraId="56A1A4CF" w14:textId="5603C678" w:rsidR="00BE15A4" w:rsidRDefault="00BE15A4" w:rsidP="00BE15A4">
      <w:pPr>
        <w:pStyle w:val="Heading2"/>
        <w:numPr>
          <w:ilvl w:val="0"/>
          <w:numId w:val="0"/>
        </w:numPr>
        <w:ind w:left="357" w:hanging="357"/>
      </w:pPr>
      <w:bookmarkStart w:id="39" w:name="_Toc157759501"/>
      <w:r w:rsidRPr="00BE15A4">
        <w:lastRenderedPageBreak/>
        <w:t xml:space="preserve">Appendix </w:t>
      </w:r>
      <w:r w:rsidR="00A36EEC">
        <w:t>2</w:t>
      </w:r>
      <w:r w:rsidRPr="00BE15A4">
        <w:t>B</w:t>
      </w:r>
      <w:bookmarkEnd w:id="39"/>
      <w:r w:rsidRPr="00BE15A4">
        <w:t xml:space="preserve">  </w:t>
      </w:r>
    </w:p>
    <w:p w14:paraId="565A8509" w14:textId="716BFBA4" w:rsidR="00BE15A4" w:rsidRPr="00BE15A4" w:rsidRDefault="00BE15A4" w:rsidP="00BE15A4">
      <w:r w:rsidRPr="00BE15A4">
        <w:t xml:space="preserve">CE practices adopted by each organisation. The number in brackets indicates a practice level of implementation (0-4). The involvement of supply chain partners is described by the “*” symbol </w:t>
      </w:r>
    </w:p>
    <w:tbl>
      <w:tblPr>
        <w:tblStyle w:val="TableGrid8"/>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209"/>
        <w:gridCol w:w="1845"/>
        <w:gridCol w:w="1153"/>
        <w:gridCol w:w="1385"/>
        <w:gridCol w:w="1455"/>
      </w:tblGrid>
      <w:tr w:rsidR="00BE15A4" w:rsidRPr="00BE15A4" w14:paraId="2EC049C3" w14:textId="77777777" w:rsidTr="007B6F6D">
        <w:trPr>
          <w:trHeight w:val="449"/>
          <w:jc w:val="center"/>
        </w:trPr>
        <w:tc>
          <w:tcPr>
            <w:tcW w:w="0" w:type="auto"/>
            <w:tcBorders>
              <w:top w:val="single" w:sz="4" w:space="0" w:color="auto"/>
              <w:bottom w:val="single" w:sz="4" w:space="0" w:color="auto"/>
            </w:tcBorders>
            <w:shd w:val="clear" w:color="auto" w:fill="F2F2F2" w:themeFill="background1" w:themeFillShade="F2"/>
          </w:tcPr>
          <w:p w14:paraId="69AE9AA9"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Company</w:t>
            </w:r>
          </w:p>
        </w:tc>
        <w:tc>
          <w:tcPr>
            <w:tcW w:w="0" w:type="auto"/>
            <w:tcBorders>
              <w:top w:val="single" w:sz="4" w:space="0" w:color="auto"/>
              <w:bottom w:val="single" w:sz="4" w:space="0" w:color="auto"/>
            </w:tcBorders>
          </w:tcPr>
          <w:p w14:paraId="6A7030EA" w14:textId="77777777" w:rsidR="00BE15A4" w:rsidRPr="00BE15A4" w:rsidRDefault="00BE15A4" w:rsidP="00BE15A4">
            <w:pPr>
              <w:spacing w:line="240" w:lineRule="auto"/>
              <w:rPr>
                <w:rFonts w:asciiTheme="majorBidi" w:eastAsia="Times New Roman" w:hAnsiTheme="majorBidi" w:cstheme="majorBidi"/>
                <w:sz w:val="20"/>
                <w:szCs w:val="20"/>
              </w:rPr>
            </w:pPr>
            <w:r w:rsidRPr="00BE15A4">
              <w:rPr>
                <w:rFonts w:asciiTheme="majorBidi" w:eastAsia="Times New Roman" w:hAnsiTheme="majorBidi" w:cstheme="majorBidi"/>
                <w:b/>
                <w:bCs/>
                <w:color w:val="000000"/>
                <w:sz w:val="14"/>
                <w:szCs w:val="14"/>
              </w:rPr>
              <w:t>REDUCE</w:t>
            </w:r>
          </w:p>
        </w:tc>
        <w:tc>
          <w:tcPr>
            <w:tcW w:w="0" w:type="auto"/>
            <w:tcBorders>
              <w:top w:val="single" w:sz="4" w:space="0" w:color="auto"/>
              <w:bottom w:val="single" w:sz="4" w:space="0" w:color="auto"/>
            </w:tcBorders>
          </w:tcPr>
          <w:p w14:paraId="6D1173F2" w14:textId="77777777" w:rsidR="00BE15A4" w:rsidRPr="00BE15A4" w:rsidRDefault="00BE15A4" w:rsidP="00BE15A4">
            <w:pPr>
              <w:spacing w:line="240" w:lineRule="auto"/>
              <w:rPr>
                <w:rFonts w:asciiTheme="majorBidi" w:eastAsia="Times New Roman" w:hAnsiTheme="majorBidi" w:cstheme="majorBidi"/>
                <w:b/>
                <w:bCs/>
                <w:color w:val="000000"/>
                <w:sz w:val="14"/>
                <w:szCs w:val="14"/>
              </w:rPr>
            </w:pPr>
            <w:r w:rsidRPr="00BE15A4">
              <w:rPr>
                <w:rFonts w:asciiTheme="majorBidi" w:eastAsia="Times New Roman" w:hAnsiTheme="majorBidi" w:cstheme="majorBidi"/>
                <w:b/>
                <w:bCs/>
                <w:color w:val="000000"/>
                <w:sz w:val="14"/>
                <w:szCs w:val="14"/>
              </w:rPr>
              <w:t xml:space="preserve">RENEWABLE ENERGY &amp; </w:t>
            </w:r>
          </w:p>
          <w:p w14:paraId="5199FD2E"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
                <w:bCs/>
                <w:color w:val="000000"/>
                <w:sz w:val="14"/>
                <w:szCs w:val="14"/>
              </w:rPr>
              <w:t>RESOURCE EFFICIENCY</w:t>
            </w:r>
          </w:p>
        </w:tc>
        <w:tc>
          <w:tcPr>
            <w:tcW w:w="0" w:type="auto"/>
            <w:tcBorders>
              <w:top w:val="single" w:sz="4" w:space="0" w:color="auto"/>
              <w:bottom w:val="single" w:sz="4" w:space="0" w:color="auto"/>
            </w:tcBorders>
          </w:tcPr>
          <w:p w14:paraId="1B92A7B4"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
                <w:bCs/>
                <w:color w:val="000000"/>
                <w:sz w:val="14"/>
                <w:szCs w:val="14"/>
              </w:rPr>
              <w:t>REUSE</w:t>
            </w:r>
          </w:p>
        </w:tc>
        <w:tc>
          <w:tcPr>
            <w:tcW w:w="0" w:type="auto"/>
            <w:tcBorders>
              <w:top w:val="single" w:sz="4" w:space="0" w:color="auto"/>
              <w:bottom w:val="single" w:sz="4" w:space="0" w:color="auto"/>
            </w:tcBorders>
          </w:tcPr>
          <w:p w14:paraId="64385DA2"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
                <w:bCs/>
                <w:color w:val="000000"/>
                <w:sz w:val="14"/>
                <w:szCs w:val="14"/>
              </w:rPr>
              <w:t>RECYCLE</w:t>
            </w:r>
          </w:p>
        </w:tc>
        <w:tc>
          <w:tcPr>
            <w:tcW w:w="0" w:type="auto"/>
            <w:tcBorders>
              <w:top w:val="single" w:sz="4" w:space="0" w:color="auto"/>
              <w:bottom w:val="single" w:sz="4" w:space="0" w:color="auto"/>
            </w:tcBorders>
          </w:tcPr>
          <w:p w14:paraId="616D075C" w14:textId="77777777" w:rsidR="00BE15A4" w:rsidRPr="00BE15A4" w:rsidRDefault="00BE15A4" w:rsidP="00BE15A4">
            <w:pPr>
              <w:spacing w:line="240" w:lineRule="auto"/>
              <w:rPr>
                <w:rFonts w:asciiTheme="majorBidi" w:eastAsia="Times New Roman" w:hAnsiTheme="majorBidi" w:cstheme="majorBidi"/>
                <w:bCs/>
                <w:sz w:val="20"/>
                <w:szCs w:val="20"/>
              </w:rPr>
            </w:pPr>
            <w:r w:rsidRPr="00BE15A4">
              <w:rPr>
                <w:rFonts w:asciiTheme="majorBidi" w:eastAsia="Times New Roman" w:hAnsiTheme="majorBidi" w:cstheme="majorBidi"/>
                <w:b/>
                <w:bCs/>
                <w:color w:val="000000"/>
                <w:sz w:val="14"/>
                <w:szCs w:val="14"/>
              </w:rPr>
              <w:t>RECOVER</w:t>
            </w:r>
          </w:p>
        </w:tc>
      </w:tr>
      <w:tr w:rsidR="00BE15A4" w:rsidRPr="00BE15A4" w14:paraId="75F38CAE"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21DA828D"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Deutsche Telekom</w:t>
            </w:r>
          </w:p>
        </w:tc>
        <w:tc>
          <w:tcPr>
            <w:tcW w:w="0" w:type="auto"/>
            <w:tcBorders>
              <w:top w:val="single" w:sz="4" w:space="0" w:color="auto"/>
              <w:bottom w:val="single" w:sz="4" w:space="0" w:color="auto"/>
            </w:tcBorders>
          </w:tcPr>
          <w:p w14:paraId="56CF245A"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CBM: Leasing model usage for devices (e.g. routers and Media Receiver) *</w:t>
            </w:r>
            <w:r w:rsidRPr="00BE15A4">
              <w:rPr>
                <w:rFonts w:asciiTheme="majorBidi" w:eastAsia="Times New Roman" w:hAnsiTheme="majorBidi" w:cstheme="majorBidi"/>
                <w:color w:val="000000"/>
                <w:sz w:val="16"/>
                <w:szCs w:val="16"/>
              </w:rPr>
              <w:br/>
              <w:t>(4)Pursue climate friendly mobility for employees</w:t>
            </w:r>
            <w:r w:rsidRPr="00BE15A4">
              <w:rPr>
                <w:rFonts w:asciiTheme="majorBidi" w:eastAsia="Times New Roman" w:hAnsiTheme="majorBidi" w:cstheme="majorBidi"/>
                <w:color w:val="000000"/>
                <w:sz w:val="16"/>
                <w:szCs w:val="16"/>
              </w:rPr>
              <w:br/>
              <w:t>(4) Investments in sustainable solutions (Infrastructure for electric vehicles charging station)*</w:t>
            </w:r>
          </w:p>
        </w:tc>
        <w:tc>
          <w:tcPr>
            <w:tcW w:w="0" w:type="auto"/>
            <w:tcBorders>
              <w:top w:val="single" w:sz="4" w:space="0" w:color="auto"/>
              <w:bottom w:val="single" w:sz="4" w:space="0" w:color="auto"/>
            </w:tcBorders>
          </w:tcPr>
          <w:p w14:paraId="63B27552"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Promoting resource efficiency in logistics (less packaging waste) </w:t>
            </w:r>
            <w:r w:rsidRPr="00BE15A4">
              <w:rPr>
                <w:rFonts w:asciiTheme="majorBidi" w:eastAsia="Times New Roman" w:hAnsiTheme="majorBidi" w:cstheme="majorBidi"/>
                <w:color w:val="000000"/>
                <w:sz w:val="16"/>
                <w:szCs w:val="16"/>
              </w:rPr>
              <w:br/>
              <w:t xml:space="preserve">(4) Energy sourcing from renewable energy </w:t>
            </w:r>
          </w:p>
        </w:tc>
        <w:tc>
          <w:tcPr>
            <w:tcW w:w="0" w:type="auto"/>
            <w:tcBorders>
              <w:top w:val="single" w:sz="4" w:space="0" w:color="auto"/>
              <w:bottom w:val="single" w:sz="4" w:space="0" w:color="auto"/>
            </w:tcBorders>
          </w:tcPr>
          <w:p w14:paraId="504BC8D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Take back program for IT equipment ("Closing the Loop One to one", Netherland) *</w:t>
            </w:r>
            <w:r w:rsidRPr="00BE15A4">
              <w:rPr>
                <w:rFonts w:asciiTheme="majorBidi" w:eastAsia="Times New Roman" w:hAnsiTheme="majorBidi" w:cstheme="majorBidi"/>
                <w:color w:val="000000"/>
                <w:sz w:val="16"/>
                <w:szCs w:val="16"/>
              </w:rPr>
              <w:br/>
              <w:t>(3) Reusable cup in canteens</w:t>
            </w:r>
            <w:r w:rsidRPr="00BE15A4">
              <w:rPr>
                <w:rFonts w:asciiTheme="majorBidi" w:eastAsia="Times New Roman" w:hAnsiTheme="majorBidi" w:cstheme="majorBidi"/>
                <w:color w:val="000000"/>
                <w:sz w:val="16"/>
                <w:szCs w:val="16"/>
              </w:rPr>
              <w:br/>
              <w:t xml:space="preserve">(3) Refurbish and resell laptops and desktops </w:t>
            </w:r>
            <w:r w:rsidRPr="00BE15A4">
              <w:rPr>
                <w:rFonts w:asciiTheme="majorBidi" w:eastAsia="Times New Roman" w:hAnsiTheme="majorBidi" w:cstheme="majorBidi"/>
                <w:color w:val="000000"/>
                <w:sz w:val="16"/>
                <w:szCs w:val="16"/>
              </w:rPr>
              <w:br/>
              <w:t>(3) Repair and Refurbish parts for reuse (e.g. routers and Media Receiver)</w:t>
            </w:r>
          </w:p>
        </w:tc>
        <w:tc>
          <w:tcPr>
            <w:tcW w:w="0" w:type="auto"/>
            <w:tcBorders>
              <w:top w:val="single" w:sz="4" w:space="0" w:color="auto"/>
              <w:bottom w:val="single" w:sz="4" w:space="0" w:color="auto"/>
            </w:tcBorders>
          </w:tcPr>
          <w:p w14:paraId="0663E7B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Copper cable recycling (group wide directive)</w:t>
            </w:r>
          </w:p>
        </w:tc>
        <w:tc>
          <w:tcPr>
            <w:tcW w:w="0" w:type="auto"/>
            <w:tcBorders>
              <w:top w:val="single" w:sz="4" w:space="0" w:color="auto"/>
              <w:bottom w:val="single" w:sz="4" w:space="0" w:color="auto"/>
            </w:tcBorders>
          </w:tcPr>
          <w:p w14:paraId="41BC757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Recovery heat from data centres</w:t>
            </w:r>
          </w:p>
        </w:tc>
      </w:tr>
      <w:tr w:rsidR="00BE15A4" w:rsidRPr="00BE15A4" w14:paraId="763417B9"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1B68D45E"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color w:val="000000"/>
                <w:sz w:val="16"/>
                <w:szCs w:val="16"/>
              </w:rPr>
              <w:t>Carrefour</w:t>
            </w:r>
          </w:p>
        </w:tc>
        <w:tc>
          <w:tcPr>
            <w:tcW w:w="0" w:type="auto"/>
            <w:tcBorders>
              <w:top w:val="single" w:sz="4" w:space="0" w:color="auto"/>
              <w:bottom w:val="single" w:sz="4" w:space="0" w:color="auto"/>
            </w:tcBorders>
          </w:tcPr>
          <w:p w14:paraId="1FA7D605" w14:textId="77777777" w:rsidR="00BE15A4" w:rsidRPr="00BE15A4" w:rsidRDefault="00BE15A4" w:rsidP="00BE15A4">
            <w:pPr>
              <w:spacing w:line="240" w:lineRule="auto"/>
              <w:jc w:val="left"/>
              <w:rPr>
                <w:rFonts w:ascii="Times New Roman" w:eastAsia="Times New Roman" w:hAnsi="Times New Roman"/>
                <w:sz w:val="20"/>
                <w:szCs w:val="20"/>
              </w:rPr>
            </w:pPr>
            <w:r w:rsidRPr="00BE15A4">
              <w:rPr>
                <w:rFonts w:asciiTheme="majorBidi" w:eastAsia="Times New Roman" w:hAnsiTheme="majorBidi" w:cstheme="majorBidi"/>
                <w:color w:val="000000"/>
                <w:sz w:val="16"/>
                <w:szCs w:val="16"/>
              </w:rPr>
              <w:t xml:space="preserve">(4) Dynamic pricing in supermarkets to reduce waste  </w:t>
            </w:r>
            <w:r w:rsidRPr="00BE15A4">
              <w:rPr>
                <w:rFonts w:asciiTheme="majorBidi" w:eastAsia="Times New Roman" w:hAnsiTheme="majorBidi" w:cstheme="majorBidi"/>
                <w:color w:val="000000"/>
                <w:sz w:val="16"/>
                <w:szCs w:val="16"/>
              </w:rPr>
              <w:br/>
              <w:t>(4) Donate unsold food *</w:t>
            </w:r>
            <w:r w:rsidRPr="00BE15A4">
              <w:rPr>
                <w:rFonts w:asciiTheme="majorBidi" w:eastAsia="Times New Roman" w:hAnsiTheme="majorBidi" w:cstheme="majorBidi"/>
                <w:color w:val="000000"/>
                <w:sz w:val="16"/>
                <w:szCs w:val="16"/>
              </w:rPr>
              <w:br/>
              <w:t>(4) Raise customer environmental awareness *</w:t>
            </w:r>
            <w:r w:rsidRPr="00BE15A4">
              <w:rPr>
                <w:rFonts w:asciiTheme="majorBidi" w:eastAsia="Times New Roman" w:hAnsiTheme="majorBidi" w:cstheme="majorBidi"/>
                <w:color w:val="000000"/>
                <w:sz w:val="16"/>
                <w:szCs w:val="16"/>
              </w:rPr>
              <w:br/>
              <w:t>(4) Refuse single use plastics by 2018 *</w:t>
            </w:r>
          </w:p>
        </w:tc>
        <w:tc>
          <w:tcPr>
            <w:tcW w:w="0" w:type="auto"/>
            <w:tcBorders>
              <w:top w:val="single" w:sz="4" w:space="0" w:color="auto"/>
              <w:bottom w:val="single" w:sz="4" w:space="0" w:color="auto"/>
            </w:tcBorders>
          </w:tcPr>
          <w:p w14:paraId="04CA3651" w14:textId="70202E3F"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r w:rsidRPr="00BE15A4">
              <w:rPr>
                <w:rFonts w:asciiTheme="majorBidi" w:eastAsia="Times New Roman" w:hAnsiTheme="majorBidi" w:cstheme="majorBidi"/>
                <w:color w:val="000000"/>
                <w:sz w:val="16"/>
                <w:szCs w:val="16"/>
              </w:rPr>
              <w:br/>
              <w:t xml:space="preserve">(4) Improve refrigeration systems </w:t>
            </w:r>
            <w:r w:rsidR="00B651D9" w:rsidRPr="00BE15A4">
              <w:rPr>
                <w:rFonts w:asciiTheme="majorBidi" w:eastAsia="Times New Roman" w:hAnsiTheme="majorBidi" w:cstheme="majorBidi"/>
                <w:color w:val="000000"/>
                <w:sz w:val="16"/>
                <w:szCs w:val="16"/>
              </w:rPr>
              <w:t>efficiency (</w:t>
            </w:r>
            <w:r w:rsidRPr="00BE15A4">
              <w:rPr>
                <w:rFonts w:asciiTheme="majorBidi" w:eastAsia="Times New Roman" w:hAnsiTheme="majorBidi" w:cstheme="majorBidi"/>
                <w:color w:val="000000"/>
                <w:sz w:val="16"/>
                <w:szCs w:val="16"/>
              </w:rPr>
              <w:t>Substituting refrigeration chemicals with CO2)</w:t>
            </w:r>
          </w:p>
        </w:tc>
        <w:tc>
          <w:tcPr>
            <w:tcW w:w="0" w:type="auto"/>
            <w:tcBorders>
              <w:top w:val="single" w:sz="4" w:space="0" w:color="auto"/>
              <w:bottom w:val="single" w:sz="4" w:space="0" w:color="auto"/>
            </w:tcBorders>
          </w:tcPr>
          <w:p w14:paraId="5C927340"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Promoting the reuse of packaging *</w:t>
            </w:r>
          </w:p>
        </w:tc>
        <w:tc>
          <w:tcPr>
            <w:tcW w:w="0" w:type="auto"/>
            <w:tcBorders>
              <w:top w:val="single" w:sz="4" w:space="0" w:color="auto"/>
              <w:bottom w:val="single" w:sz="4" w:space="0" w:color="auto"/>
            </w:tcBorders>
          </w:tcPr>
          <w:p w14:paraId="795C566F"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50% recycled plastics in its juice, soda and water bottles*</w:t>
            </w:r>
            <w:r w:rsidRPr="00BE15A4">
              <w:rPr>
                <w:rFonts w:asciiTheme="majorBidi" w:eastAsia="Times New Roman" w:hAnsiTheme="majorBidi" w:cstheme="majorBidi"/>
                <w:color w:val="000000"/>
                <w:sz w:val="16"/>
                <w:szCs w:val="16"/>
              </w:rPr>
              <w:br/>
              <w:t>(4) Recycled materials utilisation (vegetal based ink)</w:t>
            </w:r>
          </w:p>
        </w:tc>
        <w:tc>
          <w:tcPr>
            <w:tcW w:w="0" w:type="auto"/>
            <w:tcBorders>
              <w:top w:val="single" w:sz="4" w:space="0" w:color="auto"/>
              <w:bottom w:val="single" w:sz="4" w:space="0" w:color="auto"/>
            </w:tcBorders>
          </w:tcPr>
          <w:p w14:paraId="666CC7A6"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production from bio-methane </w:t>
            </w:r>
          </w:p>
        </w:tc>
      </w:tr>
      <w:tr w:rsidR="00BE15A4" w:rsidRPr="00BE15A4" w14:paraId="5626197B"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77F0E0A"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color w:val="000000"/>
                <w:sz w:val="16"/>
                <w:szCs w:val="16"/>
              </w:rPr>
              <w:t>Unilever</w:t>
            </w:r>
          </w:p>
        </w:tc>
        <w:tc>
          <w:tcPr>
            <w:tcW w:w="0" w:type="auto"/>
            <w:tcBorders>
              <w:top w:val="single" w:sz="4" w:space="0" w:color="auto"/>
              <w:bottom w:val="single" w:sz="4" w:space="0" w:color="auto"/>
            </w:tcBorders>
          </w:tcPr>
          <w:p w14:paraId="704A7CF5" w14:textId="456D3F4C" w:rsidR="00BE15A4" w:rsidRPr="00BE15A4" w:rsidRDefault="00BE15A4" w:rsidP="00BE15A4">
            <w:pPr>
              <w:spacing w:line="240" w:lineRule="auto"/>
              <w:jc w:val="left"/>
              <w:rPr>
                <w:rFonts w:ascii="Times New Roman" w:eastAsia="Times New Roman" w:hAnsi="Times New Roman"/>
                <w:sz w:val="20"/>
                <w:szCs w:val="20"/>
              </w:rPr>
            </w:pPr>
            <w:r w:rsidRPr="00BE15A4">
              <w:rPr>
                <w:rFonts w:asciiTheme="majorBidi" w:eastAsia="Times New Roman" w:hAnsiTheme="majorBidi" w:cstheme="majorBidi"/>
                <w:color w:val="000000"/>
                <w:sz w:val="16"/>
                <w:szCs w:val="16"/>
              </w:rPr>
              <w:t>(4) Reduce the use of plastics *</w:t>
            </w:r>
            <w:r w:rsidRPr="00BE15A4">
              <w:rPr>
                <w:rFonts w:asciiTheme="majorBidi" w:eastAsia="Times New Roman" w:hAnsiTheme="majorBidi" w:cstheme="majorBidi"/>
                <w:color w:val="000000"/>
                <w:sz w:val="16"/>
                <w:szCs w:val="16"/>
              </w:rPr>
              <w:br/>
              <w:t xml:space="preserve">(1) Exploring circular business </w:t>
            </w:r>
            <w:r w:rsidR="00B651D9" w:rsidRPr="00BE15A4">
              <w:rPr>
                <w:rFonts w:asciiTheme="majorBidi" w:eastAsia="Times New Roman" w:hAnsiTheme="majorBidi" w:cstheme="majorBidi"/>
                <w:color w:val="000000"/>
                <w:sz w:val="16"/>
                <w:szCs w:val="16"/>
              </w:rPr>
              <w:t>models *</w:t>
            </w:r>
          </w:p>
        </w:tc>
        <w:tc>
          <w:tcPr>
            <w:tcW w:w="0" w:type="auto"/>
            <w:tcBorders>
              <w:top w:val="single" w:sz="4" w:space="0" w:color="auto"/>
              <w:bottom w:val="single" w:sz="4" w:space="0" w:color="auto"/>
            </w:tcBorders>
          </w:tcPr>
          <w:p w14:paraId="74A8AF5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r w:rsidRPr="00BE15A4">
              <w:rPr>
                <w:rFonts w:asciiTheme="majorBidi" w:eastAsia="Times New Roman" w:hAnsiTheme="majorBidi" w:cstheme="majorBidi"/>
                <w:color w:val="000000"/>
                <w:sz w:val="16"/>
                <w:szCs w:val="16"/>
              </w:rPr>
              <w:br/>
              <w:t>(4) Improve production systems efficiency (less waste)</w:t>
            </w:r>
            <w:r w:rsidRPr="00BE15A4">
              <w:rPr>
                <w:rFonts w:asciiTheme="majorBidi" w:eastAsia="Times New Roman" w:hAnsiTheme="majorBidi" w:cstheme="majorBidi"/>
                <w:color w:val="000000"/>
                <w:sz w:val="16"/>
                <w:szCs w:val="16"/>
              </w:rPr>
              <w:br/>
              <w:t>(4) New technology to improve material efficiency (plastics)</w:t>
            </w:r>
          </w:p>
        </w:tc>
        <w:tc>
          <w:tcPr>
            <w:tcW w:w="0" w:type="auto"/>
            <w:tcBorders>
              <w:top w:val="single" w:sz="4" w:space="0" w:color="auto"/>
              <w:bottom w:val="single" w:sz="4" w:space="0" w:color="auto"/>
            </w:tcBorders>
          </w:tcPr>
          <w:p w14:paraId="065BDC5A"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Reuse packaging (cardboard boxes, in UK) *</w:t>
            </w:r>
            <w:r w:rsidRPr="00BE15A4">
              <w:rPr>
                <w:rFonts w:asciiTheme="majorBidi" w:eastAsia="Times New Roman" w:hAnsiTheme="majorBidi" w:cstheme="majorBidi"/>
                <w:color w:val="000000"/>
                <w:sz w:val="16"/>
                <w:szCs w:val="16"/>
              </w:rPr>
              <w:br/>
              <w:t>(4) Reuse products (soap) *</w:t>
            </w:r>
          </w:p>
        </w:tc>
        <w:tc>
          <w:tcPr>
            <w:tcW w:w="0" w:type="auto"/>
            <w:tcBorders>
              <w:top w:val="single" w:sz="4" w:space="0" w:color="auto"/>
              <w:bottom w:val="single" w:sz="4" w:space="0" w:color="auto"/>
            </w:tcBorders>
          </w:tcPr>
          <w:p w14:paraId="0D21154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Support investments in recycling infrastructure (pilot plants) *</w:t>
            </w:r>
            <w:r w:rsidRPr="00BE15A4">
              <w:rPr>
                <w:rFonts w:asciiTheme="majorBidi" w:eastAsia="Times New Roman" w:hAnsiTheme="majorBidi" w:cstheme="majorBidi"/>
                <w:color w:val="000000"/>
                <w:sz w:val="16"/>
                <w:szCs w:val="16"/>
              </w:rPr>
              <w:br/>
              <w:t>(2) Organic waste composting (projects in India and Argentina)</w:t>
            </w:r>
            <w:r w:rsidRPr="00BE15A4">
              <w:rPr>
                <w:rFonts w:asciiTheme="majorBidi" w:eastAsia="Times New Roman" w:hAnsiTheme="majorBidi" w:cstheme="majorBidi"/>
                <w:color w:val="000000"/>
                <w:sz w:val="16"/>
                <w:szCs w:val="16"/>
              </w:rPr>
              <w:br/>
              <w:t>(2) Recycled material utilisation (plastic "Better plastic" product lines) *</w:t>
            </w:r>
          </w:p>
        </w:tc>
        <w:tc>
          <w:tcPr>
            <w:tcW w:w="0" w:type="auto"/>
            <w:tcBorders>
              <w:top w:val="single" w:sz="4" w:space="0" w:color="auto"/>
              <w:bottom w:val="single" w:sz="4" w:space="0" w:color="auto"/>
            </w:tcBorders>
          </w:tcPr>
          <w:p w14:paraId="493A218E"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Energy recovery from waste (pre-treated and used cement kilns)</w:t>
            </w:r>
          </w:p>
        </w:tc>
      </w:tr>
      <w:tr w:rsidR="00BE15A4" w:rsidRPr="00BE15A4" w14:paraId="7FE9BA6B"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EAC55CF"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color w:val="000000"/>
                <w:sz w:val="16"/>
                <w:szCs w:val="16"/>
              </w:rPr>
              <w:t>Auchan Holding</w:t>
            </w:r>
          </w:p>
        </w:tc>
        <w:tc>
          <w:tcPr>
            <w:tcW w:w="0" w:type="auto"/>
            <w:tcBorders>
              <w:top w:val="single" w:sz="4" w:space="0" w:color="auto"/>
              <w:bottom w:val="single" w:sz="4" w:space="0" w:color="auto"/>
            </w:tcBorders>
          </w:tcPr>
          <w:p w14:paraId="04649CAD" w14:textId="77777777" w:rsidR="00BE15A4" w:rsidRPr="00BE15A4" w:rsidRDefault="00BE15A4" w:rsidP="00BE15A4">
            <w:pPr>
              <w:spacing w:line="240" w:lineRule="auto"/>
              <w:jc w:val="left"/>
              <w:rPr>
                <w:rFonts w:ascii="Times New Roman" w:eastAsia="Times New Roman" w:hAnsi="Times New Roman"/>
                <w:sz w:val="20"/>
                <w:szCs w:val="20"/>
              </w:rPr>
            </w:pPr>
            <w:r w:rsidRPr="00BE15A4">
              <w:rPr>
                <w:rFonts w:asciiTheme="majorBidi" w:eastAsia="Times New Roman" w:hAnsiTheme="majorBidi" w:cstheme="majorBidi"/>
                <w:color w:val="000000"/>
                <w:sz w:val="16"/>
                <w:szCs w:val="16"/>
              </w:rPr>
              <w:t>(4) Reduce the need of palm oil</w:t>
            </w:r>
            <w:r w:rsidRPr="00BE15A4">
              <w:rPr>
                <w:rFonts w:asciiTheme="majorBidi" w:eastAsia="Times New Roman" w:hAnsiTheme="majorBidi" w:cstheme="majorBidi"/>
                <w:color w:val="000000"/>
                <w:sz w:val="16"/>
                <w:szCs w:val="16"/>
              </w:rPr>
              <w:br/>
              <w:t>(3) Reduce (or refuse) packaging*</w:t>
            </w:r>
            <w:r w:rsidRPr="00BE15A4">
              <w:rPr>
                <w:rFonts w:asciiTheme="majorBidi" w:eastAsia="Times New Roman" w:hAnsiTheme="majorBidi" w:cstheme="majorBidi"/>
                <w:color w:val="000000"/>
                <w:sz w:val="16"/>
                <w:szCs w:val="16"/>
              </w:rPr>
              <w:br/>
              <w:t xml:space="preserve">(4) Raise customer environmental awareness </w:t>
            </w:r>
            <w:r w:rsidRPr="00BE15A4">
              <w:rPr>
                <w:rFonts w:asciiTheme="majorBidi" w:eastAsia="Times New Roman" w:hAnsiTheme="majorBidi" w:cstheme="majorBidi"/>
                <w:color w:val="000000"/>
                <w:sz w:val="16"/>
                <w:szCs w:val="16"/>
              </w:rPr>
              <w:lastRenderedPageBreak/>
              <w:t>(charge customers for bags) *</w:t>
            </w:r>
            <w:r w:rsidRPr="00BE15A4">
              <w:rPr>
                <w:rFonts w:asciiTheme="majorBidi" w:eastAsia="Times New Roman" w:hAnsiTheme="majorBidi" w:cstheme="majorBidi"/>
                <w:color w:val="000000"/>
                <w:sz w:val="16"/>
                <w:szCs w:val="16"/>
              </w:rPr>
              <w:br/>
              <w:t>(4) Donate unsold food *</w:t>
            </w:r>
          </w:p>
        </w:tc>
        <w:tc>
          <w:tcPr>
            <w:tcW w:w="0" w:type="auto"/>
            <w:tcBorders>
              <w:top w:val="single" w:sz="4" w:space="0" w:color="auto"/>
              <w:bottom w:val="single" w:sz="4" w:space="0" w:color="auto"/>
            </w:tcBorders>
          </w:tcPr>
          <w:p w14:paraId="22DB4E5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lastRenderedPageBreak/>
              <w:t xml:space="preserve">(4) Improve refrigeration systems efficiency  </w:t>
            </w:r>
          </w:p>
        </w:tc>
        <w:tc>
          <w:tcPr>
            <w:tcW w:w="0" w:type="auto"/>
            <w:tcBorders>
              <w:top w:val="single" w:sz="4" w:space="0" w:color="auto"/>
              <w:bottom w:val="single" w:sz="4" w:space="0" w:color="auto"/>
            </w:tcBorders>
          </w:tcPr>
          <w:p w14:paraId="52597A5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Repair and Refurbish IT equipment for reuse (in China)</w:t>
            </w:r>
            <w:r w:rsidRPr="00BE15A4">
              <w:rPr>
                <w:rFonts w:asciiTheme="majorBidi" w:eastAsia="Times New Roman" w:hAnsiTheme="majorBidi" w:cstheme="majorBidi"/>
                <w:color w:val="000000"/>
                <w:sz w:val="16"/>
                <w:szCs w:val="16"/>
              </w:rPr>
              <w:br/>
              <w:t>(1) Commitment to reuse packaging and clothes hangers</w:t>
            </w:r>
          </w:p>
        </w:tc>
        <w:tc>
          <w:tcPr>
            <w:tcW w:w="0" w:type="auto"/>
            <w:tcBorders>
              <w:top w:val="single" w:sz="4" w:space="0" w:color="auto"/>
              <w:bottom w:val="single" w:sz="4" w:space="0" w:color="auto"/>
            </w:tcBorders>
          </w:tcPr>
          <w:p w14:paraId="4DB6EC17" w14:textId="256EB4A9"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br/>
              <w:t xml:space="preserve">(3) Recycle packaging (plastic bottles, </w:t>
            </w:r>
            <w:r w:rsidR="00B651D9" w:rsidRPr="00BE15A4">
              <w:rPr>
                <w:rFonts w:asciiTheme="majorBidi" w:eastAsia="Times New Roman" w:hAnsiTheme="majorBidi" w:cstheme="majorBidi"/>
                <w:color w:val="000000"/>
                <w:sz w:val="16"/>
                <w:szCs w:val="16"/>
              </w:rPr>
              <w:t>France) *</w:t>
            </w:r>
            <w:r w:rsidRPr="00BE15A4">
              <w:rPr>
                <w:rFonts w:asciiTheme="majorBidi" w:eastAsia="Times New Roman" w:hAnsiTheme="majorBidi" w:cstheme="majorBidi"/>
                <w:color w:val="000000"/>
                <w:sz w:val="16"/>
                <w:szCs w:val="16"/>
              </w:rPr>
              <w:br/>
              <w:t>(3) Recover waste in stores and logistic centres(Spain, Luxembourg, France)</w:t>
            </w:r>
          </w:p>
        </w:tc>
        <w:tc>
          <w:tcPr>
            <w:tcW w:w="0" w:type="auto"/>
            <w:tcBorders>
              <w:top w:val="single" w:sz="4" w:space="0" w:color="auto"/>
              <w:bottom w:val="single" w:sz="4" w:space="0" w:color="auto"/>
            </w:tcBorders>
          </w:tcPr>
          <w:p w14:paraId="7D8C06B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 (3) Energy production from bio-methane (China)</w:t>
            </w:r>
          </w:p>
        </w:tc>
      </w:tr>
      <w:tr w:rsidR="00BE15A4" w:rsidRPr="00BE15A4" w14:paraId="48B5EB21"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4A1A078"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color w:val="000000"/>
                <w:sz w:val="16"/>
                <w:szCs w:val="16"/>
              </w:rPr>
              <w:t>Royal Dutch Shell</w:t>
            </w:r>
          </w:p>
        </w:tc>
        <w:tc>
          <w:tcPr>
            <w:tcW w:w="0" w:type="auto"/>
            <w:tcBorders>
              <w:top w:val="single" w:sz="4" w:space="0" w:color="auto"/>
              <w:bottom w:val="single" w:sz="4" w:space="0" w:color="auto"/>
            </w:tcBorders>
          </w:tcPr>
          <w:p w14:paraId="0795F057" w14:textId="77777777" w:rsidR="00BE15A4" w:rsidRPr="00BE15A4" w:rsidRDefault="00BE15A4" w:rsidP="00BE15A4">
            <w:pPr>
              <w:spacing w:line="240" w:lineRule="auto"/>
              <w:jc w:val="left"/>
              <w:rPr>
                <w:rFonts w:ascii="Times New Roman" w:eastAsia="Times New Roman" w:hAnsi="Times New Roman"/>
                <w:sz w:val="20"/>
                <w:szCs w:val="20"/>
              </w:rPr>
            </w:pPr>
            <w:r w:rsidRPr="00BE15A4">
              <w:rPr>
                <w:rFonts w:asciiTheme="majorBidi" w:eastAsia="Times New Roman" w:hAnsiTheme="majorBidi" w:cstheme="majorBidi"/>
                <w:color w:val="000000"/>
                <w:sz w:val="16"/>
                <w:szCs w:val="16"/>
              </w:rPr>
              <w:t>(2) Redesign packaging *</w:t>
            </w:r>
            <w:r w:rsidRPr="00BE15A4">
              <w:rPr>
                <w:rFonts w:asciiTheme="majorBidi" w:eastAsia="Times New Roman" w:hAnsiTheme="majorBidi" w:cstheme="majorBidi"/>
                <w:color w:val="000000"/>
                <w:sz w:val="16"/>
                <w:szCs w:val="16"/>
              </w:rPr>
              <w:br/>
              <w:t>(4) Modular Design *</w:t>
            </w:r>
            <w:r w:rsidRPr="00BE15A4">
              <w:rPr>
                <w:rFonts w:asciiTheme="majorBidi" w:eastAsia="Times New Roman" w:hAnsiTheme="majorBidi" w:cstheme="majorBidi"/>
                <w:color w:val="000000"/>
                <w:sz w:val="16"/>
                <w:szCs w:val="16"/>
              </w:rPr>
              <w:br/>
              <w:t>(2) Design infrastructure for alternative fuels</w:t>
            </w:r>
            <w:r w:rsidRPr="00BE15A4">
              <w:rPr>
                <w:rFonts w:asciiTheme="majorBidi" w:eastAsia="Times New Roman" w:hAnsiTheme="majorBidi" w:cstheme="majorBidi"/>
                <w:color w:val="000000"/>
                <w:sz w:val="16"/>
                <w:szCs w:val="16"/>
              </w:rPr>
              <w:br/>
              <w:t>(3) Design better lubricants</w:t>
            </w:r>
            <w:r w:rsidRPr="00BE15A4">
              <w:rPr>
                <w:rFonts w:asciiTheme="majorBidi" w:eastAsia="Times New Roman" w:hAnsiTheme="majorBidi" w:cstheme="majorBidi"/>
                <w:color w:val="000000"/>
                <w:sz w:val="16"/>
                <w:szCs w:val="16"/>
              </w:rPr>
              <w:br/>
              <w:t>(4) Investments in plastic waste prevention*</w:t>
            </w:r>
          </w:p>
        </w:tc>
        <w:tc>
          <w:tcPr>
            <w:tcW w:w="0" w:type="auto"/>
            <w:tcBorders>
              <w:top w:val="single" w:sz="4" w:space="0" w:color="auto"/>
              <w:bottom w:val="single" w:sz="4" w:space="0" w:color="auto"/>
            </w:tcBorders>
          </w:tcPr>
          <w:p w14:paraId="1E31FDC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Digital tools to improve resource efficiency</w:t>
            </w:r>
          </w:p>
        </w:tc>
        <w:tc>
          <w:tcPr>
            <w:tcW w:w="0" w:type="auto"/>
            <w:tcBorders>
              <w:top w:val="single" w:sz="4" w:space="0" w:color="auto"/>
              <w:bottom w:val="single" w:sz="4" w:space="0" w:color="auto"/>
            </w:tcBorders>
          </w:tcPr>
          <w:p w14:paraId="7EE2137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Reusable bags and cups in Shell Retail</w:t>
            </w:r>
          </w:p>
        </w:tc>
        <w:tc>
          <w:tcPr>
            <w:tcW w:w="0" w:type="auto"/>
            <w:tcBorders>
              <w:top w:val="single" w:sz="4" w:space="0" w:color="auto"/>
              <w:bottom w:val="single" w:sz="4" w:space="0" w:color="auto"/>
            </w:tcBorders>
          </w:tcPr>
          <w:p w14:paraId="421170F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Investments in recycling technologies (software waste management solution)</w:t>
            </w:r>
            <w:r w:rsidRPr="00BE15A4">
              <w:rPr>
                <w:rFonts w:asciiTheme="majorBidi" w:eastAsia="Times New Roman" w:hAnsiTheme="majorBidi" w:cstheme="majorBidi"/>
                <w:color w:val="000000"/>
                <w:sz w:val="16"/>
                <w:szCs w:val="16"/>
              </w:rPr>
              <w:br/>
              <w:t xml:space="preserve">(2) Recycle materials (plastic) </w:t>
            </w:r>
            <w:r w:rsidRPr="00BE15A4">
              <w:rPr>
                <w:rFonts w:asciiTheme="majorBidi" w:eastAsia="Times New Roman" w:hAnsiTheme="majorBidi" w:cstheme="majorBidi"/>
                <w:color w:val="000000"/>
                <w:sz w:val="16"/>
                <w:szCs w:val="16"/>
              </w:rPr>
              <w:br/>
              <w:t>(2) Recycle packaging*</w:t>
            </w:r>
          </w:p>
        </w:tc>
        <w:tc>
          <w:tcPr>
            <w:tcW w:w="0" w:type="auto"/>
            <w:tcBorders>
              <w:top w:val="single" w:sz="4" w:space="0" w:color="auto"/>
              <w:bottom w:val="single" w:sz="4" w:space="0" w:color="auto"/>
            </w:tcBorders>
          </w:tcPr>
          <w:p w14:paraId="3228223A"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br/>
              <w:t>(2) Investing in recovery infrastructure</w:t>
            </w:r>
            <w:r w:rsidRPr="00BE15A4">
              <w:rPr>
                <w:rFonts w:asciiTheme="majorBidi" w:eastAsia="Times New Roman" w:hAnsiTheme="majorBidi" w:cstheme="majorBidi"/>
                <w:color w:val="000000"/>
                <w:sz w:val="16"/>
                <w:szCs w:val="16"/>
              </w:rPr>
              <w:br/>
              <w:t xml:space="preserve">(3) Energy Recovery from </w:t>
            </w:r>
            <w:proofErr w:type="spellStart"/>
            <w:r w:rsidRPr="00BE15A4">
              <w:rPr>
                <w:rFonts w:asciiTheme="majorBidi" w:eastAsia="Times New Roman" w:hAnsiTheme="majorBidi" w:cstheme="majorBidi"/>
                <w:color w:val="000000"/>
                <w:sz w:val="16"/>
                <w:szCs w:val="16"/>
              </w:rPr>
              <w:t>byproducts</w:t>
            </w:r>
            <w:proofErr w:type="spellEnd"/>
            <w:r w:rsidRPr="00BE15A4">
              <w:rPr>
                <w:rFonts w:asciiTheme="majorBidi" w:eastAsia="Times New Roman" w:hAnsiTheme="majorBidi" w:cstheme="majorBidi"/>
                <w:color w:val="000000"/>
                <w:sz w:val="16"/>
                <w:szCs w:val="16"/>
              </w:rPr>
              <w:t>/waste</w:t>
            </w:r>
          </w:p>
        </w:tc>
      </w:tr>
      <w:tr w:rsidR="00BE15A4" w:rsidRPr="00BE15A4" w14:paraId="0E14EC24"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60A2596" w14:textId="77777777" w:rsidR="00BE15A4" w:rsidRPr="00BE15A4" w:rsidRDefault="00BE15A4" w:rsidP="00BE15A4">
            <w:pPr>
              <w:spacing w:line="240" w:lineRule="auto"/>
              <w:rPr>
                <w:rFonts w:ascii="Times New Roman" w:eastAsia="Times New Roman" w:hAnsi="Times New Roman"/>
                <w:b/>
                <w:sz w:val="20"/>
                <w:szCs w:val="20"/>
              </w:rPr>
            </w:pPr>
            <w:r w:rsidRPr="00BE15A4">
              <w:rPr>
                <w:rFonts w:asciiTheme="majorBidi" w:eastAsia="Times New Roman" w:hAnsiTheme="majorBidi" w:cstheme="majorBidi"/>
                <w:b/>
                <w:bCs/>
                <w:color w:val="000000"/>
                <w:sz w:val="16"/>
                <w:szCs w:val="16"/>
              </w:rPr>
              <w:t>EXOR Group (FCA)</w:t>
            </w:r>
          </w:p>
        </w:tc>
        <w:tc>
          <w:tcPr>
            <w:tcW w:w="0" w:type="auto"/>
            <w:tcBorders>
              <w:top w:val="single" w:sz="4" w:space="0" w:color="auto"/>
              <w:bottom w:val="single" w:sz="4" w:space="0" w:color="auto"/>
            </w:tcBorders>
          </w:tcPr>
          <w:p w14:paraId="4E50A1BD" w14:textId="5A2E36EB" w:rsidR="00BE15A4" w:rsidRPr="00BE15A4" w:rsidRDefault="00BE15A4" w:rsidP="00BE15A4">
            <w:pPr>
              <w:spacing w:line="240" w:lineRule="auto"/>
              <w:jc w:val="left"/>
              <w:rPr>
                <w:rFonts w:ascii="Times New Roman" w:eastAsia="Times New Roman" w:hAnsi="Times New Roman"/>
                <w:sz w:val="20"/>
                <w:szCs w:val="20"/>
              </w:rPr>
            </w:pPr>
            <w:r w:rsidRPr="00BE15A4">
              <w:rPr>
                <w:rFonts w:asciiTheme="majorBidi" w:eastAsia="Times New Roman" w:hAnsiTheme="majorBidi" w:cstheme="majorBidi"/>
                <w:color w:val="000000"/>
                <w:sz w:val="16"/>
                <w:szCs w:val="16"/>
              </w:rPr>
              <w:t>(3) Mobility as a service solutions (subscription-based car ownership program, car-sharing service) *</w:t>
            </w:r>
            <w:r w:rsidRPr="00BE15A4">
              <w:rPr>
                <w:rFonts w:asciiTheme="majorBidi" w:eastAsia="Times New Roman" w:hAnsiTheme="majorBidi" w:cstheme="majorBidi"/>
                <w:color w:val="000000"/>
                <w:sz w:val="16"/>
                <w:szCs w:val="16"/>
              </w:rPr>
              <w:br/>
              <w:t xml:space="preserve">(4) Promoting collaborative consumption (P2P car-sharing </w:t>
            </w:r>
            <w:r w:rsidR="00B651D9" w:rsidRPr="00BE15A4">
              <w:rPr>
                <w:rFonts w:asciiTheme="majorBidi" w:eastAsia="Times New Roman" w:hAnsiTheme="majorBidi" w:cstheme="majorBidi"/>
                <w:color w:val="000000"/>
                <w:sz w:val="16"/>
                <w:szCs w:val="16"/>
              </w:rPr>
              <w:t>platform) *</w:t>
            </w:r>
            <w:r w:rsidRPr="00BE15A4">
              <w:rPr>
                <w:rFonts w:asciiTheme="majorBidi" w:eastAsia="Times New Roman" w:hAnsiTheme="majorBidi" w:cstheme="majorBidi"/>
                <w:color w:val="000000"/>
                <w:sz w:val="16"/>
                <w:szCs w:val="16"/>
              </w:rPr>
              <w:br/>
              <w:t>(4) Design for resource recovery*</w:t>
            </w:r>
          </w:p>
        </w:tc>
        <w:tc>
          <w:tcPr>
            <w:tcW w:w="0" w:type="auto"/>
            <w:tcBorders>
              <w:top w:val="single" w:sz="4" w:space="0" w:color="auto"/>
              <w:bottom w:val="single" w:sz="4" w:space="0" w:color="auto"/>
            </w:tcBorders>
          </w:tcPr>
          <w:p w14:paraId="0659BCFC"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Improve production systems efficiency </w:t>
            </w:r>
            <w:r w:rsidRPr="00BE15A4">
              <w:rPr>
                <w:rFonts w:asciiTheme="majorBidi" w:eastAsia="Times New Roman" w:hAnsiTheme="majorBidi" w:cstheme="majorBidi"/>
                <w:color w:val="000000"/>
                <w:sz w:val="16"/>
                <w:szCs w:val="16"/>
              </w:rPr>
              <w:br/>
              <w:t>(4) Improve logistics efficiency with forecasting tools*</w:t>
            </w:r>
            <w:r w:rsidRPr="00BE15A4">
              <w:rPr>
                <w:rFonts w:asciiTheme="majorBidi" w:eastAsia="Times New Roman" w:hAnsiTheme="majorBidi" w:cstheme="majorBidi"/>
                <w:color w:val="000000"/>
                <w:sz w:val="16"/>
                <w:szCs w:val="16"/>
              </w:rPr>
              <w:br/>
              <w:t xml:space="preserve">(4) Energy sourcing from renewable energy </w:t>
            </w:r>
          </w:p>
        </w:tc>
        <w:tc>
          <w:tcPr>
            <w:tcW w:w="0" w:type="auto"/>
            <w:tcBorders>
              <w:top w:val="single" w:sz="4" w:space="0" w:color="auto"/>
              <w:bottom w:val="single" w:sz="4" w:space="0" w:color="auto"/>
            </w:tcBorders>
          </w:tcPr>
          <w:p w14:paraId="3BB3C38C"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Refurbish parts for reuse (</w:t>
            </w:r>
            <w:proofErr w:type="spellStart"/>
            <w:r w:rsidRPr="00BE15A4">
              <w:rPr>
                <w:rFonts w:asciiTheme="majorBidi" w:eastAsia="Times New Roman" w:hAnsiTheme="majorBidi" w:cstheme="majorBidi"/>
                <w:color w:val="000000"/>
                <w:sz w:val="16"/>
                <w:szCs w:val="16"/>
              </w:rPr>
              <w:t>CarE</w:t>
            </w:r>
            <w:proofErr w:type="spellEnd"/>
            <w:r w:rsidRPr="00BE15A4">
              <w:rPr>
                <w:rFonts w:asciiTheme="majorBidi" w:eastAsia="Times New Roman" w:hAnsiTheme="majorBidi" w:cstheme="majorBidi"/>
                <w:color w:val="000000"/>
                <w:sz w:val="16"/>
                <w:szCs w:val="16"/>
              </w:rPr>
              <w:t>-Service project) *</w:t>
            </w:r>
            <w:r w:rsidRPr="00BE15A4">
              <w:rPr>
                <w:rFonts w:asciiTheme="majorBidi" w:eastAsia="Times New Roman" w:hAnsiTheme="majorBidi" w:cstheme="majorBidi"/>
                <w:color w:val="000000"/>
                <w:sz w:val="16"/>
                <w:szCs w:val="16"/>
              </w:rPr>
              <w:br/>
              <w:t>(2) Refurbish and reuse batteries for non-automotive applications (e.g., motorised wheelchairs) *</w:t>
            </w:r>
          </w:p>
        </w:tc>
        <w:tc>
          <w:tcPr>
            <w:tcW w:w="0" w:type="auto"/>
            <w:tcBorders>
              <w:top w:val="single" w:sz="4" w:space="0" w:color="auto"/>
              <w:bottom w:val="single" w:sz="4" w:space="0" w:color="auto"/>
            </w:tcBorders>
          </w:tcPr>
          <w:p w14:paraId="7A61ADF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Remanufacturing of parts and components*</w:t>
            </w:r>
            <w:r w:rsidRPr="00BE15A4">
              <w:rPr>
                <w:rFonts w:asciiTheme="majorBidi" w:eastAsia="Times New Roman" w:hAnsiTheme="majorBidi" w:cstheme="majorBidi"/>
                <w:color w:val="000000"/>
                <w:sz w:val="16"/>
                <w:szCs w:val="16"/>
              </w:rPr>
              <w:br/>
              <w:t>(4) Recycled materials utilisation (aluminium, steel, plastics) *</w:t>
            </w:r>
            <w:r w:rsidRPr="00BE15A4">
              <w:rPr>
                <w:rFonts w:asciiTheme="majorBidi" w:eastAsia="Times New Roman" w:hAnsiTheme="majorBidi" w:cstheme="majorBidi"/>
                <w:color w:val="000000"/>
                <w:sz w:val="16"/>
                <w:szCs w:val="16"/>
              </w:rPr>
              <w:br/>
              <w:t>(2) Repurpose end-of-life components into fashion accessories (cooperative, Brazil)</w:t>
            </w:r>
            <w:r w:rsidRPr="00BE15A4">
              <w:rPr>
                <w:rFonts w:asciiTheme="majorBidi" w:eastAsia="Times New Roman" w:hAnsiTheme="majorBidi" w:cstheme="majorBidi"/>
                <w:color w:val="000000"/>
                <w:sz w:val="16"/>
                <w:szCs w:val="16"/>
              </w:rPr>
              <w:br/>
              <w:t xml:space="preserve">(2) Investments in recycling technologies  </w:t>
            </w:r>
          </w:p>
        </w:tc>
        <w:tc>
          <w:tcPr>
            <w:tcW w:w="0" w:type="auto"/>
            <w:tcBorders>
              <w:top w:val="single" w:sz="4" w:space="0" w:color="auto"/>
              <w:bottom w:val="single" w:sz="4" w:space="0" w:color="auto"/>
            </w:tcBorders>
          </w:tcPr>
          <w:p w14:paraId="105AFFD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Energy production from bio-methane (from sewage sludge)</w:t>
            </w:r>
          </w:p>
        </w:tc>
      </w:tr>
      <w:tr w:rsidR="00BE15A4" w:rsidRPr="00BE15A4" w14:paraId="23746958"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53B3D42E"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 xml:space="preserve">Renault </w:t>
            </w:r>
          </w:p>
        </w:tc>
        <w:tc>
          <w:tcPr>
            <w:tcW w:w="0" w:type="auto"/>
            <w:tcBorders>
              <w:top w:val="single" w:sz="4" w:space="0" w:color="auto"/>
              <w:bottom w:val="single" w:sz="4" w:space="0" w:color="auto"/>
            </w:tcBorders>
          </w:tcPr>
          <w:p w14:paraId="34DFBDE8"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(3) Mobility as a service solutions*</w:t>
            </w:r>
            <w:r w:rsidRPr="00BE15A4">
              <w:rPr>
                <w:rFonts w:asciiTheme="majorBidi" w:eastAsia="Times New Roman" w:hAnsiTheme="majorBidi" w:cstheme="majorBidi"/>
                <w:color w:val="000000"/>
                <w:sz w:val="16"/>
                <w:szCs w:val="16"/>
              </w:rPr>
              <w:br/>
              <w:t xml:space="preserve">(4) Design for resource recovery* </w:t>
            </w:r>
          </w:p>
        </w:tc>
        <w:tc>
          <w:tcPr>
            <w:tcW w:w="0" w:type="auto"/>
            <w:tcBorders>
              <w:top w:val="single" w:sz="4" w:space="0" w:color="auto"/>
              <w:bottom w:val="single" w:sz="4" w:space="0" w:color="auto"/>
            </w:tcBorders>
          </w:tcPr>
          <w:p w14:paraId="068534E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r w:rsidRPr="00BE15A4">
              <w:rPr>
                <w:rFonts w:asciiTheme="majorBidi" w:eastAsia="Times New Roman" w:hAnsiTheme="majorBidi" w:cstheme="majorBidi"/>
                <w:color w:val="000000"/>
                <w:sz w:val="16"/>
                <w:szCs w:val="16"/>
              </w:rPr>
              <w:br/>
              <w:t>(4) Improve production systems efficiency</w:t>
            </w:r>
          </w:p>
        </w:tc>
        <w:tc>
          <w:tcPr>
            <w:tcW w:w="0" w:type="auto"/>
            <w:tcBorders>
              <w:top w:val="single" w:sz="4" w:space="0" w:color="auto"/>
              <w:bottom w:val="single" w:sz="4" w:space="0" w:color="auto"/>
            </w:tcBorders>
          </w:tcPr>
          <w:p w14:paraId="3F4BC15C"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 (2) Refurbish parts for reuse (batteries) *</w:t>
            </w:r>
            <w:r w:rsidRPr="00BE15A4">
              <w:rPr>
                <w:rFonts w:asciiTheme="majorBidi" w:eastAsia="Times New Roman" w:hAnsiTheme="majorBidi" w:cstheme="majorBidi"/>
                <w:color w:val="000000"/>
                <w:sz w:val="16"/>
                <w:szCs w:val="16"/>
              </w:rPr>
              <w:br/>
              <w:t>(4) Reuse of second hand parts*</w:t>
            </w:r>
          </w:p>
        </w:tc>
        <w:tc>
          <w:tcPr>
            <w:tcW w:w="0" w:type="auto"/>
            <w:tcBorders>
              <w:top w:val="single" w:sz="4" w:space="0" w:color="auto"/>
              <w:bottom w:val="single" w:sz="4" w:space="0" w:color="auto"/>
            </w:tcBorders>
          </w:tcPr>
          <w:p w14:paraId="5845C3C8" w14:textId="7165C388"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Remanufacturing parts and components*</w:t>
            </w:r>
            <w:r w:rsidRPr="00BE15A4">
              <w:rPr>
                <w:rFonts w:asciiTheme="majorBidi" w:eastAsia="Times New Roman" w:hAnsiTheme="majorBidi" w:cstheme="majorBidi"/>
                <w:color w:val="000000"/>
                <w:sz w:val="16"/>
                <w:szCs w:val="16"/>
              </w:rPr>
              <w:br/>
              <w:t xml:space="preserve">(4) Recycled materials utilisation (copper, </w:t>
            </w:r>
            <w:proofErr w:type="spellStart"/>
            <w:r w:rsidRPr="00BE15A4">
              <w:rPr>
                <w:rFonts w:asciiTheme="majorBidi" w:eastAsia="Times New Roman" w:hAnsiTheme="majorBidi" w:cstheme="majorBidi"/>
                <w:color w:val="000000"/>
                <w:sz w:val="16"/>
                <w:szCs w:val="16"/>
              </w:rPr>
              <w:t>aluminum</w:t>
            </w:r>
            <w:proofErr w:type="spellEnd"/>
            <w:r w:rsidRPr="00BE15A4">
              <w:rPr>
                <w:rFonts w:asciiTheme="majorBidi" w:eastAsia="Times New Roman" w:hAnsiTheme="majorBidi" w:cstheme="majorBidi"/>
                <w:color w:val="000000"/>
                <w:sz w:val="16"/>
                <w:szCs w:val="16"/>
              </w:rPr>
              <w:t xml:space="preserve">, </w:t>
            </w:r>
            <w:proofErr w:type="spellStart"/>
            <w:r w:rsidRPr="00BE15A4">
              <w:rPr>
                <w:rFonts w:asciiTheme="majorBidi" w:eastAsia="Times New Roman" w:hAnsiTheme="majorBidi" w:cstheme="majorBidi"/>
                <w:color w:val="000000"/>
                <w:sz w:val="16"/>
                <w:szCs w:val="16"/>
              </w:rPr>
              <w:t>pastics</w:t>
            </w:r>
            <w:proofErr w:type="spellEnd"/>
            <w:r w:rsidRPr="00BE15A4">
              <w:rPr>
                <w:rFonts w:asciiTheme="majorBidi" w:eastAsia="Times New Roman" w:hAnsiTheme="majorBidi" w:cstheme="majorBidi"/>
                <w:color w:val="000000"/>
                <w:sz w:val="16"/>
                <w:szCs w:val="16"/>
              </w:rPr>
              <w:t xml:space="preserve">, </w:t>
            </w:r>
            <w:proofErr w:type="spellStart"/>
            <w:r w:rsidRPr="00BE15A4">
              <w:rPr>
                <w:rFonts w:asciiTheme="majorBidi" w:eastAsia="Times New Roman" w:hAnsiTheme="majorBidi" w:cstheme="majorBidi"/>
                <w:color w:val="000000"/>
                <w:sz w:val="16"/>
                <w:szCs w:val="16"/>
              </w:rPr>
              <w:t>plastinoids</w:t>
            </w:r>
            <w:proofErr w:type="spellEnd"/>
            <w:r w:rsidRPr="00BE15A4">
              <w:rPr>
                <w:rFonts w:asciiTheme="majorBidi" w:eastAsia="Times New Roman" w:hAnsiTheme="majorBidi" w:cstheme="majorBidi"/>
                <w:color w:val="000000"/>
                <w:sz w:val="16"/>
                <w:szCs w:val="16"/>
              </w:rPr>
              <w:t xml:space="preserve">, and textiles for second life in new </w:t>
            </w:r>
            <w:r w:rsidR="00B651D9" w:rsidRPr="00BE15A4">
              <w:rPr>
                <w:rFonts w:asciiTheme="majorBidi" w:eastAsia="Times New Roman" w:hAnsiTheme="majorBidi" w:cstheme="majorBidi"/>
                <w:color w:val="000000"/>
                <w:sz w:val="16"/>
                <w:szCs w:val="16"/>
              </w:rPr>
              <w:t>vehicles) *</w:t>
            </w:r>
          </w:p>
        </w:tc>
        <w:tc>
          <w:tcPr>
            <w:tcW w:w="0" w:type="auto"/>
            <w:tcBorders>
              <w:top w:val="single" w:sz="4" w:space="0" w:color="auto"/>
              <w:bottom w:val="single" w:sz="4" w:space="0" w:color="auto"/>
            </w:tcBorders>
          </w:tcPr>
          <w:p w14:paraId="0774B5F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2B1CD7F0"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3FA0E70"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Telefonica</w:t>
            </w:r>
          </w:p>
        </w:tc>
        <w:tc>
          <w:tcPr>
            <w:tcW w:w="0" w:type="auto"/>
            <w:tcBorders>
              <w:top w:val="single" w:sz="4" w:space="0" w:color="auto"/>
              <w:bottom w:val="single" w:sz="4" w:space="0" w:color="auto"/>
            </w:tcBorders>
          </w:tcPr>
          <w:p w14:paraId="6B08C4BD"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(4) Refuse paper invoice</w:t>
            </w:r>
          </w:p>
        </w:tc>
        <w:tc>
          <w:tcPr>
            <w:tcW w:w="0" w:type="auto"/>
            <w:tcBorders>
              <w:top w:val="single" w:sz="4" w:space="0" w:color="auto"/>
              <w:bottom w:val="single" w:sz="4" w:space="0" w:color="auto"/>
            </w:tcBorders>
          </w:tcPr>
          <w:p w14:paraId="4A706FA2"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Improve internal resource efficiency </w:t>
            </w:r>
            <w:r w:rsidRPr="00BE15A4">
              <w:rPr>
                <w:rFonts w:asciiTheme="majorBidi" w:eastAsia="Times New Roman" w:hAnsiTheme="majorBidi" w:cstheme="majorBidi"/>
                <w:color w:val="000000"/>
                <w:sz w:val="16"/>
                <w:szCs w:val="16"/>
              </w:rPr>
              <w:br/>
              <w:t xml:space="preserve">(4) Use of digital data to prevent resource consumption </w:t>
            </w:r>
          </w:p>
        </w:tc>
        <w:tc>
          <w:tcPr>
            <w:tcW w:w="0" w:type="auto"/>
            <w:tcBorders>
              <w:top w:val="single" w:sz="4" w:space="0" w:color="auto"/>
              <w:bottom w:val="single" w:sz="4" w:space="0" w:color="auto"/>
            </w:tcBorders>
          </w:tcPr>
          <w:p w14:paraId="5677861F"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Refurbish IT equipment for reuse  </w:t>
            </w:r>
          </w:p>
        </w:tc>
        <w:tc>
          <w:tcPr>
            <w:tcW w:w="0" w:type="auto"/>
            <w:tcBorders>
              <w:top w:val="single" w:sz="4" w:space="0" w:color="auto"/>
              <w:bottom w:val="single" w:sz="4" w:space="0" w:color="auto"/>
            </w:tcBorders>
          </w:tcPr>
          <w:p w14:paraId="42613F29" w14:textId="51B77E8C"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Recycled materials utilisation (copper, rare earths) *</w:t>
            </w:r>
            <w:r w:rsidRPr="00BE15A4">
              <w:rPr>
                <w:rFonts w:asciiTheme="majorBidi" w:eastAsia="Times New Roman" w:hAnsiTheme="majorBidi" w:cstheme="majorBidi"/>
                <w:color w:val="000000"/>
                <w:sz w:val="16"/>
                <w:szCs w:val="16"/>
              </w:rPr>
              <w:br/>
              <w:t xml:space="preserve">(4) Recycled materials </w:t>
            </w:r>
            <w:r w:rsidR="00B651D9" w:rsidRPr="00BE15A4">
              <w:rPr>
                <w:rFonts w:asciiTheme="majorBidi" w:eastAsia="Times New Roman" w:hAnsiTheme="majorBidi" w:cstheme="majorBidi"/>
                <w:color w:val="000000"/>
                <w:sz w:val="16"/>
                <w:szCs w:val="16"/>
              </w:rPr>
              <w:t>utilisation (</w:t>
            </w:r>
            <w:r w:rsidRPr="00BE15A4">
              <w:rPr>
                <w:rFonts w:asciiTheme="majorBidi" w:eastAsia="Times New Roman" w:hAnsiTheme="majorBidi" w:cstheme="majorBidi"/>
                <w:color w:val="000000"/>
                <w:sz w:val="16"/>
                <w:szCs w:val="16"/>
              </w:rPr>
              <w:t>paper)</w:t>
            </w:r>
          </w:p>
        </w:tc>
        <w:tc>
          <w:tcPr>
            <w:tcW w:w="0" w:type="auto"/>
            <w:tcBorders>
              <w:top w:val="single" w:sz="4" w:space="0" w:color="auto"/>
              <w:bottom w:val="single" w:sz="4" w:space="0" w:color="auto"/>
            </w:tcBorders>
          </w:tcPr>
          <w:p w14:paraId="27C0D0F4"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19E248F3"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C94EDFA"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BNP Paribas</w:t>
            </w:r>
          </w:p>
        </w:tc>
        <w:tc>
          <w:tcPr>
            <w:tcW w:w="0" w:type="auto"/>
            <w:tcBorders>
              <w:top w:val="single" w:sz="4" w:space="0" w:color="auto"/>
              <w:bottom w:val="single" w:sz="4" w:space="0" w:color="auto"/>
            </w:tcBorders>
          </w:tcPr>
          <w:p w14:paraId="487A56DA"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(3) Financing businesses transition to CE*</w:t>
            </w:r>
            <w:r w:rsidRPr="00BE15A4">
              <w:rPr>
                <w:rFonts w:asciiTheme="majorBidi" w:eastAsia="Times New Roman" w:hAnsiTheme="majorBidi" w:cstheme="majorBidi"/>
                <w:color w:val="000000"/>
                <w:sz w:val="16"/>
                <w:szCs w:val="16"/>
              </w:rPr>
              <w:br/>
              <w:t>(3) Financing CE innovators*</w:t>
            </w:r>
            <w:r w:rsidRPr="00BE15A4">
              <w:rPr>
                <w:rFonts w:asciiTheme="majorBidi" w:eastAsia="Times New Roman" w:hAnsiTheme="majorBidi" w:cstheme="majorBidi"/>
                <w:color w:val="000000"/>
                <w:sz w:val="16"/>
                <w:szCs w:val="16"/>
              </w:rPr>
              <w:br/>
              <w:t>(4) Design "green" products for households*</w:t>
            </w:r>
            <w:r w:rsidRPr="00BE15A4">
              <w:rPr>
                <w:rFonts w:asciiTheme="majorBidi" w:eastAsia="Times New Roman" w:hAnsiTheme="majorBidi" w:cstheme="majorBidi"/>
                <w:color w:val="000000"/>
                <w:sz w:val="16"/>
                <w:szCs w:val="16"/>
              </w:rPr>
              <w:br/>
              <w:t>(4) Invest in "green" bonds and companies*</w:t>
            </w:r>
          </w:p>
        </w:tc>
        <w:tc>
          <w:tcPr>
            <w:tcW w:w="0" w:type="auto"/>
            <w:tcBorders>
              <w:top w:val="single" w:sz="4" w:space="0" w:color="auto"/>
              <w:bottom w:val="single" w:sz="4" w:space="0" w:color="auto"/>
            </w:tcBorders>
          </w:tcPr>
          <w:p w14:paraId="1862CA8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p>
        </w:tc>
        <w:tc>
          <w:tcPr>
            <w:tcW w:w="0" w:type="auto"/>
            <w:tcBorders>
              <w:top w:val="single" w:sz="4" w:space="0" w:color="auto"/>
              <w:bottom w:val="single" w:sz="4" w:space="0" w:color="auto"/>
            </w:tcBorders>
          </w:tcPr>
          <w:p w14:paraId="21007503"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995B102"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Recycled materials utilisation (paper)  </w:t>
            </w:r>
          </w:p>
        </w:tc>
        <w:tc>
          <w:tcPr>
            <w:tcW w:w="0" w:type="auto"/>
            <w:tcBorders>
              <w:top w:val="single" w:sz="4" w:space="0" w:color="auto"/>
              <w:bottom w:val="single" w:sz="4" w:space="0" w:color="auto"/>
            </w:tcBorders>
          </w:tcPr>
          <w:p w14:paraId="6EB4670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Invest in waste to energy solutions (UK)</w:t>
            </w:r>
          </w:p>
        </w:tc>
      </w:tr>
      <w:tr w:rsidR="00BE15A4" w:rsidRPr="00BE15A4" w14:paraId="21EDA2AF"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1915430F"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Total</w:t>
            </w:r>
          </w:p>
        </w:tc>
        <w:tc>
          <w:tcPr>
            <w:tcW w:w="0" w:type="auto"/>
            <w:tcBorders>
              <w:top w:val="single" w:sz="4" w:space="0" w:color="auto"/>
              <w:bottom w:val="single" w:sz="4" w:space="0" w:color="auto"/>
            </w:tcBorders>
          </w:tcPr>
          <w:p w14:paraId="5FBA5370" w14:textId="1D10BA70"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 xml:space="preserve">(3) Design better products (Total </w:t>
            </w:r>
            <w:proofErr w:type="spellStart"/>
            <w:r w:rsidRPr="00BE15A4">
              <w:rPr>
                <w:rFonts w:asciiTheme="majorBidi" w:eastAsia="Times New Roman" w:hAnsiTheme="majorBidi" w:cstheme="majorBidi"/>
                <w:color w:val="000000"/>
                <w:sz w:val="16"/>
                <w:szCs w:val="16"/>
              </w:rPr>
              <w:lastRenderedPageBreak/>
              <w:t>EcoSolutions</w:t>
            </w:r>
            <w:proofErr w:type="spellEnd"/>
            <w:r w:rsidRPr="00BE15A4">
              <w:rPr>
                <w:rFonts w:asciiTheme="majorBidi" w:eastAsia="Times New Roman" w:hAnsiTheme="majorBidi" w:cstheme="majorBidi"/>
                <w:color w:val="000000"/>
                <w:sz w:val="16"/>
                <w:szCs w:val="16"/>
              </w:rPr>
              <w:t xml:space="preserve"> Program) *</w:t>
            </w:r>
            <w:r w:rsidRPr="00BE15A4">
              <w:rPr>
                <w:rFonts w:asciiTheme="majorBidi" w:eastAsia="Times New Roman" w:hAnsiTheme="majorBidi" w:cstheme="majorBidi"/>
                <w:color w:val="000000"/>
                <w:sz w:val="16"/>
                <w:szCs w:val="16"/>
              </w:rPr>
              <w:br/>
              <w:t>(2</w:t>
            </w:r>
            <w:r w:rsidR="00B651D9" w:rsidRPr="00BE15A4">
              <w:rPr>
                <w:rFonts w:asciiTheme="majorBidi" w:eastAsia="Times New Roman" w:hAnsiTheme="majorBidi" w:cstheme="majorBidi"/>
                <w:color w:val="000000"/>
                <w:sz w:val="16"/>
                <w:szCs w:val="16"/>
              </w:rPr>
              <w:t>) Financing</w:t>
            </w:r>
            <w:r w:rsidRPr="00BE15A4">
              <w:rPr>
                <w:rFonts w:asciiTheme="majorBidi" w:eastAsia="Times New Roman" w:hAnsiTheme="majorBidi" w:cstheme="majorBidi"/>
                <w:color w:val="000000"/>
                <w:sz w:val="16"/>
                <w:szCs w:val="16"/>
              </w:rPr>
              <w:t xml:space="preserve"> technological innovation (CCUS)</w:t>
            </w:r>
            <w:r w:rsidRPr="00BE15A4">
              <w:rPr>
                <w:rFonts w:asciiTheme="majorBidi" w:eastAsia="Times New Roman" w:hAnsiTheme="majorBidi" w:cstheme="majorBidi"/>
                <w:color w:val="000000"/>
                <w:sz w:val="16"/>
                <w:szCs w:val="16"/>
              </w:rPr>
              <w:br/>
              <w:t>(4) Investments in plastic waste prevention</w:t>
            </w:r>
          </w:p>
        </w:tc>
        <w:tc>
          <w:tcPr>
            <w:tcW w:w="0" w:type="auto"/>
            <w:tcBorders>
              <w:top w:val="single" w:sz="4" w:space="0" w:color="auto"/>
              <w:bottom w:val="single" w:sz="4" w:space="0" w:color="auto"/>
            </w:tcBorders>
          </w:tcPr>
          <w:p w14:paraId="0A1FEA5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lastRenderedPageBreak/>
              <w:t>(4) Energy generation from renewable sources</w:t>
            </w:r>
          </w:p>
        </w:tc>
        <w:tc>
          <w:tcPr>
            <w:tcW w:w="0" w:type="auto"/>
            <w:tcBorders>
              <w:top w:val="single" w:sz="4" w:space="0" w:color="auto"/>
              <w:bottom w:val="single" w:sz="4" w:space="0" w:color="auto"/>
            </w:tcBorders>
          </w:tcPr>
          <w:p w14:paraId="056E1913"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6BC49EFA" w14:textId="77777777" w:rsidR="00BE15A4" w:rsidRPr="00BE15A4" w:rsidRDefault="00BE15A4" w:rsidP="00BE15A4">
            <w:pPr>
              <w:spacing w:line="240" w:lineRule="auto"/>
              <w:jc w:val="left"/>
              <w:rPr>
                <w:rFonts w:asciiTheme="majorBidi" w:eastAsia="Times New Roman" w:hAnsiTheme="majorBidi" w:cstheme="majorBidi"/>
                <w:bCs/>
                <w:sz w:val="20"/>
                <w:szCs w:val="20"/>
                <w:lang w:val="de-DE"/>
              </w:rPr>
            </w:pPr>
            <w:r w:rsidRPr="00BE15A4">
              <w:rPr>
                <w:rFonts w:asciiTheme="majorBidi" w:eastAsia="Times New Roman" w:hAnsiTheme="majorBidi" w:cstheme="majorBidi"/>
                <w:color w:val="000000"/>
                <w:sz w:val="16"/>
                <w:szCs w:val="16"/>
              </w:rPr>
              <w:t xml:space="preserve">(3) Investing in recycling technologies </w:t>
            </w:r>
            <w:r w:rsidRPr="00BE15A4">
              <w:rPr>
                <w:rFonts w:asciiTheme="majorBidi" w:eastAsia="Times New Roman" w:hAnsiTheme="majorBidi" w:cstheme="majorBidi"/>
                <w:color w:val="000000"/>
                <w:sz w:val="16"/>
                <w:szCs w:val="16"/>
              </w:rPr>
              <w:lastRenderedPageBreak/>
              <w:t>(plastics)</w:t>
            </w:r>
            <w:r w:rsidRPr="00BE15A4">
              <w:rPr>
                <w:rFonts w:asciiTheme="majorBidi" w:eastAsia="Times New Roman" w:hAnsiTheme="majorBidi" w:cstheme="majorBidi"/>
                <w:color w:val="000000"/>
                <w:sz w:val="16"/>
                <w:szCs w:val="16"/>
              </w:rPr>
              <w:br/>
              <w:t>(3) Recycle production waste (oil, UK)</w:t>
            </w:r>
          </w:p>
        </w:tc>
        <w:tc>
          <w:tcPr>
            <w:tcW w:w="0" w:type="auto"/>
            <w:tcBorders>
              <w:top w:val="single" w:sz="4" w:space="0" w:color="auto"/>
              <w:bottom w:val="single" w:sz="4" w:space="0" w:color="auto"/>
            </w:tcBorders>
          </w:tcPr>
          <w:p w14:paraId="7113DC0C" w14:textId="77777777" w:rsidR="00BE15A4" w:rsidRPr="00BE15A4" w:rsidRDefault="00BE15A4" w:rsidP="00BE15A4">
            <w:pPr>
              <w:spacing w:line="240" w:lineRule="auto"/>
              <w:jc w:val="left"/>
              <w:rPr>
                <w:rFonts w:asciiTheme="majorBidi" w:eastAsia="Times New Roman" w:hAnsiTheme="majorBidi" w:cstheme="majorBidi"/>
                <w:bCs/>
                <w:sz w:val="20"/>
                <w:szCs w:val="20"/>
                <w:lang w:val="de-DE"/>
              </w:rPr>
            </w:pPr>
            <w:r w:rsidRPr="00BE15A4">
              <w:rPr>
                <w:rFonts w:asciiTheme="majorBidi" w:eastAsia="Times New Roman" w:hAnsiTheme="majorBidi" w:cstheme="majorBidi"/>
                <w:color w:val="000000"/>
                <w:sz w:val="16"/>
                <w:szCs w:val="16"/>
              </w:rPr>
              <w:lastRenderedPageBreak/>
              <w:t>(4) Produce biofuel</w:t>
            </w:r>
          </w:p>
        </w:tc>
      </w:tr>
      <w:tr w:rsidR="00BE15A4" w:rsidRPr="00BE15A4" w14:paraId="339843D4"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3486E3D3"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ENI</w:t>
            </w:r>
          </w:p>
        </w:tc>
        <w:tc>
          <w:tcPr>
            <w:tcW w:w="0" w:type="auto"/>
            <w:tcBorders>
              <w:top w:val="single" w:sz="4" w:space="0" w:color="auto"/>
              <w:bottom w:val="single" w:sz="4" w:space="0" w:color="auto"/>
            </w:tcBorders>
          </w:tcPr>
          <w:p w14:paraId="35DEDDBC"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(4) Investing in low carbon and CE research</w:t>
            </w:r>
            <w:r w:rsidRPr="00BE15A4">
              <w:rPr>
                <w:rFonts w:asciiTheme="majorBidi" w:eastAsia="Times New Roman" w:hAnsiTheme="majorBidi" w:cstheme="majorBidi"/>
                <w:color w:val="000000"/>
                <w:sz w:val="16"/>
                <w:szCs w:val="16"/>
              </w:rPr>
              <w:br/>
              <w:t>(3) Investing in mobility as a service *</w:t>
            </w:r>
          </w:p>
        </w:tc>
        <w:tc>
          <w:tcPr>
            <w:tcW w:w="0" w:type="auto"/>
            <w:tcBorders>
              <w:top w:val="single" w:sz="4" w:space="0" w:color="auto"/>
              <w:bottom w:val="single" w:sz="4" w:space="0" w:color="auto"/>
            </w:tcBorders>
          </w:tcPr>
          <w:p w14:paraId="41ED451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Financing renewable energy/technological innovation</w:t>
            </w:r>
            <w:r w:rsidRPr="00BE15A4">
              <w:rPr>
                <w:rFonts w:asciiTheme="majorBidi" w:eastAsia="Times New Roman" w:hAnsiTheme="majorBidi" w:cstheme="majorBidi"/>
                <w:color w:val="000000"/>
                <w:sz w:val="16"/>
                <w:szCs w:val="16"/>
              </w:rPr>
              <w:br/>
              <w:t xml:space="preserve">(4) Improve production systems efficiency </w:t>
            </w:r>
          </w:p>
        </w:tc>
        <w:tc>
          <w:tcPr>
            <w:tcW w:w="0" w:type="auto"/>
            <w:tcBorders>
              <w:top w:val="single" w:sz="4" w:space="0" w:color="auto"/>
              <w:bottom w:val="single" w:sz="4" w:space="0" w:color="auto"/>
            </w:tcBorders>
          </w:tcPr>
          <w:p w14:paraId="468094B7"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DD6190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Recycled materials utilisation</w:t>
            </w:r>
          </w:p>
        </w:tc>
        <w:tc>
          <w:tcPr>
            <w:tcW w:w="0" w:type="auto"/>
            <w:tcBorders>
              <w:top w:val="single" w:sz="4" w:space="0" w:color="auto"/>
              <w:bottom w:val="single" w:sz="4" w:space="0" w:color="auto"/>
            </w:tcBorders>
          </w:tcPr>
          <w:p w14:paraId="298A241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(3) Energy recovery from </w:t>
            </w:r>
            <w:proofErr w:type="spellStart"/>
            <w:r w:rsidRPr="00BE15A4">
              <w:rPr>
                <w:rFonts w:asciiTheme="majorBidi" w:eastAsia="Times New Roman" w:hAnsiTheme="majorBidi" w:cstheme="majorBidi"/>
                <w:color w:val="000000"/>
                <w:sz w:val="16"/>
                <w:szCs w:val="16"/>
              </w:rPr>
              <w:t>byproducts</w:t>
            </w:r>
            <w:proofErr w:type="spellEnd"/>
            <w:r w:rsidRPr="00BE15A4">
              <w:rPr>
                <w:rFonts w:asciiTheme="majorBidi" w:eastAsia="Times New Roman" w:hAnsiTheme="majorBidi" w:cstheme="majorBidi"/>
                <w:color w:val="000000"/>
                <w:sz w:val="16"/>
                <w:szCs w:val="16"/>
              </w:rPr>
              <w:t>/waste (bio-oil from municipal waste, Italy) *</w:t>
            </w:r>
          </w:p>
        </w:tc>
      </w:tr>
      <w:tr w:rsidR="00BE15A4" w:rsidRPr="00BE15A4" w14:paraId="19C6BC9D"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736EE6F1" w14:textId="77777777" w:rsidR="00BE15A4" w:rsidRPr="00BE15A4" w:rsidRDefault="00BE15A4" w:rsidP="00BE15A4">
            <w:pPr>
              <w:spacing w:line="240" w:lineRule="auto"/>
              <w:rPr>
                <w:rFonts w:asciiTheme="majorBidi" w:eastAsia="Times New Roman" w:hAnsiTheme="majorBidi" w:cstheme="majorBidi"/>
                <w:b/>
                <w:sz w:val="20"/>
                <w:szCs w:val="20"/>
              </w:rPr>
            </w:pPr>
            <w:proofErr w:type="spellStart"/>
            <w:r w:rsidRPr="00BE15A4">
              <w:rPr>
                <w:rFonts w:asciiTheme="majorBidi" w:eastAsia="Times New Roman" w:hAnsiTheme="majorBidi" w:cstheme="majorBidi"/>
                <w:b/>
                <w:bCs/>
                <w:color w:val="000000"/>
                <w:sz w:val="16"/>
                <w:szCs w:val="16"/>
              </w:rPr>
              <w:t>Electricite</w:t>
            </w:r>
            <w:proofErr w:type="spellEnd"/>
            <w:r w:rsidRPr="00BE15A4">
              <w:rPr>
                <w:rFonts w:asciiTheme="majorBidi" w:eastAsia="Times New Roman" w:hAnsiTheme="majorBidi" w:cstheme="majorBidi"/>
                <w:b/>
                <w:bCs/>
                <w:color w:val="000000"/>
                <w:sz w:val="16"/>
                <w:szCs w:val="16"/>
              </w:rPr>
              <w:t xml:space="preserve"> de France</w:t>
            </w:r>
          </w:p>
        </w:tc>
        <w:tc>
          <w:tcPr>
            <w:tcW w:w="0" w:type="auto"/>
            <w:tcBorders>
              <w:top w:val="single" w:sz="4" w:space="0" w:color="auto"/>
              <w:bottom w:val="single" w:sz="4" w:space="0" w:color="auto"/>
            </w:tcBorders>
          </w:tcPr>
          <w:p w14:paraId="009E9DF8"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(4) Divesting from carbon intensive assets</w:t>
            </w:r>
          </w:p>
        </w:tc>
        <w:tc>
          <w:tcPr>
            <w:tcW w:w="0" w:type="auto"/>
            <w:tcBorders>
              <w:top w:val="single" w:sz="4" w:space="0" w:color="auto"/>
              <w:bottom w:val="single" w:sz="4" w:space="0" w:color="auto"/>
            </w:tcBorders>
          </w:tcPr>
          <w:p w14:paraId="601EF4A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Improve production systems efficiency </w:t>
            </w:r>
            <w:r w:rsidRPr="00BE15A4">
              <w:rPr>
                <w:rFonts w:asciiTheme="majorBidi" w:eastAsia="Times New Roman" w:hAnsiTheme="majorBidi" w:cstheme="majorBidi"/>
                <w:color w:val="000000"/>
                <w:sz w:val="16"/>
                <w:szCs w:val="16"/>
              </w:rPr>
              <w:br/>
              <w:t>(4) Financing renewable energy*</w:t>
            </w:r>
          </w:p>
        </w:tc>
        <w:tc>
          <w:tcPr>
            <w:tcW w:w="0" w:type="auto"/>
            <w:tcBorders>
              <w:top w:val="single" w:sz="4" w:space="0" w:color="auto"/>
              <w:bottom w:val="single" w:sz="4" w:space="0" w:color="auto"/>
            </w:tcBorders>
          </w:tcPr>
          <w:p w14:paraId="1E9CA867"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AF52E6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w:t>
            </w:r>
            <w:proofErr w:type="spellStart"/>
            <w:r w:rsidRPr="00BE15A4">
              <w:rPr>
                <w:rFonts w:asciiTheme="majorBidi" w:eastAsia="Times New Roman" w:hAnsiTheme="majorBidi" w:cstheme="majorBidi"/>
                <w:color w:val="000000"/>
                <w:sz w:val="16"/>
                <w:szCs w:val="16"/>
              </w:rPr>
              <w:t>Byproduct</w:t>
            </w:r>
            <w:proofErr w:type="spellEnd"/>
            <w:r w:rsidRPr="00BE15A4">
              <w:rPr>
                <w:rFonts w:asciiTheme="majorBidi" w:eastAsia="Times New Roman" w:hAnsiTheme="majorBidi" w:cstheme="majorBidi"/>
                <w:color w:val="000000"/>
                <w:sz w:val="16"/>
                <w:szCs w:val="16"/>
              </w:rPr>
              <w:t xml:space="preserve"> reutilisation </w:t>
            </w:r>
          </w:p>
        </w:tc>
        <w:tc>
          <w:tcPr>
            <w:tcW w:w="0" w:type="auto"/>
            <w:tcBorders>
              <w:top w:val="single" w:sz="4" w:space="0" w:color="auto"/>
              <w:bottom w:val="single" w:sz="4" w:space="0" w:color="auto"/>
            </w:tcBorders>
          </w:tcPr>
          <w:p w14:paraId="2B027EC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Recovery of heat from data centres*</w:t>
            </w:r>
          </w:p>
        </w:tc>
      </w:tr>
      <w:tr w:rsidR="00BE15A4" w:rsidRPr="00BE15A4" w14:paraId="30EE4D21"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783E9378" w14:textId="77777777" w:rsidR="00BE15A4" w:rsidRPr="00BE15A4" w:rsidRDefault="00BE15A4" w:rsidP="00BE15A4">
            <w:pPr>
              <w:spacing w:line="240" w:lineRule="auto"/>
              <w:rPr>
                <w:rFonts w:asciiTheme="majorBidi" w:eastAsia="Times New Roman" w:hAnsiTheme="majorBidi" w:cstheme="majorBidi"/>
                <w:b/>
                <w:sz w:val="20"/>
                <w:szCs w:val="20"/>
              </w:rPr>
            </w:pPr>
            <w:proofErr w:type="spellStart"/>
            <w:r w:rsidRPr="00BE15A4">
              <w:rPr>
                <w:rFonts w:asciiTheme="majorBidi" w:eastAsia="Times New Roman" w:hAnsiTheme="majorBidi" w:cstheme="majorBidi"/>
                <w:b/>
                <w:bCs/>
                <w:color w:val="000000"/>
                <w:sz w:val="16"/>
                <w:szCs w:val="16"/>
              </w:rPr>
              <w:t>ArcelorMittal</w:t>
            </w:r>
            <w:proofErr w:type="spellEnd"/>
          </w:p>
        </w:tc>
        <w:tc>
          <w:tcPr>
            <w:tcW w:w="0" w:type="auto"/>
            <w:tcBorders>
              <w:top w:val="single" w:sz="4" w:space="0" w:color="auto"/>
              <w:bottom w:val="single" w:sz="4" w:space="0" w:color="auto"/>
            </w:tcBorders>
          </w:tcPr>
          <w:p w14:paraId="13AC6AE4"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(4) Design for resource recovery (construction industry) *</w:t>
            </w:r>
          </w:p>
        </w:tc>
        <w:tc>
          <w:tcPr>
            <w:tcW w:w="0" w:type="auto"/>
            <w:tcBorders>
              <w:top w:val="single" w:sz="4" w:space="0" w:color="auto"/>
              <w:bottom w:val="single" w:sz="4" w:space="0" w:color="auto"/>
            </w:tcBorders>
          </w:tcPr>
          <w:p w14:paraId="588D6FE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On site renewable electricity production</w:t>
            </w:r>
          </w:p>
        </w:tc>
        <w:tc>
          <w:tcPr>
            <w:tcW w:w="0" w:type="auto"/>
            <w:tcBorders>
              <w:top w:val="single" w:sz="4" w:space="0" w:color="auto"/>
              <w:bottom w:val="single" w:sz="4" w:space="0" w:color="auto"/>
            </w:tcBorders>
          </w:tcPr>
          <w:p w14:paraId="450A471C"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656C960"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operational waste</w:t>
            </w:r>
          </w:p>
        </w:tc>
        <w:tc>
          <w:tcPr>
            <w:tcW w:w="0" w:type="auto"/>
            <w:tcBorders>
              <w:top w:val="single" w:sz="4" w:space="0" w:color="auto"/>
              <w:bottom w:val="single" w:sz="4" w:space="0" w:color="auto"/>
            </w:tcBorders>
          </w:tcPr>
          <w:p w14:paraId="3A78374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(2) Energy Recovery from </w:t>
            </w:r>
            <w:proofErr w:type="spellStart"/>
            <w:r w:rsidRPr="00BE15A4">
              <w:rPr>
                <w:rFonts w:asciiTheme="majorBidi" w:eastAsia="Times New Roman" w:hAnsiTheme="majorBidi" w:cstheme="majorBidi"/>
                <w:color w:val="000000"/>
                <w:sz w:val="16"/>
                <w:szCs w:val="16"/>
              </w:rPr>
              <w:t>byproducts</w:t>
            </w:r>
            <w:proofErr w:type="spellEnd"/>
            <w:r w:rsidRPr="00BE15A4">
              <w:rPr>
                <w:rFonts w:asciiTheme="majorBidi" w:eastAsia="Times New Roman" w:hAnsiTheme="majorBidi" w:cstheme="majorBidi"/>
                <w:color w:val="000000"/>
                <w:sz w:val="16"/>
                <w:szCs w:val="16"/>
              </w:rPr>
              <w:t>/waste*</w:t>
            </w:r>
          </w:p>
        </w:tc>
      </w:tr>
      <w:tr w:rsidR="00BE15A4" w:rsidRPr="00BE15A4" w14:paraId="724CBA9D"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111C1C1"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BP plc</w:t>
            </w:r>
          </w:p>
        </w:tc>
        <w:tc>
          <w:tcPr>
            <w:tcW w:w="0" w:type="auto"/>
            <w:tcBorders>
              <w:top w:val="single" w:sz="4" w:space="0" w:color="auto"/>
              <w:bottom w:val="single" w:sz="4" w:space="0" w:color="auto"/>
            </w:tcBorders>
          </w:tcPr>
          <w:p w14:paraId="6142EFFD"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(3) Reduce plastic packaging *</w:t>
            </w:r>
          </w:p>
        </w:tc>
        <w:tc>
          <w:tcPr>
            <w:tcW w:w="0" w:type="auto"/>
            <w:tcBorders>
              <w:top w:val="single" w:sz="4" w:space="0" w:color="auto"/>
              <w:bottom w:val="single" w:sz="4" w:space="0" w:color="auto"/>
            </w:tcBorders>
          </w:tcPr>
          <w:p w14:paraId="5FFDA5CF"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 in renewable energy/technological innovation</w:t>
            </w:r>
            <w:r w:rsidRPr="00BE15A4">
              <w:rPr>
                <w:rFonts w:asciiTheme="majorBidi" w:eastAsia="Times New Roman" w:hAnsiTheme="majorBidi" w:cstheme="majorBidi"/>
                <w:color w:val="000000"/>
                <w:sz w:val="16"/>
                <w:szCs w:val="16"/>
              </w:rPr>
              <w:br/>
              <w:t>(4) Improve production systems efficiency</w:t>
            </w:r>
          </w:p>
        </w:tc>
        <w:tc>
          <w:tcPr>
            <w:tcW w:w="0" w:type="auto"/>
            <w:tcBorders>
              <w:top w:val="single" w:sz="4" w:space="0" w:color="auto"/>
              <w:bottom w:val="single" w:sz="4" w:space="0" w:color="auto"/>
            </w:tcBorders>
          </w:tcPr>
          <w:p w14:paraId="20CEDB6E"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AC4CDA6"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(2) Invest in recycling technologies </w:t>
            </w:r>
          </w:p>
        </w:tc>
        <w:tc>
          <w:tcPr>
            <w:tcW w:w="0" w:type="auto"/>
            <w:tcBorders>
              <w:top w:val="single" w:sz="4" w:space="0" w:color="auto"/>
              <w:bottom w:val="single" w:sz="4" w:space="0" w:color="auto"/>
            </w:tcBorders>
          </w:tcPr>
          <w:p w14:paraId="2B12261C"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Recovery from </w:t>
            </w:r>
            <w:proofErr w:type="spellStart"/>
            <w:r w:rsidRPr="00BE15A4">
              <w:rPr>
                <w:rFonts w:asciiTheme="majorBidi" w:eastAsia="Times New Roman" w:hAnsiTheme="majorBidi" w:cstheme="majorBidi"/>
                <w:color w:val="000000"/>
                <w:sz w:val="16"/>
                <w:szCs w:val="16"/>
              </w:rPr>
              <w:t>byproducts</w:t>
            </w:r>
            <w:proofErr w:type="spellEnd"/>
            <w:r w:rsidRPr="00BE15A4">
              <w:rPr>
                <w:rFonts w:asciiTheme="majorBidi" w:eastAsia="Times New Roman" w:hAnsiTheme="majorBidi" w:cstheme="majorBidi"/>
                <w:color w:val="000000"/>
                <w:sz w:val="16"/>
                <w:szCs w:val="16"/>
              </w:rPr>
              <w:t xml:space="preserve">/waste </w:t>
            </w:r>
            <w:r w:rsidRPr="00BE15A4">
              <w:rPr>
                <w:rFonts w:asciiTheme="majorBidi" w:eastAsia="Times New Roman" w:hAnsiTheme="majorBidi" w:cstheme="majorBidi"/>
                <w:color w:val="000000"/>
                <w:sz w:val="16"/>
                <w:szCs w:val="16"/>
              </w:rPr>
              <w:br/>
              <w:t xml:space="preserve">(4) Produce biofuel </w:t>
            </w:r>
          </w:p>
        </w:tc>
      </w:tr>
      <w:tr w:rsidR="00BE15A4" w:rsidRPr="00BE15A4" w14:paraId="5BC338C7"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4A00CF4"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 xml:space="preserve">Anheuser-Busch </w:t>
            </w:r>
            <w:proofErr w:type="spellStart"/>
            <w:r w:rsidRPr="00BE15A4">
              <w:rPr>
                <w:rFonts w:asciiTheme="majorBidi" w:eastAsia="Times New Roman" w:hAnsiTheme="majorBidi" w:cstheme="majorBidi"/>
                <w:b/>
                <w:bCs/>
                <w:color w:val="000000"/>
                <w:sz w:val="16"/>
                <w:szCs w:val="16"/>
              </w:rPr>
              <w:t>InBev</w:t>
            </w:r>
            <w:proofErr w:type="spellEnd"/>
          </w:p>
        </w:tc>
        <w:tc>
          <w:tcPr>
            <w:tcW w:w="0" w:type="auto"/>
            <w:tcBorders>
              <w:top w:val="single" w:sz="4" w:space="0" w:color="auto"/>
              <w:bottom w:val="single" w:sz="4" w:space="0" w:color="auto"/>
            </w:tcBorders>
          </w:tcPr>
          <w:p w14:paraId="0B1DA01F"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(2) Reduce plastic packaging *</w:t>
            </w:r>
            <w:r w:rsidRPr="00BE15A4">
              <w:rPr>
                <w:rFonts w:asciiTheme="majorBidi" w:eastAsia="Times New Roman" w:hAnsiTheme="majorBidi" w:cstheme="majorBidi"/>
                <w:color w:val="000000"/>
                <w:sz w:val="16"/>
                <w:szCs w:val="16"/>
              </w:rPr>
              <w:br/>
              <w:t>(2) Refuse paper shipping documents</w:t>
            </w:r>
          </w:p>
        </w:tc>
        <w:tc>
          <w:tcPr>
            <w:tcW w:w="0" w:type="auto"/>
            <w:tcBorders>
              <w:top w:val="single" w:sz="4" w:space="0" w:color="auto"/>
              <w:bottom w:val="single" w:sz="4" w:space="0" w:color="auto"/>
            </w:tcBorders>
          </w:tcPr>
          <w:p w14:paraId="0A94709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Energy sourcing from renewable energy</w:t>
            </w:r>
          </w:p>
        </w:tc>
        <w:tc>
          <w:tcPr>
            <w:tcW w:w="0" w:type="auto"/>
            <w:tcBorders>
              <w:top w:val="single" w:sz="4" w:space="0" w:color="auto"/>
              <w:bottom w:val="single" w:sz="4" w:space="0" w:color="auto"/>
            </w:tcBorders>
          </w:tcPr>
          <w:p w14:paraId="7BAF6A6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Reuse packaging (returnable bottles and kegs) *</w:t>
            </w:r>
          </w:p>
        </w:tc>
        <w:tc>
          <w:tcPr>
            <w:tcW w:w="0" w:type="auto"/>
            <w:tcBorders>
              <w:top w:val="single" w:sz="4" w:space="0" w:color="auto"/>
              <w:bottom w:val="single" w:sz="4" w:space="0" w:color="auto"/>
            </w:tcBorders>
          </w:tcPr>
          <w:p w14:paraId="1392CC30"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Recycled materials utilisation in bottles*</w:t>
            </w:r>
            <w:r w:rsidRPr="00BE15A4">
              <w:rPr>
                <w:rFonts w:asciiTheme="majorBidi" w:eastAsia="Times New Roman" w:hAnsiTheme="majorBidi" w:cstheme="majorBidi"/>
                <w:color w:val="000000"/>
                <w:sz w:val="16"/>
                <w:szCs w:val="16"/>
              </w:rPr>
              <w:br/>
              <w:t>(2) Recover end of life bottles*</w:t>
            </w:r>
          </w:p>
        </w:tc>
        <w:tc>
          <w:tcPr>
            <w:tcW w:w="0" w:type="auto"/>
            <w:tcBorders>
              <w:top w:val="single" w:sz="4" w:space="0" w:color="auto"/>
              <w:bottom w:val="single" w:sz="4" w:space="0" w:color="auto"/>
            </w:tcBorders>
          </w:tcPr>
          <w:p w14:paraId="01B0193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54B0B1BB"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6B660B2D"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 xml:space="preserve">Royal </w:t>
            </w:r>
            <w:proofErr w:type="spellStart"/>
            <w:r w:rsidRPr="00BE15A4">
              <w:rPr>
                <w:rFonts w:asciiTheme="majorBidi" w:eastAsia="Times New Roman" w:hAnsiTheme="majorBidi" w:cstheme="majorBidi"/>
                <w:b/>
                <w:bCs/>
                <w:color w:val="000000"/>
                <w:sz w:val="16"/>
                <w:szCs w:val="16"/>
              </w:rPr>
              <w:t>Ahold</w:t>
            </w:r>
            <w:proofErr w:type="spellEnd"/>
            <w:r w:rsidRPr="00BE15A4">
              <w:rPr>
                <w:rFonts w:asciiTheme="majorBidi" w:eastAsia="Times New Roman" w:hAnsiTheme="majorBidi" w:cstheme="majorBidi"/>
                <w:b/>
                <w:bCs/>
                <w:color w:val="000000"/>
                <w:sz w:val="16"/>
                <w:szCs w:val="16"/>
              </w:rPr>
              <w:t xml:space="preserve"> Delhaize</w:t>
            </w:r>
          </w:p>
        </w:tc>
        <w:tc>
          <w:tcPr>
            <w:tcW w:w="0" w:type="auto"/>
            <w:tcBorders>
              <w:top w:val="single" w:sz="4" w:space="0" w:color="auto"/>
              <w:bottom w:val="single" w:sz="4" w:space="0" w:color="auto"/>
            </w:tcBorders>
          </w:tcPr>
          <w:p w14:paraId="44C7A8DF" w14:textId="77777777" w:rsidR="00BE15A4" w:rsidRPr="00BE15A4" w:rsidRDefault="00BE15A4" w:rsidP="00BE15A4">
            <w:pPr>
              <w:spacing w:line="240" w:lineRule="auto"/>
              <w:jc w:val="left"/>
              <w:rPr>
                <w:rFonts w:asciiTheme="majorBidi" w:eastAsia="Times New Roman" w:hAnsiTheme="majorBidi" w:cstheme="majorBidi"/>
                <w:sz w:val="20"/>
                <w:szCs w:val="20"/>
              </w:rPr>
            </w:pPr>
            <w:r w:rsidRPr="00BE15A4">
              <w:rPr>
                <w:rFonts w:asciiTheme="majorBidi" w:eastAsia="Times New Roman" w:hAnsiTheme="majorBidi" w:cstheme="majorBidi"/>
                <w:color w:val="000000"/>
                <w:sz w:val="16"/>
                <w:szCs w:val="16"/>
              </w:rPr>
              <w:t>(1) Reduce plastic waste (New Plastics Economy Global Commitment for 2025)</w:t>
            </w:r>
            <w:r w:rsidRPr="00BE15A4">
              <w:rPr>
                <w:rFonts w:asciiTheme="majorBidi" w:eastAsia="Times New Roman" w:hAnsiTheme="majorBidi" w:cstheme="majorBidi"/>
                <w:color w:val="000000"/>
                <w:sz w:val="16"/>
                <w:szCs w:val="16"/>
              </w:rPr>
              <w:br/>
              <w:t>(4) Donate unsold food*</w:t>
            </w:r>
          </w:p>
        </w:tc>
        <w:tc>
          <w:tcPr>
            <w:tcW w:w="0" w:type="auto"/>
            <w:tcBorders>
              <w:top w:val="single" w:sz="4" w:space="0" w:color="auto"/>
              <w:bottom w:val="single" w:sz="4" w:space="0" w:color="auto"/>
            </w:tcBorders>
          </w:tcPr>
          <w:p w14:paraId="3AA63FAA"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On site renewable electricity production</w:t>
            </w:r>
            <w:r w:rsidRPr="00BE15A4">
              <w:rPr>
                <w:rFonts w:asciiTheme="majorBidi" w:eastAsia="Times New Roman" w:hAnsiTheme="majorBidi" w:cstheme="majorBidi"/>
                <w:color w:val="000000"/>
                <w:sz w:val="16"/>
                <w:szCs w:val="16"/>
              </w:rPr>
              <w:br/>
              <w:t xml:space="preserve">(4) Improve local businesses efficiency </w:t>
            </w:r>
            <w:r w:rsidRPr="00BE15A4">
              <w:rPr>
                <w:rFonts w:asciiTheme="majorBidi" w:eastAsia="Times New Roman" w:hAnsiTheme="majorBidi" w:cstheme="majorBidi"/>
                <w:color w:val="000000"/>
                <w:sz w:val="16"/>
                <w:szCs w:val="16"/>
              </w:rPr>
              <w:br/>
              <w:t xml:space="preserve">(4) Improve refrigeration systems efficiency  </w:t>
            </w:r>
          </w:p>
        </w:tc>
        <w:tc>
          <w:tcPr>
            <w:tcW w:w="0" w:type="auto"/>
            <w:tcBorders>
              <w:top w:val="single" w:sz="4" w:space="0" w:color="auto"/>
              <w:bottom w:val="single" w:sz="4" w:space="0" w:color="auto"/>
            </w:tcBorders>
          </w:tcPr>
          <w:p w14:paraId="16E52FA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161094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food waste*</w:t>
            </w:r>
            <w:r w:rsidRPr="00BE15A4">
              <w:rPr>
                <w:rFonts w:asciiTheme="majorBidi" w:eastAsia="Times New Roman" w:hAnsiTheme="majorBidi" w:cstheme="majorBidi"/>
                <w:color w:val="000000"/>
                <w:sz w:val="16"/>
                <w:szCs w:val="16"/>
              </w:rPr>
              <w:br/>
              <w:t>(4) Recycled material utilisation (plastic) *</w:t>
            </w:r>
          </w:p>
        </w:tc>
        <w:tc>
          <w:tcPr>
            <w:tcW w:w="0" w:type="auto"/>
            <w:tcBorders>
              <w:top w:val="single" w:sz="4" w:space="0" w:color="auto"/>
              <w:bottom w:val="single" w:sz="4" w:space="0" w:color="auto"/>
            </w:tcBorders>
          </w:tcPr>
          <w:p w14:paraId="32ADE82C"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5FB054C2"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199F334B"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Daimler</w:t>
            </w:r>
          </w:p>
        </w:tc>
        <w:tc>
          <w:tcPr>
            <w:tcW w:w="0" w:type="auto"/>
            <w:tcBorders>
              <w:top w:val="single" w:sz="4" w:space="0" w:color="auto"/>
              <w:bottom w:val="single" w:sz="4" w:space="0" w:color="auto"/>
            </w:tcBorders>
          </w:tcPr>
          <w:p w14:paraId="0B7F8E5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Design for resource recovery*</w:t>
            </w:r>
            <w:r w:rsidRPr="00BE15A4">
              <w:rPr>
                <w:rFonts w:asciiTheme="majorBidi" w:eastAsia="Times New Roman" w:hAnsiTheme="majorBidi" w:cstheme="majorBidi"/>
                <w:color w:val="000000"/>
                <w:sz w:val="16"/>
                <w:szCs w:val="16"/>
              </w:rPr>
              <w:br/>
              <w:t>(2) Mobility as a service solutions*</w:t>
            </w:r>
            <w:r w:rsidRPr="00BE15A4">
              <w:rPr>
                <w:rFonts w:asciiTheme="majorBidi" w:eastAsia="Times New Roman" w:hAnsiTheme="majorBidi" w:cstheme="majorBidi"/>
                <w:color w:val="000000"/>
                <w:sz w:val="16"/>
                <w:szCs w:val="16"/>
              </w:rPr>
              <w:br/>
              <w:t>(2) Modular design *</w:t>
            </w:r>
          </w:p>
        </w:tc>
        <w:tc>
          <w:tcPr>
            <w:tcW w:w="0" w:type="auto"/>
            <w:tcBorders>
              <w:top w:val="single" w:sz="4" w:space="0" w:color="auto"/>
              <w:bottom w:val="single" w:sz="4" w:space="0" w:color="auto"/>
            </w:tcBorders>
          </w:tcPr>
          <w:p w14:paraId="3784DED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Improve production systems efficiency </w:t>
            </w:r>
            <w:r w:rsidRPr="00BE15A4">
              <w:rPr>
                <w:rFonts w:asciiTheme="majorBidi" w:eastAsia="Times New Roman" w:hAnsiTheme="majorBidi" w:cstheme="majorBidi"/>
                <w:color w:val="000000"/>
                <w:sz w:val="16"/>
                <w:szCs w:val="16"/>
              </w:rPr>
              <w:br/>
              <w:t>(2) Energy sourcing from renewable energy</w:t>
            </w:r>
          </w:p>
        </w:tc>
        <w:tc>
          <w:tcPr>
            <w:tcW w:w="0" w:type="auto"/>
            <w:tcBorders>
              <w:top w:val="single" w:sz="4" w:space="0" w:color="auto"/>
              <w:bottom w:val="single" w:sz="4" w:space="0" w:color="auto"/>
            </w:tcBorders>
          </w:tcPr>
          <w:p w14:paraId="7F650D1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62B4B772"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br/>
              <w:t>(4) Recycled materials utilisation (plastic) *</w:t>
            </w:r>
            <w:r w:rsidRPr="00BE15A4">
              <w:rPr>
                <w:rFonts w:asciiTheme="majorBidi" w:eastAsia="Times New Roman" w:hAnsiTheme="majorBidi" w:cstheme="majorBidi"/>
                <w:color w:val="000000"/>
                <w:sz w:val="16"/>
                <w:szCs w:val="16"/>
              </w:rPr>
              <w:br/>
              <w:t xml:space="preserve">(4) Recycle production waste materials </w:t>
            </w:r>
            <w:r w:rsidRPr="00BE15A4">
              <w:rPr>
                <w:rFonts w:asciiTheme="majorBidi" w:eastAsia="Times New Roman" w:hAnsiTheme="majorBidi" w:cstheme="majorBidi"/>
                <w:color w:val="000000"/>
                <w:sz w:val="16"/>
                <w:szCs w:val="16"/>
              </w:rPr>
              <w:br/>
              <w:t>(1) Build a battery recycling network*</w:t>
            </w:r>
          </w:p>
        </w:tc>
        <w:tc>
          <w:tcPr>
            <w:tcW w:w="0" w:type="auto"/>
            <w:tcBorders>
              <w:top w:val="single" w:sz="4" w:space="0" w:color="auto"/>
              <w:bottom w:val="single" w:sz="4" w:space="0" w:color="auto"/>
            </w:tcBorders>
          </w:tcPr>
          <w:p w14:paraId="49EE8D5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7012688E"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AB08BBE"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BMW Group</w:t>
            </w:r>
          </w:p>
        </w:tc>
        <w:tc>
          <w:tcPr>
            <w:tcW w:w="0" w:type="auto"/>
            <w:tcBorders>
              <w:top w:val="single" w:sz="4" w:space="0" w:color="auto"/>
              <w:bottom w:val="single" w:sz="4" w:space="0" w:color="auto"/>
            </w:tcBorders>
          </w:tcPr>
          <w:p w14:paraId="31EDB5C4"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Design for resource recovery* </w:t>
            </w:r>
          </w:p>
        </w:tc>
        <w:tc>
          <w:tcPr>
            <w:tcW w:w="0" w:type="auto"/>
            <w:tcBorders>
              <w:top w:val="single" w:sz="4" w:space="0" w:color="auto"/>
              <w:bottom w:val="single" w:sz="4" w:space="0" w:color="auto"/>
            </w:tcBorders>
          </w:tcPr>
          <w:p w14:paraId="0762ED7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Improve production systems efficiency </w:t>
            </w:r>
            <w:r w:rsidRPr="00BE15A4">
              <w:rPr>
                <w:rFonts w:asciiTheme="majorBidi" w:eastAsia="Times New Roman" w:hAnsiTheme="majorBidi" w:cstheme="majorBidi"/>
                <w:color w:val="000000"/>
                <w:sz w:val="16"/>
                <w:szCs w:val="16"/>
              </w:rPr>
              <w:br/>
              <w:t>(4) Energy sourcing from renewable energy</w:t>
            </w:r>
          </w:p>
        </w:tc>
        <w:tc>
          <w:tcPr>
            <w:tcW w:w="0" w:type="auto"/>
            <w:tcBorders>
              <w:top w:val="single" w:sz="4" w:space="0" w:color="auto"/>
              <w:bottom w:val="single" w:sz="4" w:space="0" w:color="auto"/>
            </w:tcBorders>
          </w:tcPr>
          <w:p w14:paraId="793C5F64"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1C2480E2" w14:textId="54EE1C8F"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Recycled materials </w:t>
            </w:r>
            <w:r w:rsidR="00B651D9" w:rsidRPr="00BE15A4">
              <w:rPr>
                <w:rFonts w:asciiTheme="majorBidi" w:eastAsia="Times New Roman" w:hAnsiTheme="majorBidi" w:cstheme="majorBidi"/>
                <w:color w:val="000000"/>
                <w:sz w:val="16"/>
                <w:szCs w:val="16"/>
              </w:rPr>
              <w:t>utilisation (</w:t>
            </w:r>
            <w:r w:rsidRPr="00BE15A4">
              <w:rPr>
                <w:rFonts w:asciiTheme="majorBidi" w:eastAsia="Times New Roman" w:hAnsiTheme="majorBidi" w:cstheme="majorBidi"/>
                <w:color w:val="000000"/>
                <w:sz w:val="16"/>
                <w:szCs w:val="16"/>
              </w:rPr>
              <w:t>plastics, thermoplastics, aluminium) *</w:t>
            </w:r>
            <w:r w:rsidRPr="00BE15A4">
              <w:rPr>
                <w:rFonts w:asciiTheme="majorBidi" w:eastAsia="Times New Roman" w:hAnsiTheme="majorBidi" w:cstheme="majorBidi"/>
                <w:color w:val="000000"/>
                <w:sz w:val="16"/>
                <w:szCs w:val="16"/>
              </w:rPr>
              <w:br/>
              <w:t>(4) Recycle components (batteries)*</w:t>
            </w:r>
          </w:p>
        </w:tc>
        <w:tc>
          <w:tcPr>
            <w:tcW w:w="0" w:type="auto"/>
            <w:tcBorders>
              <w:top w:val="single" w:sz="4" w:space="0" w:color="auto"/>
              <w:bottom w:val="single" w:sz="4" w:space="0" w:color="auto"/>
            </w:tcBorders>
          </w:tcPr>
          <w:p w14:paraId="3F7113D3"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66B8E357"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D4206CD"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Bosch Group</w:t>
            </w:r>
          </w:p>
        </w:tc>
        <w:tc>
          <w:tcPr>
            <w:tcW w:w="0" w:type="auto"/>
            <w:tcBorders>
              <w:top w:val="single" w:sz="4" w:space="0" w:color="auto"/>
              <w:bottom w:val="single" w:sz="4" w:space="0" w:color="auto"/>
            </w:tcBorders>
          </w:tcPr>
          <w:p w14:paraId="390B99A6"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Design for durability (automotive) *</w:t>
            </w:r>
            <w:r w:rsidRPr="00BE15A4">
              <w:rPr>
                <w:rFonts w:asciiTheme="majorBidi" w:eastAsia="Times New Roman" w:hAnsiTheme="majorBidi" w:cstheme="majorBidi"/>
                <w:color w:val="000000"/>
                <w:sz w:val="16"/>
                <w:szCs w:val="16"/>
              </w:rPr>
              <w:br/>
              <w:t xml:space="preserve">(4) Design for environment (energy </w:t>
            </w:r>
            <w:r w:rsidRPr="00BE15A4">
              <w:rPr>
                <w:rFonts w:asciiTheme="majorBidi" w:eastAsia="Times New Roman" w:hAnsiTheme="majorBidi" w:cstheme="majorBidi"/>
                <w:color w:val="000000"/>
                <w:sz w:val="16"/>
                <w:szCs w:val="16"/>
              </w:rPr>
              <w:lastRenderedPageBreak/>
              <w:t>efficiency and carbon footprint) *</w:t>
            </w:r>
            <w:r w:rsidRPr="00BE15A4">
              <w:rPr>
                <w:rFonts w:asciiTheme="majorBidi" w:eastAsia="Times New Roman" w:hAnsiTheme="majorBidi" w:cstheme="majorBidi"/>
                <w:color w:val="000000"/>
                <w:sz w:val="16"/>
                <w:szCs w:val="16"/>
              </w:rPr>
              <w:br/>
              <w:t>(4) Reduce plastic packaging*</w:t>
            </w:r>
          </w:p>
        </w:tc>
        <w:tc>
          <w:tcPr>
            <w:tcW w:w="0" w:type="auto"/>
            <w:tcBorders>
              <w:top w:val="single" w:sz="4" w:space="0" w:color="auto"/>
              <w:bottom w:val="single" w:sz="4" w:space="0" w:color="auto"/>
            </w:tcBorders>
          </w:tcPr>
          <w:p w14:paraId="0D12517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lastRenderedPageBreak/>
              <w:t>(4) Energy sourcing from Renewable Energy</w:t>
            </w:r>
          </w:p>
        </w:tc>
        <w:tc>
          <w:tcPr>
            <w:tcW w:w="0" w:type="auto"/>
            <w:tcBorders>
              <w:top w:val="single" w:sz="4" w:space="0" w:color="auto"/>
              <w:bottom w:val="single" w:sz="4" w:space="0" w:color="auto"/>
            </w:tcBorders>
          </w:tcPr>
          <w:p w14:paraId="12CC2C1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DC4D489" w14:textId="2468568F"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Recycled materials </w:t>
            </w:r>
            <w:r w:rsidR="00B651D9" w:rsidRPr="00BE15A4">
              <w:rPr>
                <w:rFonts w:asciiTheme="majorBidi" w:eastAsia="Times New Roman" w:hAnsiTheme="majorBidi" w:cstheme="majorBidi"/>
                <w:color w:val="000000"/>
                <w:sz w:val="16"/>
                <w:szCs w:val="16"/>
              </w:rPr>
              <w:t>utilisation (</w:t>
            </w:r>
            <w:r w:rsidRPr="00BE15A4">
              <w:rPr>
                <w:rFonts w:asciiTheme="majorBidi" w:eastAsia="Times New Roman" w:hAnsiTheme="majorBidi" w:cstheme="majorBidi"/>
                <w:color w:val="000000"/>
                <w:sz w:val="16"/>
                <w:szCs w:val="16"/>
              </w:rPr>
              <w:t>plastic) *</w:t>
            </w:r>
            <w:r w:rsidRPr="00BE15A4">
              <w:rPr>
                <w:rFonts w:asciiTheme="majorBidi" w:eastAsia="Times New Roman" w:hAnsiTheme="majorBidi" w:cstheme="majorBidi"/>
                <w:color w:val="000000"/>
                <w:sz w:val="16"/>
                <w:szCs w:val="16"/>
              </w:rPr>
              <w:br/>
              <w:t xml:space="preserve">(4) Remanufacturing </w:t>
            </w:r>
            <w:r w:rsidRPr="00BE15A4">
              <w:rPr>
                <w:rFonts w:asciiTheme="majorBidi" w:eastAsia="Times New Roman" w:hAnsiTheme="majorBidi" w:cstheme="majorBidi"/>
                <w:color w:val="000000"/>
                <w:sz w:val="16"/>
                <w:szCs w:val="16"/>
              </w:rPr>
              <w:lastRenderedPageBreak/>
              <w:t>of parts and components *</w:t>
            </w:r>
          </w:p>
        </w:tc>
        <w:tc>
          <w:tcPr>
            <w:tcW w:w="0" w:type="auto"/>
            <w:tcBorders>
              <w:top w:val="single" w:sz="4" w:space="0" w:color="auto"/>
              <w:bottom w:val="single" w:sz="4" w:space="0" w:color="auto"/>
            </w:tcBorders>
          </w:tcPr>
          <w:p w14:paraId="431A659C"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1E9C4B89"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5DF6805B"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PSA</w:t>
            </w:r>
          </w:p>
        </w:tc>
        <w:tc>
          <w:tcPr>
            <w:tcW w:w="0" w:type="auto"/>
            <w:tcBorders>
              <w:top w:val="single" w:sz="4" w:space="0" w:color="auto"/>
              <w:bottom w:val="single" w:sz="4" w:space="0" w:color="auto"/>
            </w:tcBorders>
          </w:tcPr>
          <w:p w14:paraId="54A717A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Design for resource recovery*</w:t>
            </w:r>
            <w:r w:rsidRPr="00BE15A4">
              <w:rPr>
                <w:rFonts w:asciiTheme="majorBidi" w:eastAsia="Times New Roman" w:hAnsiTheme="majorBidi" w:cstheme="majorBidi"/>
                <w:color w:val="000000"/>
                <w:sz w:val="16"/>
                <w:szCs w:val="16"/>
              </w:rPr>
              <w:br/>
              <w:t>(2) Mobility as a service solutions*</w:t>
            </w:r>
          </w:p>
        </w:tc>
        <w:tc>
          <w:tcPr>
            <w:tcW w:w="0" w:type="auto"/>
            <w:tcBorders>
              <w:top w:val="single" w:sz="4" w:space="0" w:color="auto"/>
              <w:bottom w:val="single" w:sz="4" w:space="0" w:color="auto"/>
            </w:tcBorders>
          </w:tcPr>
          <w:p w14:paraId="2943070F"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0B72966E"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Repair and Refurbish parts for reuse (“repair and return” service for automatic gearboxes and complex electronic components.)  *</w:t>
            </w:r>
          </w:p>
        </w:tc>
        <w:tc>
          <w:tcPr>
            <w:tcW w:w="0" w:type="auto"/>
            <w:tcBorders>
              <w:top w:val="single" w:sz="4" w:space="0" w:color="auto"/>
              <w:bottom w:val="single" w:sz="4" w:space="0" w:color="auto"/>
            </w:tcBorders>
          </w:tcPr>
          <w:p w14:paraId="4601B47B" w14:textId="657DFDAC"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Recycled materials utilisation (plastic, metals) *</w:t>
            </w:r>
            <w:r w:rsidRPr="00BE15A4">
              <w:rPr>
                <w:rFonts w:asciiTheme="majorBidi" w:eastAsia="Times New Roman" w:hAnsiTheme="majorBidi" w:cstheme="majorBidi"/>
                <w:color w:val="000000"/>
                <w:sz w:val="16"/>
                <w:szCs w:val="16"/>
              </w:rPr>
              <w:br/>
              <w:t>(4) Recycle components (batteries)*</w:t>
            </w:r>
            <w:r w:rsidRPr="00BE15A4">
              <w:rPr>
                <w:rFonts w:asciiTheme="majorBidi" w:eastAsia="Times New Roman" w:hAnsiTheme="majorBidi" w:cstheme="majorBidi"/>
                <w:color w:val="000000"/>
                <w:sz w:val="16"/>
                <w:szCs w:val="16"/>
              </w:rPr>
              <w:br/>
              <w:t xml:space="preserve">(4) </w:t>
            </w:r>
            <w:r w:rsidR="00B651D9" w:rsidRPr="00BE15A4">
              <w:rPr>
                <w:rFonts w:asciiTheme="majorBidi" w:eastAsia="Times New Roman" w:hAnsiTheme="majorBidi" w:cstheme="majorBidi"/>
                <w:color w:val="000000"/>
                <w:sz w:val="16"/>
                <w:szCs w:val="16"/>
              </w:rPr>
              <w:t>Remanufacturing parts</w:t>
            </w:r>
            <w:r w:rsidRPr="00BE15A4">
              <w:rPr>
                <w:rFonts w:asciiTheme="majorBidi" w:eastAsia="Times New Roman" w:hAnsiTheme="majorBidi" w:cstheme="majorBidi"/>
                <w:color w:val="000000"/>
                <w:sz w:val="16"/>
                <w:szCs w:val="16"/>
              </w:rPr>
              <w:t xml:space="preserve"> and components*</w:t>
            </w:r>
          </w:p>
        </w:tc>
        <w:tc>
          <w:tcPr>
            <w:tcW w:w="0" w:type="auto"/>
            <w:tcBorders>
              <w:top w:val="single" w:sz="4" w:space="0" w:color="auto"/>
              <w:bottom w:val="single" w:sz="4" w:space="0" w:color="auto"/>
            </w:tcBorders>
          </w:tcPr>
          <w:p w14:paraId="4A75A734"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0513504C"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6D0A91D8"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Enel</w:t>
            </w:r>
          </w:p>
        </w:tc>
        <w:tc>
          <w:tcPr>
            <w:tcW w:w="0" w:type="auto"/>
            <w:tcBorders>
              <w:top w:val="single" w:sz="4" w:space="0" w:color="auto"/>
              <w:bottom w:val="single" w:sz="4" w:space="0" w:color="auto"/>
            </w:tcBorders>
          </w:tcPr>
          <w:p w14:paraId="498A0BD2"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Financing CE transition of suppliers and customers (Enel X) *</w:t>
            </w:r>
          </w:p>
        </w:tc>
        <w:tc>
          <w:tcPr>
            <w:tcW w:w="0" w:type="auto"/>
            <w:tcBorders>
              <w:top w:val="single" w:sz="4" w:space="0" w:color="auto"/>
              <w:bottom w:val="single" w:sz="4" w:space="0" w:color="auto"/>
            </w:tcBorders>
          </w:tcPr>
          <w:p w14:paraId="4FF456F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Renewable energy production</w:t>
            </w:r>
          </w:p>
        </w:tc>
        <w:tc>
          <w:tcPr>
            <w:tcW w:w="0" w:type="auto"/>
            <w:tcBorders>
              <w:top w:val="single" w:sz="4" w:space="0" w:color="auto"/>
              <w:bottom w:val="single" w:sz="4" w:space="0" w:color="auto"/>
            </w:tcBorders>
          </w:tcPr>
          <w:p w14:paraId="6BB96692" w14:textId="7B08A338"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(2) Recycling and re-use of wind turbine </w:t>
            </w:r>
            <w:r w:rsidR="00B651D9" w:rsidRPr="00BE15A4">
              <w:rPr>
                <w:rFonts w:asciiTheme="majorBidi" w:eastAsia="Times New Roman" w:hAnsiTheme="majorBidi" w:cstheme="majorBidi"/>
                <w:color w:val="000000"/>
                <w:sz w:val="16"/>
                <w:szCs w:val="16"/>
              </w:rPr>
              <w:t>blades *</w:t>
            </w:r>
          </w:p>
        </w:tc>
        <w:tc>
          <w:tcPr>
            <w:tcW w:w="0" w:type="auto"/>
            <w:tcBorders>
              <w:top w:val="single" w:sz="4" w:space="0" w:color="auto"/>
              <w:bottom w:val="single" w:sz="4" w:space="0" w:color="auto"/>
            </w:tcBorders>
          </w:tcPr>
          <w:p w14:paraId="42A0E042"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Cooperative recycling (cable reels, pallets, Argentina)</w:t>
            </w:r>
          </w:p>
        </w:tc>
        <w:tc>
          <w:tcPr>
            <w:tcW w:w="0" w:type="auto"/>
            <w:tcBorders>
              <w:top w:val="single" w:sz="4" w:space="0" w:color="auto"/>
              <w:bottom w:val="single" w:sz="4" w:space="0" w:color="auto"/>
            </w:tcBorders>
          </w:tcPr>
          <w:p w14:paraId="30C80923"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60DB6CDE"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50FC1926"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 xml:space="preserve">Credit </w:t>
            </w:r>
            <w:proofErr w:type="spellStart"/>
            <w:r w:rsidRPr="00BE15A4">
              <w:rPr>
                <w:rFonts w:asciiTheme="majorBidi" w:eastAsia="Times New Roman" w:hAnsiTheme="majorBidi" w:cstheme="majorBidi"/>
                <w:b/>
                <w:bCs/>
                <w:color w:val="000000"/>
                <w:sz w:val="16"/>
                <w:szCs w:val="16"/>
              </w:rPr>
              <w:t>Agricole</w:t>
            </w:r>
            <w:proofErr w:type="spellEnd"/>
          </w:p>
        </w:tc>
        <w:tc>
          <w:tcPr>
            <w:tcW w:w="0" w:type="auto"/>
            <w:tcBorders>
              <w:top w:val="single" w:sz="4" w:space="0" w:color="auto"/>
              <w:bottom w:val="single" w:sz="4" w:space="0" w:color="auto"/>
            </w:tcBorders>
          </w:tcPr>
          <w:p w14:paraId="725DA0B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 in "green" bonds and companies*</w:t>
            </w:r>
            <w:r w:rsidRPr="00BE15A4">
              <w:rPr>
                <w:rFonts w:asciiTheme="majorBidi" w:eastAsia="Times New Roman" w:hAnsiTheme="majorBidi" w:cstheme="majorBidi"/>
                <w:color w:val="000000"/>
                <w:sz w:val="16"/>
                <w:szCs w:val="16"/>
              </w:rPr>
              <w:br/>
              <w:t>(3) Financing consumers transition to CE *</w:t>
            </w:r>
          </w:p>
        </w:tc>
        <w:tc>
          <w:tcPr>
            <w:tcW w:w="0" w:type="auto"/>
            <w:tcBorders>
              <w:top w:val="single" w:sz="4" w:space="0" w:color="auto"/>
              <w:bottom w:val="single" w:sz="4" w:space="0" w:color="auto"/>
            </w:tcBorders>
          </w:tcPr>
          <w:p w14:paraId="0CEB8B7D"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352E964"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 (4) Refurbish IT equipment for reuse  </w:t>
            </w:r>
          </w:p>
        </w:tc>
        <w:tc>
          <w:tcPr>
            <w:tcW w:w="0" w:type="auto"/>
            <w:tcBorders>
              <w:top w:val="single" w:sz="4" w:space="0" w:color="auto"/>
              <w:bottom w:val="single" w:sz="4" w:space="0" w:color="auto"/>
            </w:tcBorders>
          </w:tcPr>
          <w:p w14:paraId="5ED076E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Materials recycling (plastic, metal of bank cards) *</w:t>
            </w:r>
          </w:p>
        </w:tc>
        <w:tc>
          <w:tcPr>
            <w:tcW w:w="0" w:type="auto"/>
            <w:tcBorders>
              <w:top w:val="single" w:sz="4" w:space="0" w:color="auto"/>
              <w:bottom w:val="single" w:sz="4" w:space="0" w:color="auto"/>
            </w:tcBorders>
          </w:tcPr>
          <w:p w14:paraId="7E6E19A9"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0880C9C8"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5CEC5FE1"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HSBC Holdings</w:t>
            </w:r>
          </w:p>
        </w:tc>
        <w:tc>
          <w:tcPr>
            <w:tcW w:w="0" w:type="auto"/>
            <w:tcBorders>
              <w:top w:val="single" w:sz="4" w:space="0" w:color="auto"/>
              <w:bottom w:val="single" w:sz="4" w:space="0" w:color="auto"/>
            </w:tcBorders>
          </w:tcPr>
          <w:p w14:paraId="732735C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Disinvesting from carbon intensive assets</w:t>
            </w:r>
            <w:r w:rsidRPr="00BE15A4">
              <w:rPr>
                <w:rFonts w:asciiTheme="majorBidi" w:eastAsia="Times New Roman" w:hAnsiTheme="majorBidi" w:cstheme="majorBidi"/>
                <w:color w:val="000000"/>
                <w:sz w:val="16"/>
                <w:szCs w:val="16"/>
              </w:rPr>
              <w:br/>
              <w:t xml:space="preserve">(3) Redesign infrastructure (Green buildings) </w:t>
            </w:r>
            <w:r w:rsidRPr="00BE15A4">
              <w:rPr>
                <w:rFonts w:asciiTheme="majorBidi" w:eastAsia="Times New Roman" w:hAnsiTheme="majorBidi" w:cstheme="majorBidi"/>
                <w:color w:val="000000"/>
                <w:sz w:val="16"/>
                <w:szCs w:val="16"/>
              </w:rPr>
              <w:br/>
              <w:t>(4) Invest in "green" bonds and companies*</w:t>
            </w:r>
            <w:r w:rsidRPr="00BE15A4">
              <w:rPr>
                <w:rFonts w:asciiTheme="majorBidi" w:eastAsia="Times New Roman" w:hAnsiTheme="majorBidi" w:cstheme="majorBidi"/>
                <w:color w:val="000000"/>
                <w:sz w:val="16"/>
                <w:szCs w:val="16"/>
              </w:rPr>
              <w:br/>
              <w:t>(4) Design "green" products for businesses*</w:t>
            </w:r>
          </w:p>
        </w:tc>
        <w:tc>
          <w:tcPr>
            <w:tcW w:w="0" w:type="auto"/>
            <w:tcBorders>
              <w:top w:val="single" w:sz="4" w:space="0" w:color="auto"/>
              <w:bottom w:val="single" w:sz="4" w:space="0" w:color="auto"/>
            </w:tcBorders>
          </w:tcPr>
          <w:p w14:paraId="4246AA2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Improve internal resource efficiency (paper) </w:t>
            </w:r>
            <w:r w:rsidRPr="00BE15A4">
              <w:rPr>
                <w:rFonts w:asciiTheme="majorBidi" w:eastAsia="Times New Roman" w:hAnsiTheme="majorBidi" w:cstheme="majorBidi"/>
                <w:color w:val="000000"/>
                <w:sz w:val="16"/>
                <w:szCs w:val="16"/>
              </w:rPr>
              <w:br/>
              <w:t>(4) Energy sourcing from renewable energy</w:t>
            </w:r>
          </w:p>
        </w:tc>
        <w:tc>
          <w:tcPr>
            <w:tcW w:w="0" w:type="auto"/>
            <w:tcBorders>
              <w:top w:val="single" w:sz="4" w:space="0" w:color="auto"/>
              <w:bottom w:val="single" w:sz="4" w:space="0" w:color="auto"/>
            </w:tcBorders>
          </w:tcPr>
          <w:p w14:paraId="2BFA36B8"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911EC30"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Recycled materials utilisation (paper)</w:t>
            </w:r>
          </w:p>
        </w:tc>
        <w:tc>
          <w:tcPr>
            <w:tcW w:w="0" w:type="auto"/>
            <w:tcBorders>
              <w:top w:val="single" w:sz="4" w:space="0" w:color="auto"/>
              <w:bottom w:val="single" w:sz="4" w:space="0" w:color="auto"/>
            </w:tcBorders>
          </w:tcPr>
          <w:p w14:paraId="7F9EC1E1"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25C1DEF2"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FC9A6A4"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Munich Re Group</w:t>
            </w:r>
          </w:p>
        </w:tc>
        <w:tc>
          <w:tcPr>
            <w:tcW w:w="0" w:type="auto"/>
            <w:tcBorders>
              <w:top w:val="single" w:sz="4" w:space="0" w:color="auto"/>
              <w:bottom w:val="single" w:sz="4" w:space="0" w:color="auto"/>
            </w:tcBorders>
          </w:tcPr>
          <w:p w14:paraId="060AC922"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(3) Invest in "green" infrastructure  </w:t>
            </w:r>
            <w:r w:rsidRPr="00BE15A4">
              <w:rPr>
                <w:rFonts w:asciiTheme="majorBidi" w:eastAsia="Times New Roman" w:hAnsiTheme="majorBidi" w:cstheme="majorBidi"/>
                <w:color w:val="000000"/>
                <w:sz w:val="16"/>
                <w:szCs w:val="16"/>
              </w:rPr>
              <w:br/>
              <w:t>(3) Promote employee sustainable consumption</w:t>
            </w:r>
            <w:r w:rsidRPr="00BE15A4">
              <w:rPr>
                <w:rFonts w:asciiTheme="majorBidi" w:eastAsia="Times New Roman" w:hAnsiTheme="majorBidi" w:cstheme="majorBidi"/>
                <w:color w:val="000000"/>
                <w:sz w:val="16"/>
                <w:szCs w:val="16"/>
              </w:rPr>
              <w:br/>
              <w:t>(4) Design "green" products for businesses*</w:t>
            </w:r>
          </w:p>
        </w:tc>
        <w:tc>
          <w:tcPr>
            <w:tcW w:w="0" w:type="auto"/>
            <w:tcBorders>
              <w:top w:val="single" w:sz="4" w:space="0" w:color="auto"/>
              <w:bottom w:val="single" w:sz="4" w:space="0" w:color="auto"/>
            </w:tcBorders>
          </w:tcPr>
          <w:p w14:paraId="66D2D1E0"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Improve internal resource efficiency</w:t>
            </w:r>
            <w:r w:rsidRPr="00BE15A4">
              <w:rPr>
                <w:rFonts w:asciiTheme="majorBidi" w:eastAsia="Times New Roman" w:hAnsiTheme="majorBidi" w:cstheme="majorBidi"/>
                <w:color w:val="000000"/>
                <w:sz w:val="16"/>
                <w:szCs w:val="16"/>
              </w:rPr>
              <w:br/>
              <w:t>(4) Invest in renewable energy companies*</w:t>
            </w:r>
          </w:p>
        </w:tc>
        <w:tc>
          <w:tcPr>
            <w:tcW w:w="0" w:type="auto"/>
            <w:tcBorders>
              <w:top w:val="single" w:sz="4" w:space="0" w:color="auto"/>
              <w:bottom w:val="single" w:sz="4" w:space="0" w:color="auto"/>
            </w:tcBorders>
          </w:tcPr>
          <w:p w14:paraId="40CA64E1"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F8CD1CC"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Recycled materials utilisation (paper)</w:t>
            </w:r>
          </w:p>
        </w:tc>
        <w:tc>
          <w:tcPr>
            <w:tcW w:w="0" w:type="auto"/>
            <w:tcBorders>
              <w:top w:val="single" w:sz="4" w:space="0" w:color="auto"/>
              <w:bottom w:val="single" w:sz="4" w:space="0" w:color="auto"/>
            </w:tcBorders>
          </w:tcPr>
          <w:p w14:paraId="48595294"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13EB7070"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1992A1F7"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Siemens</w:t>
            </w:r>
          </w:p>
        </w:tc>
        <w:tc>
          <w:tcPr>
            <w:tcW w:w="0" w:type="auto"/>
            <w:tcBorders>
              <w:top w:val="single" w:sz="4" w:space="0" w:color="auto"/>
              <w:bottom w:val="single" w:sz="4" w:space="0" w:color="auto"/>
            </w:tcBorders>
          </w:tcPr>
          <w:p w14:paraId="295C2F1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Design for resource recovery (electronic components) *</w:t>
            </w:r>
            <w:r w:rsidRPr="00BE15A4">
              <w:rPr>
                <w:rFonts w:asciiTheme="majorBidi" w:eastAsia="Times New Roman" w:hAnsiTheme="majorBidi" w:cstheme="majorBidi"/>
                <w:color w:val="000000"/>
                <w:sz w:val="16"/>
                <w:szCs w:val="16"/>
              </w:rPr>
              <w:br/>
              <w:t xml:space="preserve">(3) Invest in "green" infrastructure  </w:t>
            </w:r>
            <w:r w:rsidRPr="00BE15A4">
              <w:rPr>
                <w:rFonts w:asciiTheme="majorBidi" w:eastAsia="Times New Roman" w:hAnsiTheme="majorBidi" w:cstheme="majorBidi"/>
                <w:color w:val="000000"/>
                <w:sz w:val="16"/>
                <w:szCs w:val="16"/>
              </w:rPr>
              <w:br/>
              <w:t>(4) Design for environment (energy efficiency and carbon footprint) *</w:t>
            </w:r>
          </w:p>
        </w:tc>
        <w:tc>
          <w:tcPr>
            <w:tcW w:w="0" w:type="auto"/>
            <w:tcBorders>
              <w:top w:val="single" w:sz="4" w:space="0" w:color="auto"/>
              <w:bottom w:val="single" w:sz="4" w:space="0" w:color="auto"/>
            </w:tcBorders>
          </w:tcPr>
          <w:p w14:paraId="50882FB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r w:rsidRPr="00BE15A4">
              <w:rPr>
                <w:rFonts w:asciiTheme="majorBidi" w:eastAsia="Times New Roman" w:hAnsiTheme="majorBidi" w:cstheme="majorBidi"/>
                <w:color w:val="000000"/>
                <w:sz w:val="16"/>
                <w:szCs w:val="16"/>
              </w:rPr>
              <w:br/>
              <w:t xml:space="preserve">(3) On-site generation of Renewable Energy </w:t>
            </w:r>
          </w:p>
        </w:tc>
        <w:tc>
          <w:tcPr>
            <w:tcW w:w="0" w:type="auto"/>
            <w:tcBorders>
              <w:top w:val="single" w:sz="4" w:space="0" w:color="auto"/>
              <w:bottom w:val="single" w:sz="4" w:space="0" w:color="auto"/>
            </w:tcBorders>
          </w:tcPr>
          <w:p w14:paraId="139B8AED"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12D5AD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operational waste</w:t>
            </w:r>
          </w:p>
        </w:tc>
        <w:tc>
          <w:tcPr>
            <w:tcW w:w="0" w:type="auto"/>
            <w:tcBorders>
              <w:top w:val="single" w:sz="4" w:space="0" w:color="auto"/>
              <w:bottom w:val="single" w:sz="4" w:space="0" w:color="auto"/>
            </w:tcBorders>
          </w:tcPr>
          <w:p w14:paraId="54030BE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629BED89"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A4526EB"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ING Group</w:t>
            </w:r>
          </w:p>
        </w:tc>
        <w:tc>
          <w:tcPr>
            <w:tcW w:w="0" w:type="auto"/>
            <w:tcBorders>
              <w:top w:val="single" w:sz="4" w:space="0" w:color="auto"/>
              <w:bottom w:val="single" w:sz="4" w:space="0" w:color="auto"/>
            </w:tcBorders>
          </w:tcPr>
          <w:p w14:paraId="59F2E1F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Invest against climate change and for </w:t>
            </w:r>
            <w:r w:rsidRPr="00BE15A4">
              <w:rPr>
                <w:rFonts w:asciiTheme="majorBidi" w:eastAsia="Times New Roman" w:hAnsiTheme="majorBidi" w:cstheme="majorBidi"/>
                <w:color w:val="000000"/>
                <w:sz w:val="16"/>
                <w:szCs w:val="16"/>
              </w:rPr>
              <w:lastRenderedPageBreak/>
              <w:t>a CE*</w:t>
            </w:r>
            <w:r w:rsidRPr="00BE15A4">
              <w:rPr>
                <w:rFonts w:asciiTheme="majorBidi" w:eastAsia="Times New Roman" w:hAnsiTheme="majorBidi" w:cstheme="majorBidi"/>
                <w:color w:val="000000"/>
                <w:sz w:val="16"/>
                <w:szCs w:val="16"/>
              </w:rPr>
              <w:br/>
              <w:t>(4) Design "green" products for businesses*</w:t>
            </w:r>
            <w:r w:rsidRPr="00BE15A4">
              <w:rPr>
                <w:rFonts w:asciiTheme="majorBidi" w:eastAsia="Times New Roman" w:hAnsiTheme="majorBidi" w:cstheme="majorBidi"/>
                <w:color w:val="000000"/>
                <w:sz w:val="16"/>
                <w:szCs w:val="16"/>
              </w:rPr>
              <w:br/>
              <w:t>(4) Design "green" products for households*</w:t>
            </w:r>
            <w:r w:rsidRPr="00BE15A4">
              <w:rPr>
                <w:rFonts w:asciiTheme="majorBidi" w:eastAsia="Times New Roman" w:hAnsiTheme="majorBidi" w:cstheme="majorBidi"/>
                <w:color w:val="000000"/>
                <w:sz w:val="16"/>
                <w:szCs w:val="16"/>
              </w:rPr>
              <w:br/>
              <w:t>(4) Financing CE innovations*</w:t>
            </w:r>
          </w:p>
        </w:tc>
        <w:tc>
          <w:tcPr>
            <w:tcW w:w="0" w:type="auto"/>
            <w:tcBorders>
              <w:top w:val="single" w:sz="4" w:space="0" w:color="auto"/>
              <w:bottom w:val="single" w:sz="4" w:space="0" w:color="auto"/>
            </w:tcBorders>
          </w:tcPr>
          <w:p w14:paraId="55D4478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lastRenderedPageBreak/>
              <w:t>(4) Invest in renewable energy companies*</w:t>
            </w:r>
          </w:p>
        </w:tc>
        <w:tc>
          <w:tcPr>
            <w:tcW w:w="0" w:type="auto"/>
            <w:tcBorders>
              <w:top w:val="single" w:sz="4" w:space="0" w:color="auto"/>
              <w:bottom w:val="single" w:sz="4" w:space="0" w:color="auto"/>
            </w:tcBorders>
          </w:tcPr>
          <w:p w14:paraId="4BC7FA3A"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1D75F2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Investing in recycling </w:t>
            </w:r>
            <w:r w:rsidRPr="00BE15A4">
              <w:rPr>
                <w:rFonts w:asciiTheme="majorBidi" w:eastAsia="Times New Roman" w:hAnsiTheme="majorBidi" w:cstheme="majorBidi"/>
                <w:color w:val="000000"/>
                <w:sz w:val="16"/>
                <w:szCs w:val="16"/>
              </w:rPr>
              <w:lastRenderedPageBreak/>
              <w:t>companies (tyres) *</w:t>
            </w:r>
          </w:p>
        </w:tc>
        <w:tc>
          <w:tcPr>
            <w:tcW w:w="0" w:type="auto"/>
            <w:tcBorders>
              <w:top w:val="single" w:sz="4" w:space="0" w:color="auto"/>
              <w:bottom w:val="single" w:sz="4" w:space="0" w:color="auto"/>
            </w:tcBorders>
          </w:tcPr>
          <w:p w14:paraId="4E6A647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44F617B6"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12F47A3D"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Vodafone</w:t>
            </w:r>
          </w:p>
        </w:tc>
        <w:tc>
          <w:tcPr>
            <w:tcW w:w="0" w:type="auto"/>
            <w:tcBorders>
              <w:top w:val="single" w:sz="4" w:space="0" w:color="auto"/>
              <w:bottom w:val="single" w:sz="4" w:space="0" w:color="auto"/>
            </w:tcBorders>
          </w:tcPr>
          <w:p w14:paraId="480224F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 in "green" projects and companies*</w:t>
            </w:r>
          </w:p>
        </w:tc>
        <w:tc>
          <w:tcPr>
            <w:tcW w:w="0" w:type="auto"/>
            <w:tcBorders>
              <w:top w:val="single" w:sz="4" w:space="0" w:color="auto"/>
              <w:bottom w:val="single" w:sz="4" w:space="0" w:color="auto"/>
            </w:tcBorders>
          </w:tcPr>
          <w:p w14:paraId="1551EBE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r w:rsidRPr="00BE15A4">
              <w:rPr>
                <w:rFonts w:asciiTheme="majorBidi" w:eastAsia="Times New Roman" w:hAnsiTheme="majorBidi" w:cstheme="majorBidi"/>
                <w:color w:val="000000"/>
                <w:sz w:val="16"/>
                <w:szCs w:val="16"/>
              </w:rPr>
              <w:br/>
              <w:t xml:space="preserve">(4) On site production of renewable energy </w:t>
            </w:r>
          </w:p>
        </w:tc>
        <w:tc>
          <w:tcPr>
            <w:tcW w:w="0" w:type="auto"/>
            <w:tcBorders>
              <w:top w:val="single" w:sz="4" w:space="0" w:color="auto"/>
              <w:bottom w:val="single" w:sz="4" w:space="0" w:color="auto"/>
            </w:tcBorders>
          </w:tcPr>
          <w:p w14:paraId="02D3EFA3"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179CF73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e-waste</w:t>
            </w:r>
          </w:p>
        </w:tc>
        <w:tc>
          <w:tcPr>
            <w:tcW w:w="0" w:type="auto"/>
            <w:tcBorders>
              <w:top w:val="single" w:sz="4" w:space="0" w:color="auto"/>
              <w:bottom w:val="single" w:sz="4" w:space="0" w:color="auto"/>
            </w:tcBorders>
          </w:tcPr>
          <w:p w14:paraId="7BC4B8E5"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210913FF"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2FF877F6"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Airbus Group</w:t>
            </w:r>
          </w:p>
        </w:tc>
        <w:tc>
          <w:tcPr>
            <w:tcW w:w="0" w:type="auto"/>
            <w:tcBorders>
              <w:top w:val="single" w:sz="4" w:space="0" w:color="auto"/>
              <w:bottom w:val="single" w:sz="4" w:space="0" w:color="auto"/>
            </w:tcBorders>
          </w:tcPr>
          <w:p w14:paraId="6A1EDFD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Mobility as a service solutions*</w:t>
            </w:r>
            <w:r w:rsidRPr="00BE15A4">
              <w:rPr>
                <w:rFonts w:asciiTheme="majorBidi" w:eastAsia="Times New Roman" w:hAnsiTheme="majorBidi" w:cstheme="majorBidi"/>
                <w:color w:val="000000"/>
                <w:sz w:val="16"/>
                <w:szCs w:val="16"/>
              </w:rPr>
              <w:br/>
              <w:t>(3) Research in clean mobility</w:t>
            </w:r>
          </w:p>
        </w:tc>
        <w:tc>
          <w:tcPr>
            <w:tcW w:w="0" w:type="auto"/>
            <w:tcBorders>
              <w:top w:val="single" w:sz="4" w:space="0" w:color="auto"/>
              <w:bottom w:val="single" w:sz="4" w:space="0" w:color="auto"/>
            </w:tcBorders>
          </w:tcPr>
          <w:p w14:paraId="3D7E6C9C"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Improve production systems efficiency</w:t>
            </w:r>
          </w:p>
        </w:tc>
        <w:tc>
          <w:tcPr>
            <w:tcW w:w="0" w:type="auto"/>
            <w:tcBorders>
              <w:top w:val="single" w:sz="4" w:space="0" w:color="auto"/>
              <w:bottom w:val="single" w:sz="4" w:space="0" w:color="auto"/>
            </w:tcBorders>
          </w:tcPr>
          <w:p w14:paraId="36198247"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0BA79CF6" w14:textId="47AA1AF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Recycled materials </w:t>
            </w:r>
            <w:r w:rsidR="00B651D9" w:rsidRPr="00BE15A4">
              <w:rPr>
                <w:rFonts w:asciiTheme="majorBidi" w:eastAsia="Times New Roman" w:hAnsiTheme="majorBidi" w:cstheme="majorBidi"/>
                <w:color w:val="000000"/>
                <w:sz w:val="16"/>
                <w:szCs w:val="16"/>
              </w:rPr>
              <w:t>utilisation (</w:t>
            </w:r>
            <w:r w:rsidRPr="00BE15A4">
              <w:rPr>
                <w:rFonts w:asciiTheme="majorBidi" w:eastAsia="Times New Roman" w:hAnsiTheme="majorBidi" w:cstheme="majorBidi"/>
                <w:color w:val="000000"/>
                <w:sz w:val="16"/>
                <w:szCs w:val="16"/>
              </w:rPr>
              <w:t>carbon fibre materials) *</w:t>
            </w:r>
          </w:p>
        </w:tc>
        <w:tc>
          <w:tcPr>
            <w:tcW w:w="0" w:type="auto"/>
            <w:tcBorders>
              <w:top w:val="single" w:sz="4" w:space="0" w:color="auto"/>
              <w:bottom w:val="single" w:sz="4" w:space="0" w:color="auto"/>
            </w:tcBorders>
          </w:tcPr>
          <w:p w14:paraId="383D419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4C79ACE6"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7450D994"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Tesco</w:t>
            </w:r>
          </w:p>
        </w:tc>
        <w:tc>
          <w:tcPr>
            <w:tcW w:w="0" w:type="auto"/>
            <w:tcBorders>
              <w:top w:val="single" w:sz="4" w:space="0" w:color="auto"/>
              <w:bottom w:val="single" w:sz="4" w:space="0" w:color="auto"/>
            </w:tcBorders>
          </w:tcPr>
          <w:p w14:paraId="5CB7E89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Design to reduce waste (broadening specifications wonky fruit and vegetables) *</w:t>
            </w:r>
            <w:r w:rsidRPr="00BE15A4">
              <w:rPr>
                <w:rFonts w:asciiTheme="majorBidi" w:eastAsia="Times New Roman" w:hAnsiTheme="majorBidi" w:cstheme="majorBidi"/>
                <w:color w:val="000000"/>
                <w:sz w:val="16"/>
                <w:szCs w:val="16"/>
              </w:rPr>
              <w:br/>
              <w:t>(2) Refuse packaging*</w:t>
            </w:r>
          </w:p>
        </w:tc>
        <w:tc>
          <w:tcPr>
            <w:tcW w:w="0" w:type="auto"/>
            <w:tcBorders>
              <w:top w:val="single" w:sz="4" w:space="0" w:color="auto"/>
              <w:bottom w:val="single" w:sz="4" w:space="0" w:color="auto"/>
            </w:tcBorders>
          </w:tcPr>
          <w:p w14:paraId="1662E35E"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Energy sourcing from renewable energy</w:t>
            </w:r>
          </w:p>
        </w:tc>
        <w:tc>
          <w:tcPr>
            <w:tcW w:w="0" w:type="auto"/>
            <w:tcBorders>
              <w:top w:val="single" w:sz="4" w:space="0" w:color="auto"/>
              <w:bottom w:val="single" w:sz="4" w:space="0" w:color="auto"/>
            </w:tcBorders>
          </w:tcPr>
          <w:p w14:paraId="6AB93FF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                                                                               </w:t>
            </w:r>
          </w:p>
        </w:tc>
        <w:tc>
          <w:tcPr>
            <w:tcW w:w="0" w:type="auto"/>
            <w:tcBorders>
              <w:top w:val="single" w:sz="4" w:space="0" w:color="auto"/>
              <w:bottom w:val="single" w:sz="4" w:space="0" w:color="auto"/>
            </w:tcBorders>
          </w:tcPr>
          <w:p w14:paraId="5FD72CF6"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Recycle packaging (plastic bottles) *</w:t>
            </w:r>
          </w:p>
        </w:tc>
        <w:tc>
          <w:tcPr>
            <w:tcW w:w="0" w:type="auto"/>
            <w:tcBorders>
              <w:top w:val="single" w:sz="4" w:space="0" w:color="auto"/>
              <w:bottom w:val="single" w:sz="4" w:space="0" w:color="auto"/>
            </w:tcBorders>
          </w:tcPr>
          <w:p w14:paraId="5CE4B17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5FC962C6"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72EADF00"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Deutsche Post DHL Gr.</w:t>
            </w:r>
          </w:p>
        </w:tc>
        <w:tc>
          <w:tcPr>
            <w:tcW w:w="0" w:type="auto"/>
            <w:tcBorders>
              <w:top w:val="single" w:sz="4" w:space="0" w:color="auto"/>
              <w:bottom w:val="single" w:sz="4" w:space="0" w:color="auto"/>
            </w:tcBorders>
          </w:tcPr>
          <w:p w14:paraId="3779EEF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Design "green" products for customers *</w:t>
            </w:r>
          </w:p>
        </w:tc>
        <w:tc>
          <w:tcPr>
            <w:tcW w:w="0" w:type="auto"/>
            <w:tcBorders>
              <w:top w:val="single" w:sz="4" w:space="0" w:color="auto"/>
              <w:bottom w:val="single" w:sz="4" w:space="0" w:color="auto"/>
            </w:tcBorders>
          </w:tcPr>
          <w:p w14:paraId="5BD1968E"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Improve internal resource efficiency</w:t>
            </w:r>
            <w:r w:rsidRPr="00BE15A4">
              <w:rPr>
                <w:rFonts w:asciiTheme="majorBidi" w:eastAsia="Times New Roman" w:hAnsiTheme="majorBidi" w:cstheme="majorBidi"/>
                <w:color w:val="000000"/>
                <w:sz w:val="16"/>
                <w:szCs w:val="16"/>
              </w:rPr>
              <w:br/>
              <w:t xml:space="preserve">(4) Energy sourcing from renewable energy </w:t>
            </w:r>
          </w:p>
        </w:tc>
        <w:tc>
          <w:tcPr>
            <w:tcW w:w="0" w:type="auto"/>
            <w:tcBorders>
              <w:top w:val="single" w:sz="4" w:space="0" w:color="auto"/>
              <w:bottom w:val="single" w:sz="4" w:space="0" w:color="auto"/>
            </w:tcBorders>
          </w:tcPr>
          <w:p w14:paraId="1289A619"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5B5BEC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686402B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Invest in waste to energy solutions (UK)</w:t>
            </w:r>
          </w:p>
        </w:tc>
      </w:tr>
      <w:tr w:rsidR="00BE15A4" w:rsidRPr="00BE15A4" w14:paraId="4DFC1717"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BDF3187"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BASF </w:t>
            </w:r>
          </w:p>
        </w:tc>
        <w:tc>
          <w:tcPr>
            <w:tcW w:w="0" w:type="auto"/>
            <w:tcBorders>
              <w:top w:val="single" w:sz="4" w:space="0" w:color="auto"/>
              <w:bottom w:val="single" w:sz="4" w:space="0" w:color="auto"/>
            </w:tcBorders>
          </w:tcPr>
          <w:p w14:paraId="4C7BDB96"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6A3F7A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r w:rsidRPr="00BE15A4">
              <w:rPr>
                <w:rFonts w:asciiTheme="majorBidi" w:eastAsia="Times New Roman" w:hAnsiTheme="majorBidi" w:cstheme="majorBidi"/>
                <w:color w:val="000000"/>
                <w:sz w:val="16"/>
                <w:szCs w:val="16"/>
              </w:rPr>
              <w:br/>
              <w:t xml:space="preserve">(4) Improve production systems efficiency  </w:t>
            </w:r>
          </w:p>
        </w:tc>
        <w:tc>
          <w:tcPr>
            <w:tcW w:w="0" w:type="auto"/>
            <w:tcBorders>
              <w:top w:val="single" w:sz="4" w:space="0" w:color="auto"/>
              <w:bottom w:val="single" w:sz="4" w:space="0" w:color="auto"/>
            </w:tcBorders>
          </w:tcPr>
          <w:p w14:paraId="1B60028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D4CE3F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 (3) Recycle operational waste </w:t>
            </w:r>
          </w:p>
        </w:tc>
        <w:tc>
          <w:tcPr>
            <w:tcW w:w="0" w:type="auto"/>
            <w:tcBorders>
              <w:top w:val="single" w:sz="4" w:space="0" w:color="auto"/>
              <w:bottom w:val="single" w:sz="4" w:space="0" w:color="auto"/>
            </w:tcBorders>
          </w:tcPr>
          <w:p w14:paraId="19D2FB36" w14:textId="3EC71D01"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(2) Energy recovery from </w:t>
            </w:r>
            <w:proofErr w:type="spellStart"/>
            <w:r w:rsidRPr="00BE15A4">
              <w:rPr>
                <w:rFonts w:asciiTheme="majorBidi" w:eastAsia="Times New Roman" w:hAnsiTheme="majorBidi" w:cstheme="majorBidi"/>
                <w:color w:val="000000"/>
                <w:sz w:val="16"/>
                <w:szCs w:val="16"/>
              </w:rPr>
              <w:t>byproducts</w:t>
            </w:r>
            <w:proofErr w:type="spellEnd"/>
            <w:r w:rsidRPr="00BE15A4">
              <w:rPr>
                <w:rFonts w:asciiTheme="majorBidi" w:eastAsia="Times New Roman" w:hAnsiTheme="majorBidi" w:cstheme="majorBidi"/>
                <w:color w:val="000000"/>
                <w:sz w:val="16"/>
                <w:szCs w:val="16"/>
              </w:rPr>
              <w:br/>
              <w:t xml:space="preserve">(2) Biofuels utilisation (bio-methane from </w:t>
            </w:r>
            <w:r w:rsidR="00B651D9" w:rsidRPr="00BE15A4">
              <w:rPr>
                <w:rFonts w:asciiTheme="majorBidi" w:eastAsia="Times New Roman" w:hAnsiTheme="majorBidi" w:cstheme="majorBidi"/>
                <w:color w:val="000000"/>
                <w:sz w:val="16"/>
                <w:szCs w:val="16"/>
              </w:rPr>
              <w:t>waste) *</w:t>
            </w:r>
            <w:r w:rsidRPr="00BE15A4">
              <w:rPr>
                <w:rFonts w:asciiTheme="majorBidi" w:eastAsia="Times New Roman" w:hAnsiTheme="majorBidi" w:cstheme="majorBidi"/>
                <w:color w:val="000000"/>
                <w:sz w:val="16"/>
                <w:szCs w:val="16"/>
              </w:rPr>
              <w:br/>
              <w:t>(3) Recover heat from production</w:t>
            </w:r>
          </w:p>
        </w:tc>
      </w:tr>
      <w:tr w:rsidR="00BE15A4" w:rsidRPr="00BE15A4" w14:paraId="3B085666"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5B0EAA57"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Volkswagen AG</w:t>
            </w:r>
          </w:p>
        </w:tc>
        <w:tc>
          <w:tcPr>
            <w:tcW w:w="0" w:type="auto"/>
            <w:tcBorders>
              <w:top w:val="single" w:sz="4" w:space="0" w:color="auto"/>
              <w:bottom w:val="single" w:sz="4" w:space="0" w:color="auto"/>
            </w:tcBorders>
          </w:tcPr>
          <w:p w14:paraId="5CA9B56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Mobility as a service solutions*</w:t>
            </w:r>
            <w:r w:rsidRPr="00BE15A4">
              <w:rPr>
                <w:rFonts w:asciiTheme="majorBidi" w:eastAsia="Times New Roman" w:hAnsiTheme="majorBidi" w:cstheme="majorBidi"/>
                <w:color w:val="000000"/>
                <w:sz w:val="16"/>
                <w:szCs w:val="16"/>
              </w:rPr>
              <w:br/>
              <w:t>(2) Research in clean mobility</w:t>
            </w:r>
            <w:r w:rsidRPr="00BE15A4">
              <w:rPr>
                <w:rFonts w:asciiTheme="majorBidi" w:eastAsia="Times New Roman" w:hAnsiTheme="majorBidi" w:cstheme="majorBidi"/>
                <w:color w:val="000000"/>
                <w:sz w:val="16"/>
                <w:szCs w:val="16"/>
              </w:rPr>
              <w:br/>
              <w:t>(2) Modular design *</w:t>
            </w:r>
          </w:p>
        </w:tc>
        <w:tc>
          <w:tcPr>
            <w:tcW w:w="0" w:type="auto"/>
            <w:tcBorders>
              <w:top w:val="single" w:sz="4" w:space="0" w:color="auto"/>
              <w:bottom w:val="single" w:sz="4" w:space="0" w:color="auto"/>
            </w:tcBorders>
          </w:tcPr>
          <w:p w14:paraId="75A11C8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Improve production systems &amp; supply chain resource efficiency *</w:t>
            </w:r>
          </w:p>
        </w:tc>
        <w:tc>
          <w:tcPr>
            <w:tcW w:w="0" w:type="auto"/>
            <w:tcBorders>
              <w:top w:val="single" w:sz="4" w:space="0" w:color="auto"/>
              <w:bottom w:val="single" w:sz="4" w:space="0" w:color="auto"/>
            </w:tcBorders>
          </w:tcPr>
          <w:p w14:paraId="40D0B818"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233422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materials (aluminium) *</w:t>
            </w:r>
            <w:r w:rsidRPr="00BE15A4">
              <w:rPr>
                <w:rFonts w:asciiTheme="majorBidi" w:eastAsia="Times New Roman" w:hAnsiTheme="majorBidi" w:cstheme="majorBidi"/>
                <w:color w:val="000000"/>
                <w:sz w:val="16"/>
                <w:szCs w:val="16"/>
              </w:rPr>
              <w:br/>
              <w:t>(4) Recycle components (batteries)*</w:t>
            </w:r>
            <w:r w:rsidRPr="00BE15A4">
              <w:rPr>
                <w:rFonts w:asciiTheme="majorBidi" w:eastAsia="Times New Roman" w:hAnsiTheme="majorBidi" w:cstheme="majorBidi"/>
                <w:color w:val="000000"/>
                <w:sz w:val="16"/>
                <w:szCs w:val="16"/>
              </w:rPr>
              <w:br/>
              <w:t>(4) Remanufacturing parts and components*</w:t>
            </w:r>
          </w:p>
        </w:tc>
        <w:tc>
          <w:tcPr>
            <w:tcW w:w="0" w:type="auto"/>
            <w:tcBorders>
              <w:top w:val="single" w:sz="4" w:space="0" w:color="auto"/>
              <w:bottom w:val="single" w:sz="4" w:space="0" w:color="auto"/>
            </w:tcBorders>
          </w:tcPr>
          <w:p w14:paraId="237E301C"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1D633D70"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9E751AF"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Prudential</w:t>
            </w:r>
          </w:p>
        </w:tc>
        <w:tc>
          <w:tcPr>
            <w:tcW w:w="0" w:type="auto"/>
            <w:tcBorders>
              <w:top w:val="single" w:sz="4" w:space="0" w:color="auto"/>
              <w:bottom w:val="single" w:sz="4" w:space="0" w:color="auto"/>
            </w:tcBorders>
          </w:tcPr>
          <w:p w14:paraId="4A357D1E"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(2) Redesign sustainable headquarter infrastructure </w:t>
            </w:r>
          </w:p>
        </w:tc>
        <w:tc>
          <w:tcPr>
            <w:tcW w:w="0" w:type="auto"/>
            <w:tcBorders>
              <w:top w:val="single" w:sz="4" w:space="0" w:color="auto"/>
              <w:bottom w:val="single" w:sz="4" w:space="0" w:color="auto"/>
            </w:tcBorders>
          </w:tcPr>
          <w:p w14:paraId="010DB9E0"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(3) Promoting internal Resource Efficiency (use of water) </w:t>
            </w:r>
          </w:p>
        </w:tc>
        <w:tc>
          <w:tcPr>
            <w:tcW w:w="0" w:type="auto"/>
            <w:tcBorders>
              <w:top w:val="single" w:sz="4" w:space="0" w:color="auto"/>
              <w:bottom w:val="single" w:sz="4" w:space="0" w:color="auto"/>
            </w:tcBorders>
          </w:tcPr>
          <w:p w14:paraId="06A06EEA"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3CBC4C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B47D27F"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and incinerate generated waste</w:t>
            </w:r>
          </w:p>
        </w:tc>
      </w:tr>
      <w:tr w:rsidR="00BE15A4" w:rsidRPr="00BE15A4" w14:paraId="2A733FFD" w14:textId="77777777" w:rsidTr="007B6F6D">
        <w:trPr>
          <w:jc w:val="center"/>
        </w:trPr>
        <w:tc>
          <w:tcPr>
            <w:tcW w:w="0" w:type="auto"/>
            <w:tcBorders>
              <w:top w:val="single" w:sz="4" w:space="0" w:color="auto"/>
              <w:bottom w:val="nil"/>
            </w:tcBorders>
            <w:shd w:val="clear" w:color="auto" w:fill="F2F2F2" w:themeFill="background1" w:themeFillShade="F2"/>
          </w:tcPr>
          <w:p w14:paraId="0338A95D"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 xml:space="preserve">Equinor </w:t>
            </w:r>
          </w:p>
        </w:tc>
        <w:tc>
          <w:tcPr>
            <w:tcW w:w="0" w:type="auto"/>
            <w:tcBorders>
              <w:top w:val="single" w:sz="4" w:space="0" w:color="auto"/>
              <w:bottom w:val="nil"/>
            </w:tcBorders>
          </w:tcPr>
          <w:p w14:paraId="2FC606B0" w14:textId="77777777" w:rsidR="00BE15A4" w:rsidRPr="00BE15A4" w:rsidRDefault="00BE15A4" w:rsidP="00BE15A4">
            <w:pPr>
              <w:spacing w:line="240" w:lineRule="auto"/>
              <w:jc w:val="left"/>
              <w:rPr>
                <w:rFonts w:asciiTheme="majorBidi" w:eastAsia="Times New Roman" w:hAnsiTheme="majorBidi" w:cstheme="majorBidi"/>
                <w:sz w:val="20"/>
                <w:szCs w:val="20"/>
              </w:rPr>
            </w:pPr>
          </w:p>
        </w:tc>
        <w:tc>
          <w:tcPr>
            <w:tcW w:w="0" w:type="auto"/>
            <w:tcBorders>
              <w:top w:val="single" w:sz="4" w:space="0" w:color="auto"/>
              <w:bottom w:val="nil"/>
            </w:tcBorders>
          </w:tcPr>
          <w:p w14:paraId="5AFB66B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Renewable energy production</w:t>
            </w:r>
          </w:p>
        </w:tc>
        <w:tc>
          <w:tcPr>
            <w:tcW w:w="0" w:type="auto"/>
            <w:tcBorders>
              <w:top w:val="single" w:sz="4" w:space="0" w:color="auto"/>
              <w:bottom w:val="nil"/>
            </w:tcBorders>
          </w:tcPr>
          <w:p w14:paraId="79A0E7C6"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nil"/>
            </w:tcBorders>
          </w:tcPr>
          <w:p w14:paraId="2CE8A0F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production waste</w:t>
            </w:r>
          </w:p>
        </w:tc>
        <w:tc>
          <w:tcPr>
            <w:tcW w:w="0" w:type="auto"/>
            <w:tcBorders>
              <w:top w:val="single" w:sz="4" w:space="0" w:color="auto"/>
              <w:bottom w:val="nil"/>
            </w:tcBorders>
          </w:tcPr>
          <w:p w14:paraId="7373543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230B8EAA" w14:textId="77777777" w:rsidTr="007B6F6D">
        <w:trPr>
          <w:jc w:val="center"/>
        </w:trPr>
        <w:tc>
          <w:tcPr>
            <w:tcW w:w="0" w:type="auto"/>
            <w:tcBorders>
              <w:bottom w:val="single" w:sz="4" w:space="0" w:color="auto"/>
            </w:tcBorders>
            <w:shd w:val="clear" w:color="auto" w:fill="F2F2F2" w:themeFill="background1" w:themeFillShade="F2"/>
          </w:tcPr>
          <w:p w14:paraId="226A9DC3" w14:textId="77777777" w:rsidR="00BE15A4" w:rsidRPr="00BE15A4" w:rsidRDefault="00BE15A4" w:rsidP="00BE15A4">
            <w:pPr>
              <w:spacing w:line="240" w:lineRule="auto"/>
              <w:rPr>
                <w:rFonts w:asciiTheme="majorBidi" w:eastAsia="Times New Roman" w:hAnsiTheme="majorBidi" w:cstheme="majorBidi"/>
                <w:b/>
                <w:sz w:val="20"/>
                <w:szCs w:val="20"/>
              </w:rPr>
            </w:pPr>
            <w:r w:rsidRPr="00BE15A4">
              <w:rPr>
                <w:rFonts w:asciiTheme="majorBidi" w:eastAsia="Times New Roman" w:hAnsiTheme="majorBidi" w:cstheme="majorBidi"/>
                <w:b/>
                <w:bCs/>
                <w:color w:val="000000"/>
                <w:sz w:val="16"/>
                <w:szCs w:val="16"/>
              </w:rPr>
              <w:t xml:space="preserve">Bayer </w:t>
            </w:r>
          </w:p>
        </w:tc>
        <w:tc>
          <w:tcPr>
            <w:tcW w:w="0" w:type="auto"/>
            <w:tcBorders>
              <w:bottom w:val="single" w:sz="4" w:space="0" w:color="auto"/>
            </w:tcBorders>
          </w:tcPr>
          <w:p w14:paraId="6F32F4F0" w14:textId="77777777" w:rsidR="00BE15A4" w:rsidRPr="00BE15A4" w:rsidRDefault="00BE15A4" w:rsidP="00BE15A4">
            <w:pPr>
              <w:spacing w:line="240" w:lineRule="auto"/>
              <w:jc w:val="left"/>
              <w:rPr>
                <w:rFonts w:asciiTheme="majorBidi" w:eastAsia="Times New Roman" w:hAnsiTheme="majorBidi" w:cstheme="majorBidi"/>
                <w:sz w:val="20"/>
                <w:szCs w:val="20"/>
              </w:rPr>
            </w:pPr>
          </w:p>
        </w:tc>
        <w:tc>
          <w:tcPr>
            <w:tcW w:w="0" w:type="auto"/>
            <w:tcBorders>
              <w:bottom w:val="single" w:sz="4" w:space="0" w:color="auto"/>
            </w:tcBorders>
          </w:tcPr>
          <w:p w14:paraId="10EB96BF"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Improve production systems efficiency</w:t>
            </w:r>
          </w:p>
        </w:tc>
        <w:tc>
          <w:tcPr>
            <w:tcW w:w="0" w:type="auto"/>
            <w:tcBorders>
              <w:bottom w:val="single" w:sz="4" w:space="0" w:color="auto"/>
            </w:tcBorders>
          </w:tcPr>
          <w:p w14:paraId="3902E518"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bottom w:val="single" w:sz="4" w:space="0" w:color="auto"/>
            </w:tcBorders>
          </w:tcPr>
          <w:p w14:paraId="3F1B9D0A"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production waste</w:t>
            </w:r>
          </w:p>
        </w:tc>
        <w:tc>
          <w:tcPr>
            <w:tcW w:w="0" w:type="auto"/>
            <w:tcBorders>
              <w:bottom w:val="single" w:sz="4" w:space="0" w:color="auto"/>
            </w:tcBorders>
          </w:tcPr>
          <w:p w14:paraId="216461E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1DF96FEC"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D6CE3C1" w14:textId="77777777" w:rsidR="00BE15A4" w:rsidRPr="00BE15A4" w:rsidRDefault="00BE15A4" w:rsidP="00BE15A4">
            <w:pPr>
              <w:spacing w:line="240" w:lineRule="auto"/>
              <w:rPr>
                <w:rFonts w:asciiTheme="majorBidi" w:eastAsia="Times New Roman" w:hAnsiTheme="majorBidi" w:cstheme="majorBidi"/>
                <w:b/>
                <w:sz w:val="20"/>
                <w:szCs w:val="20"/>
              </w:rPr>
            </w:pPr>
            <w:proofErr w:type="spellStart"/>
            <w:r w:rsidRPr="00BE15A4">
              <w:rPr>
                <w:rFonts w:asciiTheme="majorBidi" w:eastAsia="Times New Roman" w:hAnsiTheme="majorBidi" w:cstheme="majorBidi"/>
                <w:b/>
                <w:bCs/>
                <w:color w:val="000000"/>
                <w:sz w:val="16"/>
                <w:szCs w:val="16"/>
              </w:rPr>
              <w:t>Uniper</w:t>
            </w:r>
            <w:proofErr w:type="spellEnd"/>
          </w:p>
        </w:tc>
        <w:tc>
          <w:tcPr>
            <w:tcW w:w="0" w:type="auto"/>
            <w:tcBorders>
              <w:top w:val="single" w:sz="4" w:space="0" w:color="auto"/>
              <w:bottom w:val="single" w:sz="4" w:space="0" w:color="auto"/>
            </w:tcBorders>
          </w:tcPr>
          <w:p w14:paraId="256A2E58" w14:textId="77777777" w:rsidR="00BE15A4" w:rsidRPr="00BE15A4" w:rsidRDefault="00BE15A4" w:rsidP="00BE15A4">
            <w:pPr>
              <w:spacing w:line="240" w:lineRule="auto"/>
              <w:jc w:val="left"/>
              <w:rPr>
                <w:rFonts w:asciiTheme="majorBidi" w:eastAsia="Times New Roman" w:hAnsiTheme="majorBidi" w:cstheme="majorBidi"/>
                <w:sz w:val="20"/>
                <w:szCs w:val="20"/>
              </w:rPr>
            </w:pPr>
          </w:p>
        </w:tc>
        <w:tc>
          <w:tcPr>
            <w:tcW w:w="0" w:type="auto"/>
            <w:tcBorders>
              <w:top w:val="single" w:sz="4" w:space="0" w:color="auto"/>
              <w:bottom w:val="single" w:sz="4" w:space="0" w:color="auto"/>
            </w:tcBorders>
          </w:tcPr>
          <w:p w14:paraId="7580A78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Renewable energy production and sale</w:t>
            </w:r>
          </w:p>
        </w:tc>
        <w:tc>
          <w:tcPr>
            <w:tcW w:w="0" w:type="auto"/>
            <w:tcBorders>
              <w:top w:val="single" w:sz="4" w:space="0" w:color="auto"/>
              <w:bottom w:val="single" w:sz="4" w:space="0" w:color="auto"/>
            </w:tcBorders>
          </w:tcPr>
          <w:p w14:paraId="63A7E3C5"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AD9F4FA"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697F0B0"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Provide waste heat to industrial partners*</w:t>
            </w:r>
            <w:r w:rsidRPr="00BE15A4">
              <w:rPr>
                <w:rFonts w:asciiTheme="majorBidi" w:eastAsia="Times New Roman" w:hAnsiTheme="majorBidi" w:cstheme="majorBidi"/>
                <w:color w:val="000000"/>
                <w:sz w:val="16"/>
                <w:szCs w:val="16"/>
              </w:rPr>
              <w:br/>
              <w:t>(4) Sell power generation by-products to industrial partners</w:t>
            </w:r>
          </w:p>
        </w:tc>
      </w:tr>
      <w:tr w:rsidR="00BE15A4" w:rsidRPr="00BE15A4" w14:paraId="148FA76D"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5477E5D" w14:textId="77777777" w:rsidR="00BE15A4" w:rsidRPr="00BE15A4" w:rsidRDefault="00BE15A4" w:rsidP="00BE15A4">
            <w:pPr>
              <w:spacing w:line="240" w:lineRule="auto"/>
              <w:rPr>
                <w:rFonts w:asciiTheme="majorBidi" w:eastAsia="Times New Roman" w:hAnsiTheme="majorBidi" w:cstheme="majorBidi"/>
                <w:b/>
                <w:bCs/>
                <w:sz w:val="20"/>
                <w:szCs w:val="20"/>
              </w:rPr>
            </w:pPr>
            <w:proofErr w:type="spellStart"/>
            <w:r w:rsidRPr="00BE15A4">
              <w:rPr>
                <w:rFonts w:asciiTheme="majorBidi" w:eastAsia="Times New Roman" w:hAnsiTheme="majorBidi" w:cstheme="majorBidi"/>
                <w:b/>
                <w:bCs/>
                <w:color w:val="000000"/>
                <w:sz w:val="16"/>
                <w:szCs w:val="16"/>
              </w:rPr>
              <w:t>Engie</w:t>
            </w:r>
            <w:proofErr w:type="spellEnd"/>
          </w:p>
        </w:tc>
        <w:tc>
          <w:tcPr>
            <w:tcW w:w="0" w:type="auto"/>
            <w:tcBorders>
              <w:top w:val="single" w:sz="4" w:space="0" w:color="auto"/>
              <w:bottom w:val="single" w:sz="4" w:space="0" w:color="auto"/>
            </w:tcBorders>
          </w:tcPr>
          <w:p w14:paraId="22C7702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Financing "green" </w:t>
            </w:r>
            <w:r w:rsidRPr="00BE15A4">
              <w:rPr>
                <w:rFonts w:asciiTheme="majorBidi" w:eastAsia="Times New Roman" w:hAnsiTheme="majorBidi" w:cstheme="majorBidi"/>
                <w:color w:val="000000"/>
                <w:sz w:val="16"/>
                <w:szCs w:val="16"/>
              </w:rPr>
              <w:lastRenderedPageBreak/>
              <w:t>technological innovation*</w:t>
            </w:r>
            <w:r w:rsidRPr="00BE15A4">
              <w:rPr>
                <w:rFonts w:asciiTheme="majorBidi" w:eastAsia="Times New Roman" w:hAnsiTheme="majorBidi" w:cstheme="majorBidi"/>
                <w:color w:val="000000"/>
                <w:sz w:val="16"/>
                <w:szCs w:val="16"/>
              </w:rPr>
              <w:br/>
              <w:t>(4) Design of "green" products for companies and local authorities*</w:t>
            </w:r>
            <w:r w:rsidRPr="00BE15A4">
              <w:rPr>
                <w:rFonts w:asciiTheme="majorBidi" w:eastAsia="Times New Roman" w:hAnsiTheme="majorBidi" w:cstheme="majorBidi"/>
                <w:color w:val="000000"/>
                <w:sz w:val="16"/>
                <w:szCs w:val="16"/>
              </w:rPr>
              <w:br/>
              <w:t>(2) Invest in "green" infrastructure</w:t>
            </w:r>
          </w:p>
        </w:tc>
        <w:tc>
          <w:tcPr>
            <w:tcW w:w="0" w:type="auto"/>
            <w:tcBorders>
              <w:top w:val="single" w:sz="4" w:space="0" w:color="auto"/>
              <w:bottom w:val="single" w:sz="4" w:space="0" w:color="auto"/>
            </w:tcBorders>
          </w:tcPr>
          <w:p w14:paraId="5826751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lastRenderedPageBreak/>
              <w:t>(4) Renewable energy production and sale</w:t>
            </w:r>
          </w:p>
        </w:tc>
        <w:tc>
          <w:tcPr>
            <w:tcW w:w="0" w:type="auto"/>
            <w:tcBorders>
              <w:top w:val="single" w:sz="4" w:space="0" w:color="auto"/>
              <w:bottom w:val="single" w:sz="4" w:space="0" w:color="auto"/>
            </w:tcBorders>
          </w:tcPr>
          <w:p w14:paraId="5667B76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63F4749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4289958"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2244C38C"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6616CDFF"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Allianz</w:t>
            </w:r>
          </w:p>
        </w:tc>
        <w:tc>
          <w:tcPr>
            <w:tcW w:w="0" w:type="auto"/>
            <w:tcBorders>
              <w:top w:val="single" w:sz="4" w:space="0" w:color="auto"/>
              <w:bottom w:val="single" w:sz="4" w:space="0" w:color="auto"/>
            </w:tcBorders>
          </w:tcPr>
          <w:p w14:paraId="13E9A1D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Disinvest from carbon intensive asset</w:t>
            </w:r>
            <w:r w:rsidRPr="00BE15A4">
              <w:rPr>
                <w:rFonts w:asciiTheme="majorBidi" w:eastAsia="Times New Roman" w:hAnsiTheme="majorBidi" w:cstheme="majorBidi"/>
                <w:color w:val="000000"/>
                <w:sz w:val="16"/>
                <w:szCs w:val="16"/>
              </w:rPr>
              <w:br/>
              <w:t>(4) Design "green" products for consumers*</w:t>
            </w:r>
          </w:p>
        </w:tc>
        <w:tc>
          <w:tcPr>
            <w:tcW w:w="0" w:type="auto"/>
            <w:tcBorders>
              <w:top w:val="single" w:sz="4" w:space="0" w:color="auto"/>
              <w:bottom w:val="single" w:sz="4" w:space="0" w:color="auto"/>
            </w:tcBorders>
          </w:tcPr>
          <w:p w14:paraId="04F214F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 in renewable energy companies*</w:t>
            </w:r>
          </w:p>
        </w:tc>
        <w:tc>
          <w:tcPr>
            <w:tcW w:w="0" w:type="auto"/>
            <w:tcBorders>
              <w:top w:val="single" w:sz="4" w:space="0" w:color="auto"/>
              <w:bottom w:val="single" w:sz="4" w:space="0" w:color="auto"/>
            </w:tcBorders>
          </w:tcPr>
          <w:p w14:paraId="561AFE2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Reusable packaging in gastronomy</w:t>
            </w:r>
          </w:p>
        </w:tc>
        <w:tc>
          <w:tcPr>
            <w:tcW w:w="0" w:type="auto"/>
            <w:tcBorders>
              <w:top w:val="single" w:sz="4" w:space="0" w:color="auto"/>
              <w:bottom w:val="single" w:sz="4" w:space="0" w:color="auto"/>
            </w:tcBorders>
          </w:tcPr>
          <w:p w14:paraId="64940CE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(2) Recycle materials (plastic, Ghana) </w:t>
            </w:r>
          </w:p>
        </w:tc>
        <w:tc>
          <w:tcPr>
            <w:tcW w:w="0" w:type="auto"/>
            <w:tcBorders>
              <w:top w:val="single" w:sz="4" w:space="0" w:color="auto"/>
              <w:bottom w:val="single" w:sz="4" w:space="0" w:color="auto"/>
            </w:tcBorders>
          </w:tcPr>
          <w:p w14:paraId="1EBF0C3A"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3BB89BB5"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30E875C"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Banco Santander</w:t>
            </w:r>
          </w:p>
        </w:tc>
        <w:tc>
          <w:tcPr>
            <w:tcW w:w="0" w:type="auto"/>
            <w:tcBorders>
              <w:top w:val="single" w:sz="4" w:space="0" w:color="auto"/>
              <w:bottom w:val="single" w:sz="4" w:space="0" w:color="auto"/>
            </w:tcBorders>
          </w:tcPr>
          <w:p w14:paraId="1F6BA26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Design "green" products* </w:t>
            </w:r>
            <w:r w:rsidRPr="00BE15A4">
              <w:rPr>
                <w:rFonts w:asciiTheme="majorBidi" w:eastAsia="Times New Roman" w:hAnsiTheme="majorBidi" w:cstheme="majorBidi"/>
                <w:color w:val="000000"/>
                <w:sz w:val="16"/>
                <w:szCs w:val="16"/>
              </w:rPr>
              <w:br/>
              <w:t xml:space="preserve">(3) Financing businesses transition to CE*  </w:t>
            </w:r>
            <w:r w:rsidRPr="00BE15A4">
              <w:rPr>
                <w:rFonts w:asciiTheme="majorBidi" w:eastAsia="Times New Roman" w:hAnsiTheme="majorBidi" w:cstheme="majorBidi"/>
                <w:color w:val="000000"/>
                <w:sz w:val="16"/>
                <w:szCs w:val="16"/>
              </w:rPr>
              <w:br/>
              <w:t>(3) Invest in "green" infrastructure</w:t>
            </w:r>
          </w:p>
        </w:tc>
        <w:tc>
          <w:tcPr>
            <w:tcW w:w="0" w:type="auto"/>
            <w:tcBorders>
              <w:top w:val="single" w:sz="4" w:space="0" w:color="auto"/>
              <w:bottom w:val="single" w:sz="4" w:space="0" w:color="auto"/>
            </w:tcBorders>
          </w:tcPr>
          <w:p w14:paraId="7F42E671"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Investments in Renewable Energy companies/technological innovation*</w:t>
            </w:r>
          </w:p>
        </w:tc>
        <w:tc>
          <w:tcPr>
            <w:tcW w:w="0" w:type="auto"/>
            <w:tcBorders>
              <w:top w:val="single" w:sz="4" w:space="0" w:color="auto"/>
              <w:bottom w:val="single" w:sz="4" w:space="0" w:color="auto"/>
            </w:tcBorders>
          </w:tcPr>
          <w:p w14:paraId="448F7BC1"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F8B7AF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4F87BF8"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07199FBE"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343A3497" w14:textId="77777777" w:rsidR="00BE15A4" w:rsidRPr="00BE15A4" w:rsidRDefault="00BE15A4" w:rsidP="00BE15A4">
            <w:pPr>
              <w:spacing w:line="240" w:lineRule="auto"/>
              <w:rPr>
                <w:rFonts w:asciiTheme="majorBidi" w:eastAsia="Times New Roman" w:hAnsiTheme="majorBidi" w:cstheme="majorBidi"/>
                <w:b/>
                <w:bCs/>
                <w:sz w:val="20"/>
                <w:szCs w:val="20"/>
              </w:rPr>
            </w:pPr>
            <w:proofErr w:type="spellStart"/>
            <w:r w:rsidRPr="00BE15A4">
              <w:rPr>
                <w:rFonts w:asciiTheme="majorBidi" w:eastAsia="Times New Roman" w:hAnsiTheme="majorBidi" w:cstheme="majorBidi"/>
                <w:b/>
                <w:bCs/>
                <w:color w:val="000000"/>
                <w:sz w:val="16"/>
                <w:szCs w:val="16"/>
              </w:rPr>
              <w:t>Societe</w:t>
            </w:r>
            <w:proofErr w:type="spellEnd"/>
            <w:r w:rsidRPr="00BE15A4">
              <w:rPr>
                <w:rFonts w:asciiTheme="majorBidi" w:eastAsia="Times New Roman" w:hAnsiTheme="majorBidi" w:cstheme="majorBidi"/>
                <w:b/>
                <w:bCs/>
                <w:color w:val="000000"/>
                <w:sz w:val="16"/>
                <w:szCs w:val="16"/>
              </w:rPr>
              <w:t xml:space="preserve"> </w:t>
            </w:r>
            <w:proofErr w:type="spellStart"/>
            <w:r w:rsidRPr="00BE15A4">
              <w:rPr>
                <w:rFonts w:asciiTheme="majorBidi" w:eastAsia="Times New Roman" w:hAnsiTheme="majorBidi" w:cstheme="majorBidi"/>
                <w:b/>
                <w:bCs/>
                <w:color w:val="000000"/>
                <w:sz w:val="16"/>
                <w:szCs w:val="16"/>
              </w:rPr>
              <w:t>Generale</w:t>
            </w:r>
            <w:proofErr w:type="spellEnd"/>
          </w:p>
        </w:tc>
        <w:tc>
          <w:tcPr>
            <w:tcW w:w="0" w:type="auto"/>
            <w:tcBorders>
              <w:top w:val="single" w:sz="4" w:space="0" w:color="auto"/>
              <w:bottom w:val="single" w:sz="4" w:space="0" w:color="auto"/>
            </w:tcBorders>
          </w:tcPr>
          <w:p w14:paraId="3800436C"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(2) Invest in CE infrastructure*</w:t>
            </w:r>
            <w:r w:rsidRPr="00BE15A4">
              <w:rPr>
                <w:rFonts w:asciiTheme="majorBidi" w:eastAsia="Times New Roman" w:hAnsiTheme="majorBidi" w:cstheme="majorBidi"/>
                <w:color w:val="000000"/>
                <w:sz w:val="16"/>
                <w:szCs w:val="16"/>
              </w:rPr>
              <w:br/>
              <w:t>(4) Invest in "green" projects and companies*</w:t>
            </w:r>
            <w:r w:rsidRPr="00BE15A4">
              <w:rPr>
                <w:rFonts w:asciiTheme="majorBidi" w:eastAsia="Times New Roman" w:hAnsiTheme="majorBidi" w:cstheme="majorBidi"/>
                <w:color w:val="000000"/>
                <w:sz w:val="16"/>
                <w:szCs w:val="16"/>
              </w:rPr>
              <w:br/>
              <w:t>(4) Disinvest from carbon intensive asset</w:t>
            </w:r>
          </w:p>
        </w:tc>
        <w:tc>
          <w:tcPr>
            <w:tcW w:w="0" w:type="auto"/>
            <w:tcBorders>
              <w:top w:val="single" w:sz="4" w:space="0" w:color="auto"/>
              <w:bottom w:val="single" w:sz="4" w:space="0" w:color="auto"/>
            </w:tcBorders>
          </w:tcPr>
          <w:p w14:paraId="7D275368"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 in renewable energy companies*</w:t>
            </w:r>
          </w:p>
        </w:tc>
        <w:tc>
          <w:tcPr>
            <w:tcW w:w="0" w:type="auto"/>
            <w:tcBorders>
              <w:top w:val="single" w:sz="4" w:space="0" w:color="auto"/>
              <w:bottom w:val="single" w:sz="4" w:space="0" w:color="auto"/>
            </w:tcBorders>
          </w:tcPr>
          <w:p w14:paraId="68B7C06E"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6C5E1B58"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14BE19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4CE1B425"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7D11FFAE" w14:textId="77777777" w:rsidR="00BE15A4" w:rsidRPr="00BE15A4" w:rsidRDefault="00BE15A4" w:rsidP="00BE15A4">
            <w:pPr>
              <w:spacing w:line="240" w:lineRule="auto"/>
              <w:rPr>
                <w:rFonts w:asciiTheme="majorBidi" w:eastAsia="Times New Roman" w:hAnsiTheme="majorBidi" w:cstheme="majorBidi"/>
                <w:b/>
                <w:bCs/>
                <w:sz w:val="20"/>
                <w:szCs w:val="20"/>
              </w:rPr>
            </w:pPr>
            <w:proofErr w:type="spellStart"/>
            <w:r w:rsidRPr="00BE15A4">
              <w:rPr>
                <w:rFonts w:asciiTheme="majorBidi" w:eastAsia="Times New Roman" w:hAnsiTheme="majorBidi" w:cstheme="majorBidi"/>
                <w:b/>
                <w:bCs/>
                <w:color w:val="000000"/>
                <w:sz w:val="16"/>
                <w:szCs w:val="16"/>
              </w:rPr>
              <w:t>Aegon</w:t>
            </w:r>
            <w:proofErr w:type="spellEnd"/>
            <w:r w:rsidRPr="00BE15A4">
              <w:rPr>
                <w:rFonts w:asciiTheme="majorBidi" w:eastAsia="Times New Roman" w:hAnsiTheme="majorBidi" w:cstheme="majorBidi"/>
                <w:b/>
                <w:bCs/>
                <w:color w:val="000000"/>
                <w:sz w:val="16"/>
                <w:szCs w:val="16"/>
              </w:rPr>
              <w:t xml:space="preserve"> </w:t>
            </w:r>
          </w:p>
        </w:tc>
        <w:tc>
          <w:tcPr>
            <w:tcW w:w="0" w:type="auto"/>
            <w:tcBorders>
              <w:top w:val="single" w:sz="4" w:space="0" w:color="auto"/>
              <w:bottom w:val="single" w:sz="4" w:space="0" w:color="auto"/>
            </w:tcBorders>
          </w:tcPr>
          <w:p w14:paraId="368AB73D"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Disinvesting from carbon intensive assets</w:t>
            </w:r>
            <w:r w:rsidRPr="00BE15A4">
              <w:rPr>
                <w:rFonts w:asciiTheme="majorBidi" w:eastAsia="Times New Roman" w:hAnsiTheme="majorBidi" w:cstheme="majorBidi"/>
                <w:color w:val="000000"/>
                <w:sz w:val="16"/>
                <w:szCs w:val="16"/>
              </w:rPr>
              <w:br/>
              <w:t>(4) Design "green" products* for consumers</w:t>
            </w:r>
            <w:r w:rsidRPr="00BE15A4">
              <w:rPr>
                <w:rFonts w:asciiTheme="majorBidi" w:eastAsia="Times New Roman" w:hAnsiTheme="majorBidi" w:cstheme="majorBidi"/>
                <w:color w:val="000000"/>
                <w:sz w:val="16"/>
                <w:szCs w:val="16"/>
              </w:rPr>
              <w:br/>
              <w:t xml:space="preserve">(1) Reduce the use of plastic </w:t>
            </w:r>
          </w:p>
        </w:tc>
        <w:tc>
          <w:tcPr>
            <w:tcW w:w="0" w:type="auto"/>
            <w:tcBorders>
              <w:top w:val="single" w:sz="4" w:space="0" w:color="auto"/>
              <w:bottom w:val="single" w:sz="4" w:space="0" w:color="auto"/>
            </w:tcBorders>
          </w:tcPr>
          <w:p w14:paraId="02A470E9"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 in renewable energy companies*</w:t>
            </w:r>
          </w:p>
        </w:tc>
        <w:tc>
          <w:tcPr>
            <w:tcW w:w="0" w:type="auto"/>
            <w:tcBorders>
              <w:top w:val="single" w:sz="4" w:space="0" w:color="auto"/>
              <w:bottom w:val="single" w:sz="4" w:space="0" w:color="auto"/>
            </w:tcBorders>
          </w:tcPr>
          <w:p w14:paraId="798C54A3"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1797E1B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38B9D9B5"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7DEBA5F6"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9C8BC8C" w14:textId="77777777" w:rsidR="00BE15A4" w:rsidRPr="00BE15A4" w:rsidRDefault="00BE15A4" w:rsidP="00BE15A4">
            <w:pPr>
              <w:spacing w:line="240" w:lineRule="auto"/>
              <w:rPr>
                <w:rFonts w:asciiTheme="majorBidi" w:eastAsia="Times New Roman" w:hAnsiTheme="majorBidi" w:cstheme="majorBidi"/>
                <w:b/>
                <w:bCs/>
                <w:sz w:val="20"/>
                <w:szCs w:val="20"/>
              </w:rPr>
            </w:pPr>
            <w:proofErr w:type="spellStart"/>
            <w:r w:rsidRPr="00BE15A4">
              <w:rPr>
                <w:rFonts w:asciiTheme="majorBidi" w:eastAsia="Times New Roman" w:hAnsiTheme="majorBidi" w:cstheme="majorBidi"/>
                <w:b/>
                <w:bCs/>
                <w:color w:val="000000"/>
                <w:sz w:val="16"/>
                <w:szCs w:val="16"/>
              </w:rPr>
              <w:t>Finatis</w:t>
            </w:r>
            <w:proofErr w:type="spellEnd"/>
            <w:r w:rsidRPr="00BE15A4">
              <w:rPr>
                <w:rFonts w:asciiTheme="majorBidi" w:eastAsia="Times New Roman" w:hAnsiTheme="majorBidi" w:cstheme="majorBidi"/>
                <w:b/>
                <w:bCs/>
                <w:color w:val="000000"/>
                <w:sz w:val="16"/>
                <w:szCs w:val="16"/>
              </w:rPr>
              <w:t xml:space="preserve"> </w:t>
            </w:r>
          </w:p>
        </w:tc>
        <w:tc>
          <w:tcPr>
            <w:tcW w:w="0" w:type="auto"/>
            <w:tcBorders>
              <w:top w:val="single" w:sz="4" w:space="0" w:color="auto"/>
              <w:bottom w:val="single" w:sz="4" w:space="0" w:color="auto"/>
            </w:tcBorders>
          </w:tcPr>
          <w:p w14:paraId="74F5F6D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1B0A6CFF"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(4) Energy sourcing from renewable energy </w:t>
            </w:r>
            <w:r w:rsidRPr="00BE15A4">
              <w:rPr>
                <w:rFonts w:asciiTheme="majorBidi" w:eastAsia="Times New Roman" w:hAnsiTheme="majorBidi" w:cstheme="majorBidi"/>
                <w:color w:val="000000"/>
                <w:sz w:val="16"/>
                <w:szCs w:val="16"/>
              </w:rPr>
              <w:br/>
              <w:t xml:space="preserve">(4) Improve internal resource efficiency </w:t>
            </w:r>
          </w:p>
        </w:tc>
        <w:tc>
          <w:tcPr>
            <w:tcW w:w="0" w:type="auto"/>
            <w:tcBorders>
              <w:top w:val="single" w:sz="4" w:space="0" w:color="auto"/>
              <w:bottom w:val="single" w:sz="4" w:space="0" w:color="auto"/>
            </w:tcBorders>
          </w:tcPr>
          <w:p w14:paraId="7A04279C"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0C7075A0" w14:textId="208FD743"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Recycle waste materials (</w:t>
            </w:r>
            <w:r w:rsidR="00B651D9" w:rsidRPr="00BE15A4">
              <w:rPr>
                <w:rFonts w:asciiTheme="majorBidi" w:eastAsia="Times New Roman" w:hAnsiTheme="majorBidi" w:cstheme="majorBidi"/>
                <w:color w:val="000000"/>
                <w:sz w:val="16"/>
                <w:szCs w:val="16"/>
              </w:rPr>
              <w:t>piles, batteries</w:t>
            </w:r>
            <w:r w:rsidRPr="00BE15A4">
              <w:rPr>
                <w:rFonts w:asciiTheme="majorBidi" w:eastAsia="Times New Roman" w:hAnsiTheme="majorBidi" w:cstheme="majorBidi"/>
                <w:color w:val="000000"/>
                <w:sz w:val="16"/>
                <w:szCs w:val="16"/>
              </w:rPr>
              <w:t xml:space="preserve">) </w:t>
            </w:r>
            <w:r w:rsidRPr="00BE15A4">
              <w:rPr>
                <w:rFonts w:asciiTheme="majorBidi" w:eastAsia="Times New Roman" w:hAnsiTheme="majorBidi" w:cstheme="majorBidi"/>
                <w:color w:val="000000"/>
                <w:sz w:val="16"/>
                <w:szCs w:val="16"/>
              </w:rPr>
              <w:br/>
              <w:t xml:space="preserve">(4) Recycle waste materials (packaging) </w:t>
            </w:r>
            <w:r w:rsidRPr="00BE15A4">
              <w:rPr>
                <w:rFonts w:asciiTheme="majorBidi" w:eastAsia="Times New Roman" w:hAnsiTheme="majorBidi" w:cstheme="majorBidi"/>
                <w:color w:val="000000"/>
                <w:sz w:val="16"/>
                <w:szCs w:val="16"/>
              </w:rPr>
              <w:br/>
              <w:t xml:space="preserve">(4) Recycle waste materials (textile, </w:t>
            </w:r>
            <w:proofErr w:type="spellStart"/>
            <w:r w:rsidRPr="00BE15A4">
              <w:rPr>
                <w:rFonts w:asciiTheme="majorBidi" w:eastAsia="Times New Roman" w:hAnsiTheme="majorBidi" w:cstheme="majorBidi"/>
                <w:color w:val="000000"/>
                <w:sz w:val="16"/>
                <w:szCs w:val="16"/>
              </w:rPr>
              <w:t>mattrasses</w:t>
            </w:r>
            <w:proofErr w:type="spellEnd"/>
            <w:r w:rsidRPr="00BE15A4">
              <w:rPr>
                <w:rFonts w:asciiTheme="majorBidi" w:eastAsia="Times New Roman" w:hAnsiTheme="majorBidi" w:cstheme="majorBidi"/>
                <w:color w:val="000000"/>
                <w:sz w:val="16"/>
                <w:szCs w:val="16"/>
              </w:rPr>
              <w:t>)</w:t>
            </w:r>
            <w:r w:rsidRPr="00BE15A4">
              <w:rPr>
                <w:rFonts w:asciiTheme="majorBidi" w:eastAsia="Times New Roman" w:hAnsiTheme="majorBidi" w:cstheme="majorBidi"/>
                <w:color w:val="000000"/>
                <w:sz w:val="16"/>
                <w:szCs w:val="16"/>
              </w:rPr>
              <w:br/>
              <w:t>(2) Recycled materials utilisation (PFC) *</w:t>
            </w:r>
          </w:p>
        </w:tc>
        <w:tc>
          <w:tcPr>
            <w:tcW w:w="0" w:type="auto"/>
            <w:tcBorders>
              <w:top w:val="single" w:sz="4" w:space="0" w:color="auto"/>
              <w:bottom w:val="single" w:sz="4" w:space="0" w:color="auto"/>
            </w:tcBorders>
          </w:tcPr>
          <w:p w14:paraId="515D289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3DDF765B"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544ABE89"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BPCE </w:t>
            </w:r>
          </w:p>
        </w:tc>
        <w:tc>
          <w:tcPr>
            <w:tcW w:w="0" w:type="auto"/>
            <w:tcBorders>
              <w:top w:val="single" w:sz="4" w:space="0" w:color="auto"/>
              <w:bottom w:val="single" w:sz="4" w:space="0" w:color="auto"/>
            </w:tcBorders>
          </w:tcPr>
          <w:p w14:paraId="527C6476"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Financing businesses "green" transition*</w:t>
            </w:r>
            <w:r w:rsidRPr="00BE15A4">
              <w:rPr>
                <w:rFonts w:asciiTheme="majorBidi" w:eastAsia="Times New Roman" w:hAnsiTheme="majorBidi" w:cstheme="majorBidi"/>
                <w:color w:val="000000"/>
                <w:sz w:val="16"/>
                <w:szCs w:val="16"/>
              </w:rPr>
              <w:br/>
              <w:t>(4) Design "green" products for households*</w:t>
            </w:r>
          </w:p>
        </w:tc>
        <w:tc>
          <w:tcPr>
            <w:tcW w:w="0" w:type="auto"/>
            <w:tcBorders>
              <w:top w:val="single" w:sz="4" w:space="0" w:color="auto"/>
              <w:bottom w:val="single" w:sz="4" w:space="0" w:color="auto"/>
            </w:tcBorders>
          </w:tcPr>
          <w:p w14:paraId="0926E2C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Investments in renewable energy companies*</w:t>
            </w:r>
          </w:p>
        </w:tc>
        <w:tc>
          <w:tcPr>
            <w:tcW w:w="0" w:type="auto"/>
            <w:tcBorders>
              <w:top w:val="single" w:sz="4" w:space="0" w:color="auto"/>
              <w:bottom w:val="single" w:sz="4" w:space="0" w:color="auto"/>
            </w:tcBorders>
          </w:tcPr>
          <w:p w14:paraId="33D6B2F4"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E9BF921"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0B1538F"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3FF0236A"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0CC5FFE"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CNP Assurances</w:t>
            </w:r>
          </w:p>
        </w:tc>
        <w:tc>
          <w:tcPr>
            <w:tcW w:w="0" w:type="auto"/>
            <w:tcBorders>
              <w:top w:val="single" w:sz="4" w:space="0" w:color="auto"/>
              <w:bottom w:val="single" w:sz="4" w:space="0" w:color="auto"/>
            </w:tcBorders>
          </w:tcPr>
          <w:p w14:paraId="7B8B726E"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FB1DA0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Improve internal resource efficiency (data centres)</w:t>
            </w:r>
            <w:r w:rsidRPr="00BE15A4">
              <w:rPr>
                <w:rFonts w:asciiTheme="majorBidi" w:eastAsia="Times New Roman" w:hAnsiTheme="majorBidi" w:cstheme="majorBidi"/>
                <w:color w:val="000000"/>
                <w:sz w:val="16"/>
                <w:szCs w:val="16"/>
              </w:rPr>
              <w:br/>
              <w:t xml:space="preserve">(4) Improve internal </w:t>
            </w:r>
            <w:r w:rsidRPr="00BE15A4">
              <w:rPr>
                <w:rFonts w:asciiTheme="majorBidi" w:eastAsia="Times New Roman" w:hAnsiTheme="majorBidi" w:cstheme="majorBidi"/>
                <w:color w:val="000000"/>
                <w:sz w:val="16"/>
                <w:szCs w:val="16"/>
              </w:rPr>
              <w:lastRenderedPageBreak/>
              <w:t>resource efficiency (paper)</w:t>
            </w:r>
          </w:p>
        </w:tc>
        <w:tc>
          <w:tcPr>
            <w:tcW w:w="0" w:type="auto"/>
            <w:tcBorders>
              <w:top w:val="single" w:sz="4" w:space="0" w:color="auto"/>
              <w:bottom w:val="single" w:sz="4" w:space="0" w:color="auto"/>
            </w:tcBorders>
          </w:tcPr>
          <w:p w14:paraId="5505FFF4"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lastRenderedPageBreak/>
              <w:t>(3) Materials recycling (paper)</w:t>
            </w:r>
          </w:p>
        </w:tc>
        <w:tc>
          <w:tcPr>
            <w:tcW w:w="0" w:type="auto"/>
            <w:tcBorders>
              <w:top w:val="single" w:sz="4" w:space="0" w:color="auto"/>
              <w:bottom w:val="single" w:sz="4" w:space="0" w:color="auto"/>
            </w:tcBorders>
          </w:tcPr>
          <w:p w14:paraId="6239236F"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5113377"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7EA1E3CF"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7A8B6269"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Aviva </w:t>
            </w:r>
          </w:p>
        </w:tc>
        <w:tc>
          <w:tcPr>
            <w:tcW w:w="0" w:type="auto"/>
            <w:tcBorders>
              <w:top w:val="single" w:sz="4" w:space="0" w:color="auto"/>
              <w:bottom w:val="single" w:sz="4" w:space="0" w:color="auto"/>
            </w:tcBorders>
          </w:tcPr>
          <w:p w14:paraId="504B4C3B"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Refuse single use plastic (coffee cups)</w:t>
            </w:r>
            <w:r w:rsidRPr="00BE15A4">
              <w:rPr>
                <w:rFonts w:asciiTheme="majorBidi" w:eastAsia="Times New Roman" w:hAnsiTheme="majorBidi" w:cstheme="majorBidi"/>
                <w:color w:val="000000"/>
                <w:sz w:val="16"/>
                <w:szCs w:val="16"/>
              </w:rPr>
              <w:br/>
              <w:t>(4) Invest in low carbon infrastructure</w:t>
            </w:r>
            <w:r w:rsidRPr="00BE15A4">
              <w:rPr>
                <w:rFonts w:asciiTheme="majorBidi" w:eastAsia="Times New Roman" w:hAnsiTheme="majorBidi" w:cstheme="majorBidi"/>
                <w:color w:val="000000"/>
                <w:sz w:val="16"/>
                <w:szCs w:val="16"/>
              </w:rPr>
              <w:br/>
              <w:t xml:space="preserve">(3) Promoting employee collaborative consumption </w:t>
            </w:r>
          </w:p>
        </w:tc>
        <w:tc>
          <w:tcPr>
            <w:tcW w:w="0" w:type="auto"/>
            <w:tcBorders>
              <w:top w:val="single" w:sz="4" w:space="0" w:color="auto"/>
              <w:bottom w:val="single" w:sz="4" w:space="0" w:color="auto"/>
            </w:tcBorders>
          </w:tcPr>
          <w:p w14:paraId="73B85776"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 xml:space="preserve">(3) On site production of renewable energy </w:t>
            </w:r>
          </w:p>
        </w:tc>
        <w:tc>
          <w:tcPr>
            <w:tcW w:w="0" w:type="auto"/>
            <w:tcBorders>
              <w:top w:val="single" w:sz="4" w:space="0" w:color="auto"/>
              <w:bottom w:val="single" w:sz="4" w:space="0" w:color="auto"/>
            </w:tcBorders>
          </w:tcPr>
          <w:p w14:paraId="02003684"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D38281D"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4E67C949"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5897A8C1"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23AD8ACA"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Louis Dreyfus</w:t>
            </w:r>
          </w:p>
        </w:tc>
        <w:tc>
          <w:tcPr>
            <w:tcW w:w="0" w:type="auto"/>
            <w:tcBorders>
              <w:top w:val="single" w:sz="4" w:space="0" w:color="auto"/>
              <w:bottom w:val="single" w:sz="4" w:space="0" w:color="auto"/>
            </w:tcBorders>
          </w:tcPr>
          <w:p w14:paraId="53B23455"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68E8F9F"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Financing renewable energy projects</w:t>
            </w:r>
            <w:r w:rsidRPr="00BE15A4">
              <w:rPr>
                <w:rFonts w:asciiTheme="majorBidi" w:eastAsia="Times New Roman" w:hAnsiTheme="majorBidi" w:cstheme="majorBidi"/>
                <w:color w:val="000000"/>
                <w:sz w:val="16"/>
                <w:szCs w:val="16"/>
              </w:rPr>
              <w:br/>
              <w:t xml:space="preserve">(3) Improve production systems efficiency </w:t>
            </w:r>
          </w:p>
        </w:tc>
        <w:tc>
          <w:tcPr>
            <w:tcW w:w="0" w:type="auto"/>
            <w:tcBorders>
              <w:top w:val="single" w:sz="4" w:space="0" w:color="auto"/>
              <w:bottom w:val="single" w:sz="4" w:space="0" w:color="auto"/>
            </w:tcBorders>
          </w:tcPr>
          <w:p w14:paraId="5628B26F"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25226E9"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4ABA9A3"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Energy recovery from heat</w:t>
            </w:r>
          </w:p>
        </w:tc>
      </w:tr>
      <w:tr w:rsidR="00BE15A4" w:rsidRPr="00BE15A4" w14:paraId="390E4DD4"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4D31EC73"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AXA</w:t>
            </w:r>
          </w:p>
        </w:tc>
        <w:tc>
          <w:tcPr>
            <w:tcW w:w="0" w:type="auto"/>
            <w:tcBorders>
              <w:top w:val="single" w:sz="4" w:space="0" w:color="auto"/>
              <w:bottom w:val="single" w:sz="4" w:space="0" w:color="auto"/>
            </w:tcBorders>
          </w:tcPr>
          <w:p w14:paraId="0F48C6AE"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Disinvesting from carbon intensive assets</w:t>
            </w:r>
            <w:r w:rsidRPr="00BE15A4">
              <w:rPr>
                <w:rFonts w:asciiTheme="majorBidi" w:eastAsia="Times New Roman" w:hAnsiTheme="majorBidi" w:cstheme="majorBidi"/>
                <w:color w:val="000000"/>
                <w:sz w:val="16"/>
                <w:szCs w:val="16"/>
              </w:rPr>
              <w:br/>
              <w:t>(4) Design "green" products for consumers (annual insurance carpooling) *</w:t>
            </w:r>
          </w:p>
        </w:tc>
        <w:tc>
          <w:tcPr>
            <w:tcW w:w="0" w:type="auto"/>
            <w:tcBorders>
              <w:top w:val="single" w:sz="4" w:space="0" w:color="auto"/>
              <w:bottom w:val="single" w:sz="4" w:space="0" w:color="auto"/>
            </w:tcBorders>
          </w:tcPr>
          <w:p w14:paraId="75FABEF3"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F7C63E5"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2110628"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2260EAF"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10B851E3"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74CC9A66" w14:textId="77777777" w:rsidR="00BE15A4" w:rsidRPr="00BE15A4" w:rsidRDefault="00BE15A4" w:rsidP="00BE15A4">
            <w:pPr>
              <w:spacing w:line="240" w:lineRule="auto"/>
              <w:rPr>
                <w:rFonts w:asciiTheme="majorBidi" w:eastAsia="Times New Roman" w:hAnsiTheme="majorBidi" w:cstheme="majorBidi"/>
                <w:b/>
                <w:bCs/>
                <w:sz w:val="20"/>
                <w:szCs w:val="20"/>
              </w:rPr>
            </w:pPr>
            <w:proofErr w:type="spellStart"/>
            <w:r w:rsidRPr="00BE15A4">
              <w:rPr>
                <w:rFonts w:asciiTheme="majorBidi" w:eastAsia="Times New Roman" w:hAnsiTheme="majorBidi" w:cstheme="majorBidi"/>
                <w:b/>
                <w:bCs/>
                <w:color w:val="000000"/>
                <w:sz w:val="16"/>
                <w:szCs w:val="16"/>
              </w:rPr>
              <w:t>Assicurazioni</w:t>
            </w:r>
            <w:proofErr w:type="spellEnd"/>
            <w:r w:rsidRPr="00BE15A4">
              <w:rPr>
                <w:rFonts w:asciiTheme="majorBidi" w:eastAsia="Times New Roman" w:hAnsiTheme="majorBidi" w:cstheme="majorBidi"/>
                <w:b/>
                <w:bCs/>
                <w:color w:val="000000"/>
                <w:sz w:val="16"/>
                <w:szCs w:val="16"/>
              </w:rPr>
              <w:t xml:space="preserve"> </w:t>
            </w:r>
            <w:proofErr w:type="spellStart"/>
            <w:r w:rsidRPr="00BE15A4">
              <w:rPr>
                <w:rFonts w:asciiTheme="majorBidi" w:eastAsia="Times New Roman" w:hAnsiTheme="majorBidi" w:cstheme="majorBidi"/>
                <w:b/>
                <w:bCs/>
                <w:color w:val="000000"/>
                <w:sz w:val="16"/>
                <w:szCs w:val="16"/>
              </w:rPr>
              <w:t>Generali</w:t>
            </w:r>
            <w:proofErr w:type="spellEnd"/>
          </w:p>
        </w:tc>
        <w:tc>
          <w:tcPr>
            <w:tcW w:w="0" w:type="auto"/>
            <w:tcBorders>
              <w:top w:val="single" w:sz="4" w:space="0" w:color="auto"/>
              <w:bottom w:val="single" w:sz="4" w:space="0" w:color="auto"/>
            </w:tcBorders>
          </w:tcPr>
          <w:p w14:paraId="684C39D5"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(3) Disinvesting from carbon intensive assets</w:t>
            </w:r>
            <w:r w:rsidRPr="00BE15A4">
              <w:rPr>
                <w:rFonts w:asciiTheme="majorBidi" w:eastAsia="Times New Roman" w:hAnsiTheme="majorBidi" w:cstheme="majorBidi"/>
                <w:color w:val="000000"/>
                <w:sz w:val="16"/>
                <w:szCs w:val="16"/>
              </w:rPr>
              <w:br/>
              <w:t>(4) Design "green" products for consumers*</w:t>
            </w:r>
            <w:r w:rsidRPr="00BE15A4">
              <w:rPr>
                <w:rFonts w:asciiTheme="majorBidi" w:eastAsia="Times New Roman" w:hAnsiTheme="majorBidi" w:cstheme="majorBidi"/>
                <w:color w:val="000000"/>
                <w:sz w:val="16"/>
                <w:szCs w:val="16"/>
              </w:rPr>
              <w:br/>
              <w:t>(4) Design "green" products for businesses*</w:t>
            </w:r>
          </w:p>
        </w:tc>
        <w:tc>
          <w:tcPr>
            <w:tcW w:w="0" w:type="auto"/>
            <w:tcBorders>
              <w:top w:val="single" w:sz="4" w:space="0" w:color="auto"/>
              <w:bottom w:val="single" w:sz="4" w:space="0" w:color="auto"/>
            </w:tcBorders>
          </w:tcPr>
          <w:p w14:paraId="4F53871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5272F1C5"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1EB2000A"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DB84192"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20C7C817"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0A2A2EC3"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Legal &amp; General Group</w:t>
            </w:r>
          </w:p>
        </w:tc>
        <w:tc>
          <w:tcPr>
            <w:tcW w:w="0" w:type="auto"/>
            <w:tcBorders>
              <w:top w:val="single" w:sz="4" w:space="0" w:color="auto"/>
              <w:bottom w:val="single" w:sz="4" w:space="0" w:color="auto"/>
            </w:tcBorders>
          </w:tcPr>
          <w:p w14:paraId="0F509249"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108AAC7"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Investments in renewable energy companies*</w:t>
            </w:r>
          </w:p>
        </w:tc>
        <w:tc>
          <w:tcPr>
            <w:tcW w:w="0" w:type="auto"/>
            <w:tcBorders>
              <w:top w:val="single" w:sz="4" w:space="0" w:color="auto"/>
              <w:bottom w:val="single" w:sz="4" w:space="0" w:color="auto"/>
            </w:tcBorders>
          </w:tcPr>
          <w:p w14:paraId="648C46DE"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487A3CA"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12A360DD"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r w:rsidR="00BE15A4" w:rsidRPr="00BE15A4" w14:paraId="1532A461" w14:textId="77777777" w:rsidTr="007B6F6D">
        <w:trPr>
          <w:jc w:val="center"/>
        </w:trPr>
        <w:tc>
          <w:tcPr>
            <w:tcW w:w="0" w:type="auto"/>
            <w:tcBorders>
              <w:top w:val="single" w:sz="4" w:space="0" w:color="auto"/>
              <w:bottom w:val="single" w:sz="4" w:space="0" w:color="auto"/>
            </w:tcBorders>
            <w:shd w:val="clear" w:color="auto" w:fill="F2F2F2" w:themeFill="background1" w:themeFillShade="F2"/>
          </w:tcPr>
          <w:p w14:paraId="2B53F0F9" w14:textId="77777777" w:rsidR="00BE15A4" w:rsidRPr="00BE15A4" w:rsidRDefault="00BE15A4" w:rsidP="00BE15A4">
            <w:pPr>
              <w:spacing w:line="240" w:lineRule="auto"/>
              <w:rPr>
                <w:rFonts w:asciiTheme="majorBidi" w:eastAsia="Times New Roman" w:hAnsiTheme="majorBidi" w:cstheme="majorBidi"/>
                <w:b/>
                <w:bCs/>
                <w:sz w:val="20"/>
                <w:szCs w:val="20"/>
              </w:rPr>
            </w:pPr>
            <w:r w:rsidRPr="00BE15A4">
              <w:rPr>
                <w:rFonts w:asciiTheme="majorBidi" w:eastAsia="Times New Roman" w:hAnsiTheme="majorBidi" w:cstheme="majorBidi"/>
                <w:b/>
                <w:bCs/>
                <w:color w:val="000000"/>
                <w:sz w:val="16"/>
                <w:szCs w:val="16"/>
              </w:rPr>
              <w:t>Lloyds Banking Group</w:t>
            </w:r>
          </w:p>
        </w:tc>
        <w:tc>
          <w:tcPr>
            <w:tcW w:w="0" w:type="auto"/>
            <w:tcBorders>
              <w:top w:val="single" w:sz="4" w:space="0" w:color="auto"/>
              <w:bottom w:val="single" w:sz="4" w:space="0" w:color="auto"/>
            </w:tcBorders>
          </w:tcPr>
          <w:p w14:paraId="4E505965"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B8268D4" w14:textId="77777777" w:rsidR="00BE15A4" w:rsidRPr="00BE15A4" w:rsidRDefault="00BE15A4" w:rsidP="00BE15A4">
            <w:pPr>
              <w:spacing w:line="240" w:lineRule="auto"/>
              <w:jc w:val="left"/>
              <w:rPr>
                <w:rFonts w:asciiTheme="majorBidi" w:eastAsia="Times New Roman" w:hAnsiTheme="majorBidi" w:cstheme="majorBidi"/>
                <w:bCs/>
                <w:sz w:val="20"/>
                <w:szCs w:val="20"/>
              </w:rPr>
            </w:pPr>
            <w:r w:rsidRPr="00BE15A4">
              <w:rPr>
                <w:rFonts w:asciiTheme="majorBidi" w:eastAsia="Times New Roman" w:hAnsiTheme="majorBidi" w:cstheme="majorBidi"/>
                <w:color w:val="000000"/>
                <w:sz w:val="16"/>
                <w:szCs w:val="16"/>
              </w:rPr>
              <w:t>(4) Investments in renewable energy companies*</w:t>
            </w:r>
          </w:p>
        </w:tc>
        <w:tc>
          <w:tcPr>
            <w:tcW w:w="0" w:type="auto"/>
            <w:tcBorders>
              <w:top w:val="single" w:sz="4" w:space="0" w:color="auto"/>
              <w:bottom w:val="single" w:sz="4" w:space="0" w:color="auto"/>
            </w:tcBorders>
          </w:tcPr>
          <w:p w14:paraId="54FC97DB"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795A9CB9"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c>
          <w:tcPr>
            <w:tcW w:w="0" w:type="auto"/>
            <w:tcBorders>
              <w:top w:val="single" w:sz="4" w:space="0" w:color="auto"/>
              <w:bottom w:val="single" w:sz="4" w:space="0" w:color="auto"/>
            </w:tcBorders>
          </w:tcPr>
          <w:p w14:paraId="243B6230" w14:textId="77777777" w:rsidR="00BE15A4" w:rsidRPr="00BE15A4" w:rsidRDefault="00BE15A4" w:rsidP="00BE15A4">
            <w:pPr>
              <w:spacing w:line="240" w:lineRule="auto"/>
              <w:jc w:val="left"/>
              <w:rPr>
                <w:rFonts w:asciiTheme="majorBidi" w:eastAsia="Times New Roman" w:hAnsiTheme="majorBidi" w:cstheme="majorBidi"/>
                <w:bCs/>
                <w:sz w:val="20"/>
                <w:szCs w:val="20"/>
              </w:rPr>
            </w:pPr>
          </w:p>
        </w:tc>
      </w:tr>
    </w:tbl>
    <w:p w14:paraId="52D8E804" w14:textId="77777777" w:rsidR="00BE15A4" w:rsidRPr="00BE15A4" w:rsidRDefault="00BE15A4" w:rsidP="00BE15A4">
      <w:pPr>
        <w:widowControl w:val="0"/>
        <w:spacing w:before="240" w:after="0" w:line="276" w:lineRule="auto"/>
        <w:ind w:right="-57"/>
        <w:rPr>
          <w:rFonts w:ascii="Times New Roman" w:eastAsia="Times New Roman" w:hAnsi="Times New Roman" w:cs="Times New Roman"/>
        </w:rPr>
      </w:pPr>
    </w:p>
    <w:p w14:paraId="6569C653" w14:textId="603B4529" w:rsidR="00BE15A4" w:rsidRDefault="00BE15A4">
      <w:pPr>
        <w:spacing w:line="259" w:lineRule="auto"/>
        <w:jc w:val="left"/>
      </w:pPr>
      <w:r>
        <w:br w:type="page"/>
      </w:r>
    </w:p>
    <w:p w14:paraId="1954ADE2" w14:textId="74AF4C4D" w:rsidR="00154B9E" w:rsidRDefault="00154B9E" w:rsidP="00154B9E">
      <w:pPr>
        <w:pStyle w:val="Heading2"/>
        <w:numPr>
          <w:ilvl w:val="0"/>
          <w:numId w:val="0"/>
        </w:numPr>
        <w:ind w:left="357" w:hanging="357"/>
      </w:pPr>
      <w:bookmarkStart w:id="40" w:name="_Toc157759502"/>
      <w:r w:rsidRPr="00154B9E">
        <w:lastRenderedPageBreak/>
        <w:t xml:space="preserve">Appendix </w:t>
      </w:r>
      <w:r w:rsidR="00A36EEC">
        <w:t>2</w:t>
      </w:r>
      <w:r w:rsidRPr="00154B9E">
        <w:t>C</w:t>
      </w:r>
      <w:bookmarkEnd w:id="40"/>
      <w:r w:rsidRPr="00154B9E">
        <w:t xml:space="preserve"> </w:t>
      </w:r>
    </w:p>
    <w:p w14:paraId="59CEAB18" w14:textId="0A192C6E" w:rsidR="00154B9E" w:rsidRPr="00154B9E" w:rsidRDefault="00154B9E" w:rsidP="00154B9E">
      <w:r w:rsidRPr="00154B9E">
        <w:t>SCI activities reported by each organisation and SCI score. (SIN: sharing information; DCA: Developing Collaborative approaches; JDM: Joint Decision making; SCO: System Coupling)</w:t>
      </w:r>
    </w:p>
    <w:tbl>
      <w:tblPr>
        <w:tblStyle w:val="TableGrid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707"/>
        <w:gridCol w:w="707"/>
        <w:gridCol w:w="779"/>
        <w:gridCol w:w="779"/>
        <w:gridCol w:w="763"/>
        <w:gridCol w:w="707"/>
        <w:gridCol w:w="779"/>
        <w:gridCol w:w="779"/>
        <w:gridCol w:w="763"/>
      </w:tblGrid>
      <w:tr w:rsidR="00154B9E" w:rsidRPr="00154B9E" w14:paraId="76D33847" w14:textId="77777777" w:rsidTr="007B6F6D">
        <w:trPr>
          <w:trHeight w:val="148"/>
        </w:trPr>
        <w:tc>
          <w:tcPr>
            <w:tcW w:w="0" w:type="auto"/>
            <w:tcBorders>
              <w:top w:val="single" w:sz="4" w:space="0" w:color="auto"/>
              <w:bottom w:val="nil"/>
            </w:tcBorders>
            <w:noWrap/>
          </w:tcPr>
          <w:p w14:paraId="68869E85"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p>
        </w:tc>
        <w:tc>
          <w:tcPr>
            <w:tcW w:w="0" w:type="auto"/>
            <w:tcBorders>
              <w:top w:val="single" w:sz="4" w:space="0" w:color="auto"/>
              <w:bottom w:val="nil"/>
              <w:right w:val="single" w:sz="4" w:space="0" w:color="auto"/>
            </w:tcBorders>
          </w:tcPr>
          <w:p w14:paraId="0F7C3640"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p>
        </w:tc>
        <w:tc>
          <w:tcPr>
            <w:tcW w:w="0" w:type="auto"/>
            <w:gridSpan w:val="4"/>
            <w:tcBorders>
              <w:top w:val="single" w:sz="4" w:space="0" w:color="auto"/>
              <w:left w:val="single" w:sz="4" w:space="0" w:color="auto"/>
              <w:bottom w:val="nil"/>
              <w:right w:val="single" w:sz="4" w:space="0" w:color="auto"/>
            </w:tcBorders>
          </w:tcPr>
          <w:p w14:paraId="2B39F83D"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Suppliers integration</w:t>
            </w:r>
          </w:p>
        </w:tc>
        <w:tc>
          <w:tcPr>
            <w:tcW w:w="0" w:type="auto"/>
            <w:gridSpan w:val="4"/>
            <w:tcBorders>
              <w:top w:val="single" w:sz="4" w:space="0" w:color="auto"/>
              <w:left w:val="single" w:sz="4" w:space="0" w:color="auto"/>
              <w:bottom w:val="nil"/>
              <w:right w:val="single" w:sz="4" w:space="0" w:color="auto"/>
            </w:tcBorders>
          </w:tcPr>
          <w:p w14:paraId="69F4FE78"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Customers integration</w:t>
            </w:r>
          </w:p>
        </w:tc>
      </w:tr>
      <w:tr w:rsidR="00154B9E" w:rsidRPr="00154B9E" w14:paraId="43FA12A0" w14:textId="77777777" w:rsidTr="007B6F6D">
        <w:trPr>
          <w:trHeight w:val="391"/>
        </w:trPr>
        <w:tc>
          <w:tcPr>
            <w:tcW w:w="0" w:type="auto"/>
            <w:tcBorders>
              <w:top w:val="nil"/>
              <w:left w:val="single" w:sz="4" w:space="0" w:color="auto"/>
              <w:bottom w:val="single" w:sz="4" w:space="0" w:color="auto"/>
              <w:right w:val="single" w:sz="4" w:space="0" w:color="auto"/>
            </w:tcBorders>
            <w:noWrap/>
            <w:hideMark/>
          </w:tcPr>
          <w:p w14:paraId="2022F135"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Company name</w:t>
            </w:r>
          </w:p>
        </w:tc>
        <w:tc>
          <w:tcPr>
            <w:tcW w:w="0" w:type="auto"/>
            <w:tcBorders>
              <w:top w:val="nil"/>
              <w:left w:val="single" w:sz="4" w:space="0" w:color="auto"/>
              <w:bottom w:val="single" w:sz="4" w:space="0" w:color="auto"/>
              <w:right w:val="single" w:sz="4" w:space="0" w:color="auto"/>
            </w:tcBorders>
          </w:tcPr>
          <w:p w14:paraId="778C4A01"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SCI score</w:t>
            </w:r>
          </w:p>
        </w:tc>
        <w:tc>
          <w:tcPr>
            <w:tcW w:w="0" w:type="auto"/>
            <w:tcBorders>
              <w:top w:val="nil"/>
              <w:left w:val="single" w:sz="4" w:space="0" w:color="auto"/>
              <w:bottom w:val="single" w:sz="4" w:space="0" w:color="auto"/>
            </w:tcBorders>
            <w:hideMark/>
          </w:tcPr>
          <w:p w14:paraId="5BFFFAB4"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SIN</w:t>
            </w:r>
          </w:p>
        </w:tc>
        <w:tc>
          <w:tcPr>
            <w:tcW w:w="0" w:type="auto"/>
            <w:tcBorders>
              <w:top w:val="nil"/>
              <w:bottom w:val="single" w:sz="4" w:space="0" w:color="auto"/>
            </w:tcBorders>
            <w:hideMark/>
          </w:tcPr>
          <w:p w14:paraId="0641AC6D"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DCA</w:t>
            </w:r>
          </w:p>
        </w:tc>
        <w:tc>
          <w:tcPr>
            <w:tcW w:w="0" w:type="auto"/>
            <w:tcBorders>
              <w:top w:val="nil"/>
              <w:bottom w:val="single" w:sz="4" w:space="0" w:color="auto"/>
            </w:tcBorders>
            <w:hideMark/>
          </w:tcPr>
          <w:p w14:paraId="20808DB1"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JDM</w:t>
            </w:r>
          </w:p>
        </w:tc>
        <w:tc>
          <w:tcPr>
            <w:tcW w:w="0" w:type="auto"/>
            <w:tcBorders>
              <w:top w:val="nil"/>
              <w:bottom w:val="single" w:sz="4" w:space="0" w:color="auto"/>
              <w:right w:val="single" w:sz="4" w:space="0" w:color="auto"/>
            </w:tcBorders>
            <w:hideMark/>
          </w:tcPr>
          <w:p w14:paraId="7EC88CB3"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SCO</w:t>
            </w:r>
          </w:p>
        </w:tc>
        <w:tc>
          <w:tcPr>
            <w:tcW w:w="0" w:type="auto"/>
            <w:tcBorders>
              <w:top w:val="nil"/>
              <w:left w:val="single" w:sz="4" w:space="0" w:color="auto"/>
              <w:bottom w:val="single" w:sz="4" w:space="0" w:color="auto"/>
            </w:tcBorders>
            <w:hideMark/>
          </w:tcPr>
          <w:p w14:paraId="6ECAA137"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SIN</w:t>
            </w:r>
          </w:p>
        </w:tc>
        <w:tc>
          <w:tcPr>
            <w:tcW w:w="0" w:type="auto"/>
            <w:tcBorders>
              <w:top w:val="nil"/>
              <w:bottom w:val="single" w:sz="4" w:space="0" w:color="auto"/>
            </w:tcBorders>
            <w:hideMark/>
          </w:tcPr>
          <w:p w14:paraId="6E97B449"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DCA</w:t>
            </w:r>
          </w:p>
        </w:tc>
        <w:tc>
          <w:tcPr>
            <w:tcW w:w="0" w:type="auto"/>
            <w:tcBorders>
              <w:top w:val="nil"/>
              <w:bottom w:val="single" w:sz="4" w:space="0" w:color="auto"/>
            </w:tcBorders>
            <w:hideMark/>
          </w:tcPr>
          <w:p w14:paraId="4CEC57B8"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JDM</w:t>
            </w:r>
          </w:p>
        </w:tc>
        <w:tc>
          <w:tcPr>
            <w:tcW w:w="0" w:type="auto"/>
            <w:tcBorders>
              <w:top w:val="nil"/>
              <w:bottom w:val="single" w:sz="4" w:space="0" w:color="auto"/>
              <w:right w:val="single" w:sz="4" w:space="0" w:color="auto"/>
            </w:tcBorders>
            <w:hideMark/>
          </w:tcPr>
          <w:p w14:paraId="21EE09C8" w14:textId="77777777" w:rsidR="00154B9E" w:rsidRPr="00154B9E" w:rsidRDefault="00154B9E" w:rsidP="00154B9E">
            <w:pPr>
              <w:spacing w:line="240" w:lineRule="auto"/>
              <w:jc w:val="center"/>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SCO</w:t>
            </w:r>
          </w:p>
        </w:tc>
      </w:tr>
      <w:tr w:rsidR="00154B9E" w:rsidRPr="00154B9E" w14:paraId="1CF2D016" w14:textId="77777777" w:rsidTr="007B6F6D">
        <w:trPr>
          <w:trHeight w:val="227"/>
        </w:trPr>
        <w:tc>
          <w:tcPr>
            <w:tcW w:w="0" w:type="auto"/>
            <w:tcBorders>
              <w:top w:val="single" w:sz="4" w:space="0" w:color="auto"/>
              <w:left w:val="single" w:sz="4" w:space="0" w:color="auto"/>
              <w:right w:val="single" w:sz="4" w:space="0" w:color="auto"/>
            </w:tcBorders>
            <w:noWrap/>
            <w:hideMark/>
          </w:tcPr>
          <w:p w14:paraId="6BA95D36"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FCA</w:t>
            </w:r>
          </w:p>
        </w:tc>
        <w:tc>
          <w:tcPr>
            <w:tcW w:w="0" w:type="auto"/>
            <w:tcBorders>
              <w:top w:val="single" w:sz="4" w:space="0" w:color="auto"/>
              <w:left w:val="single" w:sz="4" w:space="0" w:color="auto"/>
              <w:right w:val="single" w:sz="4" w:space="0" w:color="auto"/>
            </w:tcBorders>
          </w:tcPr>
          <w:p w14:paraId="5B69DFB2"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6</w:t>
            </w:r>
          </w:p>
        </w:tc>
        <w:tc>
          <w:tcPr>
            <w:tcW w:w="0" w:type="auto"/>
            <w:tcBorders>
              <w:top w:val="single" w:sz="4" w:space="0" w:color="auto"/>
              <w:left w:val="single" w:sz="4" w:space="0" w:color="auto"/>
            </w:tcBorders>
            <w:hideMark/>
          </w:tcPr>
          <w:p w14:paraId="07B78BE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top w:val="single" w:sz="4" w:space="0" w:color="auto"/>
            </w:tcBorders>
            <w:hideMark/>
          </w:tcPr>
          <w:p w14:paraId="277EE76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top w:val="single" w:sz="4" w:space="0" w:color="auto"/>
            </w:tcBorders>
            <w:hideMark/>
          </w:tcPr>
          <w:p w14:paraId="4A7FFCA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top w:val="single" w:sz="4" w:space="0" w:color="auto"/>
              <w:right w:val="single" w:sz="4" w:space="0" w:color="auto"/>
            </w:tcBorders>
            <w:hideMark/>
          </w:tcPr>
          <w:p w14:paraId="2B0CB99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top w:val="single" w:sz="4" w:space="0" w:color="auto"/>
              <w:left w:val="single" w:sz="4" w:space="0" w:color="auto"/>
            </w:tcBorders>
            <w:hideMark/>
          </w:tcPr>
          <w:p w14:paraId="223963D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single" w:sz="4" w:space="0" w:color="auto"/>
            </w:tcBorders>
            <w:hideMark/>
          </w:tcPr>
          <w:p w14:paraId="0EB75A7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single" w:sz="4" w:space="0" w:color="auto"/>
            </w:tcBorders>
            <w:hideMark/>
          </w:tcPr>
          <w:p w14:paraId="2B154AC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top w:val="single" w:sz="4" w:space="0" w:color="auto"/>
              <w:right w:val="single" w:sz="4" w:space="0" w:color="auto"/>
            </w:tcBorders>
            <w:hideMark/>
          </w:tcPr>
          <w:p w14:paraId="6AE2E18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r>
      <w:tr w:rsidR="00154B9E" w:rsidRPr="00154B9E" w14:paraId="0401601E" w14:textId="77777777" w:rsidTr="007B6F6D">
        <w:trPr>
          <w:trHeight w:val="227"/>
        </w:trPr>
        <w:tc>
          <w:tcPr>
            <w:tcW w:w="0" w:type="auto"/>
            <w:tcBorders>
              <w:left w:val="single" w:sz="4" w:space="0" w:color="auto"/>
              <w:right w:val="single" w:sz="4" w:space="0" w:color="auto"/>
            </w:tcBorders>
            <w:noWrap/>
            <w:hideMark/>
          </w:tcPr>
          <w:p w14:paraId="2A259FF4"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Telefonica</w:t>
            </w:r>
          </w:p>
        </w:tc>
        <w:tc>
          <w:tcPr>
            <w:tcW w:w="0" w:type="auto"/>
            <w:tcBorders>
              <w:left w:val="single" w:sz="4" w:space="0" w:color="auto"/>
              <w:right w:val="single" w:sz="4" w:space="0" w:color="auto"/>
            </w:tcBorders>
          </w:tcPr>
          <w:p w14:paraId="007623D1"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5</w:t>
            </w:r>
          </w:p>
        </w:tc>
        <w:tc>
          <w:tcPr>
            <w:tcW w:w="0" w:type="auto"/>
            <w:tcBorders>
              <w:left w:val="single" w:sz="4" w:space="0" w:color="auto"/>
            </w:tcBorders>
            <w:noWrap/>
            <w:hideMark/>
          </w:tcPr>
          <w:p w14:paraId="4F48CA0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367BB58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42F0D84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noWrap/>
            <w:hideMark/>
          </w:tcPr>
          <w:p w14:paraId="2CA732B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left w:val="single" w:sz="4" w:space="0" w:color="auto"/>
            </w:tcBorders>
            <w:noWrap/>
            <w:hideMark/>
          </w:tcPr>
          <w:p w14:paraId="2551F63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545F845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6F6571D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21CE578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206EFF3B" w14:textId="77777777" w:rsidTr="007B6F6D">
        <w:trPr>
          <w:trHeight w:val="227"/>
        </w:trPr>
        <w:tc>
          <w:tcPr>
            <w:tcW w:w="0" w:type="auto"/>
            <w:tcBorders>
              <w:left w:val="single" w:sz="4" w:space="0" w:color="auto"/>
              <w:right w:val="single" w:sz="4" w:space="0" w:color="auto"/>
            </w:tcBorders>
            <w:noWrap/>
            <w:hideMark/>
          </w:tcPr>
          <w:p w14:paraId="43D11299"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 xml:space="preserve">R. </w:t>
            </w:r>
            <w:proofErr w:type="spellStart"/>
            <w:r w:rsidRPr="00154B9E">
              <w:rPr>
                <w:rFonts w:asciiTheme="majorBidi" w:eastAsia="Times New Roman" w:hAnsiTheme="majorBidi" w:cstheme="majorBidi"/>
                <w:b/>
                <w:bCs/>
                <w:color w:val="000000"/>
                <w:sz w:val="16"/>
                <w:szCs w:val="16"/>
              </w:rPr>
              <w:t>Ahold</w:t>
            </w:r>
            <w:proofErr w:type="spellEnd"/>
            <w:r w:rsidRPr="00154B9E">
              <w:rPr>
                <w:rFonts w:asciiTheme="majorBidi" w:eastAsia="Times New Roman" w:hAnsiTheme="majorBidi" w:cstheme="majorBidi"/>
                <w:b/>
                <w:bCs/>
                <w:color w:val="000000"/>
                <w:sz w:val="16"/>
                <w:szCs w:val="16"/>
              </w:rPr>
              <w:t xml:space="preserve"> Delhaize</w:t>
            </w:r>
          </w:p>
        </w:tc>
        <w:tc>
          <w:tcPr>
            <w:tcW w:w="0" w:type="auto"/>
            <w:tcBorders>
              <w:left w:val="single" w:sz="4" w:space="0" w:color="auto"/>
              <w:right w:val="single" w:sz="4" w:space="0" w:color="auto"/>
            </w:tcBorders>
          </w:tcPr>
          <w:p w14:paraId="46C35E29"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5</w:t>
            </w:r>
          </w:p>
        </w:tc>
        <w:tc>
          <w:tcPr>
            <w:tcW w:w="0" w:type="auto"/>
            <w:tcBorders>
              <w:left w:val="single" w:sz="4" w:space="0" w:color="auto"/>
            </w:tcBorders>
            <w:hideMark/>
          </w:tcPr>
          <w:p w14:paraId="500017E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EA2881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2C4B752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65DB409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left w:val="single" w:sz="4" w:space="0" w:color="auto"/>
            </w:tcBorders>
            <w:hideMark/>
          </w:tcPr>
          <w:p w14:paraId="274A141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5FF1560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487F043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4BD0B2F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4A0457DE" w14:textId="77777777" w:rsidTr="007B6F6D">
        <w:trPr>
          <w:trHeight w:val="227"/>
        </w:trPr>
        <w:tc>
          <w:tcPr>
            <w:tcW w:w="0" w:type="auto"/>
            <w:tcBorders>
              <w:left w:val="single" w:sz="4" w:space="0" w:color="auto"/>
              <w:right w:val="single" w:sz="4" w:space="0" w:color="auto"/>
            </w:tcBorders>
            <w:noWrap/>
            <w:hideMark/>
          </w:tcPr>
          <w:p w14:paraId="5D424F2D"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 xml:space="preserve">Renault </w:t>
            </w:r>
          </w:p>
        </w:tc>
        <w:tc>
          <w:tcPr>
            <w:tcW w:w="0" w:type="auto"/>
            <w:tcBorders>
              <w:left w:val="single" w:sz="4" w:space="0" w:color="auto"/>
              <w:right w:val="single" w:sz="4" w:space="0" w:color="auto"/>
            </w:tcBorders>
          </w:tcPr>
          <w:p w14:paraId="53E45BE5"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5</w:t>
            </w:r>
          </w:p>
        </w:tc>
        <w:tc>
          <w:tcPr>
            <w:tcW w:w="0" w:type="auto"/>
            <w:tcBorders>
              <w:left w:val="single" w:sz="4" w:space="0" w:color="auto"/>
            </w:tcBorders>
            <w:hideMark/>
          </w:tcPr>
          <w:p w14:paraId="7AA6454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57BC432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6C6A10C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3C119C2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left w:val="single" w:sz="4" w:space="0" w:color="auto"/>
            </w:tcBorders>
            <w:hideMark/>
          </w:tcPr>
          <w:p w14:paraId="0AA118B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613E821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6129DF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03435AF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329AF770" w14:textId="77777777" w:rsidTr="007B6F6D">
        <w:trPr>
          <w:trHeight w:val="227"/>
        </w:trPr>
        <w:tc>
          <w:tcPr>
            <w:tcW w:w="0" w:type="auto"/>
            <w:tcBorders>
              <w:left w:val="single" w:sz="4" w:space="0" w:color="auto"/>
              <w:right w:val="single" w:sz="4" w:space="0" w:color="auto"/>
            </w:tcBorders>
            <w:noWrap/>
            <w:hideMark/>
          </w:tcPr>
          <w:p w14:paraId="23ABBFB6"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Bosch Group</w:t>
            </w:r>
          </w:p>
        </w:tc>
        <w:tc>
          <w:tcPr>
            <w:tcW w:w="0" w:type="auto"/>
            <w:tcBorders>
              <w:left w:val="single" w:sz="4" w:space="0" w:color="auto"/>
              <w:right w:val="single" w:sz="4" w:space="0" w:color="auto"/>
            </w:tcBorders>
          </w:tcPr>
          <w:p w14:paraId="0EE66E5B"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4</w:t>
            </w:r>
          </w:p>
        </w:tc>
        <w:tc>
          <w:tcPr>
            <w:tcW w:w="0" w:type="auto"/>
            <w:tcBorders>
              <w:left w:val="single" w:sz="4" w:space="0" w:color="auto"/>
            </w:tcBorders>
            <w:hideMark/>
          </w:tcPr>
          <w:p w14:paraId="3924463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3FA7804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17F20AA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3B8E713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629B3E8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78BB77B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4AEBC4A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51E3FE2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ACA6B97" w14:textId="77777777" w:rsidTr="007B6F6D">
        <w:trPr>
          <w:trHeight w:val="227"/>
        </w:trPr>
        <w:tc>
          <w:tcPr>
            <w:tcW w:w="0" w:type="auto"/>
            <w:tcBorders>
              <w:left w:val="single" w:sz="4" w:space="0" w:color="auto"/>
              <w:right w:val="single" w:sz="4" w:space="0" w:color="auto"/>
            </w:tcBorders>
            <w:noWrap/>
            <w:hideMark/>
          </w:tcPr>
          <w:p w14:paraId="7E135D86"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Tesco</w:t>
            </w:r>
          </w:p>
        </w:tc>
        <w:tc>
          <w:tcPr>
            <w:tcW w:w="0" w:type="auto"/>
            <w:tcBorders>
              <w:left w:val="single" w:sz="4" w:space="0" w:color="auto"/>
              <w:right w:val="single" w:sz="4" w:space="0" w:color="auto"/>
            </w:tcBorders>
          </w:tcPr>
          <w:p w14:paraId="47F7D5B7"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4</w:t>
            </w:r>
          </w:p>
        </w:tc>
        <w:tc>
          <w:tcPr>
            <w:tcW w:w="0" w:type="auto"/>
            <w:tcBorders>
              <w:left w:val="single" w:sz="4" w:space="0" w:color="auto"/>
            </w:tcBorders>
            <w:hideMark/>
          </w:tcPr>
          <w:p w14:paraId="09CEA70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7EA46F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51B1CEB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2D534F6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7019892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1EB0084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623AFEC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0C4D412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6AC677DF" w14:textId="77777777" w:rsidTr="007B6F6D">
        <w:trPr>
          <w:trHeight w:val="227"/>
        </w:trPr>
        <w:tc>
          <w:tcPr>
            <w:tcW w:w="0" w:type="auto"/>
            <w:tcBorders>
              <w:left w:val="single" w:sz="4" w:space="0" w:color="auto"/>
              <w:right w:val="single" w:sz="4" w:space="0" w:color="auto"/>
            </w:tcBorders>
            <w:noWrap/>
            <w:hideMark/>
          </w:tcPr>
          <w:p w14:paraId="128E2639"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PSA</w:t>
            </w:r>
          </w:p>
        </w:tc>
        <w:tc>
          <w:tcPr>
            <w:tcW w:w="0" w:type="auto"/>
            <w:tcBorders>
              <w:left w:val="single" w:sz="4" w:space="0" w:color="auto"/>
              <w:right w:val="single" w:sz="4" w:space="0" w:color="auto"/>
            </w:tcBorders>
          </w:tcPr>
          <w:p w14:paraId="725D0C2E"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4</w:t>
            </w:r>
          </w:p>
        </w:tc>
        <w:tc>
          <w:tcPr>
            <w:tcW w:w="0" w:type="auto"/>
            <w:tcBorders>
              <w:left w:val="single" w:sz="4" w:space="0" w:color="auto"/>
            </w:tcBorders>
            <w:hideMark/>
          </w:tcPr>
          <w:p w14:paraId="76A938B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54F2D0E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0245F05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5021DDB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3E43CAD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49C87EC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BB483B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472ED5A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65DF511F" w14:textId="77777777" w:rsidTr="007B6F6D">
        <w:trPr>
          <w:trHeight w:val="227"/>
        </w:trPr>
        <w:tc>
          <w:tcPr>
            <w:tcW w:w="0" w:type="auto"/>
            <w:tcBorders>
              <w:left w:val="single" w:sz="4" w:space="0" w:color="auto"/>
              <w:right w:val="single" w:sz="4" w:space="0" w:color="auto"/>
            </w:tcBorders>
            <w:noWrap/>
            <w:hideMark/>
          </w:tcPr>
          <w:p w14:paraId="5AF1A5EA"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Carrefour</w:t>
            </w:r>
          </w:p>
        </w:tc>
        <w:tc>
          <w:tcPr>
            <w:tcW w:w="0" w:type="auto"/>
            <w:tcBorders>
              <w:left w:val="single" w:sz="4" w:space="0" w:color="auto"/>
              <w:right w:val="single" w:sz="4" w:space="0" w:color="auto"/>
            </w:tcBorders>
          </w:tcPr>
          <w:p w14:paraId="0376DE40"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hideMark/>
          </w:tcPr>
          <w:p w14:paraId="0238E15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B2A9BC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0CA6155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5A8D1CA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7291AE3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9D4D1D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5481F8F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193A1FB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6D49E640" w14:textId="77777777" w:rsidTr="007B6F6D">
        <w:trPr>
          <w:trHeight w:val="227"/>
        </w:trPr>
        <w:tc>
          <w:tcPr>
            <w:tcW w:w="0" w:type="auto"/>
            <w:tcBorders>
              <w:left w:val="single" w:sz="4" w:space="0" w:color="auto"/>
              <w:right w:val="single" w:sz="4" w:space="0" w:color="auto"/>
            </w:tcBorders>
            <w:hideMark/>
          </w:tcPr>
          <w:p w14:paraId="43380175"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Enel</w:t>
            </w:r>
          </w:p>
        </w:tc>
        <w:tc>
          <w:tcPr>
            <w:tcW w:w="0" w:type="auto"/>
            <w:tcBorders>
              <w:left w:val="single" w:sz="4" w:space="0" w:color="auto"/>
              <w:right w:val="single" w:sz="4" w:space="0" w:color="auto"/>
            </w:tcBorders>
          </w:tcPr>
          <w:p w14:paraId="569CAE42"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hideMark/>
          </w:tcPr>
          <w:p w14:paraId="53D6022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41C71E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624A4A1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57091D6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13BA22C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66D6149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DE2052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22ECB0D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78BF81CF" w14:textId="77777777" w:rsidTr="007B6F6D">
        <w:trPr>
          <w:trHeight w:val="227"/>
        </w:trPr>
        <w:tc>
          <w:tcPr>
            <w:tcW w:w="0" w:type="auto"/>
            <w:tcBorders>
              <w:left w:val="single" w:sz="4" w:space="0" w:color="auto"/>
              <w:right w:val="single" w:sz="4" w:space="0" w:color="auto"/>
            </w:tcBorders>
            <w:noWrap/>
            <w:hideMark/>
          </w:tcPr>
          <w:p w14:paraId="47130888"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VWG</w:t>
            </w:r>
          </w:p>
        </w:tc>
        <w:tc>
          <w:tcPr>
            <w:tcW w:w="0" w:type="auto"/>
            <w:tcBorders>
              <w:left w:val="single" w:sz="4" w:space="0" w:color="auto"/>
              <w:right w:val="single" w:sz="4" w:space="0" w:color="auto"/>
            </w:tcBorders>
          </w:tcPr>
          <w:p w14:paraId="403B16CF"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hideMark/>
          </w:tcPr>
          <w:p w14:paraId="35E6CF0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72A1127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284F222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EDEC70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4386379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0F0FE3B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6F9EC17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3871972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7301B44" w14:textId="77777777" w:rsidTr="007B6F6D">
        <w:trPr>
          <w:trHeight w:val="227"/>
        </w:trPr>
        <w:tc>
          <w:tcPr>
            <w:tcW w:w="0" w:type="auto"/>
            <w:tcBorders>
              <w:left w:val="single" w:sz="4" w:space="0" w:color="auto"/>
              <w:right w:val="single" w:sz="4" w:space="0" w:color="auto"/>
            </w:tcBorders>
            <w:noWrap/>
            <w:hideMark/>
          </w:tcPr>
          <w:p w14:paraId="65E3E493"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Deutsche Telekom</w:t>
            </w:r>
          </w:p>
        </w:tc>
        <w:tc>
          <w:tcPr>
            <w:tcW w:w="0" w:type="auto"/>
            <w:tcBorders>
              <w:left w:val="single" w:sz="4" w:space="0" w:color="auto"/>
              <w:right w:val="single" w:sz="4" w:space="0" w:color="auto"/>
            </w:tcBorders>
          </w:tcPr>
          <w:p w14:paraId="72C4B756"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noWrap/>
            <w:hideMark/>
          </w:tcPr>
          <w:p w14:paraId="7FBA599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B0B35A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6815BB4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noWrap/>
            <w:hideMark/>
          </w:tcPr>
          <w:p w14:paraId="24BF7A4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60C3A31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4C541E9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5225748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noWrap/>
            <w:hideMark/>
          </w:tcPr>
          <w:p w14:paraId="01F3F5F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7E8B65A7" w14:textId="77777777" w:rsidTr="007B6F6D">
        <w:trPr>
          <w:trHeight w:val="227"/>
        </w:trPr>
        <w:tc>
          <w:tcPr>
            <w:tcW w:w="0" w:type="auto"/>
            <w:tcBorders>
              <w:left w:val="single" w:sz="4" w:space="0" w:color="auto"/>
              <w:right w:val="single" w:sz="4" w:space="0" w:color="auto"/>
            </w:tcBorders>
            <w:noWrap/>
            <w:hideMark/>
          </w:tcPr>
          <w:p w14:paraId="5B92AFF5"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Airbus Group</w:t>
            </w:r>
          </w:p>
        </w:tc>
        <w:tc>
          <w:tcPr>
            <w:tcW w:w="0" w:type="auto"/>
            <w:tcBorders>
              <w:left w:val="single" w:sz="4" w:space="0" w:color="auto"/>
              <w:right w:val="single" w:sz="4" w:space="0" w:color="auto"/>
            </w:tcBorders>
          </w:tcPr>
          <w:p w14:paraId="257539F0"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hideMark/>
          </w:tcPr>
          <w:p w14:paraId="1D3C84F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35C64E0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13AC28E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4EA9EEE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683EC43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4AFB84C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E224CC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4E7E00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E9C2B38" w14:textId="77777777" w:rsidTr="007B6F6D">
        <w:trPr>
          <w:trHeight w:val="227"/>
        </w:trPr>
        <w:tc>
          <w:tcPr>
            <w:tcW w:w="0" w:type="auto"/>
            <w:tcBorders>
              <w:left w:val="single" w:sz="4" w:space="0" w:color="auto"/>
              <w:right w:val="single" w:sz="4" w:space="0" w:color="auto"/>
            </w:tcBorders>
            <w:noWrap/>
            <w:hideMark/>
          </w:tcPr>
          <w:p w14:paraId="44C7BF83"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Munich Re Group</w:t>
            </w:r>
          </w:p>
        </w:tc>
        <w:tc>
          <w:tcPr>
            <w:tcW w:w="0" w:type="auto"/>
            <w:tcBorders>
              <w:left w:val="single" w:sz="4" w:space="0" w:color="auto"/>
              <w:right w:val="single" w:sz="4" w:space="0" w:color="auto"/>
            </w:tcBorders>
          </w:tcPr>
          <w:p w14:paraId="3E0AEA91"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noWrap/>
            <w:hideMark/>
          </w:tcPr>
          <w:p w14:paraId="43D59EA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535698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1D1E449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2D3A726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3644BF6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6708DC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26FC6C6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noWrap/>
            <w:hideMark/>
          </w:tcPr>
          <w:p w14:paraId="3CD6919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4E0500EA" w14:textId="77777777" w:rsidTr="007B6F6D">
        <w:trPr>
          <w:trHeight w:val="227"/>
        </w:trPr>
        <w:tc>
          <w:tcPr>
            <w:tcW w:w="0" w:type="auto"/>
            <w:tcBorders>
              <w:left w:val="single" w:sz="4" w:space="0" w:color="auto"/>
              <w:right w:val="single" w:sz="4" w:space="0" w:color="auto"/>
            </w:tcBorders>
            <w:noWrap/>
            <w:hideMark/>
          </w:tcPr>
          <w:p w14:paraId="1832C343"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Unilever</w:t>
            </w:r>
          </w:p>
        </w:tc>
        <w:tc>
          <w:tcPr>
            <w:tcW w:w="0" w:type="auto"/>
            <w:tcBorders>
              <w:left w:val="single" w:sz="4" w:space="0" w:color="auto"/>
              <w:right w:val="single" w:sz="4" w:space="0" w:color="auto"/>
            </w:tcBorders>
          </w:tcPr>
          <w:p w14:paraId="6E79927E"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hideMark/>
          </w:tcPr>
          <w:p w14:paraId="48F5CB9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1890DF7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08D8954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7E339C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632C6C9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3A4EF33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01D633D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18FA04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2AA31746" w14:textId="77777777" w:rsidTr="007B6F6D">
        <w:trPr>
          <w:trHeight w:val="227"/>
        </w:trPr>
        <w:tc>
          <w:tcPr>
            <w:tcW w:w="0" w:type="auto"/>
            <w:tcBorders>
              <w:left w:val="single" w:sz="4" w:space="0" w:color="auto"/>
              <w:right w:val="single" w:sz="4" w:space="0" w:color="auto"/>
            </w:tcBorders>
            <w:noWrap/>
            <w:hideMark/>
          </w:tcPr>
          <w:p w14:paraId="3100ED2C"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Anheuser-Busch I.</w:t>
            </w:r>
          </w:p>
        </w:tc>
        <w:tc>
          <w:tcPr>
            <w:tcW w:w="0" w:type="auto"/>
            <w:tcBorders>
              <w:left w:val="single" w:sz="4" w:space="0" w:color="auto"/>
              <w:right w:val="single" w:sz="4" w:space="0" w:color="auto"/>
            </w:tcBorders>
          </w:tcPr>
          <w:p w14:paraId="0B977480"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3</w:t>
            </w:r>
          </w:p>
        </w:tc>
        <w:tc>
          <w:tcPr>
            <w:tcW w:w="0" w:type="auto"/>
            <w:tcBorders>
              <w:left w:val="single" w:sz="4" w:space="0" w:color="auto"/>
            </w:tcBorders>
            <w:hideMark/>
          </w:tcPr>
          <w:p w14:paraId="4C5CF8D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25C4102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6DAB6D4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hideMark/>
          </w:tcPr>
          <w:p w14:paraId="648CD5F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09FA8C4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BE538B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3BCCC8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0CFEEBA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57F60B2" w14:textId="77777777" w:rsidTr="007B6F6D">
        <w:trPr>
          <w:trHeight w:val="227"/>
        </w:trPr>
        <w:tc>
          <w:tcPr>
            <w:tcW w:w="0" w:type="auto"/>
            <w:tcBorders>
              <w:left w:val="single" w:sz="4" w:space="0" w:color="auto"/>
              <w:right w:val="single" w:sz="4" w:space="0" w:color="auto"/>
            </w:tcBorders>
            <w:noWrap/>
            <w:hideMark/>
          </w:tcPr>
          <w:p w14:paraId="4DC09559"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Auchan Holding</w:t>
            </w:r>
          </w:p>
        </w:tc>
        <w:tc>
          <w:tcPr>
            <w:tcW w:w="0" w:type="auto"/>
            <w:tcBorders>
              <w:left w:val="single" w:sz="4" w:space="0" w:color="auto"/>
              <w:right w:val="single" w:sz="4" w:space="0" w:color="auto"/>
            </w:tcBorders>
          </w:tcPr>
          <w:p w14:paraId="702E44A8"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2</w:t>
            </w:r>
          </w:p>
        </w:tc>
        <w:tc>
          <w:tcPr>
            <w:tcW w:w="0" w:type="auto"/>
            <w:tcBorders>
              <w:left w:val="single" w:sz="4" w:space="0" w:color="auto"/>
            </w:tcBorders>
            <w:hideMark/>
          </w:tcPr>
          <w:p w14:paraId="3A0CCC4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1804B0C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06FDBF7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4FA732E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5C58159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3A40331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4BF5DEC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326FC90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1F6D2D75" w14:textId="77777777" w:rsidTr="007B6F6D">
        <w:trPr>
          <w:trHeight w:val="227"/>
        </w:trPr>
        <w:tc>
          <w:tcPr>
            <w:tcW w:w="0" w:type="auto"/>
            <w:tcBorders>
              <w:left w:val="single" w:sz="4" w:space="0" w:color="auto"/>
              <w:right w:val="single" w:sz="4" w:space="0" w:color="auto"/>
            </w:tcBorders>
            <w:noWrap/>
            <w:hideMark/>
          </w:tcPr>
          <w:p w14:paraId="02AD2FA9"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BNP Paribas</w:t>
            </w:r>
          </w:p>
        </w:tc>
        <w:tc>
          <w:tcPr>
            <w:tcW w:w="0" w:type="auto"/>
            <w:tcBorders>
              <w:left w:val="single" w:sz="4" w:space="0" w:color="auto"/>
              <w:right w:val="single" w:sz="4" w:space="0" w:color="auto"/>
            </w:tcBorders>
          </w:tcPr>
          <w:p w14:paraId="490A1334"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2</w:t>
            </w:r>
          </w:p>
        </w:tc>
        <w:tc>
          <w:tcPr>
            <w:tcW w:w="0" w:type="auto"/>
            <w:tcBorders>
              <w:left w:val="single" w:sz="4" w:space="0" w:color="auto"/>
            </w:tcBorders>
            <w:noWrap/>
            <w:hideMark/>
          </w:tcPr>
          <w:p w14:paraId="228F7D3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5C2C6B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4C4D8B3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55E2438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left w:val="single" w:sz="4" w:space="0" w:color="auto"/>
            </w:tcBorders>
            <w:noWrap/>
            <w:hideMark/>
          </w:tcPr>
          <w:p w14:paraId="644457C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CE80B5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5D07DC3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1986BD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5A5F7F93" w14:textId="77777777" w:rsidTr="007B6F6D">
        <w:trPr>
          <w:trHeight w:val="227"/>
        </w:trPr>
        <w:tc>
          <w:tcPr>
            <w:tcW w:w="0" w:type="auto"/>
            <w:tcBorders>
              <w:left w:val="single" w:sz="4" w:space="0" w:color="auto"/>
              <w:right w:val="single" w:sz="4" w:space="0" w:color="auto"/>
            </w:tcBorders>
            <w:noWrap/>
            <w:hideMark/>
          </w:tcPr>
          <w:p w14:paraId="3A75B6FF"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Prudential</w:t>
            </w:r>
          </w:p>
        </w:tc>
        <w:tc>
          <w:tcPr>
            <w:tcW w:w="0" w:type="auto"/>
            <w:tcBorders>
              <w:left w:val="single" w:sz="4" w:space="0" w:color="auto"/>
              <w:right w:val="single" w:sz="4" w:space="0" w:color="auto"/>
            </w:tcBorders>
          </w:tcPr>
          <w:p w14:paraId="50FA3824"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2</w:t>
            </w:r>
          </w:p>
        </w:tc>
        <w:tc>
          <w:tcPr>
            <w:tcW w:w="0" w:type="auto"/>
            <w:tcBorders>
              <w:left w:val="single" w:sz="4" w:space="0" w:color="auto"/>
            </w:tcBorders>
            <w:noWrap/>
            <w:hideMark/>
          </w:tcPr>
          <w:p w14:paraId="2A489F5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F14788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0F61DE2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3893DCE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left w:val="single" w:sz="4" w:space="0" w:color="auto"/>
            </w:tcBorders>
            <w:noWrap/>
            <w:hideMark/>
          </w:tcPr>
          <w:p w14:paraId="1B8E4AE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3CDB861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4CB3C67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27D2BB1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510F253" w14:textId="77777777" w:rsidTr="007B6F6D">
        <w:trPr>
          <w:trHeight w:val="227"/>
        </w:trPr>
        <w:tc>
          <w:tcPr>
            <w:tcW w:w="0" w:type="auto"/>
            <w:tcBorders>
              <w:left w:val="single" w:sz="4" w:space="0" w:color="auto"/>
              <w:right w:val="single" w:sz="4" w:space="0" w:color="auto"/>
            </w:tcBorders>
            <w:noWrap/>
            <w:hideMark/>
          </w:tcPr>
          <w:p w14:paraId="1CAE02AC"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BMW Group</w:t>
            </w:r>
          </w:p>
        </w:tc>
        <w:tc>
          <w:tcPr>
            <w:tcW w:w="0" w:type="auto"/>
            <w:tcBorders>
              <w:left w:val="single" w:sz="4" w:space="0" w:color="auto"/>
              <w:right w:val="single" w:sz="4" w:space="0" w:color="auto"/>
            </w:tcBorders>
          </w:tcPr>
          <w:p w14:paraId="5AA932E9"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2</w:t>
            </w:r>
          </w:p>
        </w:tc>
        <w:tc>
          <w:tcPr>
            <w:tcW w:w="0" w:type="auto"/>
            <w:tcBorders>
              <w:left w:val="single" w:sz="4" w:space="0" w:color="auto"/>
            </w:tcBorders>
            <w:hideMark/>
          </w:tcPr>
          <w:p w14:paraId="2812F7D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ABB2C8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79A90C9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6553ED8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5FCBCEDF" w14:textId="77777777" w:rsidR="00154B9E" w:rsidRPr="00154B9E" w:rsidRDefault="00154B9E" w:rsidP="00154B9E">
            <w:pPr>
              <w:spacing w:line="240" w:lineRule="auto"/>
              <w:jc w:val="center"/>
              <w:rPr>
                <w:rFonts w:asciiTheme="majorBidi" w:eastAsia="Times New Roman" w:hAnsiTheme="majorBidi" w:cstheme="majorBidi"/>
                <w:sz w:val="16"/>
                <w:szCs w:val="16"/>
              </w:rPr>
            </w:pPr>
            <w:r w:rsidRPr="00154B9E">
              <w:rPr>
                <w:rFonts w:asciiTheme="majorBidi" w:eastAsia="Times New Roman" w:hAnsiTheme="majorBidi" w:cstheme="majorBidi"/>
                <w:sz w:val="16"/>
                <w:szCs w:val="16"/>
              </w:rPr>
              <w:t>x</w:t>
            </w:r>
          </w:p>
        </w:tc>
        <w:tc>
          <w:tcPr>
            <w:tcW w:w="0" w:type="auto"/>
            <w:hideMark/>
          </w:tcPr>
          <w:p w14:paraId="28CC2CC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BDDEFF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4C4B6FE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558504B4" w14:textId="77777777" w:rsidTr="007B6F6D">
        <w:trPr>
          <w:trHeight w:val="227"/>
        </w:trPr>
        <w:tc>
          <w:tcPr>
            <w:tcW w:w="0" w:type="auto"/>
            <w:tcBorders>
              <w:left w:val="single" w:sz="4" w:space="0" w:color="auto"/>
              <w:right w:val="single" w:sz="4" w:space="0" w:color="auto"/>
            </w:tcBorders>
            <w:noWrap/>
            <w:hideMark/>
          </w:tcPr>
          <w:p w14:paraId="762D01DD"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Vodafone</w:t>
            </w:r>
          </w:p>
        </w:tc>
        <w:tc>
          <w:tcPr>
            <w:tcW w:w="0" w:type="auto"/>
            <w:tcBorders>
              <w:left w:val="single" w:sz="4" w:space="0" w:color="auto"/>
              <w:right w:val="single" w:sz="4" w:space="0" w:color="auto"/>
            </w:tcBorders>
          </w:tcPr>
          <w:p w14:paraId="37AD5F77"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2</w:t>
            </w:r>
          </w:p>
        </w:tc>
        <w:tc>
          <w:tcPr>
            <w:tcW w:w="0" w:type="auto"/>
            <w:tcBorders>
              <w:left w:val="single" w:sz="4" w:space="0" w:color="auto"/>
            </w:tcBorders>
            <w:noWrap/>
            <w:hideMark/>
          </w:tcPr>
          <w:p w14:paraId="11342C8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199CF7C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35DA8B1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right w:val="single" w:sz="4" w:space="0" w:color="auto"/>
            </w:tcBorders>
            <w:noWrap/>
            <w:hideMark/>
          </w:tcPr>
          <w:p w14:paraId="1C1716F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3CD82C1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4C20309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9F5009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723DA9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38811B8F" w14:textId="77777777" w:rsidTr="007B6F6D">
        <w:trPr>
          <w:trHeight w:val="227"/>
        </w:trPr>
        <w:tc>
          <w:tcPr>
            <w:tcW w:w="0" w:type="auto"/>
            <w:tcBorders>
              <w:left w:val="single" w:sz="4" w:space="0" w:color="auto"/>
              <w:right w:val="single" w:sz="4" w:space="0" w:color="auto"/>
            </w:tcBorders>
            <w:noWrap/>
            <w:hideMark/>
          </w:tcPr>
          <w:p w14:paraId="6B125C48"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Louis Dreyfus</w:t>
            </w:r>
          </w:p>
        </w:tc>
        <w:tc>
          <w:tcPr>
            <w:tcW w:w="0" w:type="auto"/>
            <w:tcBorders>
              <w:left w:val="single" w:sz="4" w:space="0" w:color="auto"/>
              <w:right w:val="single" w:sz="4" w:space="0" w:color="auto"/>
            </w:tcBorders>
          </w:tcPr>
          <w:p w14:paraId="3A6B2FC4"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2</w:t>
            </w:r>
          </w:p>
        </w:tc>
        <w:tc>
          <w:tcPr>
            <w:tcW w:w="0" w:type="auto"/>
            <w:tcBorders>
              <w:left w:val="single" w:sz="4" w:space="0" w:color="auto"/>
            </w:tcBorders>
            <w:noWrap/>
            <w:hideMark/>
          </w:tcPr>
          <w:p w14:paraId="3D14448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4D96A09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269C037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4A3CFB8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left w:val="single" w:sz="4" w:space="0" w:color="auto"/>
            </w:tcBorders>
            <w:noWrap/>
            <w:hideMark/>
          </w:tcPr>
          <w:p w14:paraId="208AAFC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3864C8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523355E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672430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35B37B15" w14:textId="77777777" w:rsidTr="007B6F6D">
        <w:trPr>
          <w:trHeight w:val="227"/>
        </w:trPr>
        <w:tc>
          <w:tcPr>
            <w:tcW w:w="0" w:type="auto"/>
            <w:tcBorders>
              <w:left w:val="single" w:sz="4" w:space="0" w:color="auto"/>
              <w:right w:val="single" w:sz="4" w:space="0" w:color="auto"/>
            </w:tcBorders>
            <w:hideMark/>
          </w:tcPr>
          <w:p w14:paraId="4C0B1E81"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 xml:space="preserve">Equinor </w:t>
            </w:r>
          </w:p>
        </w:tc>
        <w:tc>
          <w:tcPr>
            <w:tcW w:w="0" w:type="auto"/>
            <w:tcBorders>
              <w:left w:val="single" w:sz="4" w:space="0" w:color="auto"/>
              <w:right w:val="single" w:sz="4" w:space="0" w:color="auto"/>
            </w:tcBorders>
          </w:tcPr>
          <w:p w14:paraId="619E27BB"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2</w:t>
            </w:r>
          </w:p>
        </w:tc>
        <w:tc>
          <w:tcPr>
            <w:tcW w:w="0" w:type="auto"/>
            <w:tcBorders>
              <w:left w:val="single" w:sz="4" w:space="0" w:color="auto"/>
            </w:tcBorders>
            <w:hideMark/>
          </w:tcPr>
          <w:p w14:paraId="0B672E3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1064C26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0483D69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50CD516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6FB7B1E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52FF50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4BD8FEB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5EB08A3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r>
      <w:tr w:rsidR="00154B9E" w:rsidRPr="00154B9E" w14:paraId="6899BCFD" w14:textId="77777777" w:rsidTr="007B6F6D">
        <w:trPr>
          <w:trHeight w:val="227"/>
        </w:trPr>
        <w:tc>
          <w:tcPr>
            <w:tcW w:w="0" w:type="auto"/>
            <w:tcBorders>
              <w:left w:val="single" w:sz="4" w:space="0" w:color="auto"/>
              <w:right w:val="single" w:sz="4" w:space="0" w:color="auto"/>
            </w:tcBorders>
            <w:hideMark/>
          </w:tcPr>
          <w:p w14:paraId="4185AE51"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Royal Dutch Shell</w:t>
            </w:r>
          </w:p>
        </w:tc>
        <w:tc>
          <w:tcPr>
            <w:tcW w:w="0" w:type="auto"/>
            <w:tcBorders>
              <w:left w:val="single" w:sz="4" w:space="0" w:color="auto"/>
              <w:right w:val="single" w:sz="4" w:space="0" w:color="auto"/>
            </w:tcBorders>
          </w:tcPr>
          <w:p w14:paraId="407D4386"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20944D5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466C38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256857E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2F02145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7DD3F18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46E5954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09D429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5C0FE38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3E0AB7A7" w14:textId="77777777" w:rsidTr="007B6F6D">
        <w:trPr>
          <w:trHeight w:val="227"/>
        </w:trPr>
        <w:tc>
          <w:tcPr>
            <w:tcW w:w="0" w:type="auto"/>
            <w:tcBorders>
              <w:left w:val="single" w:sz="4" w:space="0" w:color="auto"/>
              <w:right w:val="single" w:sz="4" w:space="0" w:color="auto"/>
            </w:tcBorders>
            <w:noWrap/>
            <w:hideMark/>
          </w:tcPr>
          <w:p w14:paraId="6CF42028"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CNP Assurances</w:t>
            </w:r>
          </w:p>
        </w:tc>
        <w:tc>
          <w:tcPr>
            <w:tcW w:w="0" w:type="auto"/>
            <w:tcBorders>
              <w:left w:val="single" w:sz="4" w:space="0" w:color="auto"/>
              <w:right w:val="single" w:sz="4" w:space="0" w:color="auto"/>
            </w:tcBorders>
          </w:tcPr>
          <w:p w14:paraId="6C828E19"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679240C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0CB06B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37CCF20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4C6D805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1FE21B6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4041C09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358644F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7B105E9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142C2D6F" w14:textId="77777777" w:rsidTr="007B6F6D">
        <w:trPr>
          <w:trHeight w:val="227"/>
        </w:trPr>
        <w:tc>
          <w:tcPr>
            <w:tcW w:w="0" w:type="auto"/>
            <w:tcBorders>
              <w:left w:val="single" w:sz="4" w:space="0" w:color="auto"/>
              <w:right w:val="single" w:sz="4" w:space="0" w:color="auto"/>
            </w:tcBorders>
            <w:hideMark/>
          </w:tcPr>
          <w:p w14:paraId="3C345D02"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BP plc</w:t>
            </w:r>
          </w:p>
        </w:tc>
        <w:tc>
          <w:tcPr>
            <w:tcW w:w="0" w:type="auto"/>
            <w:tcBorders>
              <w:left w:val="single" w:sz="4" w:space="0" w:color="auto"/>
              <w:right w:val="single" w:sz="4" w:space="0" w:color="auto"/>
            </w:tcBorders>
          </w:tcPr>
          <w:p w14:paraId="3FE0D950"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2FFDA5C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0CCD93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3DB5253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69615E7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57729B0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2B24F8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DA1F52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9462CA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2DC1BB98" w14:textId="77777777" w:rsidTr="007B6F6D">
        <w:trPr>
          <w:trHeight w:val="227"/>
        </w:trPr>
        <w:tc>
          <w:tcPr>
            <w:tcW w:w="0" w:type="auto"/>
            <w:tcBorders>
              <w:left w:val="single" w:sz="4" w:space="0" w:color="auto"/>
              <w:right w:val="single" w:sz="4" w:space="0" w:color="auto"/>
            </w:tcBorders>
            <w:noWrap/>
            <w:hideMark/>
          </w:tcPr>
          <w:p w14:paraId="7DD7AD4C"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Daimler</w:t>
            </w:r>
          </w:p>
        </w:tc>
        <w:tc>
          <w:tcPr>
            <w:tcW w:w="0" w:type="auto"/>
            <w:tcBorders>
              <w:left w:val="single" w:sz="4" w:space="0" w:color="auto"/>
              <w:right w:val="single" w:sz="4" w:space="0" w:color="auto"/>
            </w:tcBorders>
          </w:tcPr>
          <w:p w14:paraId="562042BB"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2EACDF2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8FA494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74DA7F7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D58BB1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500D55E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AA5CAA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355C179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2901310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70120AA5" w14:textId="77777777" w:rsidTr="007B6F6D">
        <w:trPr>
          <w:trHeight w:val="227"/>
        </w:trPr>
        <w:tc>
          <w:tcPr>
            <w:tcW w:w="0" w:type="auto"/>
            <w:tcBorders>
              <w:left w:val="single" w:sz="4" w:space="0" w:color="auto"/>
              <w:right w:val="single" w:sz="4" w:space="0" w:color="auto"/>
            </w:tcBorders>
            <w:hideMark/>
          </w:tcPr>
          <w:p w14:paraId="7C4693F3"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Total</w:t>
            </w:r>
          </w:p>
        </w:tc>
        <w:tc>
          <w:tcPr>
            <w:tcW w:w="0" w:type="auto"/>
            <w:tcBorders>
              <w:left w:val="single" w:sz="4" w:space="0" w:color="auto"/>
              <w:right w:val="single" w:sz="4" w:space="0" w:color="auto"/>
            </w:tcBorders>
          </w:tcPr>
          <w:p w14:paraId="3AA6DA66"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2E153E1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FFCCE2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207E86E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310A8E8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7D09E05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EF0AF5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28383E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3A692DE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1D3FC927" w14:textId="77777777" w:rsidTr="007B6F6D">
        <w:trPr>
          <w:trHeight w:val="227"/>
        </w:trPr>
        <w:tc>
          <w:tcPr>
            <w:tcW w:w="0" w:type="auto"/>
            <w:tcBorders>
              <w:left w:val="single" w:sz="4" w:space="0" w:color="auto"/>
              <w:right w:val="single" w:sz="4" w:space="0" w:color="auto"/>
            </w:tcBorders>
            <w:noWrap/>
            <w:hideMark/>
          </w:tcPr>
          <w:p w14:paraId="7F2F4A15"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Allianz</w:t>
            </w:r>
          </w:p>
        </w:tc>
        <w:tc>
          <w:tcPr>
            <w:tcW w:w="0" w:type="auto"/>
            <w:tcBorders>
              <w:left w:val="single" w:sz="4" w:space="0" w:color="auto"/>
              <w:right w:val="single" w:sz="4" w:space="0" w:color="auto"/>
            </w:tcBorders>
          </w:tcPr>
          <w:p w14:paraId="543A086E"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5162471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424E231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4AA5B64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524E71B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266E8FD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7A90202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62FB46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6F2944C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5D7A5611" w14:textId="77777777" w:rsidTr="007B6F6D">
        <w:trPr>
          <w:trHeight w:val="227"/>
        </w:trPr>
        <w:tc>
          <w:tcPr>
            <w:tcW w:w="0" w:type="auto"/>
            <w:tcBorders>
              <w:left w:val="single" w:sz="4" w:space="0" w:color="auto"/>
              <w:right w:val="single" w:sz="4" w:space="0" w:color="auto"/>
            </w:tcBorders>
            <w:noWrap/>
            <w:hideMark/>
          </w:tcPr>
          <w:p w14:paraId="3314AE9E"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Generali</w:t>
            </w:r>
            <w:proofErr w:type="spellEnd"/>
          </w:p>
        </w:tc>
        <w:tc>
          <w:tcPr>
            <w:tcW w:w="0" w:type="auto"/>
            <w:tcBorders>
              <w:left w:val="single" w:sz="4" w:space="0" w:color="auto"/>
              <w:right w:val="single" w:sz="4" w:space="0" w:color="auto"/>
            </w:tcBorders>
          </w:tcPr>
          <w:p w14:paraId="3B7BA7E2"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11E463B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01D147E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54C14C0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68D945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50808D2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6EB39F7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7BF9FFC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40D599C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24AA7E5" w14:textId="77777777" w:rsidTr="007B6F6D">
        <w:trPr>
          <w:trHeight w:val="227"/>
        </w:trPr>
        <w:tc>
          <w:tcPr>
            <w:tcW w:w="0" w:type="auto"/>
            <w:tcBorders>
              <w:left w:val="single" w:sz="4" w:space="0" w:color="auto"/>
              <w:right w:val="single" w:sz="4" w:space="0" w:color="auto"/>
            </w:tcBorders>
            <w:noWrap/>
            <w:hideMark/>
          </w:tcPr>
          <w:p w14:paraId="3944A909"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Siemens</w:t>
            </w:r>
          </w:p>
        </w:tc>
        <w:tc>
          <w:tcPr>
            <w:tcW w:w="0" w:type="auto"/>
            <w:tcBorders>
              <w:left w:val="single" w:sz="4" w:space="0" w:color="auto"/>
              <w:right w:val="single" w:sz="4" w:space="0" w:color="auto"/>
            </w:tcBorders>
          </w:tcPr>
          <w:p w14:paraId="1A159676"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4939FEB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0EC8D4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1DF42FB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3BD63F7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254C96F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06491F9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E4D6F6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3BB74E7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67D0B395" w14:textId="77777777" w:rsidTr="007B6F6D">
        <w:trPr>
          <w:trHeight w:val="227"/>
        </w:trPr>
        <w:tc>
          <w:tcPr>
            <w:tcW w:w="0" w:type="auto"/>
            <w:tcBorders>
              <w:left w:val="single" w:sz="4" w:space="0" w:color="auto"/>
              <w:right w:val="single" w:sz="4" w:space="0" w:color="auto"/>
            </w:tcBorders>
            <w:noWrap/>
            <w:hideMark/>
          </w:tcPr>
          <w:p w14:paraId="05179C31"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Banco Santander</w:t>
            </w:r>
          </w:p>
        </w:tc>
        <w:tc>
          <w:tcPr>
            <w:tcW w:w="0" w:type="auto"/>
            <w:tcBorders>
              <w:left w:val="single" w:sz="4" w:space="0" w:color="auto"/>
              <w:right w:val="single" w:sz="4" w:space="0" w:color="auto"/>
            </w:tcBorders>
          </w:tcPr>
          <w:p w14:paraId="75CFA66B"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3A30448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8C2E9A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188AA55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9F646F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180C257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5068D5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76827A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41C6199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AA5950D" w14:textId="77777777" w:rsidTr="007B6F6D">
        <w:trPr>
          <w:trHeight w:val="227"/>
        </w:trPr>
        <w:tc>
          <w:tcPr>
            <w:tcW w:w="0" w:type="auto"/>
            <w:tcBorders>
              <w:left w:val="single" w:sz="4" w:space="0" w:color="auto"/>
              <w:right w:val="single" w:sz="4" w:space="0" w:color="auto"/>
            </w:tcBorders>
            <w:noWrap/>
            <w:hideMark/>
          </w:tcPr>
          <w:p w14:paraId="4C865363"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 xml:space="preserve">Credit </w:t>
            </w:r>
            <w:proofErr w:type="spellStart"/>
            <w:r w:rsidRPr="00154B9E">
              <w:rPr>
                <w:rFonts w:asciiTheme="majorBidi" w:eastAsia="Times New Roman" w:hAnsiTheme="majorBidi" w:cstheme="majorBidi"/>
                <w:b/>
                <w:bCs/>
                <w:color w:val="000000"/>
                <w:sz w:val="16"/>
                <w:szCs w:val="16"/>
              </w:rPr>
              <w:t>Agricole</w:t>
            </w:r>
            <w:proofErr w:type="spellEnd"/>
          </w:p>
        </w:tc>
        <w:tc>
          <w:tcPr>
            <w:tcW w:w="0" w:type="auto"/>
            <w:tcBorders>
              <w:left w:val="single" w:sz="4" w:space="0" w:color="auto"/>
              <w:right w:val="single" w:sz="4" w:space="0" w:color="auto"/>
            </w:tcBorders>
          </w:tcPr>
          <w:p w14:paraId="5839EB42"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41032B3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19D36C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774AE4F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0F3F3A9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07B8732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4A274C8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60AFC64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5257BAC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B5683AB" w14:textId="77777777" w:rsidTr="007B6F6D">
        <w:trPr>
          <w:trHeight w:val="227"/>
        </w:trPr>
        <w:tc>
          <w:tcPr>
            <w:tcW w:w="0" w:type="auto"/>
            <w:tcBorders>
              <w:left w:val="single" w:sz="4" w:space="0" w:color="auto"/>
              <w:right w:val="single" w:sz="4" w:space="0" w:color="auto"/>
            </w:tcBorders>
            <w:hideMark/>
          </w:tcPr>
          <w:p w14:paraId="0D53DA02"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Uniper</w:t>
            </w:r>
            <w:proofErr w:type="spellEnd"/>
          </w:p>
        </w:tc>
        <w:tc>
          <w:tcPr>
            <w:tcW w:w="0" w:type="auto"/>
            <w:tcBorders>
              <w:left w:val="single" w:sz="4" w:space="0" w:color="auto"/>
              <w:right w:val="single" w:sz="4" w:space="0" w:color="auto"/>
            </w:tcBorders>
          </w:tcPr>
          <w:p w14:paraId="64DF40BD"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63C36D7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B4B9A7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7E729DF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0E226CB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59B2531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929AD2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EE4CCA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6A8BAC1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4EBE0246" w14:textId="77777777" w:rsidTr="007B6F6D">
        <w:trPr>
          <w:trHeight w:val="227"/>
        </w:trPr>
        <w:tc>
          <w:tcPr>
            <w:tcW w:w="0" w:type="auto"/>
            <w:tcBorders>
              <w:left w:val="single" w:sz="4" w:space="0" w:color="auto"/>
              <w:right w:val="single" w:sz="4" w:space="0" w:color="auto"/>
            </w:tcBorders>
            <w:hideMark/>
          </w:tcPr>
          <w:p w14:paraId="1105F444"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ENI</w:t>
            </w:r>
          </w:p>
        </w:tc>
        <w:tc>
          <w:tcPr>
            <w:tcW w:w="0" w:type="auto"/>
            <w:tcBorders>
              <w:left w:val="single" w:sz="4" w:space="0" w:color="auto"/>
              <w:right w:val="single" w:sz="4" w:space="0" w:color="auto"/>
            </w:tcBorders>
          </w:tcPr>
          <w:p w14:paraId="2C789093"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284F0FE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C21C2B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3638EB3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40A4379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76F5151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337C60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DB532A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2B64A29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18E585F3" w14:textId="77777777" w:rsidTr="007B6F6D">
        <w:trPr>
          <w:trHeight w:val="227"/>
        </w:trPr>
        <w:tc>
          <w:tcPr>
            <w:tcW w:w="0" w:type="auto"/>
            <w:tcBorders>
              <w:left w:val="single" w:sz="4" w:space="0" w:color="auto"/>
              <w:right w:val="single" w:sz="4" w:space="0" w:color="auto"/>
            </w:tcBorders>
            <w:noWrap/>
            <w:hideMark/>
          </w:tcPr>
          <w:p w14:paraId="6A6A1098"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HSBC Holdings</w:t>
            </w:r>
          </w:p>
        </w:tc>
        <w:tc>
          <w:tcPr>
            <w:tcW w:w="0" w:type="auto"/>
            <w:tcBorders>
              <w:left w:val="single" w:sz="4" w:space="0" w:color="auto"/>
              <w:right w:val="single" w:sz="4" w:space="0" w:color="auto"/>
            </w:tcBorders>
          </w:tcPr>
          <w:p w14:paraId="020B76E8"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0CDD540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1EDA82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3557AFB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7FFC600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0FFD91C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DCE404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3C83E9F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2BB34ED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2613DB00" w14:textId="77777777" w:rsidTr="007B6F6D">
        <w:trPr>
          <w:trHeight w:val="227"/>
        </w:trPr>
        <w:tc>
          <w:tcPr>
            <w:tcW w:w="0" w:type="auto"/>
            <w:tcBorders>
              <w:left w:val="single" w:sz="4" w:space="0" w:color="auto"/>
              <w:right w:val="single" w:sz="4" w:space="0" w:color="auto"/>
            </w:tcBorders>
            <w:hideMark/>
          </w:tcPr>
          <w:p w14:paraId="385072F3"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Electricite</w:t>
            </w:r>
            <w:proofErr w:type="spellEnd"/>
            <w:r w:rsidRPr="00154B9E">
              <w:rPr>
                <w:rFonts w:asciiTheme="majorBidi" w:eastAsia="Times New Roman" w:hAnsiTheme="majorBidi" w:cstheme="majorBidi"/>
                <w:b/>
                <w:bCs/>
                <w:color w:val="000000"/>
                <w:sz w:val="16"/>
                <w:szCs w:val="16"/>
              </w:rPr>
              <w:t xml:space="preserve"> de France</w:t>
            </w:r>
          </w:p>
        </w:tc>
        <w:tc>
          <w:tcPr>
            <w:tcW w:w="0" w:type="auto"/>
            <w:tcBorders>
              <w:left w:val="single" w:sz="4" w:space="0" w:color="auto"/>
              <w:right w:val="single" w:sz="4" w:space="0" w:color="auto"/>
            </w:tcBorders>
          </w:tcPr>
          <w:p w14:paraId="0156AC8C"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7526294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40AB8B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3A5D897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316F888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1ED564E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B8CE52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740174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20CAFB3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7E0EB30E" w14:textId="77777777" w:rsidTr="007B6F6D">
        <w:trPr>
          <w:trHeight w:val="227"/>
        </w:trPr>
        <w:tc>
          <w:tcPr>
            <w:tcW w:w="0" w:type="auto"/>
            <w:tcBorders>
              <w:left w:val="single" w:sz="4" w:space="0" w:color="auto"/>
              <w:right w:val="single" w:sz="4" w:space="0" w:color="auto"/>
            </w:tcBorders>
            <w:hideMark/>
          </w:tcPr>
          <w:p w14:paraId="62C5520F"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Engie</w:t>
            </w:r>
            <w:proofErr w:type="spellEnd"/>
          </w:p>
        </w:tc>
        <w:tc>
          <w:tcPr>
            <w:tcW w:w="0" w:type="auto"/>
            <w:tcBorders>
              <w:left w:val="single" w:sz="4" w:space="0" w:color="auto"/>
              <w:right w:val="single" w:sz="4" w:space="0" w:color="auto"/>
            </w:tcBorders>
          </w:tcPr>
          <w:p w14:paraId="46E9F918"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1905D9E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1086022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000DA70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26CE747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5957C64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175ED50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C20619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14BA53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1DF87077" w14:textId="77777777" w:rsidTr="007B6F6D">
        <w:trPr>
          <w:trHeight w:val="227"/>
        </w:trPr>
        <w:tc>
          <w:tcPr>
            <w:tcW w:w="0" w:type="auto"/>
            <w:tcBorders>
              <w:left w:val="single" w:sz="4" w:space="0" w:color="auto"/>
              <w:right w:val="single" w:sz="4" w:space="0" w:color="auto"/>
            </w:tcBorders>
            <w:noWrap/>
            <w:hideMark/>
          </w:tcPr>
          <w:p w14:paraId="14F80C36"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BASF </w:t>
            </w:r>
          </w:p>
        </w:tc>
        <w:tc>
          <w:tcPr>
            <w:tcW w:w="0" w:type="auto"/>
            <w:tcBorders>
              <w:left w:val="single" w:sz="4" w:space="0" w:color="auto"/>
              <w:right w:val="single" w:sz="4" w:space="0" w:color="auto"/>
            </w:tcBorders>
          </w:tcPr>
          <w:p w14:paraId="0AF92B4B"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13FE8E2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27A0209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450F4A6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6A6FDF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hideMark/>
          </w:tcPr>
          <w:p w14:paraId="7F6968F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09ED626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2E45DE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3DF292D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473CC0F2" w14:textId="77777777" w:rsidTr="007B6F6D">
        <w:trPr>
          <w:trHeight w:val="227"/>
        </w:trPr>
        <w:tc>
          <w:tcPr>
            <w:tcW w:w="0" w:type="auto"/>
            <w:tcBorders>
              <w:left w:val="single" w:sz="4" w:space="0" w:color="auto"/>
              <w:right w:val="single" w:sz="4" w:space="0" w:color="auto"/>
            </w:tcBorders>
            <w:noWrap/>
            <w:hideMark/>
          </w:tcPr>
          <w:p w14:paraId="5EFF52B4"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 xml:space="preserve">Deutsche Post DHL </w:t>
            </w:r>
          </w:p>
        </w:tc>
        <w:tc>
          <w:tcPr>
            <w:tcW w:w="0" w:type="auto"/>
            <w:tcBorders>
              <w:left w:val="single" w:sz="4" w:space="0" w:color="auto"/>
              <w:right w:val="single" w:sz="4" w:space="0" w:color="auto"/>
            </w:tcBorders>
          </w:tcPr>
          <w:p w14:paraId="0414BC8E"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2A923C0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4716757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43A65A8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5FEB111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57FC178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7D1F139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C3EA21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79DDA62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4D79F27" w14:textId="77777777" w:rsidTr="007B6F6D">
        <w:trPr>
          <w:trHeight w:val="227"/>
        </w:trPr>
        <w:tc>
          <w:tcPr>
            <w:tcW w:w="0" w:type="auto"/>
            <w:tcBorders>
              <w:left w:val="single" w:sz="4" w:space="0" w:color="auto"/>
              <w:right w:val="single" w:sz="4" w:space="0" w:color="auto"/>
            </w:tcBorders>
            <w:noWrap/>
            <w:hideMark/>
          </w:tcPr>
          <w:p w14:paraId="00C2F18A"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Societe</w:t>
            </w:r>
            <w:proofErr w:type="spellEnd"/>
            <w:r w:rsidRPr="00154B9E">
              <w:rPr>
                <w:rFonts w:asciiTheme="majorBidi" w:eastAsia="Times New Roman" w:hAnsiTheme="majorBidi" w:cstheme="majorBidi"/>
                <w:b/>
                <w:bCs/>
                <w:color w:val="000000"/>
                <w:sz w:val="16"/>
                <w:szCs w:val="16"/>
              </w:rPr>
              <w:t xml:space="preserve"> </w:t>
            </w:r>
            <w:proofErr w:type="spellStart"/>
            <w:r w:rsidRPr="00154B9E">
              <w:rPr>
                <w:rFonts w:asciiTheme="majorBidi" w:eastAsia="Times New Roman" w:hAnsiTheme="majorBidi" w:cstheme="majorBidi"/>
                <w:b/>
                <w:bCs/>
                <w:color w:val="000000"/>
                <w:sz w:val="16"/>
                <w:szCs w:val="16"/>
              </w:rPr>
              <w:t>Generale</w:t>
            </w:r>
            <w:proofErr w:type="spellEnd"/>
          </w:p>
        </w:tc>
        <w:tc>
          <w:tcPr>
            <w:tcW w:w="0" w:type="auto"/>
            <w:tcBorders>
              <w:left w:val="single" w:sz="4" w:space="0" w:color="auto"/>
              <w:right w:val="single" w:sz="4" w:space="0" w:color="auto"/>
            </w:tcBorders>
          </w:tcPr>
          <w:p w14:paraId="51B8E4A4"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3D28598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5000195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2ED9E5E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7855454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7A4E97E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3425F88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FBCC9E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789B9CB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6557793F" w14:textId="77777777" w:rsidTr="007B6F6D">
        <w:trPr>
          <w:trHeight w:val="227"/>
        </w:trPr>
        <w:tc>
          <w:tcPr>
            <w:tcW w:w="0" w:type="auto"/>
            <w:tcBorders>
              <w:left w:val="single" w:sz="4" w:space="0" w:color="auto"/>
              <w:right w:val="single" w:sz="4" w:space="0" w:color="auto"/>
            </w:tcBorders>
            <w:noWrap/>
            <w:hideMark/>
          </w:tcPr>
          <w:p w14:paraId="5F015516"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ArcelorMittal</w:t>
            </w:r>
            <w:proofErr w:type="spellEnd"/>
          </w:p>
        </w:tc>
        <w:tc>
          <w:tcPr>
            <w:tcW w:w="0" w:type="auto"/>
            <w:tcBorders>
              <w:left w:val="single" w:sz="4" w:space="0" w:color="auto"/>
              <w:right w:val="single" w:sz="4" w:space="0" w:color="auto"/>
            </w:tcBorders>
          </w:tcPr>
          <w:p w14:paraId="512A167E"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hideMark/>
          </w:tcPr>
          <w:p w14:paraId="56ADB00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0469E4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hideMark/>
          </w:tcPr>
          <w:p w14:paraId="1032402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hideMark/>
          </w:tcPr>
          <w:p w14:paraId="72D369B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338B53A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314A36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49CD84A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6C67CE0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5438F03F" w14:textId="77777777" w:rsidTr="007B6F6D">
        <w:trPr>
          <w:trHeight w:val="227"/>
        </w:trPr>
        <w:tc>
          <w:tcPr>
            <w:tcW w:w="0" w:type="auto"/>
            <w:tcBorders>
              <w:left w:val="single" w:sz="4" w:space="0" w:color="auto"/>
              <w:right w:val="single" w:sz="4" w:space="0" w:color="auto"/>
            </w:tcBorders>
            <w:noWrap/>
            <w:hideMark/>
          </w:tcPr>
          <w:p w14:paraId="67D34139"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Aegon</w:t>
            </w:r>
            <w:proofErr w:type="spellEnd"/>
            <w:r w:rsidRPr="00154B9E">
              <w:rPr>
                <w:rFonts w:asciiTheme="majorBidi" w:eastAsia="Times New Roman" w:hAnsiTheme="majorBidi" w:cstheme="majorBidi"/>
                <w:b/>
                <w:bCs/>
                <w:color w:val="000000"/>
                <w:sz w:val="16"/>
                <w:szCs w:val="16"/>
              </w:rPr>
              <w:t xml:space="preserve"> </w:t>
            </w:r>
          </w:p>
        </w:tc>
        <w:tc>
          <w:tcPr>
            <w:tcW w:w="0" w:type="auto"/>
            <w:tcBorders>
              <w:left w:val="single" w:sz="4" w:space="0" w:color="auto"/>
              <w:right w:val="single" w:sz="4" w:space="0" w:color="auto"/>
            </w:tcBorders>
          </w:tcPr>
          <w:p w14:paraId="2E7A11A8"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1C042DB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75B0E4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2B3FFEE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5123C65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647C647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1328502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C96BC5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0DC4DC0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777D93D8" w14:textId="77777777" w:rsidTr="007B6F6D">
        <w:trPr>
          <w:trHeight w:val="227"/>
        </w:trPr>
        <w:tc>
          <w:tcPr>
            <w:tcW w:w="0" w:type="auto"/>
            <w:tcBorders>
              <w:left w:val="single" w:sz="4" w:space="0" w:color="auto"/>
              <w:right w:val="single" w:sz="4" w:space="0" w:color="auto"/>
            </w:tcBorders>
            <w:noWrap/>
            <w:hideMark/>
          </w:tcPr>
          <w:p w14:paraId="27659195"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Aviva </w:t>
            </w:r>
          </w:p>
        </w:tc>
        <w:tc>
          <w:tcPr>
            <w:tcW w:w="0" w:type="auto"/>
            <w:tcBorders>
              <w:left w:val="single" w:sz="4" w:space="0" w:color="auto"/>
              <w:right w:val="single" w:sz="4" w:space="0" w:color="auto"/>
            </w:tcBorders>
          </w:tcPr>
          <w:p w14:paraId="7E8EBBCB"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44C7639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30437F3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2874ADD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F3DB57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1D66B3E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81158F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1C8E318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60FCEC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7970DA9C" w14:textId="77777777" w:rsidTr="007B6F6D">
        <w:trPr>
          <w:trHeight w:val="227"/>
        </w:trPr>
        <w:tc>
          <w:tcPr>
            <w:tcW w:w="0" w:type="auto"/>
            <w:tcBorders>
              <w:left w:val="single" w:sz="4" w:space="0" w:color="auto"/>
              <w:right w:val="single" w:sz="4" w:space="0" w:color="auto"/>
            </w:tcBorders>
            <w:noWrap/>
            <w:hideMark/>
          </w:tcPr>
          <w:p w14:paraId="279DAB99"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BPCE </w:t>
            </w:r>
          </w:p>
        </w:tc>
        <w:tc>
          <w:tcPr>
            <w:tcW w:w="0" w:type="auto"/>
            <w:tcBorders>
              <w:left w:val="single" w:sz="4" w:space="0" w:color="auto"/>
              <w:right w:val="single" w:sz="4" w:space="0" w:color="auto"/>
            </w:tcBorders>
          </w:tcPr>
          <w:p w14:paraId="66CCD63C"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5B43AAD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4DFDDB4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1ED26FE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0A1C292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7564233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1DA7276F"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30A080F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187FC9E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13C6808E" w14:textId="77777777" w:rsidTr="007B6F6D">
        <w:trPr>
          <w:trHeight w:val="227"/>
        </w:trPr>
        <w:tc>
          <w:tcPr>
            <w:tcW w:w="0" w:type="auto"/>
            <w:tcBorders>
              <w:left w:val="single" w:sz="4" w:space="0" w:color="auto"/>
              <w:right w:val="single" w:sz="4" w:space="0" w:color="auto"/>
            </w:tcBorders>
            <w:noWrap/>
            <w:hideMark/>
          </w:tcPr>
          <w:p w14:paraId="797F8802"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ING Group</w:t>
            </w:r>
          </w:p>
        </w:tc>
        <w:tc>
          <w:tcPr>
            <w:tcW w:w="0" w:type="auto"/>
            <w:tcBorders>
              <w:left w:val="single" w:sz="4" w:space="0" w:color="auto"/>
              <w:right w:val="single" w:sz="4" w:space="0" w:color="auto"/>
            </w:tcBorders>
          </w:tcPr>
          <w:p w14:paraId="2C919FF3"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69B2046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6D60603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2558655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4B3587F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5FADC6C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8AF950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72F564D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4B298B0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4EAB7378" w14:textId="77777777" w:rsidTr="007B6F6D">
        <w:trPr>
          <w:trHeight w:val="227"/>
        </w:trPr>
        <w:tc>
          <w:tcPr>
            <w:tcW w:w="0" w:type="auto"/>
            <w:tcBorders>
              <w:left w:val="single" w:sz="4" w:space="0" w:color="auto"/>
              <w:right w:val="single" w:sz="4" w:space="0" w:color="auto"/>
            </w:tcBorders>
            <w:noWrap/>
            <w:hideMark/>
          </w:tcPr>
          <w:p w14:paraId="413E7D3C"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Legal &amp; General Gr.</w:t>
            </w:r>
          </w:p>
        </w:tc>
        <w:tc>
          <w:tcPr>
            <w:tcW w:w="0" w:type="auto"/>
            <w:tcBorders>
              <w:left w:val="single" w:sz="4" w:space="0" w:color="auto"/>
              <w:right w:val="single" w:sz="4" w:space="0" w:color="auto"/>
            </w:tcBorders>
          </w:tcPr>
          <w:p w14:paraId="155742BD"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4FA7FB44"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7A5F38C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32129C7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0F09371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6F93D149"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14D0CC7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941B1B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584AF52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751DC57C" w14:textId="77777777" w:rsidTr="007B6F6D">
        <w:trPr>
          <w:trHeight w:val="227"/>
        </w:trPr>
        <w:tc>
          <w:tcPr>
            <w:tcW w:w="0" w:type="auto"/>
            <w:tcBorders>
              <w:left w:val="single" w:sz="4" w:space="0" w:color="auto"/>
              <w:right w:val="single" w:sz="4" w:space="0" w:color="auto"/>
            </w:tcBorders>
            <w:noWrap/>
            <w:hideMark/>
          </w:tcPr>
          <w:p w14:paraId="22799312"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Lloyds Banking Gr.</w:t>
            </w:r>
          </w:p>
        </w:tc>
        <w:tc>
          <w:tcPr>
            <w:tcW w:w="0" w:type="auto"/>
            <w:tcBorders>
              <w:left w:val="single" w:sz="4" w:space="0" w:color="auto"/>
              <w:right w:val="single" w:sz="4" w:space="0" w:color="auto"/>
            </w:tcBorders>
          </w:tcPr>
          <w:p w14:paraId="2D0BD02A"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tcBorders>
            <w:noWrap/>
            <w:hideMark/>
          </w:tcPr>
          <w:p w14:paraId="393D9EB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hideMark/>
          </w:tcPr>
          <w:p w14:paraId="0BFDD86D"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noWrap/>
            <w:hideMark/>
          </w:tcPr>
          <w:p w14:paraId="2464853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3F56A07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tcBorders>
            <w:noWrap/>
            <w:hideMark/>
          </w:tcPr>
          <w:p w14:paraId="7956ABC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D08D42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6BE999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7916A751"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219F7866" w14:textId="77777777" w:rsidTr="007B6F6D">
        <w:trPr>
          <w:trHeight w:val="227"/>
        </w:trPr>
        <w:tc>
          <w:tcPr>
            <w:tcW w:w="0" w:type="auto"/>
            <w:tcBorders>
              <w:left w:val="single" w:sz="4" w:space="0" w:color="auto"/>
              <w:bottom w:val="nil"/>
              <w:right w:val="single" w:sz="4" w:space="0" w:color="auto"/>
            </w:tcBorders>
            <w:noWrap/>
            <w:hideMark/>
          </w:tcPr>
          <w:p w14:paraId="122E1804"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t xml:space="preserve">Bayer </w:t>
            </w:r>
          </w:p>
        </w:tc>
        <w:tc>
          <w:tcPr>
            <w:tcW w:w="0" w:type="auto"/>
            <w:tcBorders>
              <w:left w:val="single" w:sz="4" w:space="0" w:color="auto"/>
              <w:bottom w:val="nil"/>
              <w:right w:val="single" w:sz="4" w:space="0" w:color="auto"/>
            </w:tcBorders>
          </w:tcPr>
          <w:p w14:paraId="0D5C0F92"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left w:val="single" w:sz="4" w:space="0" w:color="auto"/>
              <w:bottom w:val="nil"/>
            </w:tcBorders>
            <w:hideMark/>
          </w:tcPr>
          <w:p w14:paraId="1FCE1DC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bottom w:val="nil"/>
            </w:tcBorders>
            <w:hideMark/>
          </w:tcPr>
          <w:p w14:paraId="4158DE3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bottom w:val="nil"/>
            </w:tcBorders>
            <w:hideMark/>
          </w:tcPr>
          <w:p w14:paraId="0951C10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bottom w:val="nil"/>
              <w:right w:val="single" w:sz="4" w:space="0" w:color="auto"/>
            </w:tcBorders>
            <w:hideMark/>
          </w:tcPr>
          <w:p w14:paraId="20678D6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left w:val="single" w:sz="4" w:space="0" w:color="auto"/>
              <w:bottom w:val="nil"/>
            </w:tcBorders>
            <w:noWrap/>
            <w:hideMark/>
          </w:tcPr>
          <w:p w14:paraId="3FA86A0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bottom w:val="nil"/>
            </w:tcBorders>
            <w:noWrap/>
            <w:hideMark/>
          </w:tcPr>
          <w:p w14:paraId="3AF9796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0FB3F203"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0558256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94ECC70" w14:textId="77777777" w:rsidTr="007B6F6D">
        <w:trPr>
          <w:trHeight w:val="227"/>
        </w:trPr>
        <w:tc>
          <w:tcPr>
            <w:tcW w:w="0" w:type="auto"/>
            <w:tcBorders>
              <w:top w:val="nil"/>
              <w:left w:val="single" w:sz="4" w:space="0" w:color="auto"/>
              <w:bottom w:val="single" w:sz="4" w:space="0" w:color="auto"/>
              <w:right w:val="single" w:sz="4" w:space="0" w:color="auto"/>
            </w:tcBorders>
            <w:noWrap/>
            <w:hideMark/>
          </w:tcPr>
          <w:p w14:paraId="7DDA9953"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proofErr w:type="spellStart"/>
            <w:r w:rsidRPr="00154B9E">
              <w:rPr>
                <w:rFonts w:asciiTheme="majorBidi" w:eastAsia="Times New Roman" w:hAnsiTheme="majorBidi" w:cstheme="majorBidi"/>
                <w:b/>
                <w:bCs/>
                <w:color w:val="000000"/>
                <w:sz w:val="16"/>
                <w:szCs w:val="16"/>
              </w:rPr>
              <w:t>Finatis</w:t>
            </w:r>
            <w:proofErr w:type="spellEnd"/>
            <w:r w:rsidRPr="00154B9E">
              <w:rPr>
                <w:rFonts w:asciiTheme="majorBidi" w:eastAsia="Times New Roman" w:hAnsiTheme="majorBidi" w:cstheme="majorBidi"/>
                <w:b/>
                <w:bCs/>
                <w:color w:val="000000"/>
                <w:sz w:val="16"/>
                <w:szCs w:val="16"/>
              </w:rPr>
              <w:t xml:space="preserve"> </w:t>
            </w:r>
          </w:p>
        </w:tc>
        <w:tc>
          <w:tcPr>
            <w:tcW w:w="0" w:type="auto"/>
            <w:tcBorders>
              <w:top w:val="nil"/>
              <w:left w:val="single" w:sz="4" w:space="0" w:color="auto"/>
              <w:bottom w:val="single" w:sz="4" w:space="0" w:color="auto"/>
              <w:right w:val="single" w:sz="4" w:space="0" w:color="auto"/>
            </w:tcBorders>
          </w:tcPr>
          <w:p w14:paraId="4638EECD"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1</w:t>
            </w:r>
          </w:p>
        </w:tc>
        <w:tc>
          <w:tcPr>
            <w:tcW w:w="0" w:type="auto"/>
            <w:tcBorders>
              <w:top w:val="nil"/>
              <w:left w:val="single" w:sz="4" w:space="0" w:color="auto"/>
              <w:bottom w:val="single" w:sz="4" w:space="0" w:color="auto"/>
            </w:tcBorders>
            <w:noWrap/>
            <w:hideMark/>
          </w:tcPr>
          <w:p w14:paraId="112E0CD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nil"/>
              <w:bottom w:val="single" w:sz="4" w:space="0" w:color="auto"/>
            </w:tcBorders>
            <w:hideMark/>
          </w:tcPr>
          <w:p w14:paraId="2EAE2EFA"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r w:rsidRPr="00154B9E">
              <w:rPr>
                <w:rFonts w:asciiTheme="majorBidi" w:eastAsia="Times New Roman" w:hAnsiTheme="majorBidi" w:cstheme="majorBidi"/>
                <w:color w:val="000000"/>
                <w:sz w:val="16"/>
                <w:szCs w:val="16"/>
              </w:rPr>
              <w:t>x</w:t>
            </w:r>
          </w:p>
        </w:tc>
        <w:tc>
          <w:tcPr>
            <w:tcW w:w="0" w:type="auto"/>
            <w:tcBorders>
              <w:top w:val="nil"/>
              <w:bottom w:val="single" w:sz="4" w:space="0" w:color="auto"/>
            </w:tcBorders>
            <w:noWrap/>
            <w:hideMark/>
          </w:tcPr>
          <w:p w14:paraId="6B4CF52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nil"/>
              <w:bottom w:val="single" w:sz="4" w:space="0" w:color="auto"/>
              <w:right w:val="single" w:sz="4" w:space="0" w:color="auto"/>
            </w:tcBorders>
            <w:noWrap/>
            <w:hideMark/>
          </w:tcPr>
          <w:p w14:paraId="0264B15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nil"/>
              <w:left w:val="single" w:sz="4" w:space="0" w:color="auto"/>
              <w:bottom w:val="single" w:sz="4" w:space="0" w:color="auto"/>
            </w:tcBorders>
            <w:noWrap/>
            <w:hideMark/>
          </w:tcPr>
          <w:p w14:paraId="6BF3C22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nil"/>
              <w:bottom w:val="single" w:sz="4" w:space="0" w:color="auto"/>
            </w:tcBorders>
            <w:noWrap/>
            <w:hideMark/>
          </w:tcPr>
          <w:p w14:paraId="016C157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noWrap/>
            <w:hideMark/>
          </w:tcPr>
          <w:p w14:paraId="2A7FF868"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right w:val="single" w:sz="4" w:space="0" w:color="auto"/>
            </w:tcBorders>
            <w:noWrap/>
            <w:hideMark/>
          </w:tcPr>
          <w:p w14:paraId="0A696B87"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r w:rsidR="00154B9E" w:rsidRPr="00154B9E" w14:paraId="028C6AD1" w14:textId="77777777" w:rsidTr="007B6F6D">
        <w:trPr>
          <w:trHeight w:val="227"/>
        </w:trPr>
        <w:tc>
          <w:tcPr>
            <w:tcW w:w="0" w:type="auto"/>
            <w:tcBorders>
              <w:top w:val="single" w:sz="4" w:space="0" w:color="auto"/>
              <w:left w:val="single" w:sz="4" w:space="0" w:color="auto"/>
              <w:bottom w:val="single" w:sz="4" w:space="0" w:color="auto"/>
              <w:right w:val="single" w:sz="4" w:space="0" w:color="auto"/>
            </w:tcBorders>
            <w:noWrap/>
            <w:hideMark/>
          </w:tcPr>
          <w:p w14:paraId="2F058ADD" w14:textId="77777777" w:rsidR="00154B9E" w:rsidRPr="00154B9E" w:rsidRDefault="00154B9E" w:rsidP="00154B9E">
            <w:pPr>
              <w:spacing w:line="240" w:lineRule="auto"/>
              <w:rPr>
                <w:rFonts w:asciiTheme="majorBidi" w:eastAsia="Times New Roman" w:hAnsiTheme="majorBidi" w:cstheme="majorBidi"/>
                <w:b/>
                <w:bCs/>
                <w:color w:val="000000"/>
                <w:sz w:val="16"/>
                <w:szCs w:val="16"/>
              </w:rPr>
            </w:pPr>
            <w:r w:rsidRPr="00154B9E">
              <w:rPr>
                <w:rFonts w:asciiTheme="majorBidi" w:eastAsia="Times New Roman" w:hAnsiTheme="majorBidi" w:cstheme="majorBidi"/>
                <w:b/>
                <w:bCs/>
                <w:color w:val="000000"/>
                <w:sz w:val="16"/>
                <w:szCs w:val="16"/>
              </w:rPr>
              <w:lastRenderedPageBreak/>
              <w:t>AXA</w:t>
            </w:r>
          </w:p>
        </w:tc>
        <w:tc>
          <w:tcPr>
            <w:tcW w:w="0" w:type="auto"/>
            <w:tcBorders>
              <w:top w:val="single" w:sz="4" w:space="0" w:color="auto"/>
              <w:left w:val="single" w:sz="4" w:space="0" w:color="auto"/>
              <w:bottom w:val="single" w:sz="4" w:space="0" w:color="auto"/>
              <w:right w:val="single" w:sz="4" w:space="0" w:color="auto"/>
            </w:tcBorders>
          </w:tcPr>
          <w:p w14:paraId="02AD1BE4" w14:textId="77777777" w:rsidR="00154B9E" w:rsidRPr="00154B9E" w:rsidRDefault="00154B9E" w:rsidP="00154B9E">
            <w:pPr>
              <w:spacing w:line="240" w:lineRule="auto"/>
              <w:jc w:val="left"/>
              <w:rPr>
                <w:rFonts w:asciiTheme="majorBidi" w:eastAsia="Times New Roman" w:hAnsiTheme="majorBidi" w:cstheme="majorBidi"/>
                <w:color w:val="000000"/>
                <w:sz w:val="16"/>
                <w:szCs w:val="16"/>
              </w:rPr>
            </w:pPr>
            <w:r w:rsidRPr="00154B9E">
              <w:rPr>
                <w:rFonts w:asciiTheme="majorBidi" w:eastAsia="Times New Roman" w:hAnsiTheme="majorBidi" w:cstheme="majorBidi"/>
                <w:b/>
                <w:bCs/>
                <w:color w:val="000000"/>
                <w:sz w:val="16"/>
                <w:szCs w:val="16"/>
              </w:rPr>
              <w:t>0</w:t>
            </w:r>
          </w:p>
        </w:tc>
        <w:tc>
          <w:tcPr>
            <w:tcW w:w="0" w:type="auto"/>
            <w:tcBorders>
              <w:top w:val="single" w:sz="4" w:space="0" w:color="auto"/>
              <w:left w:val="single" w:sz="4" w:space="0" w:color="auto"/>
              <w:bottom w:val="single" w:sz="4" w:space="0" w:color="auto"/>
            </w:tcBorders>
            <w:noWrap/>
            <w:hideMark/>
          </w:tcPr>
          <w:p w14:paraId="46139C4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single" w:sz="4" w:space="0" w:color="auto"/>
              <w:bottom w:val="single" w:sz="4" w:space="0" w:color="auto"/>
            </w:tcBorders>
            <w:noWrap/>
            <w:hideMark/>
          </w:tcPr>
          <w:p w14:paraId="795E686E"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single" w:sz="4" w:space="0" w:color="auto"/>
              <w:bottom w:val="single" w:sz="4" w:space="0" w:color="auto"/>
            </w:tcBorders>
            <w:noWrap/>
            <w:hideMark/>
          </w:tcPr>
          <w:p w14:paraId="35D931F5"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single" w:sz="4" w:space="0" w:color="auto"/>
              <w:bottom w:val="single" w:sz="4" w:space="0" w:color="auto"/>
            </w:tcBorders>
            <w:noWrap/>
            <w:hideMark/>
          </w:tcPr>
          <w:p w14:paraId="685E505B"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single" w:sz="4" w:space="0" w:color="auto"/>
              <w:bottom w:val="single" w:sz="4" w:space="0" w:color="auto"/>
            </w:tcBorders>
            <w:noWrap/>
            <w:hideMark/>
          </w:tcPr>
          <w:p w14:paraId="053D906C"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top w:val="single" w:sz="4" w:space="0" w:color="auto"/>
              <w:bottom w:val="single" w:sz="4" w:space="0" w:color="auto"/>
            </w:tcBorders>
            <w:noWrap/>
            <w:hideMark/>
          </w:tcPr>
          <w:p w14:paraId="25DA3F26"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bottom w:val="single" w:sz="4" w:space="0" w:color="auto"/>
            </w:tcBorders>
            <w:noWrap/>
            <w:hideMark/>
          </w:tcPr>
          <w:p w14:paraId="40B56C52"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c>
          <w:tcPr>
            <w:tcW w:w="0" w:type="auto"/>
            <w:tcBorders>
              <w:bottom w:val="single" w:sz="4" w:space="0" w:color="auto"/>
              <w:right w:val="single" w:sz="4" w:space="0" w:color="auto"/>
            </w:tcBorders>
            <w:noWrap/>
            <w:hideMark/>
          </w:tcPr>
          <w:p w14:paraId="0B0965A0" w14:textId="77777777" w:rsidR="00154B9E" w:rsidRPr="00154B9E" w:rsidRDefault="00154B9E" w:rsidP="00154B9E">
            <w:pPr>
              <w:spacing w:line="240" w:lineRule="auto"/>
              <w:jc w:val="center"/>
              <w:rPr>
                <w:rFonts w:asciiTheme="majorBidi" w:eastAsia="Times New Roman" w:hAnsiTheme="majorBidi" w:cstheme="majorBidi"/>
                <w:color w:val="000000"/>
                <w:sz w:val="16"/>
                <w:szCs w:val="16"/>
              </w:rPr>
            </w:pPr>
          </w:p>
        </w:tc>
      </w:tr>
    </w:tbl>
    <w:p w14:paraId="5CD90D42" w14:textId="77777777" w:rsidR="00BE15A4" w:rsidRDefault="00BE15A4" w:rsidP="00BE15A4"/>
    <w:p w14:paraId="03A7985F" w14:textId="77777777" w:rsidR="00BE15A4" w:rsidRDefault="00BE15A4">
      <w:pPr>
        <w:spacing w:line="259" w:lineRule="auto"/>
        <w:jc w:val="left"/>
        <w:rPr>
          <w:rFonts w:eastAsia="Arial" w:cs="Arial"/>
          <w:b/>
          <w:sz w:val="32"/>
          <w:szCs w:val="32"/>
        </w:rPr>
      </w:pPr>
      <w:r>
        <w:br w:type="page"/>
      </w:r>
    </w:p>
    <w:p w14:paraId="63743467" w14:textId="7BC65B40" w:rsidR="006379C0" w:rsidRDefault="006379C0" w:rsidP="00C40240">
      <w:pPr>
        <w:pStyle w:val="Heading1"/>
      </w:pPr>
      <w:bookmarkStart w:id="41" w:name="_Toc157759503"/>
      <w:r>
        <w:lastRenderedPageBreak/>
        <w:t>Review of the literature and formulation of the research hypotheses</w:t>
      </w:r>
      <w:bookmarkEnd w:id="41"/>
    </w:p>
    <w:bookmarkEnd w:id="15"/>
    <w:p w14:paraId="58271D62" w14:textId="03B6466E" w:rsidR="00E73C3E" w:rsidRPr="00BA784A" w:rsidRDefault="00D051E8" w:rsidP="002F7336">
      <w:r>
        <w:t>T</w:t>
      </w:r>
      <w:r w:rsidRPr="00C54A34">
        <w:t xml:space="preserve">he adoption of </w:t>
      </w:r>
      <w:r w:rsidR="0084141F">
        <w:t>Circular Economy</w:t>
      </w:r>
      <w:r w:rsidRPr="00C54A34">
        <w:t xml:space="preserve"> practices </w:t>
      </w:r>
      <w:r w:rsidR="0084141F">
        <w:t xml:space="preserve">was </w:t>
      </w:r>
      <w:r w:rsidRPr="00C54A34">
        <w:t xml:space="preserve">defined </w:t>
      </w:r>
      <w:r w:rsidR="0084141F">
        <w:t xml:space="preserve">in the Chapter </w:t>
      </w:r>
      <w:r w:rsidR="00BA784A">
        <w:t xml:space="preserve">2 </w:t>
      </w:r>
      <w:r w:rsidRPr="00C54A34">
        <w:t xml:space="preserve">through an empirical exploration of the industrial practice. </w:t>
      </w:r>
      <w:r w:rsidR="00BA784A">
        <w:t>Circular Economy</w:t>
      </w:r>
      <w:r w:rsidR="00BA784A" w:rsidRPr="00C54A34">
        <w:t xml:space="preserve"> </w:t>
      </w:r>
      <w:r w:rsidRPr="00C54A34">
        <w:t xml:space="preserve">practices, as well as their drivers </w:t>
      </w:r>
      <w:r w:rsidR="00BA784A">
        <w:t xml:space="preserve">were </w:t>
      </w:r>
      <w:r w:rsidRPr="00C54A34">
        <w:t xml:space="preserve">identified, and two broad propositions </w:t>
      </w:r>
      <w:r w:rsidR="00BA784A">
        <w:t>were</w:t>
      </w:r>
      <w:r w:rsidRPr="00C54A34">
        <w:t xml:space="preserve"> generated: </w:t>
      </w:r>
      <w:r w:rsidR="000C07E5">
        <w:t>I</w:t>
      </w:r>
      <w:r w:rsidRPr="00C54A34">
        <w:t xml:space="preserve">nstitutional </w:t>
      </w:r>
      <w:r w:rsidR="000C07E5">
        <w:t>P</w:t>
      </w:r>
      <w:r w:rsidRPr="00C54A34">
        <w:t xml:space="preserve">ressures and </w:t>
      </w:r>
      <w:r w:rsidR="000C07E5">
        <w:t>S</w:t>
      </w:r>
      <w:r w:rsidRPr="00C54A34">
        <w:t xml:space="preserve">upply </w:t>
      </w:r>
      <w:r w:rsidR="000C07E5">
        <w:t>C</w:t>
      </w:r>
      <w:r w:rsidRPr="00C54A34">
        <w:t xml:space="preserve">hain </w:t>
      </w:r>
      <w:r w:rsidR="000C07E5">
        <w:t>I</w:t>
      </w:r>
      <w:r w:rsidRPr="00C54A34">
        <w:t xml:space="preserve">ntegration might have a relation with the propensity of firms to adopt </w:t>
      </w:r>
      <w:r w:rsidR="000C07E5">
        <w:t>Circular Economy</w:t>
      </w:r>
      <w:r w:rsidR="000C07E5" w:rsidRPr="00C54A34">
        <w:t xml:space="preserve"> </w:t>
      </w:r>
      <w:r w:rsidRPr="00C54A34">
        <w:t xml:space="preserve">practices. </w:t>
      </w:r>
      <w:r w:rsidR="00E73C3E">
        <w:t>T</w:t>
      </w:r>
      <w:r w:rsidR="00E73C3E" w:rsidRPr="005074E7">
        <w:t>his chapter aims at framing the research problem</w:t>
      </w:r>
      <w:r w:rsidR="00E73C3E" w:rsidRPr="001C7918" w:rsidDel="00146D92">
        <w:t xml:space="preserve"> </w:t>
      </w:r>
      <w:r w:rsidR="0084141F">
        <w:t xml:space="preserve">further </w:t>
      </w:r>
      <w:r w:rsidR="00E73C3E">
        <w:t xml:space="preserve">by </w:t>
      </w:r>
      <w:r w:rsidR="00E73C3E" w:rsidRPr="001C7918">
        <w:t xml:space="preserve">reviewing </w:t>
      </w:r>
      <w:r w:rsidR="00E73C3E">
        <w:t xml:space="preserve">the academic literature. </w:t>
      </w:r>
      <w:r w:rsidR="00BA784A">
        <w:t xml:space="preserve">First it gives </w:t>
      </w:r>
      <w:r w:rsidR="00E73C3E">
        <w:t xml:space="preserve">an overview of the </w:t>
      </w:r>
      <w:r w:rsidR="000C07E5">
        <w:t xml:space="preserve">Circular Economy </w:t>
      </w:r>
      <w:r w:rsidR="00E73C3E">
        <w:t xml:space="preserve">concept and of the </w:t>
      </w:r>
      <w:r w:rsidR="000C07E5">
        <w:t xml:space="preserve">Circular Economy </w:t>
      </w:r>
      <w:r w:rsidR="00E73C3E">
        <w:t>discourse in supply chains,</w:t>
      </w:r>
      <w:r w:rsidR="00BA784A">
        <w:t xml:space="preserve"> and then, through a </w:t>
      </w:r>
      <w:r w:rsidR="00E73C3E">
        <w:t>critical literature review</w:t>
      </w:r>
      <w:r w:rsidR="00BA784A">
        <w:t xml:space="preserve">, it </w:t>
      </w:r>
      <w:r w:rsidR="00E73C3E">
        <w:t xml:space="preserve">explores the role of </w:t>
      </w:r>
      <w:r w:rsidR="000C07E5">
        <w:t>I</w:t>
      </w:r>
      <w:r w:rsidR="00E73C3E">
        <w:t xml:space="preserve">nstitutional </w:t>
      </w:r>
      <w:r w:rsidR="000C07E5">
        <w:t>P</w:t>
      </w:r>
      <w:r w:rsidR="00E73C3E">
        <w:t xml:space="preserve">ressures and of </w:t>
      </w:r>
      <w:r w:rsidR="000C07E5">
        <w:t>S</w:t>
      </w:r>
      <w:r w:rsidR="00E73C3E">
        <w:t xml:space="preserve">upply </w:t>
      </w:r>
      <w:r w:rsidR="000C07E5">
        <w:t>C</w:t>
      </w:r>
      <w:r w:rsidR="00E73C3E">
        <w:t xml:space="preserve">hain </w:t>
      </w:r>
      <w:r w:rsidR="000C07E5">
        <w:t>I</w:t>
      </w:r>
      <w:r w:rsidR="00E73C3E">
        <w:t xml:space="preserve">ntegration in driving or enabling the adoption of </w:t>
      </w:r>
      <w:r w:rsidR="000C07E5">
        <w:t xml:space="preserve">Circular Economy </w:t>
      </w:r>
      <w:r w:rsidR="00E73C3E">
        <w:t xml:space="preserve">(and, more widely, of ‘sustainable’ and ‘green’) practices in firms and in their global supply chains. </w:t>
      </w:r>
      <w:r w:rsidR="00E73C3E" w:rsidRPr="00BA784A">
        <w:t xml:space="preserve">Finally, the different ideas found in the literature are integrated in a cohesive argument, which describes the hypothesised relationship among the different concepts, in the form of a conceptual model. </w:t>
      </w:r>
    </w:p>
    <w:p w14:paraId="6F9F0C85" w14:textId="77777777" w:rsidR="00E73C3E" w:rsidRDefault="00E73C3E" w:rsidP="005035B4">
      <w:pPr>
        <w:pStyle w:val="Heading2"/>
      </w:pPr>
      <w:bookmarkStart w:id="42" w:name="_Toc49839808"/>
      <w:bookmarkStart w:id="43" w:name="_Toc157759504"/>
      <w:r w:rsidRPr="00B92C1C">
        <w:t>Circular</w:t>
      </w:r>
      <w:r w:rsidRPr="007254F1">
        <w:t xml:space="preserve"> supply chains and production systems: an overview</w:t>
      </w:r>
      <w:bookmarkEnd w:id="42"/>
      <w:bookmarkEnd w:id="43"/>
    </w:p>
    <w:p w14:paraId="1BAAD5BC" w14:textId="77777777" w:rsidR="00492418" w:rsidRPr="00E81FD2" w:rsidRDefault="00492418" w:rsidP="002F7336">
      <w:pPr>
        <w:rPr>
          <w:highlight w:val="yellow"/>
        </w:rPr>
      </w:pPr>
      <w:bookmarkStart w:id="44" w:name="_Toc39268470"/>
      <w:bookmarkStart w:id="45" w:name="_Toc49839809"/>
      <w:r w:rsidRPr="00E81FD2">
        <w:t xml:space="preserve">In the Circular Economy (CE) paradigm every economic activity is designed and planned to maximise ecosystem functioning and human well-being </w:t>
      </w:r>
      <w:r w:rsidRPr="00E81FD2">
        <w:fldChar w:fldCharType="begin" w:fldLock="1"/>
      </w:r>
      <w:r w:rsidRPr="00E81FD2">
        <w:instrText>ADDIN CSL_CITATION {"citationItems":[{"id":"ITEM-1","itemData":{"DOI":"10.1007/s10551-015-2693-2","ISSN":"15730697","abstract":"© 2015, Springer Science+Business Media Dordrecht. There have long been calls from industry for guidance in implementing strategies for sustainable development. The Circular Economy represents the most recent attempt to conceptualize the integration of economic activity and environmental wellbeing in a sustainable way. This set of ideas has been adopted by China as the basis of their economic development (included in both the 11th and the 12th ‘Five Year Plan’), escalating the concept in minds of western policymakers and NGOs. This paper traces the conceptualisations and origins of the Circular Economy, tracing its meanings, and exploring its antecedents in economics and ecology, and discusses how the Circular Economy has been operationalized in business and policy. The paper finds that while the Circular Economy places emphasis on the redesign of processes and cycling of materials, which may contribute to more sustainable business models, it also encapsulates tensions and limitations. These include an absence of the social dimension inherent in sustainable development that limits its ethical dimensions, and some unintended consequences. This leads us to propose a revised definition of the Circular Economy as “an economic model wherein planning, resourcing, procurement, production and reprocessing are designed and managed, as both process and output, to maximize ecosystem functioning and human well-being”.","author":[{"dropping-particle":"","family":"Murray","given":"Alan","non-dropping-particle":"","parse-names":false,"suffix":""},{"dropping-particle":"","family":"Skene","given":"Keith","non-dropping-particle":"","parse-names":false,"suffix":""},{"dropping-particle":"","family":"Haynes","given":"Kathryn","non-dropping-particle":"","parse-names":false,"suffix":""}],"container-title":"Journal of Business Ethics","id":"ITEM-1","issue":"3","issued":{"date-parts":[["2017","2","1"]]},"page":"369-380","publisher":"Springer Netherlands","title":"The Circular Economy: An Interdisciplinary Exploration of the Concept and Application in a Global Context","type":"article-journal","volume":"140"},"uris":["http://www.mendeley.com/documents/?uuid=18ddad2d-f943-3a65-a9c5-ba6c9849a1b8"]}],"mendeley":{"formattedCitation":"(Murray et al., 2017)","plainTextFormattedCitation":"(Murray et al., 2017)","previouslyFormattedCitation":"(Murray et al., 2017)"},"properties":{"noteIndex":0},"schema":"https://github.com/citation-style-language/schema/raw/master/csl-citation.json"}</w:instrText>
      </w:r>
      <w:r w:rsidRPr="00E81FD2">
        <w:fldChar w:fldCharType="separate"/>
      </w:r>
      <w:r w:rsidRPr="00E81FD2">
        <w:rPr>
          <w:noProof/>
        </w:rPr>
        <w:t>(Murray et al., 2017)</w:t>
      </w:r>
      <w:r w:rsidRPr="00E81FD2">
        <w:fldChar w:fldCharType="end"/>
      </w:r>
      <w:r w:rsidRPr="00E81FD2">
        <w:t xml:space="preserve">. As such, the frontiers of environmental sustainability are pushed forward, and products are transformed in such a way that there are workable relationships between ecological systems, economic growth and human well-being.  Therefore, CE does not aim only at reducing the negative social and environmental impacts of production and consumption systems (e.g. pollution, creation of waste, resource depletion), but rather to establish self-sustaining production systems where products and resources at the end of their life are not wasted but exchanged, reused and recycled </w:t>
      </w:r>
      <w:r w:rsidRPr="00E81FD2">
        <w:fldChar w:fldCharType="begin" w:fldLock="1"/>
      </w:r>
      <w:r w:rsidRPr="00E81FD2">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applications","type":"article-journal","volume":"66"},"uris":["http://www.mendeley.com/documents/?uuid=5dd8e2c4-fae0-4040-ae7c-ed96e73d9ca4"]}],"mendeley":{"formattedCitation":"(Genovese et al., 2017)","plainTextFormattedCitation":"(Genovese et al., 2017)","previouslyFormattedCitation":"(Genovese et al., 2017)"},"properties":{"noteIndex":0},"schema":"https://github.com/citation-style-language/schema/raw/master/csl-citation.json"}</w:instrText>
      </w:r>
      <w:r w:rsidRPr="00E81FD2">
        <w:fldChar w:fldCharType="separate"/>
      </w:r>
      <w:r w:rsidRPr="00E81FD2">
        <w:rPr>
          <w:noProof/>
        </w:rPr>
        <w:t>(Genovese et al., 2017)</w:t>
      </w:r>
      <w:r w:rsidRPr="00E81FD2">
        <w:fldChar w:fldCharType="end"/>
      </w:r>
      <w:r w:rsidRPr="00E81FD2">
        <w:t xml:space="preserve">. Circular production systems should also take into consideration the environmental and social costs of the externalities associated with the depletion of resources that are used </w:t>
      </w:r>
      <w:r w:rsidRPr="00E81FD2">
        <w:fldChar w:fldCharType="begin" w:fldLock="1"/>
      </w:r>
      <w:r w:rsidRPr="00E81FD2">
        <w:instrText>ADDIN CSL_CITATION {"citationItems":[{"id":"ITEM-1","itemData":{"DOI":"10.1007/s11625-006-0013-6","ISSN":"18624065","abstract":"This paper provides an introduction to some of the fundamental principles and approaches in environmental economics which are of significance to achieving an integrated sustainability science. The concept of a circular economy, introduced by the late David Pearce in 1990, addresses the interlinkages of the four economic functions of the environment. The environment not only provides amenity values, in addition to being a resource base and a sink for economic activities, it is also a fundamental life-support system. Environmental economists have suggested that, taking these four functions as an analytical starting point, unpriced or underpriced services should be internalised in the economy. In Europe significant advances have been achieved in the pricing of externalities by means of truly interdisciplinary analysis which accounts in detail for the environmental consequences. The monetary estimates reached as a result of such interdisciplinary research are gradually being applied to the economic analysis of environmental policy priorities. Although such figures provide only a partial and incomplete picture of the environmental costs at stake, they support and inform the analysis of the virtues of a circular economy for individual resources as well as for sustainability as a future trajectory. © Integrated Research System for Sustainability Science and Springer 2006.","author":[{"dropping-particle":"","family":"Andersen","given":"Mikael Skou","non-dropping-particle":"","parse-names":false,"suffix":""}],"container-title":"Sustainability Science","id":"ITEM-1","issue":"1","issued":{"date-parts":[["2007"]]},"page":"133-140","title":"An introductory note on the environmental economics of the circular economy","type":"article-journal","volume":"2"},"uris":["http://www.mendeley.com/documents/?uuid=cd5fc50d-108c-4fb1-b5a2-0766c51c1946"]}],"mendeley":{"formattedCitation":"(Andersen, 2007)","plainTextFormattedCitation":"(Andersen, 2007)","previouslyFormattedCitation":"(Andersen, 2007)"},"properties":{"noteIndex":0},"schema":"https://github.com/citation-style-language/schema/raw/master/csl-citation.json"}</w:instrText>
      </w:r>
      <w:r w:rsidRPr="00E81FD2">
        <w:fldChar w:fldCharType="separate"/>
      </w:r>
      <w:r w:rsidRPr="00E81FD2">
        <w:rPr>
          <w:noProof/>
        </w:rPr>
        <w:t>(Andersen, 2007)</w:t>
      </w:r>
      <w:r w:rsidRPr="00E81FD2">
        <w:fldChar w:fldCharType="end"/>
      </w:r>
      <w:r w:rsidRPr="00E81FD2">
        <w:t xml:space="preserve">. However, the fact that these costs are not usually incorporated in prices and in market transactions constitutes a significant barrier to implementing circular production systems </w:t>
      </w:r>
      <w:r w:rsidRPr="00E81FD2">
        <w:fldChar w:fldCharType="begin" w:fldLock="1"/>
      </w:r>
      <w:r w:rsidRPr="00E81FD2">
        <w:instrText>ADDIN CSL_CITATION {"citationItems":[{"id":"ITEM-1","itemData":{"author":[{"dropping-particle":"","family":"Webster","given":"Ken","non-dropping-particle":"","parse-names":false,"suffix":""}],"editor":[{"dropping-particle":"","family":"Publishing","given":"Ellen MacArthur Foundation","non-dropping-particle":"","parse-names":false,"suffix":""}],"id":"ITEM-1","issued":{"date-parts":[["2017"]]},"title":"The circular economy: A wealth of flows","type":"book"},"uris":["http://www.mendeley.com/documents/?uuid=86861a01-f024-4a7e-86d5-b09b432e5e88"]}],"mendeley":{"formattedCitation":"(Webster, 2017)","plainTextFormattedCitation":"(Webster, 2017)","previouslyFormattedCitation":"(Webster, 2017)"},"properties":{"noteIndex":0},"schema":"https://github.com/citation-style-language/schema/raw/master/csl-citation.json"}</w:instrText>
      </w:r>
      <w:r w:rsidRPr="00E81FD2">
        <w:fldChar w:fldCharType="separate"/>
      </w:r>
      <w:r w:rsidRPr="00E81FD2">
        <w:rPr>
          <w:noProof/>
        </w:rPr>
        <w:t>(Webster, 2017)</w:t>
      </w:r>
      <w:r w:rsidRPr="00E81FD2">
        <w:fldChar w:fldCharType="end"/>
      </w:r>
      <w:r w:rsidRPr="00E81FD2">
        <w:t>.</w:t>
      </w:r>
    </w:p>
    <w:p w14:paraId="03D64C3E" w14:textId="77777777" w:rsidR="00492418" w:rsidRPr="00E81FD2" w:rsidRDefault="00492418" w:rsidP="002F7336">
      <w:r w:rsidRPr="00E81FD2">
        <w:t xml:space="preserve">Because of the benefits of Circular Supply Chains (CSCs), it is unsurprising that manufacturing industries have recently been placing more emphasis on achieving sustainable production, by shifting from simple mitigation actions to a focus on prevention of environmental damages, based on whole lifecycle assessments and integrated environmental </w:t>
      </w:r>
      <w:r w:rsidRPr="00E81FD2">
        <w:lastRenderedPageBreak/>
        <w:t xml:space="preserve">strategies and management systems. This trend has become apparent also in the academic literature focused on supply chain management </w:t>
      </w:r>
      <w:r w:rsidRPr="00E81FD2">
        <w:fldChar w:fldCharType="begin" w:fldLock="1"/>
      </w:r>
      <w:r w:rsidRPr="00E81FD2">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applications","type":"article-journal","volume":"66"},"uris":["http://www.mendeley.com/documents/?uuid=5dd8e2c4-fae0-4040-ae7c-ed96e73d9ca4"]}],"mendeley":{"formattedCitation":"(Genovese et al., 2017)","plainTextFormattedCitation":"(Genovese et al., 2017)","previouslyFormattedCitation":"(Genovese et al., 2017)"},"properties":{"noteIndex":0},"schema":"https://github.com/citation-style-language/schema/raw/master/csl-citation.json"}</w:instrText>
      </w:r>
      <w:r w:rsidRPr="00E81FD2">
        <w:fldChar w:fldCharType="separate"/>
      </w:r>
      <w:r w:rsidRPr="00E81FD2">
        <w:rPr>
          <w:noProof/>
        </w:rPr>
        <w:t>(Genovese et al., 2017)</w:t>
      </w:r>
      <w:r w:rsidRPr="00E81FD2">
        <w:fldChar w:fldCharType="end"/>
      </w:r>
      <w:r w:rsidRPr="00E81FD2">
        <w:t>.</w:t>
      </w:r>
    </w:p>
    <w:p w14:paraId="4549FFA9" w14:textId="77777777" w:rsidR="00E73C3E" w:rsidRDefault="00E73C3E" w:rsidP="005035B4">
      <w:pPr>
        <w:pStyle w:val="Heading3"/>
      </w:pPr>
      <w:bookmarkStart w:id="46" w:name="_Toc157759505"/>
      <w:r>
        <w:t xml:space="preserve">The </w:t>
      </w:r>
      <w:r w:rsidRPr="006D6C08">
        <w:t>origins</w:t>
      </w:r>
      <w:r>
        <w:t xml:space="preserve"> of the CE discourse in supply chains</w:t>
      </w:r>
      <w:bookmarkEnd w:id="44"/>
      <w:bookmarkEnd w:id="45"/>
      <w:bookmarkEnd w:id="46"/>
    </w:p>
    <w:p w14:paraId="4847E8C1" w14:textId="77777777" w:rsidR="00492418" w:rsidRPr="00E81FD2" w:rsidRDefault="00492418" w:rsidP="002F7336">
      <w:r w:rsidRPr="00E81FD2">
        <w:t xml:space="preserve">Several research streams have contributed to the emergence of the CE discourse in the supply chain management literature, namely Industrial Ecology (IE), Green and Sustainable Supply Chain Management (from now on also GSCM and SSCM) and Closed-Loop Supply Chain Management (CLSCM). Many scholars claim that the first elements have arisen in the IE literature </w:t>
      </w:r>
      <w:r w:rsidRPr="00E81FD2">
        <w:fldChar w:fldCharType="begin" w:fldLock="1"/>
      </w:r>
      <w:r w:rsidRPr="00E81FD2">
        <w:instrText>ADDIN CSL_CITATION {"citationItems":[{"id":"ITEM-1","itemData":{"DOI":"10.1016/j.jclepro.2017.12.111","ISSN":"09596526","abstract":"The Circular Economy (CE) is currently a popular notion within the policy and business advocacy groups. Despite being visionary and provocative in its message, the research on the CE concept is emerging. The two intertwined objectives of the paper are; first to identify, discuss and develop the various definitions provided by the emerging literature. Secondly, to suggest an initial research approach with which research on CE can be conducted. Our analysis shows that the existing CE work is mainly done on the practical and technical levels of the actual physical flows of materials and energy in production-consumption systems. The focus of the extant literature is on concrete metrics, tools, instruments and computations. Therefore, the basic assumptions concerning the values, societal structures, cultures, underlying world-views and the paradigmatic potential of CE remain largely unexplored. We argue that CE has already become what Gallie (1955) more than six decades ago termed as an “essentially contested concept” (ECC). The paper further suggests a model for CE research that helps in the categorization, classification and organization of research and investigation on CE. The model can help in limiting the observed unbalance and enhance the contribution of the CE approach to a more sustainable global society.","author":[{"dropping-particle":"","family":"Korhonen","given":"Jouni","non-dropping-particle":"","parse-names":false,"suffix":""},{"dropping-particle":"","family":"Nuur","given":"Cali","non-dropping-particle":"","parse-names":false,"suffix":""},{"dropping-particle":"","family":"Feldmann","given":"Andreas","non-dropping-particle":"","parse-names":false,"suffix":""},{"dropping-particle":"","family":"Birkie","given":"Seyoum Eshetu","non-dropping-particle":"","parse-names":false,"suffix":""}],"container-title":"Journal of Cleaner Production","id":"ITEM-1","issued":{"date-parts":[["2018"]]},"page":"544-552","publisher":"Elsevier Ltd","title":"Circular economy as an essentially contested concept","type":"article-journal","volume":"175"},"uris":["http://www.mendeley.com/documents/?uuid=3e9a13ee-95df-4eb4-8018-1c996496fbfa"]}],"mendeley":{"formattedCitation":"(Korhonen et al., 2018)","plainTextFormattedCitation":"(Korhonen et al., 2018)","previouslyFormattedCitation":"(Korhonen et al., 2018)"},"properties":{"noteIndex":0},"schema":"https://github.com/citation-style-language/schema/raw/master/csl-citation.json"}</w:instrText>
      </w:r>
      <w:r w:rsidRPr="00E81FD2">
        <w:fldChar w:fldCharType="separate"/>
      </w:r>
      <w:r w:rsidRPr="00E81FD2">
        <w:rPr>
          <w:noProof/>
        </w:rPr>
        <w:t>(Korhonen et al., 2018)</w:t>
      </w:r>
      <w:r w:rsidRPr="00E81FD2">
        <w:fldChar w:fldCharType="end"/>
      </w:r>
      <w:r w:rsidRPr="00E81FD2">
        <w:t xml:space="preserve">. Focusing on the interchange of resources and waste streams within clusters of firms, IE gave rise to Industrial Symbiosis networks (Figure 1), which are considered an early prototype of closed-loop supply chains </w:t>
      </w:r>
      <w:r w:rsidRPr="00E81FD2">
        <w:fldChar w:fldCharType="begin" w:fldLock="1"/>
      </w:r>
      <w:r w:rsidRPr="00E81FD2">
        <w:instrText>ADDIN CSL_CITATION {"citationItems":[{"id":"ITEM-1","itemData":{"DOI":"10.1016/j.jclepro.2015.09.007","ISSN":"09596526","abstract":"In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Production","id":"ITEM-1","issued":{"date-parts":[["2016"]]},"page":"11-32","publisher":"Elsevier Ltd","title":"A review on circular economy: The expected transition to a balanced interplay of environmental and economic systems","type":"article-journal","volume":"114"},"uris":["http://www.mendeley.com/documents/?uuid=6fc3279a-678e-4520-acd8-f1f9b6916ce4"]}],"mendeley":{"formattedCitation":"(Ghisellini et al., 2016)","plainTextFormattedCitation":"(Ghisellini et al., 2016)","previouslyFormattedCitation":"(Ghisellini et al., 2016)"},"properties":{"noteIndex":0},"schema":"https://github.com/citation-style-language/schema/raw/master/csl-citation.json"}</w:instrText>
      </w:r>
      <w:r w:rsidRPr="00E81FD2">
        <w:fldChar w:fldCharType="separate"/>
      </w:r>
      <w:r w:rsidRPr="00E81FD2">
        <w:rPr>
          <w:noProof/>
        </w:rPr>
        <w:t>(Ghisellini et al., 2016)</w:t>
      </w:r>
      <w:r w:rsidRPr="00E81FD2">
        <w:fldChar w:fldCharType="end"/>
      </w:r>
      <w:r w:rsidRPr="00E81FD2">
        <w:t>.</w:t>
      </w:r>
    </w:p>
    <w:p w14:paraId="09B918E5" w14:textId="77777777" w:rsidR="00492418" w:rsidRPr="00E81FD2" w:rsidRDefault="00492418" w:rsidP="002F7336">
      <w:r w:rsidRPr="00E81FD2">
        <w:t xml:space="preserve">Also, in the last decades, GSCM and SSCM practices have emerged, trying to integrate environmental and social concerns into organisations by reducing unintended negative consequences of production and consumption processes. GSCM practices include five major elements: green purchasing, eco-design or design for the environment, internal environmental management, customer cooperation for environmental concerns, and investment recovery </w:t>
      </w:r>
      <w:r w:rsidRPr="00E81FD2">
        <w:fldChar w:fldCharType="begin" w:fldLock="1"/>
      </w:r>
      <w:r w:rsidRPr="00E81FD2">
        <w:instrText>ADDIN CSL_CITATION {"citationItems":[{"id":"ITEM-1","itemData":{"DOI":"10.1108/IJPDLM-01-2017-0049","ISSN":"09600035","abstract":"Purpose: Green supply chain management (GSCM) and the circular economy (CE) overlap but also differ. The purpose of this paper is to clarify linkages between these two concepts. It identifies mutual theory applications used to study GSCM and CE. Design/methodology/approach: A systematic literature review is conducted to identify theories from GSCM and CE studies. A critical analysis explores the theories that can provide mutual applications between GSCM and CE fields. Propositions are developed. Findings: In all, 12 theories are applied in both GSCM and CE studies. Several theories are only applied in GSCM studies, but can help to advance CE study. These theories include complexity, transaction cost economics, agency, and information theories. Each of the eight theories only applied to CE can potentially advance GSCM study. Research limitations/implications: The findings contribute to further theory development for both GSCM and CE study. A methodological review can advance theoretical development and cross-pollination in both fields. Originality/value: This work is the first study to explicitly explore linkages of GSCM and CE from a theoretical perspective.","author":[{"dropping-particle":"","family":"Liu","given":"Junjun","non-dropping-particle":"","parse-names":false,"suffix":""},{"dropping-particle":"","family":"Feng","given":"Yunting","non-dropping-particle":"","parse-names":false,"suffix":""},{"dropping-particle":"","family":"Zhu","given":"Qinghua","non-dropping-particle":"","parse-names":false,"suffix":""},{"dropping-particle":"","family":"Sarkis","given":"Joseph","non-dropping-particle":"","parse-names":false,"suffix":""}],"container-title":"International Journal of Physical Distribution and Logistics Management","id":"ITEM-1","issue":"8","issued":{"date-parts":[["2018"]]},"page":"794-817","title":"Green supply chain management and the circular economy: Reviewing theory for advancement of both fields","type":"article-journal","volume":"48"},"uris":["http://www.mendeley.com/documents/?uuid=cb60bd56-6f70-4f3d-809f-537e586bff97"]}],"mendeley":{"formattedCitation":"(Liu et al., 2018)","plainTextFormattedCitation":"(Liu et al., 2018)","previouslyFormattedCitation":"(Liu et al., 2018)"},"properties":{"noteIndex":0},"schema":"https://github.com/citation-style-language/schema/raw/master/csl-citation.json"}</w:instrText>
      </w:r>
      <w:r w:rsidRPr="00E81FD2">
        <w:fldChar w:fldCharType="separate"/>
      </w:r>
      <w:r w:rsidRPr="00E81FD2">
        <w:rPr>
          <w:noProof/>
        </w:rPr>
        <w:t>(Liu et al., 2018)</w:t>
      </w:r>
      <w:r w:rsidRPr="00E81FD2">
        <w:fldChar w:fldCharType="end"/>
      </w:r>
      <w:r w:rsidRPr="00E81FD2">
        <w:t xml:space="preserve">. Green Supply Chains are an important building block towards CE, even if an explicit mention of CE practices was absent in this sub-field in the literature, until recently. </w:t>
      </w:r>
    </w:p>
    <w:p w14:paraId="488030E1" w14:textId="45D645FE" w:rsidR="00D06156" w:rsidRDefault="00D06156" w:rsidP="002F7336">
      <w:r>
        <w:t xml:space="preserve"> </w:t>
      </w:r>
    </w:p>
    <w:p w14:paraId="68419E39" w14:textId="72225362" w:rsidR="00405763" w:rsidRDefault="00E73C3E" w:rsidP="0062477F">
      <w:pPr>
        <w:jc w:val="center"/>
      </w:pPr>
      <w:r>
        <w:rPr>
          <w:noProof/>
          <w:lang w:eastAsia="zh-CN"/>
        </w:rPr>
        <w:drawing>
          <wp:inline distT="0" distB="0" distL="0" distR="0" wp14:anchorId="726C5814" wp14:editId="417BEBB4">
            <wp:extent cx="4658360" cy="276641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9457" cy="2778948"/>
                    </a:xfrm>
                    <a:prstGeom prst="rect">
                      <a:avLst/>
                    </a:prstGeom>
                    <a:noFill/>
                  </pic:spPr>
                </pic:pic>
              </a:graphicData>
            </a:graphic>
          </wp:inline>
        </w:drawing>
      </w:r>
    </w:p>
    <w:p w14:paraId="6CD3E39B" w14:textId="77777777" w:rsidR="00492418" w:rsidRDefault="00492418" w:rsidP="00C20E00">
      <w:pPr>
        <w:pStyle w:val="Figurecaption"/>
      </w:pPr>
      <w:bookmarkStart w:id="47" w:name="_Toc49789728"/>
      <w:r>
        <w:t xml:space="preserve">Figure </w:t>
      </w:r>
      <w:fldSimple w:instr=" STYLEREF 1 \s ">
        <w:r>
          <w:rPr>
            <w:noProof/>
            <w:cs/>
          </w:rPr>
          <w:t>‎</w:t>
        </w:r>
        <w:r>
          <w:rPr>
            <w:noProof/>
          </w:rPr>
          <w:t>1</w:t>
        </w:r>
      </w:fldSimple>
      <w:r>
        <w:t xml:space="preserve"> – </w:t>
      </w:r>
      <w:r w:rsidRPr="00C20E00">
        <w:t>Industrial</w:t>
      </w:r>
      <w:r>
        <w:t xml:space="preserve"> </w:t>
      </w:r>
      <w:r w:rsidRPr="00D06156">
        <w:t>symbiosis</w:t>
      </w:r>
      <w:r>
        <w:t xml:space="preserve"> network diagram</w:t>
      </w:r>
      <w:bookmarkEnd w:id="47"/>
    </w:p>
    <w:p w14:paraId="7F8FB741" w14:textId="77777777" w:rsidR="00492418" w:rsidRPr="00E81FD2" w:rsidRDefault="00492418" w:rsidP="002F7336">
      <w:r w:rsidRPr="00E81FD2">
        <w:lastRenderedPageBreak/>
        <w:t xml:space="preserve">At the micro level of a single organisation, CE interventions support the design of reverse supply chains, recycling, reusing or remanufacturing end-of-life products </w:t>
      </w:r>
      <w:r w:rsidRPr="00E81FD2">
        <w:fldChar w:fldCharType="begin" w:fldLock="1"/>
      </w:r>
      <w:r w:rsidRPr="00E81FD2">
        <w:instrText>ADDIN CSL_CITATION {"citationItems":[{"id":"ITEM-1","itemData":{"DOI":"10.1080/21681015.2016.1172124","ISSN":"21681023","abstract":"The transition within business from a linear to a circular economy brings with it a range of practical challenges for companies. The following question is addressed: What are the product design and business model strategies for companies that want to move to a circular economy model? This paper develops a framework of strategies to guide designers and business strategists in the move from a linear to a circular economy. Building on Stahel, the terminology of slowing, closing, and narrowing resource loops is introduced. A list of product design strategies, business model strategies, and examples for key decision-makers in businesses is introduced, to facilitate the move to a circular economy. This framework also opens up a future research agenda for the circular economy.","author":[{"dropping-particle":"","family":"Bocken","given":"Nancy M.P.","non-dropping-particle":"","parse-names":false,"suffix":""},{"dropping-particle":"","family":"Pauw","given":"Ingrid","non-dropping-particle":"de","parse-names":false,"suffix":""},{"dropping-particle":"","family":"Bakker","given":"Conny","non-dropping-particle":"","parse-names":false,"suffix":""},{"dropping-particle":"","family":"Grinten","given":"Bram","non-dropping-particle":"van der","parse-names":false,"suffix":""}],"container-title":"Journal of Industrial and Production Engineering","id":"ITEM-1","issue":"5","issued":{"date-parts":[["2016"]]},"page":"308-320","publisher":"Taylor &amp; Francis","title":"Product design and business model strategies for a circular economy","type":"article-journal","volume":"33"},"uris":["http://www.mendeley.com/documents/?uuid=fcb2ec74-c1fb-49c6-9df5-a6d57c0aa3b0"]}],"mendeley":{"formattedCitation":"(Bocken et al., 2016)","plainTextFormattedCitation":"(Bocken et al., 2016)","previouslyFormattedCitation":"(Bocken et al., 2016)"},"properties":{"noteIndex":0},"schema":"https://github.com/citation-style-language/schema/raw/master/csl-citation.json"}</w:instrText>
      </w:r>
      <w:r w:rsidRPr="00E81FD2">
        <w:fldChar w:fldCharType="separate"/>
      </w:r>
      <w:r w:rsidRPr="00E81FD2">
        <w:rPr>
          <w:noProof/>
        </w:rPr>
        <w:t>(Bocken et al., 2016)</w:t>
      </w:r>
      <w:r w:rsidRPr="00E81FD2">
        <w:fldChar w:fldCharType="end"/>
      </w:r>
      <w:r w:rsidRPr="00E81FD2">
        <w:t xml:space="preserve">. This has been reflected in another literature stream, concerned with reverse logistics (RL) and closed-loop supply chains (CLSCs). CLSCs deal with the practice of taking back products from customers and returning them to the original manufacturer for the recovery of added value by reusing the whole product or part of it </w:t>
      </w:r>
      <w:r w:rsidRPr="00E81FD2">
        <w:fldChar w:fldCharType="begin" w:fldLock="1"/>
      </w:r>
      <w:r w:rsidRPr="00E81FD2">
        <w:instrText>ADDIN CSL_CITATION {"citationItems":[{"id":"ITEM-1","itemData":{"DOI":"10.1080/09537287.2017.1343502","ISSN":"13665871","abstract":"This paper addresses questions of how extant research discourses concerning the sustainability of supply chains contribute to understanding about circularity in supply chain configurations that support restorative and regenerative processes, as espoused by the Circular Economy ideal. In response to these questions, we develop a content-based literature analysis to progress theoretical body of knowledge and conceptualise the notion of a circular supply chain. We derive an archetypal form from four antecedent sustainable supply chain narratives–‘reverse logistics’, ‘green supply chains’, ‘sustainable supply chain management’ and ‘closed-loop supply chains’. This paper offers five propositions about what the circular supply chain archetype represents in terms of its scope, focus and impact. Novel insights lead to a definition of circular supply chain and a more coherent foundation for future inquiry and practice.","author":[{"dropping-particle":"","family":"Batista","given":"Luciano","non-dropping-particle":"","parse-names":false,"suffix":""},{"dropping-particle":"","family":"Bourlakis","given":"Michael","non-dropping-particle":"","parse-names":false,"suffix":""},{"dropping-particle":"","family":"Smart","given":"Palie","non-dropping-particle":"","parse-names":false,"suffix":""},{"dropping-particle":"","family":"Maull","given":"Roger","non-dropping-particle":"","parse-names":false,"suffix":""}],"container-title":"Production Planning and Control","id":"ITEM-1","issue":"6","issued":{"date-parts":[["2018"]]},"page":"438-451","publisher":"Taylor &amp; Francis","title":"In search of a circular supply chain archetype–a content-analysis-based literature review","type":"article-journal","volume":"29"},"uris":["http://www.mendeley.com/documents/?uuid=1dd9d687-2ea2-4618-9014-a69d9be00bf2"]}],"mendeley":{"formattedCitation":"(Batista et al., 2018)","plainTextFormattedCitation":"(Batista et al., 2018)","previouslyFormattedCitation":"(Batista et al., 2018)"},"properties":{"noteIndex":0},"schema":"https://github.com/citation-style-language/schema/raw/master/csl-citation.json"}</w:instrText>
      </w:r>
      <w:r w:rsidRPr="00E81FD2">
        <w:fldChar w:fldCharType="separate"/>
      </w:r>
      <w:r w:rsidRPr="00E81FD2">
        <w:rPr>
          <w:noProof/>
        </w:rPr>
        <w:t>(Batista et al., 2018)</w:t>
      </w:r>
      <w:r w:rsidRPr="00E81FD2">
        <w:fldChar w:fldCharType="end"/>
      </w:r>
      <w:r w:rsidRPr="00E81FD2">
        <w:t xml:space="preserve">. The original objective of the RL and CLSC management literature is strictly related to the economic dimension: to manage the recovery of after-use products (or even, in the case of the fashion industry, the recovery of returned products) in order to capture additional economic value, which can be obtained by keeping resources in use. </w:t>
      </w:r>
    </w:p>
    <w:p w14:paraId="47762496" w14:textId="77777777" w:rsidR="00492418" w:rsidRPr="00E81FD2" w:rsidRDefault="00492418" w:rsidP="002F7336">
      <w:r w:rsidRPr="00E81FD2">
        <w:t>As such, advanced CSCs should incorporate elements from all the literature streams discussed above, in an attempt to:</w:t>
      </w:r>
    </w:p>
    <w:p w14:paraId="1A665E98" w14:textId="77777777" w:rsidR="00492418" w:rsidRPr="00E81FD2" w:rsidRDefault="00492418" w:rsidP="0081080C">
      <w:pPr>
        <w:pStyle w:val="ListParagraph"/>
        <w:numPr>
          <w:ilvl w:val="0"/>
          <w:numId w:val="9"/>
        </w:numPr>
      </w:pPr>
      <w:r w:rsidRPr="00E81FD2">
        <w:t xml:space="preserve">Operationalise production methods that account for the full life cycle cost (including environmental and social dimensions) for goods and services </w:t>
      </w:r>
      <w:r w:rsidRPr="00E81FD2">
        <w:fldChar w:fldCharType="begin" w:fldLock="1"/>
      </w:r>
      <w:r w:rsidRPr="00E81FD2">
        <w:instrText>ADDIN CSL_CITATION {"citationItems":[{"id":"ITEM-1","itemData":{"DOI":"10.1007/s11625-006-0013-6","ISSN":"18624065","abstract":"This paper provides an introduction to some of the fundamental principles and approaches in environmental economics which are of significance to achieving an integrated sustainability science. The concept of a circular economy, introduced by the late David Pearce in 1990, addresses the interlinkages of the four economic functions of the environment. The environment not only provides amenity values, in addition to being a resource base and a sink for economic activities, it is also a fundamental life-support system. Environmental economists have suggested that, taking these four functions as an analytical starting point, unpriced or underpriced services should be internalised in the economy. In Europe significant advances have been achieved in the pricing of externalities by means of truly interdisciplinary analysis which accounts in detail for the environmental consequences. The monetary estimates reached as a result of such interdisciplinary research are gradually being applied to the economic analysis of environmental policy priorities. Although such figures provide only a partial and incomplete picture of the environmental costs at stake, they support and inform the analysis of the virtues of a circular economy for individual resources as well as for sustainability as a future trajectory. © Integrated Research System for Sustainability Science and Springer 2006.","author":[{"dropping-particle":"","family":"Andersen","given":"Mikael Skou","non-dropping-particle":"","parse-names":false,"suffix":""}],"container-title":"Sustainability Science","id":"ITEM-1","issue":"1","issued":{"date-parts":[["2007"]]},"page":"133-140","title":"An introductory note on the environmental economics of the circular economy","type":"article-journal","volume":"2"},"uris":["http://www.mendeley.com/documents/?uuid=cd5fc50d-108c-4fb1-b5a2-0766c51c1946"]},{"id":"ITEM-2","itemData":{"author":[{"dropping-particle":"","family":"Webster","given":"Ken","non-dropping-particle":"","parse-names":false,"suffix":""}],"editor":[{"dropping-particle":"","family":"Publishing","given":"Ellen MacArthur Foundation","non-dropping-particle":"","parse-names":false,"suffix":""}],"id":"ITEM-2","issued":{"date-parts":[["2017"]]},"title":"The circular economy: A wealth of flows","type":"book"},"uris":["http://www.mendeley.com/documents/?uuid=86861a01-f024-4a7e-86d5-b09b432e5e88"]}],"mendeley":{"formattedCitation":"(Andersen, 2007; Webster, 2017)","plainTextFormattedCitation":"(Andersen, 2007; Webster, 2017)","previouslyFormattedCitation":"(Andersen, 2007; Webster, 2017)"},"properties":{"noteIndex":0},"schema":"https://github.com/citation-style-language/schema/raw/master/csl-citation.json"}</w:instrText>
      </w:r>
      <w:r w:rsidRPr="00E81FD2">
        <w:fldChar w:fldCharType="separate"/>
      </w:r>
      <w:r w:rsidRPr="00E81FD2">
        <w:rPr>
          <w:noProof/>
        </w:rPr>
        <w:t>(Andersen, 2007; Webster, 2017)</w:t>
      </w:r>
      <w:r w:rsidRPr="00E81FD2">
        <w:fldChar w:fldCharType="end"/>
      </w:r>
      <w:r w:rsidRPr="00E81FD2">
        <w:t>;</w:t>
      </w:r>
    </w:p>
    <w:p w14:paraId="6FF2E6FD" w14:textId="77777777" w:rsidR="00492418" w:rsidRPr="00492418" w:rsidRDefault="00492418" w:rsidP="0081080C">
      <w:pPr>
        <w:pStyle w:val="ListParagraph"/>
        <w:numPr>
          <w:ilvl w:val="0"/>
          <w:numId w:val="9"/>
        </w:numPr>
      </w:pPr>
      <w:r w:rsidRPr="00E81FD2">
        <w:t xml:space="preserve">Developing a holistic system perspective, enabling full visibility for all actors, processes and materials involved in the manufacturing process, in order to understand hotspots in terms of environmental impacts, resource consumption and waste creation </w:t>
      </w:r>
      <w:r w:rsidRPr="00E81FD2">
        <w:fldChar w:fldCharType="begin" w:fldLock="1"/>
      </w:r>
      <w:r w:rsidRPr="00E81FD2">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applications","type":"article-journal","volume":"66"},"uris":["http://www.mendeley.com/documents/?uuid=5dd8e2c4-fae0-4040-ae7c-ed96e73d9ca4"]}],"mendeley":{"formattedCitation":"(Genovese et al., 2017)","plainTextFormattedCitation":"(Genovese et al., 2017)","previouslyFormattedCitation":"(Genovese et al., 2017)"},"properties":{"noteIndex":0},"schema":"https://github.com/citation-style-language/schema/raw/master/csl-citation.json"}</w:instrText>
      </w:r>
      <w:r w:rsidRPr="00E81FD2">
        <w:fldChar w:fldCharType="separate"/>
      </w:r>
      <w:r w:rsidRPr="00E81FD2">
        <w:rPr>
          <w:noProof/>
        </w:rPr>
        <w:t>(Genovese et al., 2017)</w:t>
      </w:r>
      <w:r w:rsidRPr="00E81FD2">
        <w:fldChar w:fldCharType="end"/>
      </w:r>
      <w:r w:rsidRPr="00E81FD2">
        <w:t xml:space="preserve">; </w:t>
      </w:r>
    </w:p>
    <w:p w14:paraId="6280B3F1" w14:textId="2F6C7C8D" w:rsidR="00E73C3E" w:rsidRDefault="00492418" w:rsidP="0081080C">
      <w:pPr>
        <w:pStyle w:val="ListParagraph"/>
        <w:numPr>
          <w:ilvl w:val="0"/>
          <w:numId w:val="9"/>
        </w:numPr>
      </w:pPr>
      <w:r w:rsidRPr="00E81FD2">
        <w:t xml:space="preserve">Enable regenerative and restorative processes to valorise material flows and waste as a resource according to an Industrial Ecology view. CSCs have the ambition of extending resource exchange and efficiency dynamics even outside the border of localised Industrial Symbiosis networks </w:t>
      </w:r>
      <w:r w:rsidRPr="00E81FD2">
        <w:fldChar w:fldCharType="begin" w:fldLock="1"/>
      </w:r>
      <w:r w:rsidRPr="00E81FD2">
        <w:instrText>ADDIN CSL_CITATION {"citationItems":[{"id":"ITEM-1","itemData":{"DOI":"10.1080/09537287.2017.1343502","ISSN":"13665871","abstract":"This paper addresses questions of how extant research discourses concerning the sustainability of supply chains contribute to understanding about circularity in supply chain configurations that support restorative and regenerative processes, as espoused by the Circular Economy ideal. In response to these questions, we develop a content-based literature analysis to progress theoretical body of knowledge and conceptualise the notion of a circular supply chain. We derive an archetypal form from four antecedent sustainable supply chain narratives–‘reverse logistics’, ‘green supply chains’, ‘sustainable supply chain management’ and ‘closed-loop supply chains’. This paper offers five propositions about what the circular supply chain archetype represents in terms of its scope, focus and impact. Novel insights lead to a definition of circular supply chain and a more coherent foundation for future inquiry and practice.","author":[{"dropping-particle":"","family":"Batista","given":"Luciano","non-dropping-particle":"","parse-names":false,"suffix":""},{"dropping-particle":"","family":"Bourlakis","given":"Michael","non-dropping-particle":"","parse-names":false,"suffix":""},{"dropping-particle":"","family":"Smart","given":"Palie","non-dropping-particle":"","parse-names":false,"suffix":""},{"dropping-particle":"","family":"Maull","given":"Roger","non-dropping-particle":"","parse-names":false,"suffix":""}],"container-title":"Production Planning and Control","id":"ITEM-1","issue":"6","issued":{"date-parts":[["2018"]]},"page":"438-451","publisher":"Taylor &amp; Francis","title":"In search of a circular supply chain archetype–a content-analysis-based literature review","type":"article-journal","volume":"29"},"uris":["http://www.mendeley.com/documents/?uuid=1dd9d687-2ea2-4618-9014-a69d9be00bf2"]},{"id":"ITEM-2","itemData":{"DOI":"10.1080/21681015.2016.1172124","ISSN":"21681023","abstract":"The transition within business from a linear to a circular economy brings with it a range of practical challenges for companies. The following question is addressed: What are the product design and business model strategies for companies that want to move to a circular economy model? This paper develops a framework of strategies to guide designers and business strategists in the move from a linear to a circular economy. Building on Stahel, the terminology of slowing, closing, and narrowing resource loops is introduced. A list of product design strategies, business model strategies, and examples for key decision-makers in businesses is introduced, to facilitate the move to a circular economy. This framework also opens up a future research agenda for the circular economy.","author":[{"dropping-particle":"","family":"Bocken","given":"Nancy M.P.","non-dropping-particle":"","parse-names":false,"suffix":""},{"dropping-particle":"","family":"Pauw","given":"Ingrid","non-dropping-particle":"de","parse-names":false,"suffix":""},{"dropping-particle":"","family":"Bakker","given":"Conny","non-dropping-particle":"","parse-names":false,"suffix":""},{"dropping-particle":"","family":"Grinten","given":"Bram","non-dropping-particle":"van der","parse-names":false,"suffix":""}],"container-title":"Journal of Industrial and Production Engineering","id":"ITEM-2","issue":"5","issued":{"date-parts":[["2016"]]},"page":"308-320","publisher":"Taylor &amp; Francis","title":"Product design and business model strategies for a circular economy","type":"article-journal","volume":"33"},"uris":["http://www.mendeley.com/documents/?uuid=fcb2ec74-c1fb-49c6-9df5-a6d57c0aa3b0"]},{"id":"ITEM-3","itemData":{"DOI":"Article","ISBN":"00178012","ISSN":"00178012","PMID":"803973233","abstract":"The circular economy is gaining increasing attention in Europe and around the world as a potential way for our society to increase prosperity, while reducing dependence on primary materials and energy. The European Commission is expected to propose a “circular economy package” by the end of 2015, and many business leaders embrace the circular economy as a path to increasing growth and profitability. At the same time, a lively debate is going on about the attractiveness of a circular economy for different stakeholders and its implications for employment, growth, and the environment. This report aims to contribute to a fact base to inform this debate, especially in Europe. The report suggests what a circular European economy could look like and compares its potential impact with the current development path. The report models potential European economic and environmental outcomes in both scenarios. It also examines how a more circular way of satisfying human needs could play out in three of the largest and most resource-intensive European value chains: mobility, food, and the built environment. In aggregate, the circular scenarios suggest that the opportunity for Europe’s economy could be large. The report does not aim to provide final answers or projections for a circular economy—this would be impossible given the major uncertainties involved in the transition. Rather, the report tries to identify and describe major differences that circularity could bring to the European economy and offers directional quantification of the most important differences. In doing so, the report builds on previous circular economy research, including work by the Ellen MacArthur Foundation and the McKinsey Center for Business and Environment. This report is the product of a knowledge partnership between the Ellen MacArthur Foundation, Stiftungsfonds für Umweltökonomie und Nachhaltigkeit (SUN),the new environmental economics branch of the Deutsche Post Foundation, and the McKinsey Center for Business and Environment. We encourage policy-makers inspired by the vision presented in this report to read the Ellen MacArthur Foundation’s new and complementary report, Delivering the circular economy: A toolkit for policy-makers. The toolkit offers an actionable, step-by-step methodology to help transition towards a circular economy. We are grateful to our numerous partners and advisors for their insights and support throughout this project, as acknowledged in the pages that follow. Th…","author":[{"dropping-particle":"","family":"EMAF","given":"","non-dropping-particle":"","parse-names":false,"suffix":""}],"container-title":"Ellen MacArthur Foundation","id":"ITEM-3","issued":{"date-parts":[["2015"]]},"page":"100","title":"Growth within: a circular economy vision for a competitive europe","type":"article-journal"},"uris":["http://www.mendeley.com/documents/?uuid=2aa20ca8-59e8-4d34-8a5f-30b9fe01eef2"]},{"id":"ITEM-4","itemData":{"author":[{"dropping-particle":"","family":"Webster","given":"Ken","non-dropping-particle":"","parse-names":false,"suffix":""}],"editor":[{"dropping-particle":"","family":"Publishing","given":"Ellen MacArthur Foundation","non-dropping-particle":"","parse-names":false,"suffix":""}],"id":"ITEM-4","issued":{"date-parts":[["2017"]]},"title":"The circular economy: A wealth of flows","type":"book"},"uris":["http://www.mendeley.com/documents/?uuid=86861a01-f024-4a7e-86d5-b09b432e5e88"]}],"mendeley":{"formattedCitation":"(EMAF, 2015; Bocken et al., 2016; Webster, 2017; Batista et al., 2018)","plainTextFormattedCitation":"(EMAF, 2015; Bocken et al., 2016; Webster, 2017; Batista et al., 2018)","previouslyFormattedCitation":"(EMAF, 2015; Bocken et al., 2016; Webster, 2017; Batista et al., 2018)"},"properties":{"noteIndex":0},"schema":"https://github.com/citation-style-language/schema/raw/master/csl-citation.json"}</w:instrText>
      </w:r>
      <w:r w:rsidRPr="00E81FD2">
        <w:fldChar w:fldCharType="separate"/>
      </w:r>
      <w:r w:rsidRPr="00E81FD2">
        <w:rPr>
          <w:noProof/>
        </w:rPr>
        <w:t>(EMAF, 2015; Bocken et al., 2016; Webster, 2017; Batista et al., 2018)</w:t>
      </w:r>
      <w:r w:rsidRPr="00E81FD2">
        <w:fldChar w:fldCharType="end"/>
      </w:r>
      <w:r w:rsidRPr="00E81FD2">
        <w:t>.</w:t>
      </w:r>
    </w:p>
    <w:p w14:paraId="7E841996" w14:textId="77777777" w:rsidR="00E73C3E" w:rsidRPr="00B74908" w:rsidRDefault="00E73C3E" w:rsidP="005035B4">
      <w:pPr>
        <w:pStyle w:val="Heading3"/>
      </w:pPr>
      <w:bookmarkStart w:id="48" w:name="_Toc39268471"/>
      <w:bookmarkStart w:id="49" w:name="_Toc49839810"/>
      <w:bookmarkStart w:id="50" w:name="_Toc157759506"/>
      <w:r w:rsidRPr="00B74908">
        <w:t xml:space="preserve">Circular Supply </w:t>
      </w:r>
      <w:r>
        <w:t>C</w:t>
      </w:r>
      <w:r w:rsidRPr="00B74908">
        <w:t>hains</w:t>
      </w:r>
      <w:r>
        <w:t>:</w:t>
      </w:r>
      <w:r w:rsidRPr="00B74908">
        <w:t xml:space="preserve"> </w:t>
      </w:r>
      <w:r w:rsidRPr="006D6C08">
        <w:t>Key</w:t>
      </w:r>
      <w:r>
        <w:t xml:space="preserve"> definitions</w:t>
      </w:r>
      <w:bookmarkEnd w:id="48"/>
      <w:bookmarkEnd w:id="49"/>
      <w:bookmarkEnd w:id="50"/>
    </w:p>
    <w:p w14:paraId="5C246E04" w14:textId="77777777" w:rsidR="00492418" w:rsidRPr="00E81FD2" w:rsidRDefault="00492418" w:rsidP="002F7336">
      <w:pPr>
        <w:rPr>
          <w:rFonts w:eastAsia="Times New Roman"/>
          <w:bCs/>
        </w:rPr>
      </w:pPr>
      <w:r w:rsidRPr="00E81FD2">
        <w:t xml:space="preserve">CSCs, which are illustrated in Figure 2, can activate metabolisms that allow for methods of production that are self-sustaining and in which materials are used multiple times. This is possible by </w:t>
      </w:r>
      <w:r w:rsidRPr="00E81FD2">
        <w:rPr>
          <w:rFonts w:eastAsia="Times New Roman"/>
          <w:bCs/>
        </w:rPr>
        <w:t xml:space="preserve">emphasising: product, parts and material reuse; material recycling; the use of renewable energy sources throughout supply chains </w:t>
      </w:r>
      <w:r w:rsidRPr="00E81FD2">
        <w:rPr>
          <w:rFonts w:eastAsia="Times New Roman"/>
          <w:bCs/>
        </w:rPr>
        <w:fldChar w:fldCharType="begin" w:fldLock="1"/>
      </w:r>
      <w:r w:rsidRPr="00E81FD2">
        <w:rPr>
          <w:rFonts w:eastAsia="Times New Roman"/>
          <w:bCs/>
        </w:rPr>
        <w:instrText>ADDIN CSL_CITATION {"citationItems":[{"id":"ITEM-1","itemData":{"DOI":"10.1080/21681015.2016.1172124","ISSN":"21681023","abstract":"The transition within business from a linear to a circular economy brings with it a range of practical challenges for companies. The following question is addressed: What are the product design and business model strategies for companies that want to move to a circular economy model? This paper develops a framework of strategies to guide designers and business strategists in the move from a linear to a circular economy. Building on Stahel, the terminology of slowing, closing, and narrowing resource loops is introduced. A list of product design strategies, business model strategies, and examples for key decision-makers in businesses is introduced, to facilitate the move to a circular economy. This framework also opens up a future research agenda for the circular economy.","author":[{"dropping-particle":"","family":"Bocken","given":"Nancy M.P.","non-dropping-particle":"","parse-names":false,"suffix":""},{"dropping-particle":"","family":"Pauw","given":"Ingrid","non-dropping-particle":"de","parse-names":false,"suffix":""},{"dropping-particle":"","family":"Bakker","given":"Conny","non-dropping-particle":"","parse-names":false,"suffix":""},{"dropping-particle":"","family":"Grinten","given":"Bram","non-dropping-particle":"van der","parse-names":false,"suffix":""}],"container-title":"Journal of Industrial and Production Engineering","id":"ITEM-1","issue":"5","issued":{"date-parts":[["2016"]]},"page":"308-320","publisher":"Taylor &amp; Francis","title":"Product design and business model strategies for a circular economy","type":"article-journal","volume":"33"},"uris":["http://www.mendeley.com/documents/?uuid=fcb2ec74-c1fb-49c6-9df5-a6d57c0aa3b0"]}],"mendeley":{"formattedCitation":"(Bocken et al., 2016)","plainTextFormattedCitation":"(Bocken et al., 2016)","previouslyFormattedCitation":"(Bocken et al., 2016)"},"properties":{"noteIndex":0},"schema":"https://github.com/citation-style-language/schema/raw/master/csl-citation.json"}</w:instrText>
      </w:r>
      <w:r w:rsidRPr="00E81FD2">
        <w:rPr>
          <w:rFonts w:eastAsia="Times New Roman"/>
          <w:bCs/>
        </w:rPr>
        <w:fldChar w:fldCharType="separate"/>
      </w:r>
      <w:r w:rsidRPr="00E81FD2">
        <w:rPr>
          <w:rFonts w:eastAsia="Times New Roman"/>
          <w:bCs/>
          <w:noProof/>
        </w:rPr>
        <w:t>(Bocken et al., 2016)</w:t>
      </w:r>
      <w:r w:rsidRPr="00E81FD2">
        <w:rPr>
          <w:rFonts w:eastAsia="Times New Roman"/>
          <w:bCs/>
        </w:rPr>
        <w:fldChar w:fldCharType="end"/>
      </w:r>
      <w:r w:rsidRPr="00E81FD2">
        <w:rPr>
          <w:rFonts w:eastAsia="Times New Roman"/>
          <w:bCs/>
        </w:rPr>
        <w:t>.</w:t>
      </w:r>
    </w:p>
    <w:p w14:paraId="7C9D75BA" w14:textId="77777777" w:rsidR="00492418" w:rsidRPr="00E81FD2" w:rsidRDefault="00492418" w:rsidP="002F7336">
      <w:r w:rsidRPr="00E81FD2">
        <w:t xml:space="preserve">According to Batista et al. (2018), CSCs can be viewed as systems based on: </w:t>
      </w:r>
    </w:p>
    <w:p w14:paraId="3FBA5E73" w14:textId="77777777" w:rsidR="00492418" w:rsidRPr="00E81FD2" w:rsidRDefault="00492418" w:rsidP="0081080C">
      <w:pPr>
        <w:pStyle w:val="ListParagraph"/>
        <w:numPr>
          <w:ilvl w:val="0"/>
          <w:numId w:val="9"/>
        </w:numPr>
      </w:pPr>
      <w:r w:rsidRPr="00E81FD2">
        <w:t xml:space="preserve">the minimisation of waste disposal processes through reusing, repairing, remanufacturing and recycling processes; </w:t>
      </w:r>
    </w:p>
    <w:p w14:paraId="6BC6419C" w14:textId="77777777" w:rsidR="00492418" w:rsidRPr="00E81FD2" w:rsidRDefault="00492418" w:rsidP="0081080C">
      <w:pPr>
        <w:pStyle w:val="ListParagraph"/>
        <w:numPr>
          <w:ilvl w:val="0"/>
          <w:numId w:val="9"/>
        </w:numPr>
      </w:pPr>
      <w:r w:rsidRPr="00E81FD2">
        <w:lastRenderedPageBreak/>
        <w:t xml:space="preserve">the delivery of functionality and experience (value in use), rather than product ownership; </w:t>
      </w:r>
    </w:p>
    <w:p w14:paraId="74A1AAD3" w14:textId="2FCFE3BA" w:rsidR="00D06156" w:rsidRPr="002D79B8" w:rsidRDefault="00492418" w:rsidP="0081080C">
      <w:pPr>
        <w:pStyle w:val="ListParagraph"/>
        <w:numPr>
          <w:ilvl w:val="0"/>
          <w:numId w:val="9"/>
        </w:numPr>
      </w:pPr>
      <w:proofErr w:type="gramStart"/>
      <w:r w:rsidRPr="00E81FD2">
        <w:t>the</w:t>
      </w:r>
      <w:proofErr w:type="gramEnd"/>
      <w:r w:rsidRPr="00E81FD2">
        <w:t xml:space="preserve"> promotion of management approaches that build upon a collaborative or shared consumption model.</w:t>
      </w:r>
    </w:p>
    <w:p w14:paraId="5186321A" w14:textId="2641D847" w:rsidR="00405763" w:rsidRDefault="00E73C3E" w:rsidP="0062477F">
      <w:pPr>
        <w:jc w:val="center"/>
      </w:pPr>
      <w:r>
        <w:rPr>
          <w:noProof/>
          <w:lang w:eastAsia="zh-CN"/>
        </w:rPr>
        <w:drawing>
          <wp:inline distT="0" distB="0" distL="0" distR="0" wp14:anchorId="4A0E3CB8" wp14:editId="1F3C4101">
            <wp:extent cx="5191787" cy="24808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3839" cy="2500979"/>
                    </a:xfrm>
                    <a:prstGeom prst="rect">
                      <a:avLst/>
                    </a:prstGeom>
                    <a:noFill/>
                  </pic:spPr>
                </pic:pic>
              </a:graphicData>
            </a:graphic>
          </wp:inline>
        </w:drawing>
      </w:r>
    </w:p>
    <w:p w14:paraId="3CC800A3" w14:textId="77777777" w:rsidR="00492418" w:rsidRDefault="00492418" w:rsidP="002F7336">
      <w:pPr>
        <w:pStyle w:val="Figurecaption"/>
      </w:pPr>
      <w:bookmarkStart w:id="51" w:name="_Toc49789729"/>
      <w:r>
        <w:t>Figure 2 –</w:t>
      </w:r>
      <w:r w:rsidRPr="009E0B64">
        <w:t xml:space="preserve"> </w:t>
      </w:r>
      <w:bookmarkEnd w:id="51"/>
      <w:r w:rsidRPr="009E0B64">
        <w:t>Forward</w:t>
      </w:r>
      <w:r>
        <w:t xml:space="preserve"> </w:t>
      </w:r>
      <w:r w:rsidRPr="009E0B64">
        <w:t xml:space="preserve">and </w:t>
      </w:r>
      <w:r w:rsidRPr="00D06156">
        <w:t>reverse</w:t>
      </w:r>
      <w:r w:rsidRPr="009E0B64">
        <w:t xml:space="preserve"> activities in a Circular Supply Chain</w:t>
      </w:r>
    </w:p>
    <w:p w14:paraId="61230150" w14:textId="77777777" w:rsidR="00492418" w:rsidRDefault="00492418" w:rsidP="002F7336">
      <w:r w:rsidRPr="00E81FD2">
        <w:t xml:space="preserve">While the literature recognises many other frameworks to classify CE practices (e.g. 3R, 9R), the 4R framework represents the core of the European Union Waste Framework Directive </w:t>
      </w:r>
      <w:r w:rsidRPr="00E81FD2">
        <w:fldChar w:fldCharType="begin" w:fldLock="1"/>
      </w:r>
      <w:r w:rsidRPr="00E81FD2">
        <w:instrText>ADDIN CSL_CITATION {"citationItems":[{"id":"ITEM-1","itemData":{"author":[{"dropping-particle":"","family":"European Commission","given":"","non-dropping-particle":"","parse-names":false,"suffix":""}],"id":"ITEM-1","issued":{"date-parts":[["2008"]]},"title":"Directive 2008/98/EC of the European Parliament and of the Council of 19 November 2008 on waste and repealing certain Directives. Available online at: https://eur-lex.europa.eu/legal-con. Last accessed: 11/06/2020","type":"article-journal"},"uris":["http://www.mendeley.com/documents/?uuid=90922bc2-0766-4375-8d45-b5e54643b0fc"]}],"mendeley":{"formattedCitation":"(European Commission, 2008)","plainTextFormattedCitation":"(European Commission, 2008)","previouslyFormattedCitation":"(European Commission, 2008)"},"properties":{"noteIndex":0},"schema":"https://github.com/citation-style-language/schema/raw/master/csl-citation.json"}</w:instrText>
      </w:r>
      <w:r w:rsidRPr="00E81FD2">
        <w:fldChar w:fldCharType="separate"/>
      </w:r>
      <w:r w:rsidRPr="00E81FD2">
        <w:rPr>
          <w:noProof/>
        </w:rPr>
        <w:t>(European Commission, 2008)</w:t>
      </w:r>
      <w:r w:rsidRPr="00E81FD2">
        <w:fldChar w:fldCharType="end"/>
      </w:r>
      <w:r w:rsidRPr="00E81FD2">
        <w:t xml:space="preserve">. </w:t>
      </w:r>
    </w:p>
    <w:p w14:paraId="16F64C42" w14:textId="77777777" w:rsidR="00492418" w:rsidRPr="00E81FD2" w:rsidRDefault="00492418" w:rsidP="002F7336">
      <w:r w:rsidRPr="00E81FD2">
        <w:t xml:space="preserve">The first </w:t>
      </w:r>
      <w:r w:rsidRPr="00E81FD2">
        <w:rPr>
          <w:i/>
        </w:rPr>
        <w:t>R</w:t>
      </w:r>
      <w:r w:rsidRPr="00E81FD2">
        <w:t xml:space="preserve"> identifies r</w:t>
      </w:r>
      <w:r w:rsidRPr="00E81FD2">
        <w:rPr>
          <w:i/>
          <w:iCs/>
        </w:rPr>
        <w:t xml:space="preserve">educe </w:t>
      </w:r>
      <w:r w:rsidRPr="00E81FD2">
        <w:t>practices</w:t>
      </w:r>
      <w:r w:rsidRPr="00E81FD2">
        <w:rPr>
          <w:i/>
          <w:iCs/>
        </w:rPr>
        <w:t>,</w:t>
      </w:r>
      <w:r w:rsidRPr="00E81FD2">
        <w:t xml:space="preserve"> which prevent resource use, either by redefining product functions, or through rethinking and redesigning goods and services. Examples of such practices include: the redesign of products or their packaging; the promotion of modular product design; the redesign of manufacturing infrastructure; the promotion of collaborative consumption practices (e.g., those based on a ‘sharing economy’ paradigm); the move towards a performance-based or service-based business model, rather than one based on simple products. </w:t>
      </w:r>
    </w:p>
    <w:p w14:paraId="01D82C90" w14:textId="77777777" w:rsidR="00492418" w:rsidRPr="00E81FD2" w:rsidRDefault="00492418" w:rsidP="002F7336">
      <w:r w:rsidRPr="00E81FD2">
        <w:rPr>
          <w:i/>
          <w:iCs/>
        </w:rPr>
        <w:t>Reuse practices</w:t>
      </w:r>
      <w:r w:rsidRPr="00E81FD2">
        <w:t xml:space="preserve"> include repairing, preventive maintenance and refurbishing actions and generally aim to reutilise products (or components) in their original function.</w:t>
      </w:r>
    </w:p>
    <w:p w14:paraId="5D3246B6" w14:textId="77777777" w:rsidR="00492418" w:rsidRPr="00E81FD2" w:rsidRDefault="00492418" w:rsidP="002F7336">
      <w:r w:rsidRPr="00E81FD2">
        <w:rPr>
          <w:i/>
          <w:iCs/>
        </w:rPr>
        <w:t>Recycling practices</w:t>
      </w:r>
      <w:r w:rsidRPr="00E81FD2">
        <w:t xml:space="preserve"> aim at recycling and reprocessing materials from parts or products. Also, the remanufacturing of parts and components falls into this category. Common practices involve: the reutilisation of by-products; recycling of parts, components and materials; utilisation of recycled materials; packaging recycling; and investments in recycling infrastructure.</w:t>
      </w:r>
    </w:p>
    <w:p w14:paraId="6CCF8903" w14:textId="77777777" w:rsidR="00492418" w:rsidRPr="00E81FD2" w:rsidRDefault="00492418" w:rsidP="002F7336">
      <w:r w:rsidRPr="00E81FD2">
        <w:rPr>
          <w:i/>
        </w:rPr>
        <w:lastRenderedPageBreak/>
        <w:t>Recover practices</w:t>
      </w:r>
      <w:r w:rsidRPr="00E81FD2">
        <w:t xml:space="preserve"> involve energy recovery from by-products or waste, either directly or through the production of alternative fuels like biofuels.</w:t>
      </w:r>
    </w:p>
    <w:p w14:paraId="319662B8" w14:textId="70C82136" w:rsidR="00E73C3E" w:rsidRDefault="00492418" w:rsidP="002F7336">
      <w:r w:rsidRPr="00E81FD2">
        <w:t xml:space="preserve">In the European context, over the last few years, several companies (both Small Medium Enterprises and Multinational Enterprises) claim to have made changes in the way they operate, by introducing different CE practices across their supply chains. However, there is limited understanding of what are the practices that have been adopted and also of what are the drivers and mechanisms that are influencing the adoption of CE practices in industrial organisations </w:t>
      </w:r>
      <w:r w:rsidRPr="00E81FD2">
        <w:fldChar w:fldCharType="begin" w:fldLock="1"/>
      </w:r>
      <w:r w:rsidRPr="00E81FD2">
        <w:instrText>ADDIN CSL_CITATION {"citationItems":[{"id":"ITEM-1","itemData":{"DOI":"10.1016/j.jclepro.2020.120859","ISSN":"09596526","abstract":"The notion of circular economy (CE) has gained considerable attention recently among researchers, practitioners, and policymakers due to the enormous waste generation at all phases of a product life cycle. CE acts as alternative solutions to the dominant linear economic model of production and consumption. The incorporation of the CE into supply chain management is known as circular supply chain management (CSCM). The objective of this study is to conduct a state-of-art review of CSCM using content analysis methodology. This review covers the available circular supply chain literature, highlights the research trends, gaps and set up the potential research directions for future studies. Total 125 CSCM articles published in journals covering the span of last one decade (2010 to July 2019) are selected. The CSCM research articles are evaluated and segregated in 13 pre-defined structural dimensions and analytics. The result shows that there exist ample scope and open doors for the growth of CSCM which should be investigated with the help of advanced quantitative modeling approaches, highly developed optimization techniques, integrated multi-criteria decision making techniques, and proficient algorithms. Also, CSCM research needs to recognize enablers/drivers/critical success factors, barriers/obstacles, new circular business models and innovative frameworks. Therefore, this examination will prop up new opportunities for researchers to figure out the novel dimensions in the field of CSCM.","author":[{"dropping-particle":"","family":"Lahane","given":"Swapnil","non-dropping-particle":"","parse-names":false,"suffix":""},{"dropping-particle":"","family":"Kant","given":"Ravi","non-dropping-particle":"","parse-names":false,"suffix":""},{"dropping-particle":"","family":"Shankar","given":"Ravi","non-dropping-particle":"","parse-names":false,"suffix":""}],"container-title":"Journal of Cleaner Production","id":"ITEM-1","issued":{"date-parts":[["2020"]]},"page":"120859","publisher":"Elsevier Ltd","title":"Circular supply chain management: A state-of-art review and future opportunities","type":"article-journal","volume":"258"},"uris":["http://www.mendeley.com/documents/?uuid=23330932-4a53-4d51-948c-e152a0244a6f"]}],"mendeley":{"formattedCitation":"(Lahane et al., 2020)","plainTextFormattedCitation":"(Lahane et al., 2020)","previouslyFormattedCitation":"(Lahane et al., 2020)"},"properties":{"noteIndex":0},"schema":"https://github.com/citation-style-language/schema/raw/master/csl-citation.json"}</w:instrText>
      </w:r>
      <w:r w:rsidRPr="00E81FD2">
        <w:fldChar w:fldCharType="separate"/>
      </w:r>
      <w:r w:rsidRPr="00E81FD2">
        <w:rPr>
          <w:noProof/>
        </w:rPr>
        <w:t>(Lahane et al., 2020)</w:t>
      </w:r>
      <w:r w:rsidRPr="00E81FD2">
        <w:fldChar w:fldCharType="end"/>
      </w:r>
      <w:r w:rsidRPr="00E81FD2">
        <w:t>. This is the motivation for the research project and justifies the choices on how to structure the literature review process.</w:t>
      </w:r>
    </w:p>
    <w:p w14:paraId="7155E8DC" w14:textId="77777777" w:rsidR="00E73C3E" w:rsidRDefault="00E73C3E" w:rsidP="005035B4">
      <w:pPr>
        <w:pStyle w:val="Heading3"/>
      </w:pPr>
      <w:bookmarkStart w:id="52" w:name="_Toc49839811"/>
      <w:bookmarkStart w:id="53" w:name="_Toc157759507"/>
      <w:r>
        <w:t xml:space="preserve">The rationale of the literature </w:t>
      </w:r>
      <w:r w:rsidRPr="006D6C08">
        <w:t>review</w:t>
      </w:r>
      <w:r>
        <w:t xml:space="preserve"> process</w:t>
      </w:r>
      <w:bookmarkEnd w:id="52"/>
      <w:bookmarkEnd w:id="53"/>
    </w:p>
    <w:p w14:paraId="09D36D53" w14:textId="77777777" w:rsidR="00492418" w:rsidRPr="00E81FD2" w:rsidRDefault="00492418" w:rsidP="002F7336">
      <w:r w:rsidRPr="00E81FD2">
        <w:t>The literature review process is structured to explore both the grey literature and academic literature (Figure 3). The two analys</w:t>
      </w:r>
      <w:r>
        <w:t>e</w:t>
      </w:r>
      <w:r w:rsidRPr="00E81FD2">
        <w:t>s were conducted in parallel and informed each other. The analysis of the grey literature consisted of an analysis of the state-of-the-practice in terms of adoption of CE practices by the business community. This study is included in Chapter 2 and has partially informed the analysis of the academic literature which is in this Chapter. The academic literature review focused on analysing the drivers and mechanisms behind the adoption of CE practices, and more specifically on examining the role of institutional pressures and supply chain integration. The review led to the formulation of the research questions and of a conceptual framework, which put in relationship the identified variables that are relevant for the research problem.</w:t>
      </w:r>
    </w:p>
    <w:p w14:paraId="57AC6451" w14:textId="6203B64B" w:rsidR="00E73C3E" w:rsidRDefault="00BC2D03" w:rsidP="0062477F">
      <w:pPr>
        <w:jc w:val="center"/>
      </w:pPr>
      <w:r>
        <w:rPr>
          <w:noProof/>
          <w:lang w:eastAsia="zh-CN"/>
        </w:rPr>
        <w:drawing>
          <wp:inline distT="0" distB="0" distL="0" distR="0" wp14:anchorId="0D21D38C" wp14:editId="351040F0">
            <wp:extent cx="4489809" cy="2353081"/>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97815" cy="2357277"/>
                    </a:xfrm>
                    <a:prstGeom prst="rect">
                      <a:avLst/>
                    </a:prstGeom>
                    <a:noFill/>
                  </pic:spPr>
                </pic:pic>
              </a:graphicData>
            </a:graphic>
          </wp:inline>
        </w:drawing>
      </w:r>
    </w:p>
    <w:p w14:paraId="0470C86D" w14:textId="77777777" w:rsidR="00492418" w:rsidRDefault="00492418" w:rsidP="002F7336">
      <w:pPr>
        <w:pStyle w:val="Figurecaption"/>
      </w:pPr>
      <w:r>
        <w:t>Figure 3 –</w:t>
      </w:r>
      <w:r w:rsidRPr="009E0B64">
        <w:t xml:space="preserve"> </w:t>
      </w:r>
      <w:r>
        <w:t xml:space="preserve">The rationale of the </w:t>
      </w:r>
      <w:r w:rsidRPr="00D06156">
        <w:t>literature</w:t>
      </w:r>
      <w:r>
        <w:t xml:space="preserve"> review process (academic and grey literature)</w:t>
      </w:r>
    </w:p>
    <w:p w14:paraId="3FF42D3C" w14:textId="4A50B30F" w:rsidR="004164FF" w:rsidRDefault="004164FF" w:rsidP="005035B4">
      <w:pPr>
        <w:pStyle w:val="Heading2"/>
      </w:pPr>
      <w:bookmarkStart w:id="54" w:name="_Toc49839820"/>
      <w:bookmarkStart w:id="55" w:name="_Toc157759508"/>
      <w:bookmarkStart w:id="56" w:name="_Toc49839812"/>
      <w:r w:rsidRPr="00C86B38">
        <w:lastRenderedPageBreak/>
        <w:t>Adoption</w:t>
      </w:r>
      <w:r>
        <w:t xml:space="preserve"> of CE practices in </w:t>
      </w:r>
      <w:r w:rsidRPr="006D6C08">
        <w:t>supply</w:t>
      </w:r>
      <w:r>
        <w:t xml:space="preserve"> chains: a </w:t>
      </w:r>
      <w:r w:rsidR="00F5312B">
        <w:t>critical</w:t>
      </w:r>
      <w:r>
        <w:t xml:space="preserve"> </w:t>
      </w:r>
      <w:r w:rsidRPr="006D6C08">
        <w:t>literature</w:t>
      </w:r>
      <w:r>
        <w:t xml:space="preserve"> review</w:t>
      </w:r>
      <w:bookmarkEnd w:id="54"/>
      <w:bookmarkEnd w:id="55"/>
      <w:r>
        <w:t xml:space="preserve"> </w:t>
      </w:r>
    </w:p>
    <w:p w14:paraId="1578234D" w14:textId="4BC631F6" w:rsidR="004164FF" w:rsidRDefault="00492418" w:rsidP="002F7336">
      <w:r w:rsidRPr="00E81FD2">
        <w:t xml:space="preserve">Through the introductory study of the state-of-the-practice (Chapter 2), the main types of CE practices, and their drivers are identified, and two broad propositions are generated. In this section of the chapter, a critical literature review explores the role of institutional pressures and of supply chain integration in driving or enabling the adoption of CE (and, more widely, of ‘sustainable’ and ‘green’) practices in firms and in their global supply chains. </w:t>
      </w:r>
      <w:r w:rsidR="004164FF">
        <w:t xml:space="preserve"> </w:t>
      </w:r>
    </w:p>
    <w:p w14:paraId="38C27351" w14:textId="77777777" w:rsidR="004164FF" w:rsidRDefault="004164FF" w:rsidP="005035B4">
      <w:pPr>
        <w:pStyle w:val="Heading3"/>
      </w:pPr>
      <w:bookmarkStart w:id="57" w:name="_Toc49839821"/>
      <w:bookmarkStart w:id="58" w:name="_Toc157759509"/>
      <w:r>
        <w:t xml:space="preserve">Overview of the key </w:t>
      </w:r>
      <w:r w:rsidRPr="00C86B38">
        <w:t>theories</w:t>
      </w:r>
      <w:r>
        <w:t xml:space="preserve"> and </w:t>
      </w:r>
      <w:r w:rsidRPr="006D6C08">
        <w:t>concepts</w:t>
      </w:r>
      <w:bookmarkEnd w:id="57"/>
      <w:bookmarkEnd w:id="58"/>
      <w:r>
        <w:t xml:space="preserve"> </w:t>
      </w:r>
    </w:p>
    <w:p w14:paraId="16CEC2B2" w14:textId="77777777" w:rsidR="004164FF" w:rsidRDefault="004164FF" w:rsidP="002F7336">
      <w:r>
        <w:t xml:space="preserve">This section gives a general overview of the key theories and ideas identified in the state-of-the industrial practice: institutional theory and supply chain integration. </w:t>
      </w:r>
    </w:p>
    <w:p w14:paraId="150FD918" w14:textId="1EA3EA81" w:rsidR="004164FF" w:rsidRPr="00C86B38" w:rsidRDefault="00947F87" w:rsidP="002F7336">
      <w:pPr>
        <w:pStyle w:val="Heading4Paragraph"/>
      </w:pPr>
      <w:bookmarkStart w:id="59" w:name="_Toc49839822"/>
      <w:r>
        <w:t xml:space="preserve">2.1.1 </w:t>
      </w:r>
      <w:r w:rsidR="004164FF" w:rsidRPr="00C86B38">
        <w:t>Institutional theory</w:t>
      </w:r>
      <w:bookmarkEnd w:id="59"/>
    </w:p>
    <w:p w14:paraId="3E55F389" w14:textId="77777777" w:rsidR="00492418" w:rsidRPr="00E81FD2" w:rsidRDefault="00492418" w:rsidP="002F7336">
      <w:r w:rsidRPr="00E81FD2">
        <w:t xml:space="preserve">Institutional theory (IT) analyses the role of institutions in society to explain social phenomena. Institutions represent beliefs, rules and social norms, which are established in a defined context and produce stability and order </w:t>
      </w:r>
      <w:r w:rsidRPr="00E81FD2">
        <w:fldChar w:fldCharType="begin" w:fldLock="1"/>
      </w:r>
      <w:r w:rsidRPr="00E81FD2">
        <w:instrText>ADDIN CSL_CITATION {"citationItems":[{"id":"ITEM-1","itemData":{"DOI":"10.1093/icc/12.4.879","ISSN":"0960-6491","abstract":"Institutions are defined as systems composed of regulative, normative and cultural‚Äêcognitive elements that act to produce meaning, stability and order. Institutional elements move from place to place and time to time with the help of carriers. Four types of carriers are distinguished‚Äîsymbolic systems, relational systems, routines, and artifacts‚Äîand two of these‚Äîsymbolic and relation systems‚Äîare described and illustrated. It is argued that carriers are not neutral vehicles but have important effects on the elements transmitted.","author":[{"dropping-particle":"","family":"Scott","given":"W. R.","non-dropping-particle":"","parse-names":false,"suffix":""}],"container-title":"Industrial and Corporate Change","id":"ITEM-1","issue":"4","issued":{"date-parts":[["2003"]]},"page":"879-894","title":"Institutional carriers: reviewing modes of transporting ideas over time and space and considering their consequences","type":"article-journal","volume":"12"},"uris":["http://www.mendeley.com/documents/?uuid=595b5e35-0afc-47e0-b659-02037e4b3880"]}],"mendeley":{"formattedCitation":"(Scott, 2003)","plainTextFormattedCitation":"(Scott, 2003)","previouslyFormattedCitation":"(Scott, 2003)"},"properties":{"noteIndex":0},"schema":"https://github.com/citation-style-language/schema/raw/master/csl-citation.json"}</w:instrText>
      </w:r>
      <w:r w:rsidRPr="00E81FD2">
        <w:fldChar w:fldCharType="separate"/>
      </w:r>
      <w:r w:rsidRPr="00E81FD2">
        <w:rPr>
          <w:noProof/>
        </w:rPr>
        <w:t>(Scott, 2003)</w:t>
      </w:r>
      <w:r w:rsidRPr="00E81FD2">
        <w:fldChar w:fldCharType="end"/>
      </w:r>
      <w:r w:rsidRPr="00E81FD2">
        <w:t xml:space="preserve">. Social actor gives meaning and internalise these factors, which are able to shape their actions and decisions. </w:t>
      </w:r>
    </w:p>
    <w:p w14:paraId="026C925C" w14:textId="77777777" w:rsidR="00492418" w:rsidRPr="00E81FD2" w:rsidRDefault="00492418" w:rsidP="002F7336">
      <w:r w:rsidRPr="00E81FD2">
        <w:t xml:space="preserve">Using IT lenses in organisational studies means looking at firms’ decisions as determined by the context within which they act, and by the economic, social, political pressures they deal with. Organisations draw their structures and adopt strategies and practices that are defined as appropriate by the institutional environment, avoiding actions and behaviours that could de-legitimise them. Despite rational choice theory suggesting that firms act mainly to improve their economic efficiency, according to IT they could also strive for other objectives: reducing uncertainty and gaining political power or institutional legitimacy </w:t>
      </w:r>
      <w:r w:rsidRPr="00E81FD2">
        <w:fldChar w:fldCharType="begin" w:fldLock="1"/>
      </w:r>
      <w:r w:rsidRPr="00E81FD2">
        <w:instrText>ADDIN CSL_CITATION {"citationItems":[{"id":"ITEM-1","itemData":{"abstract":"What makes organizations so similar? We contend that the engine of rationalization and bureaucratization has moved from the competitive marketplace to the state and the professions. Once a set of organizations emerges as a field, a paradox arises: rational actors make their organizations increasingly similar as they try to change them. We describe three isomorphic processes-coercive, mimetic, and normative-leading to this outcome. We then specify hypotheses about the impact of resource centralization and dependency, goal ambiguity and technical uncertainty, and professionalization and structuration on isomorphic change. Finally, we suggest implications for theories of organizations and social change.","author":[{"dropping-particle":"","family":"DiMaggio","given":"Paul J.","non-dropping-particle":"","parse-names":false,"suffix":""},{"dropping-particle":"","family":"Powell","given":"Walter W.","non-dropping-particle":"","parse-names":false,"suffix":""}],"container-title":"American Sociological Review","id":"ITEM-1","issue":"2","issued":{"date-parts":[["1983"]]},"page":"147-160","title":"The Iron Cage Revisited : Institutional Isomorphism and Collective Rationality in Organizational Fields Author ( s ): Paul J . DiMaggio and Walter W . Powell Published by : American Sociological Association Stable URL : http://www.jstor.org/stable/2095101","type":"article-journal","volume":"48"},"uris":["http://www.mendeley.com/documents/?uuid=6717512e-7c25-4bfe-8ce7-03a6221f8d41"]}],"mendeley":{"formattedCitation":"(DiMaggio &amp; Powell, 1983)","plainTextFormattedCitation":"(DiMaggio &amp; Powell, 1983)","previouslyFormattedCitation":"(DiMaggio &amp; Powell, 1983)"},"properties":{"noteIndex":0},"schema":"https://github.com/citation-style-language/schema/raw/master/csl-citation.json"}</w:instrText>
      </w:r>
      <w:r w:rsidRPr="00E81FD2">
        <w:fldChar w:fldCharType="separate"/>
      </w:r>
      <w:r w:rsidRPr="00E81FD2">
        <w:rPr>
          <w:noProof/>
        </w:rPr>
        <w:t>(DiMaggio &amp; Powell, 1983)</w:t>
      </w:r>
      <w:r w:rsidRPr="00E81FD2">
        <w:fldChar w:fldCharType="end"/>
      </w:r>
      <w:r w:rsidRPr="00E81FD2">
        <w:t xml:space="preserve">. </w:t>
      </w:r>
    </w:p>
    <w:p w14:paraId="1A3780C2" w14:textId="77777777" w:rsidR="00492418" w:rsidRPr="00E81FD2" w:rsidRDefault="00492418" w:rsidP="002F7336">
      <w:r w:rsidRPr="00E81FD2">
        <w:t xml:space="preserve">This perspective is partially in contrast with the resource based view of the firm – advocating that firms’ individual efforts to achieve competitive advantage are based in the development and orchestration of unique valuable and non-imitable resources, and in differentiation. According to IT, once a set of organisations has established itself as the norm, individual efforts to deal with increased uncertainty tend to produce homogeneity in the organisational structures, culture and output. This process is called </w:t>
      </w:r>
      <w:r w:rsidRPr="00E81FD2">
        <w:rPr>
          <w:i/>
          <w:iCs/>
        </w:rPr>
        <w:t>isomorphic change</w:t>
      </w:r>
      <w:r w:rsidRPr="00E81FD2">
        <w:t xml:space="preserve"> and acts through three mechanisms, which act on different basis of compliance, order and legitimacy (Table 1): </w:t>
      </w:r>
    </w:p>
    <w:p w14:paraId="7258E1E6" w14:textId="77777777" w:rsidR="00492418" w:rsidRPr="00492418" w:rsidRDefault="00492418" w:rsidP="0081080C">
      <w:pPr>
        <w:pStyle w:val="ListParagraph"/>
        <w:numPr>
          <w:ilvl w:val="0"/>
          <w:numId w:val="5"/>
        </w:numPr>
      </w:pPr>
      <w:r w:rsidRPr="002F7336">
        <w:rPr>
          <w:i/>
          <w:iCs/>
        </w:rPr>
        <w:lastRenderedPageBreak/>
        <w:t>coercive pressure</w:t>
      </w:r>
      <w:r w:rsidRPr="00492418">
        <w:t xml:space="preserve"> acts through laws and rules: organisations take decisions on the on the basis of their fear to avoid sanctions; </w:t>
      </w:r>
    </w:p>
    <w:p w14:paraId="055FCB2E" w14:textId="08AD1059" w:rsidR="00492418" w:rsidRPr="00492418" w:rsidRDefault="00492418" w:rsidP="0081080C">
      <w:pPr>
        <w:pStyle w:val="ListParagraph"/>
        <w:numPr>
          <w:ilvl w:val="0"/>
          <w:numId w:val="5"/>
        </w:numPr>
      </w:pPr>
      <w:r w:rsidRPr="002F7336">
        <w:rPr>
          <w:i/>
          <w:iCs/>
        </w:rPr>
        <w:t>normative pressure</w:t>
      </w:r>
      <w:r w:rsidRPr="00492418">
        <w:t xml:space="preserve"> originates from binding expectations of social norms: organisations are influenced not only by formal rules, but also by what is viewed to be appropriate and socially accepted; </w:t>
      </w:r>
    </w:p>
    <w:p w14:paraId="6758DAA3" w14:textId="01B7DB2C" w:rsidR="004164FF" w:rsidRDefault="00492418" w:rsidP="0081080C">
      <w:pPr>
        <w:pStyle w:val="ListParagraph"/>
        <w:numPr>
          <w:ilvl w:val="0"/>
          <w:numId w:val="5"/>
        </w:numPr>
      </w:pPr>
      <w:r w:rsidRPr="002F7336">
        <w:rPr>
          <w:i/>
          <w:iCs/>
        </w:rPr>
        <w:t>mimetic pressure</w:t>
      </w:r>
      <w:r w:rsidRPr="00E81FD2">
        <w:t xml:space="preserve"> involves shared conceptions and beliefs: organisations follow taken-for-granted dynamics and imitates best practices from other successful social actors, which have established themselves </w:t>
      </w:r>
      <w:r w:rsidRPr="00E81FD2">
        <w:fldChar w:fldCharType="begin" w:fldLock="1"/>
      </w:r>
      <w:r w:rsidRPr="00E81FD2">
        <w:instrText>ADDIN CSL_CITATION {"citationItems":[{"id":"ITEM-1","itemData":{"DOI":"10.1093/icc/12.4.879","ISSN":"0960-6491","abstract":"Institutions are defined as systems composed of regulative, normative and cultural‚Äêcognitive elements that act to produce meaning, stability and order. Institutional elements move from place to place and time to time with the help of carriers. Four types of carriers are distinguished‚Äîsymbolic systems, relational systems, routines, and artifacts‚Äîand two of these‚Äîsymbolic and relation systems‚Äîare described and illustrated. It is argued that carriers are not neutral vehicles but have important effects on the elements transmitted.","author":[{"dropping-particle":"","family":"Scott","given":"W. R.","non-dropping-particle":"","parse-names":false,"suffix":""}],"container-title":"Industrial and Corporate Change","id":"ITEM-1","issue":"4","issued":{"date-parts":[["2003"]]},"page":"879-894","title":"Institutional carriers: reviewing modes of transporting ideas over time and space and considering their consequences","type":"article-journal","volume":"12"},"uris":["http://www.mendeley.com/documents/?uuid=595b5e35-0afc-47e0-b659-02037e4b3880"]}],"mendeley":{"formattedCitation":"(Scott, 2003)","plainTextFormattedCitation":"(Scott, 2003)","previouslyFormattedCitation":"(Scott, 2003)"},"properties":{"noteIndex":0},"schema":"https://github.com/citation-style-language/schema/raw/master/csl-citation.json"}</w:instrText>
      </w:r>
      <w:r w:rsidRPr="00E81FD2">
        <w:fldChar w:fldCharType="separate"/>
      </w:r>
      <w:r w:rsidRPr="00E81FD2">
        <w:rPr>
          <w:noProof/>
        </w:rPr>
        <w:t>(Scott, 2003)</w:t>
      </w:r>
      <w:r w:rsidRPr="00E81FD2">
        <w:fldChar w:fldCharType="end"/>
      </w:r>
      <w:r w:rsidRPr="00E81FD2">
        <w:t>.</w:t>
      </w:r>
    </w:p>
    <w:p w14:paraId="56C88E55" w14:textId="3E812281" w:rsidR="004164FF" w:rsidRDefault="004164FF" w:rsidP="002F7336">
      <w:pPr>
        <w:pStyle w:val="Figurecaption"/>
      </w:pPr>
      <w:bookmarkStart w:id="60" w:name="_Toc48561475"/>
      <w:bookmarkStart w:id="61" w:name="_Toc49529056"/>
      <w:r>
        <w:t xml:space="preserve">Table </w:t>
      </w:r>
      <w:r w:rsidR="009A73E6">
        <w:t>1</w:t>
      </w:r>
      <w:r>
        <w:t xml:space="preserve"> </w:t>
      </w:r>
      <w:r w:rsidRPr="00BF2161">
        <w:t xml:space="preserve">– Institutional pressures </w:t>
      </w:r>
      <w:r w:rsidR="00E04A7D">
        <w:t xml:space="preserve">and mechanisms of compliance </w:t>
      </w:r>
      <w:r w:rsidRPr="00BF2161">
        <w:t>(adapted from Scott, 2003)</w:t>
      </w:r>
      <w:bookmarkEnd w:id="60"/>
      <w:bookmarkEnd w:id="61"/>
    </w:p>
    <w:tbl>
      <w:tblPr>
        <w:tblStyle w:val="TableGrid"/>
        <w:tblW w:w="0" w:type="auto"/>
        <w:tblLook w:val="04A0" w:firstRow="1" w:lastRow="0" w:firstColumn="1" w:lastColumn="0" w:noHBand="0" w:noVBand="1"/>
      </w:tblPr>
      <w:tblGrid>
        <w:gridCol w:w="1609"/>
        <w:gridCol w:w="2120"/>
        <w:gridCol w:w="2880"/>
        <w:gridCol w:w="1895"/>
      </w:tblGrid>
      <w:tr w:rsidR="004164FF" w:rsidRPr="00BD11BE" w14:paraId="14D08866" w14:textId="77777777" w:rsidTr="00BA2106">
        <w:trPr>
          <w:trHeight w:val="320"/>
        </w:trPr>
        <w:tc>
          <w:tcPr>
            <w:tcW w:w="0" w:type="auto"/>
            <w:tcBorders>
              <w:top w:val="single" w:sz="4" w:space="0" w:color="auto"/>
              <w:left w:val="nil"/>
              <w:bottom w:val="single" w:sz="4" w:space="0" w:color="auto"/>
              <w:right w:val="nil"/>
            </w:tcBorders>
            <w:hideMark/>
          </w:tcPr>
          <w:p w14:paraId="67093B07" w14:textId="77777777" w:rsidR="004164FF" w:rsidRPr="00BD11BE" w:rsidRDefault="004164FF" w:rsidP="00194556">
            <w:pPr>
              <w:pStyle w:val="Tabletext"/>
            </w:pPr>
            <w:r w:rsidRPr="00BD11BE">
              <w:t> </w:t>
            </w:r>
          </w:p>
        </w:tc>
        <w:tc>
          <w:tcPr>
            <w:tcW w:w="0" w:type="auto"/>
            <w:tcBorders>
              <w:top w:val="single" w:sz="4" w:space="0" w:color="auto"/>
              <w:left w:val="nil"/>
              <w:bottom w:val="single" w:sz="4" w:space="0" w:color="auto"/>
              <w:right w:val="nil"/>
            </w:tcBorders>
            <w:hideMark/>
          </w:tcPr>
          <w:p w14:paraId="682A67D0" w14:textId="77777777" w:rsidR="004164FF" w:rsidRPr="00BD11BE" w:rsidRDefault="004164FF" w:rsidP="00194556">
            <w:pPr>
              <w:pStyle w:val="Tabletext"/>
            </w:pPr>
            <w:r w:rsidRPr="00BD11BE">
              <w:t xml:space="preserve">Coercive </w:t>
            </w:r>
          </w:p>
        </w:tc>
        <w:tc>
          <w:tcPr>
            <w:tcW w:w="0" w:type="auto"/>
            <w:tcBorders>
              <w:top w:val="single" w:sz="4" w:space="0" w:color="auto"/>
              <w:left w:val="nil"/>
              <w:bottom w:val="single" w:sz="4" w:space="0" w:color="auto"/>
              <w:right w:val="nil"/>
            </w:tcBorders>
            <w:hideMark/>
          </w:tcPr>
          <w:p w14:paraId="3DDD8276" w14:textId="77777777" w:rsidR="004164FF" w:rsidRPr="00BD11BE" w:rsidRDefault="004164FF" w:rsidP="00194556">
            <w:pPr>
              <w:pStyle w:val="Tabletext"/>
            </w:pPr>
            <w:r w:rsidRPr="00BD11BE">
              <w:t xml:space="preserve">Normative </w:t>
            </w:r>
          </w:p>
        </w:tc>
        <w:tc>
          <w:tcPr>
            <w:tcW w:w="0" w:type="auto"/>
            <w:tcBorders>
              <w:top w:val="single" w:sz="4" w:space="0" w:color="auto"/>
              <w:left w:val="nil"/>
              <w:bottom w:val="single" w:sz="4" w:space="0" w:color="auto"/>
              <w:right w:val="nil"/>
            </w:tcBorders>
            <w:hideMark/>
          </w:tcPr>
          <w:p w14:paraId="75E2B1EB" w14:textId="77777777" w:rsidR="004164FF" w:rsidRPr="00BD11BE" w:rsidRDefault="004164FF" w:rsidP="00194556">
            <w:pPr>
              <w:pStyle w:val="Tabletext"/>
            </w:pPr>
            <w:r w:rsidRPr="00BD11BE">
              <w:t xml:space="preserve">Cognitive </w:t>
            </w:r>
          </w:p>
        </w:tc>
      </w:tr>
      <w:tr w:rsidR="004164FF" w:rsidRPr="00BD11BE" w14:paraId="2C4DA810" w14:textId="77777777" w:rsidTr="00BA2106">
        <w:trPr>
          <w:trHeight w:val="988"/>
        </w:trPr>
        <w:tc>
          <w:tcPr>
            <w:tcW w:w="0" w:type="auto"/>
            <w:tcBorders>
              <w:top w:val="single" w:sz="4" w:space="0" w:color="auto"/>
              <w:left w:val="nil"/>
              <w:bottom w:val="nil"/>
              <w:right w:val="nil"/>
            </w:tcBorders>
          </w:tcPr>
          <w:p w14:paraId="1F0D66A1" w14:textId="77777777" w:rsidR="004164FF" w:rsidRPr="00BD11BE" w:rsidRDefault="004164FF" w:rsidP="00194556">
            <w:pPr>
              <w:pStyle w:val="Tabletext"/>
            </w:pPr>
            <w:r w:rsidRPr="00BD11BE">
              <w:t>Logic</w:t>
            </w:r>
          </w:p>
        </w:tc>
        <w:tc>
          <w:tcPr>
            <w:tcW w:w="0" w:type="auto"/>
            <w:tcBorders>
              <w:top w:val="single" w:sz="4" w:space="0" w:color="auto"/>
              <w:left w:val="nil"/>
              <w:bottom w:val="nil"/>
              <w:right w:val="nil"/>
            </w:tcBorders>
          </w:tcPr>
          <w:p w14:paraId="60270375" w14:textId="77777777" w:rsidR="004164FF" w:rsidRPr="00BD11BE" w:rsidRDefault="004164FF" w:rsidP="00194556">
            <w:pPr>
              <w:pStyle w:val="Tabletext"/>
            </w:pPr>
            <w:r w:rsidRPr="00BD11BE">
              <w:t xml:space="preserve">Instrumentality: follow rules to avoid sanctions </w:t>
            </w:r>
          </w:p>
        </w:tc>
        <w:tc>
          <w:tcPr>
            <w:tcW w:w="0" w:type="auto"/>
            <w:tcBorders>
              <w:top w:val="single" w:sz="4" w:space="0" w:color="auto"/>
              <w:left w:val="nil"/>
              <w:bottom w:val="nil"/>
              <w:right w:val="nil"/>
            </w:tcBorders>
          </w:tcPr>
          <w:p w14:paraId="53BC7898" w14:textId="77777777" w:rsidR="004164FF" w:rsidRPr="00BD11BE" w:rsidRDefault="004164FF" w:rsidP="00194556">
            <w:pPr>
              <w:pStyle w:val="Tabletext"/>
            </w:pPr>
            <w:r w:rsidRPr="00BD11BE">
              <w:t xml:space="preserve">Appropriateness: follow binding expectations of social norms </w:t>
            </w:r>
          </w:p>
        </w:tc>
        <w:tc>
          <w:tcPr>
            <w:tcW w:w="0" w:type="auto"/>
            <w:tcBorders>
              <w:top w:val="single" w:sz="4" w:space="0" w:color="auto"/>
              <w:left w:val="nil"/>
              <w:bottom w:val="nil"/>
              <w:right w:val="nil"/>
            </w:tcBorders>
          </w:tcPr>
          <w:p w14:paraId="006B37F0" w14:textId="77777777" w:rsidR="004164FF" w:rsidRPr="00BD11BE" w:rsidRDefault="004164FF" w:rsidP="00194556">
            <w:pPr>
              <w:pStyle w:val="Tabletext"/>
            </w:pPr>
            <w:r w:rsidRPr="00BD11BE">
              <w:t>Orthodoxy: follow taken-for-granted beliefs</w:t>
            </w:r>
          </w:p>
        </w:tc>
      </w:tr>
      <w:tr w:rsidR="004164FF" w:rsidRPr="00BD11BE" w14:paraId="28A0D477" w14:textId="77777777" w:rsidTr="00BA2106">
        <w:trPr>
          <w:trHeight w:val="988"/>
        </w:trPr>
        <w:tc>
          <w:tcPr>
            <w:tcW w:w="0" w:type="auto"/>
            <w:tcBorders>
              <w:top w:val="nil"/>
              <w:left w:val="nil"/>
              <w:bottom w:val="nil"/>
              <w:right w:val="nil"/>
            </w:tcBorders>
          </w:tcPr>
          <w:p w14:paraId="3A35384B" w14:textId="77777777" w:rsidR="004164FF" w:rsidRPr="00BD11BE" w:rsidRDefault="004164FF" w:rsidP="00194556">
            <w:pPr>
              <w:pStyle w:val="Tabletext"/>
            </w:pPr>
            <w:r w:rsidRPr="00BD11BE">
              <w:t>Basis of order</w:t>
            </w:r>
          </w:p>
        </w:tc>
        <w:tc>
          <w:tcPr>
            <w:tcW w:w="0" w:type="auto"/>
            <w:tcBorders>
              <w:top w:val="nil"/>
              <w:left w:val="nil"/>
              <w:bottom w:val="nil"/>
              <w:right w:val="nil"/>
            </w:tcBorders>
          </w:tcPr>
          <w:p w14:paraId="26BD695B" w14:textId="77777777" w:rsidR="004164FF" w:rsidRPr="00BD11BE" w:rsidRDefault="004164FF" w:rsidP="00194556">
            <w:pPr>
              <w:pStyle w:val="Tabletext"/>
            </w:pPr>
            <w:r w:rsidRPr="00BD11BE">
              <w:t xml:space="preserve">Regulative rules </w:t>
            </w:r>
          </w:p>
        </w:tc>
        <w:tc>
          <w:tcPr>
            <w:tcW w:w="0" w:type="auto"/>
            <w:tcBorders>
              <w:top w:val="nil"/>
              <w:left w:val="nil"/>
              <w:bottom w:val="nil"/>
              <w:right w:val="nil"/>
            </w:tcBorders>
          </w:tcPr>
          <w:p w14:paraId="4B7F8A98" w14:textId="77777777" w:rsidR="004164FF" w:rsidRPr="00BD11BE" w:rsidRDefault="004164FF" w:rsidP="00194556">
            <w:pPr>
              <w:pStyle w:val="Tabletext"/>
            </w:pPr>
            <w:r w:rsidRPr="00BD11BE">
              <w:t>Expectations</w:t>
            </w:r>
          </w:p>
        </w:tc>
        <w:tc>
          <w:tcPr>
            <w:tcW w:w="0" w:type="auto"/>
            <w:tcBorders>
              <w:top w:val="nil"/>
              <w:left w:val="nil"/>
              <w:bottom w:val="nil"/>
              <w:right w:val="nil"/>
            </w:tcBorders>
          </w:tcPr>
          <w:p w14:paraId="76F4CE72" w14:textId="77777777" w:rsidR="004164FF" w:rsidRPr="00BD11BE" w:rsidRDefault="004164FF" w:rsidP="00194556">
            <w:pPr>
              <w:pStyle w:val="Tabletext"/>
            </w:pPr>
            <w:r w:rsidRPr="00BD11BE">
              <w:t>Constitutive schema</w:t>
            </w:r>
          </w:p>
        </w:tc>
      </w:tr>
      <w:tr w:rsidR="004164FF" w:rsidRPr="00BD11BE" w14:paraId="51170A70" w14:textId="77777777" w:rsidTr="00BA2106">
        <w:trPr>
          <w:trHeight w:val="988"/>
        </w:trPr>
        <w:tc>
          <w:tcPr>
            <w:tcW w:w="0" w:type="auto"/>
            <w:tcBorders>
              <w:top w:val="nil"/>
              <w:left w:val="nil"/>
              <w:bottom w:val="nil"/>
              <w:right w:val="nil"/>
            </w:tcBorders>
            <w:hideMark/>
          </w:tcPr>
          <w:p w14:paraId="3D03A62F" w14:textId="77777777" w:rsidR="004164FF" w:rsidRPr="00BD11BE" w:rsidRDefault="004164FF" w:rsidP="00194556">
            <w:pPr>
              <w:pStyle w:val="Tabletext"/>
            </w:pPr>
            <w:r w:rsidRPr="00BD11BE">
              <w:t xml:space="preserve">Indicators </w:t>
            </w:r>
          </w:p>
        </w:tc>
        <w:tc>
          <w:tcPr>
            <w:tcW w:w="0" w:type="auto"/>
            <w:tcBorders>
              <w:top w:val="nil"/>
              <w:left w:val="nil"/>
              <w:bottom w:val="nil"/>
              <w:right w:val="nil"/>
            </w:tcBorders>
            <w:hideMark/>
          </w:tcPr>
          <w:p w14:paraId="500B2174" w14:textId="77777777" w:rsidR="004164FF" w:rsidRPr="00BD11BE" w:rsidRDefault="004164FF" w:rsidP="00194556">
            <w:pPr>
              <w:pStyle w:val="Tabletext"/>
            </w:pPr>
            <w:r w:rsidRPr="00BD11BE">
              <w:t>Laws/regulations</w:t>
            </w:r>
          </w:p>
          <w:p w14:paraId="560F4AD0" w14:textId="77777777" w:rsidR="004164FF" w:rsidRPr="00BD11BE" w:rsidRDefault="004164FF" w:rsidP="00194556">
            <w:pPr>
              <w:pStyle w:val="Tabletext"/>
            </w:pPr>
          </w:p>
        </w:tc>
        <w:tc>
          <w:tcPr>
            <w:tcW w:w="0" w:type="auto"/>
            <w:tcBorders>
              <w:top w:val="nil"/>
              <w:left w:val="nil"/>
              <w:bottom w:val="nil"/>
              <w:right w:val="nil"/>
            </w:tcBorders>
            <w:hideMark/>
          </w:tcPr>
          <w:p w14:paraId="23B5E814" w14:textId="77777777" w:rsidR="004164FF" w:rsidRPr="00BD11BE" w:rsidRDefault="004164FF" w:rsidP="00194556">
            <w:pPr>
              <w:pStyle w:val="Tabletext"/>
              <w:rPr>
                <w:i/>
                <w:iCs/>
              </w:rPr>
            </w:pPr>
            <w:r w:rsidRPr="00BD11BE">
              <w:t>Standards/certifications/ guidelines</w:t>
            </w:r>
          </w:p>
        </w:tc>
        <w:tc>
          <w:tcPr>
            <w:tcW w:w="0" w:type="auto"/>
            <w:tcBorders>
              <w:top w:val="nil"/>
              <w:left w:val="nil"/>
              <w:bottom w:val="nil"/>
              <w:right w:val="nil"/>
            </w:tcBorders>
            <w:hideMark/>
          </w:tcPr>
          <w:p w14:paraId="14950AEE" w14:textId="77777777" w:rsidR="004164FF" w:rsidRPr="00BD11BE" w:rsidRDefault="004164FF" w:rsidP="00194556">
            <w:pPr>
              <w:pStyle w:val="Tabletext"/>
            </w:pPr>
            <w:r w:rsidRPr="00BD11BE">
              <w:t>Common belief</w:t>
            </w:r>
          </w:p>
          <w:p w14:paraId="34D100C3" w14:textId="77777777" w:rsidR="004164FF" w:rsidRPr="00BD11BE" w:rsidRDefault="004164FF" w:rsidP="00194556">
            <w:pPr>
              <w:pStyle w:val="Tabletext"/>
            </w:pPr>
            <w:r w:rsidRPr="00BD11BE">
              <w:t>Shared logics of action</w:t>
            </w:r>
          </w:p>
        </w:tc>
      </w:tr>
      <w:tr w:rsidR="004164FF" w:rsidRPr="00BD11BE" w14:paraId="414F6457" w14:textId="77777777" w:rsidTr="00BA2106">
        <w:trPr>
          <w:trHeight w:val="853"/>
        </w:trPr>
        <w:tc>
          <w:tcPr>
            <w:tcW w:w="0" w:type="auto"/>
            <w:tcBorders>
              <w:top w:val="nil"/>
              <w:left w:val="nil"/>
              <w:bottom w:val="single" w:sz="4" w:space="0" w:color="auto"/>
              <w:right w:val="nil"/>
            </w:tcBorders>
          </w:tcPr>
          <w:p w14:paraId="7BF83D1B" w14:textId="77777777" w:rsidR="004164FF" w:rsidRPr="00BD11BE" w:rsidRDefault="004164FF" w:rsidP="00194556">
            <w:pPr>
              <w:pStyle w:val="Tabletext"/>
            </w:pPr>
            <w:r w:rsidRPr="00BD11BE">
              <w:t>Examples from the review of the grey literature</w:t>
            </w:r>
          </w:p>
        </w:tc>
        <w:tc>
          <w:tcPr>
            <w:tcW w:w="0" w:type="auto"/>
            <w:tcBorders>
              <w:top w:val="nil"/>
              <w:left w:val="nil"/>
              <w:bottom w:val="single" w:sz="4" w:space="0" w:color="auto"/>
              <w:right w:val="nil"/>
            </w:tcBorders>
          </w:tcPr>
          <w:p w14:paraId="7D4D2D84" w14:textId="77777777" w:rsidR="004164FF" w:rsidRPr="00BD11BE" w:rsidRDefault="004164FF" w:rsidP="00194556">
            <w:pPr>
              <w:pStyle w:val="Tabletext"/>
            </w:pPr>
            <w:r w:rsidRPr="00BD11BE">
              <w:t>EU ban on single-use plastic</w:t>
            </w:r>
          </w:p>
        </w:tc>
        <w:tc>
          <w:tcPr>
            <w:tcW w:w="0" w:type="auto"/>
            <w:tcBorders>
              <w:top w:val="nil"/>
              <w:left w:val="nil"/>
              <w:bottom w:val="single" w:sz="4" w:space="0" w:color="auto"/>
              <w:right w:val="nil"/>
            </w:tcBorders>
          </w:tcPr>
          <w:p w14:paraId="14D812C6" w14:textId="77777777" w:rsidR="004164FF" w:rsidRPr="00BD11BE" w:rsidRDefault="004164FF" w:rsidP="00194556">
            <w:pPr>
              <w:pStyle w:val="Tabletext"/>
            </w:pPr>
            <w:r w:rsidRPr="00BD11BE">
              <w:t>Alliance to end plastic waste</w:t>
            </w:r>
          </w:p>
          <w:p w14:paraId="4054E61C" w14:textId="77777777" w:rsidR="004164FF" w:rsidRPr="00BD11BE" w:rsidRDefault="004164FF" w:rsidP="00194556">
            <w:pPr>
              <w:pStyle w:val="Tabletext"/>
            </w:pPr>
            <w:r w:rsidRPr="00BD11BE">
              <w:t>Global Battery Alliance</w:t>
            </w:r>
          </w:p>
        </w:tc>
        <w:tc>
          <w:tcPr>
            <w:tcW w:w="0" w:type="auto"/>
            <w:tcBorders>
              <w:top w:val="nil"/>
              <w:left w:val="nil"/>
              <w:bottom w:val="single" w:sz="4" w:space="0" w:color="auto"/>
              <w:right w:val="nil"/>
            </w:tcBorders>
          </w:tcPr>
          <w:p w14:paraId="140C9225" w14:textId="77777777" w:rsidR="004164FF" w:rsidRPr="00BD11BE" w:rsidRDefault="004164FF" w:rsidP="00194556">
            <w:pPr>
              <w:pStyle w:val="Tabletext"/>
            </w:pPr>
            <w:r w:rsidRPr="00BD11BE">
              <w:t>Offer ‘green’ products for households and for businesses</w:t>
            </w:r>
          </w:p>
        </w:tc>
      </w:tr>
    </w:tbl>
    <w:p w14:paraId="1DC941B6" w14:textId="77777777" w:rsidR="004164FF" w:rsidRDefault="004164FF" w:rsidP="002F7336"/>
    <w:p w14:paraId="1E063CE2" w14:textId="69709601" w:rsidR="00492418" w:rsidRPr="00E81FD2" w:rsidRDefault="00492418" w:rsidP="002F7336">
      <w:r w:rsidRPr="00E81FD2">
        <w:t>Following the increasing importance of supply chain networks in global competition (</w:t>
      </w:r>
      <w:proofErr w:type="spellStart"/>
      <w:r w:rsidRPr="00E81FD2">
        <w:t>Ketchen</w:t>
      </w:r>
      <w:proofErr w:type="spellEnd"/>
      <w:r w:rsidRPr="00E81FD2">
        <w:t xml:space="preserve"> and </w:t>
      </w:r>
      <w:proofErr w:type="spellStart"/>
      <w:r w:rsidRPr="00E81FD2">
        <w:t>Hult</w:t>
      </w:r>
      <w:proofErr w:type="spellEnd"/>
      <w:r w:rsidRPr="00E81FD2">
        <w:t>, 2007), IT – and some other organizational theories (</w:t>
      </w:r>
      <w:r w:rsidR="00B651D9" w:rsidRPr="00E81FD2">
        <w:t>e.g.,</w:t>
      </w:r>
      <w:r w:rsidRPr="00E81FD2">
        <w:t xml:space="preserve"> CSR, Stakeholder theory) – have increasingly adopted the supply chain as the level of analysis (</w:t>
      </w:r>
      <w:proofErr w:type="spellStart"/>
      <w:r w:rsidRPr="00E81FD2">
        <w:t>Sarkis</w:t>
      </w:r>
      <w:proofErr w:type="spellEnd"/>
      <w:r w:rsidRPr="00E81FD2">
        <w:t xml:space="preserve"> et al., 2011), rather than the single firm. This is because supply chain participants can cooperate and accept a role in the ‘supply chain organisation’ </w:t>
      </w:r>
      <w:r w:rsidRPr="00E81FD2">
        <w:fldChar w:fldCharType="begin" w:fldLock="1"/>
      </w:r>
      <w:r w:rsidRPr="00E81FD2">
        <w:instrText>ADDIN CSL_CITATION {"citationItems":[{"id":"ITEM-1","itemData":{"DOI":"10.1016/j.indmarman.2003.08.010","ISSN":"00198501","abstract":"Strategic management and supply chain management (SCM) have overlapping interests, yet there has been little exchange between them. We examine areas of overlap and suggest how insights from each field can complement and support the other. Specifically, several of strategic management's theories and its emphasis on explaining firm profits should be useful to SCM. SCM offers to strategic management a new level of analysis and possibly a new type of organization. Overall, we argue that increased interaction between these important areas will benefit knowledge development in both and thereby enhance organizations' ability to meet their goals. © 2003 Elsevier Inc. All rights reserved.","author":[{"dropping-particle":"","family":"Ketchen","given":"David J.","non-dropping-particle":"","parse-names":false,"suffix":""},{"dropping-particle":"","family":"Giunipero","given":"Larry C.","non-dropping-particle":"","parse-names":false,"suffix":""}],"container-title":"Industrial Marketing Management","id":"ITEM-1","issue":"1","issued":{"date-parts":[["2004"]]},"page":"51-56","title":"The intersection of strategic management and supply chain management","type":"article-journal","volume":"33"},"uris":["http://www.mendeley.com/documents/?uuid=7c538000-04ff-4842-b1a8-6eefc0d09fca"]}],"mendeley":{"formattedCitation":"(Ketchen &amp; Giunipero, 2004)","plainTextFormattedCitation":"(Ketchen &amp; Giunipero, 2004)","previouslyFormattedCitation":"(Ketchen &amp; Giunipero, 2004)"},"properties":{"noteIndex":0},"schema":"https://github.com/citation-style-language/schema/raw/master/csl-citation.json"}</w:instrText>
      </w:r>
      <w:r w:rsidRPr="00E81FD2">
        <w:fldChar w:fldCharType="separate"/>
      </w:r>
      <w:r w:rsidRPr="00E81FD2">
        <w:rPr>
          <w:noProof/>
        </w:rPr>
        <w:t>(Ketchen &amp; Giunipero, 2004)</w:t>
      </w:r>
      <w:r w:rsidRPr="00E81FD2">
        <w:fldChar w:fldCharType="end"/>
      </w:r>
      <w:r w:rsidRPr="00E81FD2">
        <w:t xml:space="preserve">, performing activities to reach a common goal – in a way that is comparable to what happens at the level of the single organisation. Within the modern globalised production and consumption systems, the largest part of the value creation process lies outside of the single firm’s boundaries and looking at the supply chain level and at inter-firm dynamics, can help explain some outcomes more than any other levels </w:t>
      </w:r>
      <w:r w:rsidRPr="00E81FD2">
        <w:fldChar w:fldCharType="begin" w:fldLock="1"/>
      </w:r>
      <w:r w:rsidRPr="00E81FD2">
        <w:instrText>ADDIN CSL_CITATION {"citationItems":[{"id":"ITEM-1","itemData":{"DOI":"10.1016/j.indmarman.2003.08.010","ISSN":"00198501","abstract":"Strategic management and supply chain management (SCM) have overlapping interests, yet there has been little exchange between them. We examine areas of overlap and suggest how insights from each field can complement and support the other. Specifically, several of strategic management's theories and its emphasis on explaining firm profits should be useful to SCM. SCM offers to strategic management a new level of analysis and possibly a new type of organization. Overall, we argue that increased interaction between these important areas will benefit knowledge development in both and thereby enhance organizations' ability to meet their goals. © 2003 Elsevier Inc. All rights reserved.","author":[{"dropping-particle":"","family":"Ketchen","given":"David J.","non-dropping-particle":"","parse-names":false,"suffix":""},{"dropping-particle":"","family":"Giunipero","given":"Larry C.","non-dropping-particle":"","parse-names":false,"suffix":""}],"container-title":"Industrial Marketing Management","id":"ITEM-1","issue":"1","issued":{"date-parts":[["2004"]]},"page":"51-56","title":"The intersection of strategic management and supply chain management","type":"article-journal","volume":"33"},"uris":["http://www.mendeley.com/documents/?uuid=7c538000-04ff-4842-b1a8-6eefc0d09fca"]}],"mendeley":{"formattedCitation":"(Ketchen &amp; Giunipero, 2004)","plainTextFormattedCitation":"(Ketchen &amp; Giunipero, 2004)","previouslyFormattedCitation":"(Ketchen &amp; Giunipero, 2004)"},"properties":{"noteIndex":0},"schema":"https://github.com/citation-style-language/schema/raw/master/csl-citation.json"}</w:instrText>
      </w:r>
      <w:r w:rsidRPr="00E81FD2">
        <w:fldChar w:fldCharType="separate"/>
      </w:r>
      <w:r w:rsidRPr="00E81FD2">
        <w:rPr>
          <w:noProof/>
        </w:rPr>
        <w:t>(Ketchen &amp; Giunipero, 2004)</w:t>
      </w:r>
      <w:r w:rsidRPr="00E81FD2">
        <w:fldChar w:fldCharType="end"/>
      </w:r>
      <w:r w:rsidRPr="00E81FD2">
        <w:t xml:space="preserve">. </w:t>
      </w:r>
    </w:p>
    <w:p w14:paraId="705A65E4" w14:textId="77777777" w:rsidR="00492418" w:rsidRPr="00E81FD2" w:rsidRDefault="00492418" w:rsidP="002F7336">
      <w:r w:rsidRPr="00E81FD2">
        <w:t xml:space="preserve">Institutions embrace a set of values and norms that can change over time: IT has been used to understand how organisations adapt their behaviour to these changes. In the last decades, </w:t>
      </w:r>
      <w:r w:rsidRPr="00E81FD2">
        <w:lastRenderedPageBreak/>
        <w:t xml:space="preserve">concepts like ‘sustainability’, ‘climate change’ and ‘circular economy’ have gradually been promoted in the public debate and became – to different extents – institutionalised. Some patterns of actions and outcomes in practices and structures became the norm: new laws and regulation have been introduced; more and more businesses have a sustainability, climate or CE strategy and disclose it through their reporting. </w:t>
      </w:r>
    </w:p>
    <w:p w14:paraId="6D394C9A" w14:textId="5703DA15" w:rsidR="004164FF" w:rsidRDefault="00492418" w:rsidP="002F7336">
      <w:r w:rsidRPr="00E81FD2">
        <w:t xml:space="preserve">For these reasons, and following some suggestions from previous studies </w:t>
      </w:r>
      <w:r w:rsidRPr="00E81FD2">
        <w:fldChar w:fldCharType="begin" w:fldLock="1"/>
      </w:r>
      <w:r w:rsidRPr="00E81FD2">
        <w:instrText>ADDIN CSL_CITATION {"citationItems":[{"id":"ITEM-1","itemData":{"abstract":"Purpose: Academia has so far only sparsely investigated the phenomenon of circular economy with the support of organisational theories. We propose an Institutional Perspective to investigate how the new phenomenon influences different aspects of solution business and explain why circular economy principles are adopted or ignored by manufacturers. Design/Methodology/Approach: In this conceptual study based on a literature review of 55 journal articles, we present and unpack core ideas of Institutional Theory and set each of them in the context of circular economy. Findings: Research in circular economy has so far predominantly used institutional pressures and not developed the theory further. We discuss three major constructs of IT, Institutional Isomorphism, Institutional Logics, and Organisational Fields in the context of circular economy to be used in management research and practice. Originality/Value: Institutional Theory is recently under scrutiny as it has become too vague and used inaccurately as a means to get published in management journals. With our study, we propose a way to refocus Institutional Theory and present operationalizable suggestion for a variety of further research in the field of servitization and business development.","author":[{"dropping-particle":"","family":"Widmer","given":"Tobias","non-dropping-particle":"","parse-names":false,"suffix":""},{"dropping-particle":"","family":"Prior","given":"Daniel","non-dropping-particle":"","parse-names":false,"suffix":""}],"container-title":"Proceedings of the Spring Servitization Conference 2019","id":"ITEM-1","issue":"May","issued":{"date-parts":[["2019"]]},"title":"Institutional Isomorphism, Institutional Logics and Organisational Fields: An Institutionalist Perspective on Circular Economy","type":"article-journal"},"uris":["http://www.mendeley.com/documents/?uuid=982cf74d-d85c-41e8-b52f-31f78aa5260a"]},{"id":"ITEM-2","itemData":{"DOI":"10.1016/j.resconrec.2017.08.017","ISSN":"18790658","abstract":"The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Recycling","id":"ITEM-2","issue":"August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Europe","type":"article-journal","volume":"135"},"uris":["http://www.mendeley.com/documents/?uuid=9e3263bd-e8a0-4a47-9772-35fddaf67ff7"]}],"mendeley":{"formattedCitation":"(Ranta et al., 2018; Widmer &amp; Prior, 2019)","plainTextFormattedCitation":"(Ranta et al., 2018; Widmer &amp; Prior, 2019)","previouslyFormattedCitation":"(Ranta et al., 2018; Widmer &amp; Prior, 2019)"},"properties":{"noteIndex":0},"schema":"https://github.com/citation-style-language/schema/raw/master/csl-citation.json"}</w:instrText>
      </w:r>
      <w:r w:rsidRPr="00E81FD2">
        <w:fldChar w:fldCharType="separate"/>
      </w:r>
      <w:r w:rsidRPr="00E81FD2">
        <w:rPr>
          <w:noProof/>
        </w:rPr>
        <w:t>(Ranta et al., 2018; Widmer &amp; Prior, 2019)</w:t>
      </w:r>
      <w:r w:rsidRPr="00E81FD2">
        <w:fldChar w:fldCharType="end"/>
      </w:r>
      <w:r w:rsidRPr="00E81FD2">
        <w:t>, the literature is explored to assess whether institutional theory can be applied in the context of the research questions, to understand CE adoption in supply chains.</w:t>
      </w:r>
    </w:p>
    <w:p w14:paraId="4A3CB252" w14:textId="0114B805" w:rsidR="004164FF" w:rsidRDefault="00947F87" w:rsidP="002F7336">
      <w:pPr>
        <w:pStyle w:val="Heading4Paragraph"/>
      </w:pPr>
      <w:bookmarkStart w:id="62" w:name="_Toc49839823"/>
      <w:r>
        <w:t xml:space="preserve">2.1.2 </w:t>
      </w:r>
      <w:r w:rsidR="004164FF" w:rsidRPr="0010224D">
        <w:t>Supply Chain Integration</w:t>
      </w:r>
      <w:bookmarkEnd w:id="62"/>
    </w:p>
    <w:p w14:paraId="3A928C94" w14:textId="77777777" w:rsidR="00492418" w:rsidRPr="00E81FD2" w:rsidRDefault="00492418" w:rsidP="002F7336">
      <w:r w:rsidRPr="00E81FD2">
        <w:t xml:space="preserve">Supply chain management has become a strategic process, and the effective design and operation of the supply chain can explain firms’ performance </w:t>
      </w:r>
      <w:r w:rsidRPr="00E81FD2">
        <w:fldChar w:fldCharType="begin" w:fldLock="1"/>
      </w:r>
      <w:r w:rsidRPr="00E81FD2">
        <w:instrText>ADDIN CSL_CITATION {"citationItems":[{"id":"ITEM-1","itemData":{"DOI":"10.1108/IJOPM-02-2016-0080","ISSN":"17586593","abstract":"Purpose: Supply chains evolve and change in size, shape and configuration, and in how they are coordinated, controlled and managed. Some supply chains are mature and relatively unchanging. Some are subject to significant change. New supply chains may emerge and evolve for a variety of reasons. The purpose of this paper is to examine the nature of supply chain evolution and address the question “What makes a supply chain like it is?” Design/methodology/approach: The paper analyses and develops key aspects, concepts and principal themes concerning the emergence and evolution of supply chains over their lifecycle. Findings: The paper defines the supply chain lifecycle and identifies six factors that interact and may affect a supply chain over its lifecycle – technology and innovation, economics, markets and competition, policy and regulation, procurement and sourcing, supply chain strategies and re-engineering. A number of emergent themes and propositions on factors affecting a supply chain’s characteristics over its lifecycle are presented. The paper argues that a new science is needed to investigate and understand the supply chain lifecycle. Practical implications: Supply chains are critical for the world economy and essential for modern life. Understanding the supply chain lifecycle and how supply chains evolve provides new perspectives for contemporary supply chain design and management. Originality/value: The paper presents detailed analysis, critique and reflections from leading researchers on emerging, evolving and mature supply chains.","author":[{"dropping-particle":"","family":"MacCarthy","given":"Bart L.","non-dropping-particle":"","parse-names":false,"suffix":""},{"dropping-particle":"","family":"Blome","given":"Constantin","non-dropping-particle":"","parse-names":false,"suffix":""},{"dropping-particle":"","family":"Olhager","given":"Jan","non-dropping-particle":"","parse-names":false,"suffix":""},{"dropping-particle":"","family":"Srai","given":"Jagjit Singh","non-dropping-particle":"","parse-names":false,"suffix":""},{"dropping-particle":"","family":"Zhao","given":"Xiande","non-dropping-particle":"","parse-names":false,"suffix":""}],"container-title":"International Journal of Operations and Production Management","id":"ITEM-1","issue":"12","issued":{"date-parts":[["2016"]]},"page":"1696-1718","title":"Supply chain evolution – theory, concepts and science","type":"article-journal","volume":"36"},"uris":["http://www.mendeley.com/documents/?uuid=9847d066-11e4-45ab-9b3c-e756b83e65dd"]},{"id":"ITEM-2","itemData":{"DOI":"10.1016/j.indmarman.2003.08.010","ISSN":"00198501","abstract":"Strategic management and supply chain management (SCM) have overlapping interests, yet there has been little exchange between them. We examine areas of overlap and suggest how insights from each field can complement and support the other. Specifically, several of strategic management's theories and its emphasis on explaining firm profits should be useful to SCM. SCM offers to strategic management a new level of analysis and possibly a new type of organization. Overall, we argue that increased interaction between these important areas will benefit knowledge development in both and thereby enhance organizations' ability to meet their goals. © 2003 Elsevier Inc. All rights reserved.","author":[{"dropping-particle":"","family":"Ketchen","given":"David J.","non-dropping-particle":"","parse-names":false,"suffix":""},{"dropping-particle":"","family":"Giunipero","given":"Larry C.","non-dropping-particle":"","parse-names":false,"suffix":""}],"container-title":"Industrial Marketing Management","id":"ITEM-2","issue":"1","issued":{"date-parts":[["2004"]]},"page":"51-56","title":"The intersection of strategic management and supply chain management","type":"article-journal","volume":"33"},"uris":["http://www.mendeley.com/documents/?uuid=7c538000-04ff-4842-b1a8-6eefc0d09fca"]},{"id":"ITEM-3","itemData":{"DOI":"10.1016/j.jom.2006.05.010","ISSN":"02726963","abstract":"Rivalry is increasingly being contested at the supply chain level of analysis. Rather than competing \"firm versus firm,\" today's organizations are battling \"supply chain versus supply chain.\" Within this context, best value supply chains are emerging as a means to create competitive advantages and superior performance. While traditional supply chains often focus primarily on one key outcome such as speed or cost, best value supply chains excel along an array of uniquely integrated priorities-cost, quality, speed, and flexibility. We describe how key organizational theories help to distinguish traditional supply chains from best value supply chains. To provide a foundation for future inquiry, we offer theory-based research questions that are focused on best value supply chains. © 2006 Elsevier B.V. All rights reserved.","author":[{"dropping-particle":"","family":"Ketchen","given":"David J.","non-dropping-particle":"","parse-names":false,"suffix":""},{"dropping-particle":"","family":"Hult","given":"G. Tomas M.","non-dropping-particle":"","parse-names":false,"suffix":""}],"container-title":"Journal of Operations Management","id":"ITEM-3","issue":"2","issued":{"date-parts":[["2007"]]},"page":"573-580","title":"Bridging organization theory and supply chain management: The case of best value supply chains","type":"article-journal","volume":"25"},"uris":["http://www.mendeley.com/documents/?uuid=53d8c53e-a378-4bbe-8e80-74a190fb068e"]}],"mendeley":{"formattedCitation":"(Ketchen &amp; Giunipero, 2004; Ketchen &amp; Hult, 2007; MacCarthy et al., 2016)","plainTextFormattedCitation":"(Ketchen &amp; Giunipero, 2004; Ketchen &amp; Hult, 2007; MacCarthy et al., 2016)","previouslyFormattedCitation":"(Ketchen &amp; Giunipero, 2004; Ketchen &amp; Hult, 2007; MacCarthy et al., 2016)"},"properties":{"noteIndex":0},"schema":"https://github.com/citation-style-language/schema/raw/master/csl-citation.json"}</w:instrText>
      </w:r>
      <w:r w:rsidRPr="00E81FD2">
        <w:fldChar w:fldCharType="separate"/>
      </w:r>
      <w:r w:rsidRPr="00E81FD2">
        <w:rPr>
          <w:noProof/>
        </w:rPr>
        <w:t>(Ketchen &amp; Giunipero, 2004; Ketchen &amp; Hult, 2007; MacCarthy et al., 2016)</w:t>
      </w:r>
      <w:r w:rsidRPr="00E81FD2">
        <w:fldChar w:fldCharType="end"/>
      </w:r>
      <w:r w:rsidRPr="00E81FD2">
        <w:t xml:space="preserve">. In this context, adopting some rare, valuable and difficult to duplicate practices in the supply chain can provide competitive advantage, since competition itself has shifted from being at the level of the single firm, to the supply chain level </w:t>
      </w:r>
      <w:r w:rsidRPr="00E81FD2">
        <w:fldChar w:fldCharType="begin" w:fldLock="1"/>
      </w:r>
      <w:r w:rsidRPr="00E81FD2">
        <w:instrText>ADDIN CSL_CITATION {"citationItems":[{"id":"ITEM-1","itemData":{"DOI":"10.1016/j.indmarman.2003.08.010","ISSN":"00198501","abstract":"Strategic management and supply chain management (SCM) have overlapping interests, yet there has been little exchange between them. We examine areas of overlap and suggest how insights from each field can complement and support the other. Specifically, several of strategic management's theories and its emphasis on explaining firm profits should be useful to SCM. SCM offers to strategic management a new level of analysis and possibly a new type of organization. Overall, we argue that increased interaction between these important areas will benefit knowledge development in both and thereby enhance organizations' ability to meet their goals. © 2003 Elsevier Inc. All rights reserved.","author":[{"dropping-particle":"","family":"Ketchen","given":"David J.","non-dropping-particle":"","parse-names":false,"suffix":""},{"dropping-particle":"","family":"Giunipero","given":"Larry C.","non-dropping-particle":"","parse-names":false,"suffix":""}],"container-title":"Industrial Marketing Management","id":"ITEM-1","issue":"1","issued":{"date-parts":[["2004"]]},"page":"51-56","title":"The intersection of strategic management and supply chain management","type":"article-journal","volume":"33"},"uris":["http://www.mendeley.com/documents/?uuid=7c538000-04ff-4842-b1a8-6eefc0d09fca"]},{"id":"ITEM-2","itemData":{"DOI":"10.1016/j.jom.2006.05.010","ISSN":"02726963","abstract":"Rivalry is increasingly being contested at the supply chain level of analysis. Rather than competing \"firm versus firm,\" today's organizations are battling \"supply chain versus supply chain.\" Within this context, best value supply chains are emerging as a means to create competitive advantages and superior performance. While traditional supply chains often focus primarily on one key outcome such as speed or cost, best value supply chains excel along an array of uniquely integrated priorities-cost, quality, speed, and flexibility. We describe how key organizational theories help to distinguish traditional supply chains from best value supply chains. To provide a foundation for future inquiry, we offer theory-based research questions that are focused on best value supply chains. © 2006 Elsevier B.V. All rights reserved.","author":[{"dropping-particle":"","family":"Ketchen","given":"David J.","non-dropping-particle":"","parse-names":false,"suffix":""},{"dropping-particle":"","family":"Hult","given":"G. Tomas M.","non-dropping-particle":"","parse-names":false,"suffix":""}],"container-title":"Journal of Operations Management","id":"ITEM-2","issue":"2","issued":{"date-parts":[["2007"]]},"page":"573-580","title":"Bridging organization theory and supply chain management: The case of best value supply chains","type":"article-journal","volume":"25"},"uris":["http://www.mendeley.com/documents/?uuid=53d8c53e-a378-4bbe-8e80-74a190fb068e"]}],"mendeley":{"formattedCitation":"(Ketchen &amp; Giunipero, 2004; Ketchen &amp; Hult, 2007)","plainTextFormattedCitation":"(Ketchen &amp; Giunipero, 2004; Ketchen &amp; Hult, 2007)","previouslyFormattedCitation":"(Ketchen &amp; Giunipero, 2004; Ketchen &amp; Hult, 2007)"},"properties":{"noteIndex":0},"schema":"https://github.com/citation-style-language/schema/raw/master/csl-citation.json"}</w:instrText>
      </w:r>
      <w:r w:rsidRPr="00E81FD2">
        <w:fldChar w:fldCharType="separate"/>
      </w:r>
      <w:r w:rsidRPr="00E81FD2">
        <w:rPr>
          <w:noProof/>
        </w:rPr>
        <w:t>(Ketchen &amp; Giunipero, 2004; Ketchen &amp; Hult, 2007)</w:t>
      </w:r>
      <w:r w:rsidRPr="00E81FD2">
        <w:fldChar w:fldCharType="end"/>
      </w:r>
      <w:r w:rsidRPr="00E81FD2">
        <w:t xml:space="preserve">. </w:t>
      </w:r>
    </w:p>
    <w:p w14:paraId="2327EC99" w14:textId="14DAADE2" w:rsidR="00492418" w:rsidRDefault="00492418" w:rsidP="002F7336">
      <w:r w:rsidRPr="00E81FD2">
        <w:t xml:space="preserve">Part of the organisational science literature has studied supply chains as single entities, where supply chain participants cooperate and use their own and inter-organisational resources to reach shared goals </w:t>
      </w:r>
      <w:r w:rsidRPr="00E81FD2">
        <w:fldChar w:fldCharType="begin" w:fldLock="1"/>
      </w:r>
      <w:r w:rsidRPr="00E81FD2">
        <w:instrText>ADDIN CSL_CITATION {"citationItems":[{"id":"ITEM-1","itemData":{"DOI":"10.1002/csr.207","ISSN":"15353958","abstract":"On the basis of a content analysis, this paper explores the role of sustainable supply chain management as a catalyst of generating valuable inter-organizational resources and thus possible sustained inter-firm competitive advantage through collaboration on environmental and social issues. Drawing on the resource-based view and its extension, the relational view, this paper highlights that partner-focused supply management capabilities evolve to corporate core competences as competition shifts from an inter-firm to an inter-supplychain level. The 'collaborative paradigm' in supply chain management regards strategic collaboration as a crucial source of competitive advantage. Collaboration is even more essential when supply chains aim at ensuring simultaneously economic, environmental and social performance on a product's total life-cycle basis. Inter-firm resources and capabilities emerging from supply-chain-wide collaboration are prone to become sources of sustained inter-firm competitive advantage, since they are socially complex, causally ambiguous and historically grown and hence particularly difficult to imitate by competitors. © 2009 John Wiley &amp; Sons, Ltd and ERP Environment.","author":[{"dropping-particle":"","family":"Gold","given":"Stefan","non-dropping-particle":"","parse-names":false,"suffix":""},{"dropping-particle":"","family":"Seuring","given":"Stefan","non-dropping-particle":"","parse-names":false,"suffix":""},{"dropping-particle":"","family":"Beske","given":"Philip","non-dropping-particle":"","parse-names":false,"suffix":""}],"container-title":"Corporate Social Responsibility and Environmental Management","id":"ITEM-1","issue":"4","issued":{"date-parts":[["2010"]]},"page":"230-245","title":"Sustainable supply chain management and inter-organizational resources: A literature review","type":"article-journal","volume":"17"},"uris":["http://www.mendeley.com/documents/?uuid=4ef60901-4c7c-4d17-bc83-9f00ea52041d"]}],"mendeley":{"formattedCitation":"(Gold et al., 2010)","plainTextFormattedCitation":"(Gold et al., 2010)","previouslyFormattedCitation":"(Gold et al., 2010)"},"properties":{"noteIndex":0},"schema":"https://github.com/citation-style-language/schema/raw/master/csl-citation.json"}</w:instrText>
      </w:r>
      <w:r w:rsidRPr="00E81FD2">
        <w:fldChar w:fldCharType="separate"/>
      </w:r>
      <w:r w:rsidRPr="00E81FD2">
        <w:rPr>
          <w:noProof/>
        </w:rPr>
        <w:t>(Gold et al., 2010)</w:t>
      </w:r>
      <w:r w:rsidRPr="00E81FD2">
        <w:fldChar w:fldCharType="end"/>
      </w:r>
      <w:r w:rsidRPr="00E81FD2">
        <w:t xml:space="preserve">. The concept of supply chain integration is established in the literature, and it has been measured according to standard dimensions and items (Table 2). Highly integrated supply chains have these characteristics: share information with their partners; create stable and long-term relationships with key suppliers and customers; involve supplier and customers in the design products and services; engage in development programs with suppliers; couple IT systems across the supply chain to improve the overall responsiveness of and to minimise inefficiencies. </w:t>
      </w:r>
    </w:p>
    <w:p w14:paraId="5466EA51" w14:textId="77777777" w:rsidR="0062477F" w:rsidRPr="00E81FD2" w:rsidRDefault="0062477F" w:rsidP="0062477F">
      <w:r w:rsidRPr="00E81FD2">
        <w:t xml:space="preserve">An increased level of integration between suppliers and customers can bring significant benefits. The wider the level of integration of internal processes with supplier and customer ones, the greater the performance improvement in terms of delivery, flexibility, quality and cost performance </w:t>
      </w:r>
      <w:r w:rsidRPr="00E81FD2">
        <w:fldChar w:fldCharType="begin" w:fldLock="1"/>
      </w:r>
      <w:r w:rsidRPr="00E81FD2">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strategies","type":"article-journal","volume":"19"},"uris":["http://www.mendeley.com/documents/?uuid=7dab76ac-81c3-4b68-9d23-87ca23782cf9"]},{"id":"ITEM-2","itemData":{"DOI":"10.1016/j.jom.2011.09.001","ISSN":"02726963","abstract":"This paper revisits Frohlich and Westbrook's arcs of integration concept [Arcs of integration: an international study of supply chain strategies. Journal of Operations Management 2001, 19 (2) pp. 185-200]. Using survey responses from 403 supply chain professionals, we compare the arcs of integration group memberships generated with our sample to the original study, rationalize the classification scheme, and assess the impact of supply chain integration strategies on quality, delivery, flexibility and cost performance. In doing so we cross-validate Frohlich and Westbrook's framework with a more recent and broader sample of data utilizing multi-dimensional performance measures collected from supply chain managers. We ground these relationships in the relational and resource-based views of the firm. We also extend Frohlich and Westbrook's study by investigating the moderating role of internal integration on the relationships between arcs of integration and performance. In accordance with information processing theory, the results indicate that internal integration strengthens the positive impacts of external integration on both delivery and flexibility performance. However, the theory is not supported for either quality or cost performance. Overall, our study confirms and extends the work of Frohlich and Westbrook, augments theories used to describe supply chain integration efforts, and provides practical implications for managers. © 2011 Elsevier B.V. All rights reserved.","author":[{"dropping-particle":"","family":"Schoenherr","given":"Tobias","non-dropping-particle":"","parse-names":false,"suffix":""},{"dropping-particle":"","family":"Swink","given":"Morgan","non-dropping-particle":"","parse-names":false,"suffix":""}],"container-title":"Journal of Operations Management","id":"ITEM-2","issue":"1-2","issued":{"date-parts":[["2012"]]},"page":"99-115","title":"Revisiting the arcs of integration: Cross-validations and extensions","type":"article-journal","volume":"30"},"uris":["http://www.mendeley.com/documents/?uuid=c3b19ce0-0aef-421b-8d4c-a0c9c19dcca4"]}],"mendeley":{"formattedCitation":"(Frohlich &amp; Westbrook, 2001; Schoenherr &amp; Swink, 2012)","plainTextFormattedCitation":"(Frohlich &amp; Westbrook, 2001; Schoenherr &amp; Swink, 2012)","previouslyFormattedCitation":"(Frohlich &amp; Westbrook, 2001; Schoenherr &amp; Swink, 2012)"},"properties":{"noteIndex":0},"schema":"https://github.com/citation-style-language/schema/raw/master/csl-citation.json"}</w:instrText>
      </w:r>
      <w:r w:rsidRPr="00E81FD2">
        <w:fldChar w:fldCharType="separate"/>
      </w:r>
      <w:r w:rsidRPr="00E81FD2">
        <w:rPr>
          <w:noProof/>
        </w:rPr>
        <w:t>(Frohlich &amp; Westbrook, 2001; Chen et al., 2009; Schoenherr &amp; Swink, 2012)</w:t>
      </w:r>
      <w:r w:rsidRPr="00E81FD2">
        <w:fldChar w:fldCharType="end"/>
      </w:r>
      <w:r w:rsidRPr="00E81FD2">
        <w:t xml:space="preserve">, as well as sustainability performance </w:t>
      </w:r>
      <w:r w:rsidRPr="00E81FD2">
        <w:fldChar w:fldCharType="begin" w:fldLock="1"/>
      </w:r>
      <w:r w:rsidRPr="00E81FD2">
        <w:instrText>ADDIN CSL_CITATION {"citationItems":[{"id":"ITEM-1","itemData":{"DOI":"10.1108/SCM-04-2014-0120","ISSN":"13598546","abstract":"Purpose-This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Management","id":"ITEM-1","issue":"2","issued":{"date-parts":[["2015"]]},"page":"139-150","title":"A nuanced view on supply chain integration: A coordinative and collaborative approach to operational and sustainability performance improvement","type":"article-journal","volume":"20"},"uris":["http://www.mendeley.com/documents/?uuid=174b8afa-dd16-4160-947a-5442a28b75d4"]}],"mendeley":{"formattedCitation":"(Wiengarten &amp; Longoni, 2015)","plainTextFormattedCitation":"(Wiengarten &amp; Longoni, 2015)","previouslyFormattedCitation":"(Wiengarten &amp; Longoni, 2015)"},"properties":{"noteIndex":0},"schema":"https://github.com/citation-style-language/schema/raw/master/csl-citation.json"}</w:instrText>
      </w:r>
      <w:r w:rsidRPr="00E81FD2">
        <w:fldChar w:fldCharType="separate"/>
      </w:r>
      <w:r w:rsidRPr="00E81FD2">
        <w:rPr>
          <w:noProof/>
        </w:rPr>
        <w:t>(Wiengarten &amp; Longoni, 2015)</w:t>
      </w:r>
      <w:r w:rsidRPr="00E81FD2">
        <w:fldChar w:fldCharType="end"/>
      </w:r>
      <w:r w:rsidRPr="00E81FD2">
        <w:t xml:space="preserve">. Although SCI concept traditionally focuses on forward supply chain activities without explicitly considering reverse supply chain ones, it can play a role in how sustainability practices are adopted by </w:t>
      </w:r>
      <w:r w:rsidRPr="00E81FD2">
        <w:lastRenderedPageBreak/>
        <w:t xml:space="preserve">businesses and extended in their supply chains. The effect of SCI was studied also in the context of industrial symbiosis networks, which constitute a prototype of the closed-loop supply chain, where resources and waste are exchanged in a comprehensive view. Also in this context, some SCI constructs (e.g. collaboration with supply chain partners) play an important role in improving the overall environmental and economic performance </w:t>
      </w:r>
      <w:r w:rsidRPr="00E81FD2">
        <w:fldChar w:fldCharType="begin" w:fldLock="1"/>
      </w:r>
      <w:r w:rsidRPr="00E81FD2">
        <w:instrText>ADDIN CSL_CITATION {"citationItems":[{"id":"ITEM-1","itemData":{"DOI":"10.1016/j.jclepro.2017.10.046","ISSN":"09596526","abstract":"A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Production","id":"ITEM-1","issued":{"date-parts":[["2018"]]},"page":"1058-1067","title":"Supply chain collaboration in industrial symbiosis networks","type":"article-journal","volume":"171"},"uris":["http://www.mendeley.com/documents/?uuid=20a570de-bacf-423c-a7ed-fc4796e6dabf"]}],"mendeley":{"formattedCitation":"(Herczeg et al., 2018)","plainTextFormattedCitation":"(Herczeg et al., 2018)","previouslyFormattedCitation":"(Herczeg et al., 2018)"},"properties":{"noteIndex":0},"schema":"https://github.com/citation-style-language/schema/raw/master/csl-citation.json"}</w:instrText>
      </w:r>
      <w:r w:rsidRPr="00E81FD2">
        <w:fldChar w:fldCharType="separate"/>
      </w:r>
      <w:r w:rsidRPr="00E81FD2">
        <w:rPr>
          <w:noProof/>
        </w:rPr>
        <w:t>(Herczeg et al., 2018)</w:t>
      </w:r>
      <w:r w:rsidRPr="00E81FD2">
        <w:fldChar w:fldCharType="end"/>
      </w:r>
      <w:r w:rsidRPr="00E81FD2">
        <w:t xml:space="preserve">. </w:t>
      </w:r>
    </w:p>
    <w:p w14:paraId="77F6E06F" w14:textId="137E29BA" w:rsidR="004164FF" w:rsidRDefault="004164FF" w:rsidP="002F7336">
      <w:pPr>
        <w:pStyle w:val="Figurecaption"/>
      </w:pPr>
      <w:bookmarkStart w:id="63" w:name="_Toc45932364"/>
      <w:bookmarkStart w:id="64" w:name="_Toc48552064"/>
      <w:bookmarkStart w:id="65" w:name="_Toc48552219"/>
      <w:bookmarkStart w:id="66" w:name="_Toc48561476"/>
      <w:bookmarkStart w:id="67" w:name="_Toc49529057"/>
      <w:r>
        <w:t xml:space="preserve">Table </w:t>
      </w:r>
      <w:fldSimple w:instr=" STYLEREF 1 \s ">
        <w:r>
          <w:rPr>
            <w:rFonts w:hint="eastAsia"/>
            <w:noProof/>
            <w:cs/>
          </w:rPr>
          <w:t>‎</w:t>
        </w:r>
        <w:r>
          <w:rPr>
            <w:noProof/>
          </w:rPr>
          <w:t>2</w:t>
        </w:r>
      </w:fldSimple>
      <w:r>
        <w:t xml:space="preserve"> </w:t>
      </w:r>
      <w:r w:rsidRPr="0006118B">
        <w:t>– Supply chain integration in the literature</w:t>
      </w:r>
      <w:bookmarkEnd w:id="63"/>
      <w:bookmarkEnd w:id="64"/>
      <w:bookmarkEnd w:id="65"/>
      <w:bookmarkEnd w:id="66"/>
      <w:bookmarkEnd w:id="67"/>
    </w:p>
    <w:tbl>
      <w:tblPr>
        <w:tblStyle w:val="TableGrid"/>
        <w:tblW w:w="0" w:type="auto"/>
        <w:tblLook w:val="04A0" w:firstRow="1" w:lastRow="0" w:firstColumn="1" w:lastColumn="0" w:noHBand="0" w:noVBand="1"/>
      </w:tblPr>
      <w:tblGrid>
        <w:gridCol w:w="2939"/>
        <w:gridCol w:w="2219"/>
        <w:gridCol w:w="3336"/>
      </w:tblGrid>
      <w:tr w:rsidR="00C86B38" w:rsidRPr="00BD11BE" w14:paraId="0A631B7F" w14:textId="77777777" w:rsidTr="00BA2106">
        <w:tc>
          <w:tcPr>
            <w:tcW w:w="0" w:type="auto"/>
            <w:vAlign w:val="center"/>
          </w:tcPr>
          <w:p w14:paraId="550CF14B" w14:textId="77777777" w:rsidR="004164FF" w:rsidRPr="00BD11BE" w:rsidRDefault="004164FF" w:rsidP="00385CD9">
            <w:pPr>
              <w:pStyle w:val="Tabletext"/>
            </w:pPr>
            <w:r w:rsidRPr="00BD11BE">
              <w:t>SCI dimension</w:t>
            </w:r>
          </w:p>
        </w:tc>
        <w:tc>
          <w:tcPr>
            <w:tcW w:w="0" w:type="auto"/>
          </w:tcPr>
          <w:p w14:paraId="6C91A488" w14:textId="77777777" w:rsidR="004164FF" w:rsidRPr="00BD11BE" w:rsidRDefault="004164FF" w:rsidP="00385CD9">
            <w:pPr>
              <w:pStyle w:val="Tabletext"/>
            </w:pPr>
            <w:r w:rsidRPr="00BD11BE">
              <w:t xml:space="preserve">Examples </w:t>
            </w:r>
          </w:p>
        </w:tc>
        <w:tc>
          <w:tcPr>
            <w:tcW w:w="0" w:type="auto"/>
          </w:tcPr>
          <w:p w14:paraId="2A61F0E4" w14:textId="77777777" w:rsidR="004164FF" w:rsidRPr="00BD11BE" w:rsidRDefault="004164FF" w:rsidP="00385CD9">
            <w:pPr>
              <w:pStyle w:val="Tabletext"/>
            </w:pPr>
            <w:r w:rsidRPr="00BD11BE">
              <w:t>Authors</w:t>
            </w:r>
          </w:p>
        </w:tc>
      </w:tr>
      <w:tr w:rsidR="00C86B38" w:rsidRPr="00BD11BE" w14:paraId="35648FE6" w14:textId="77777777" w:rsidTr="00BA2106">
        <w:tc>
          <w:tcPr>
            <w:tcW w:w="0" w:type="auto"/>
            <w:vAlign w:val="center"/>
          </w:tcPr>
          <w:p w14:paraId="17228140" w14:textId="77777777" w:rsidR="004164FF" w:rsidRPr="00BD11BE" w:rsidRDefault="004164FF" w:rsidP="00385CD9">
            <w:pPr>
              <w:pStyle w:val="Tabletext"/>
            </w:pPr>
            <w:r w:rsidRPr="00BD11BE">
              <w:t>Sharing information with key suppliers/customers</w:t>
            </w:r>
          </w:p>
        </w:tc>
        <w:tc>
          <w:tcPr>
            <w:tcW w:w="0" w:type="auto"/>
          </w:tcPr>
          <w:p w14:paraId="21C52AE0" w14:textId="77777777" w:rsidR="004164FF" w:rsidRPr="00BD11BE" w:rsidRDefault="004164FF" w:rsidP="00385CD9">
            <w:pPr>
              <w:pStyle w:val="Tabletext"/>
            </w:pPr>
            <w:r w:rsidRPr="00BD11BE">
              <w:t>sales forecast</w:t>
            </w:r>
          </w:p>
          <w:p w14:paraId="240A96D0" w14:textId="77777777" w:rsidR="004164FF" w:rsidRPr="00BD11BE" w:rsidRDefault="004164FF" w:rsidP="00385CD9">
            <w:pPr>
              <w:pStyle w:val="Tabletext"/>
            </w:pPr>
            <w:r w:rsidRPr="00BD11BE">
              <w:t>production plans</w:t>
            </w:r>
          </w:p>
          <w:p w14:paraId="45486F52" w14:textId="77777777" w:rsidR="004164FF" w:rsidRPr="00BD11BE" w:rsidRDefault="004164FF" w:rsidP="00385CD9">
            <w:pPr>
              <w:pStyle w:val="Tabletext"/>
            </w:pPr>
            <w:r w:rsidRPr="00BD11BE">
              <w:t>order tracking and tracing</w:t>
            </w:r>
          </w:p>
          <w:p w14:paraId="06E37AC1" w14:textId="77777777" w:rsidR="004164FF" w:rsidRPr="00BD11BE" w:rsidRDefault="004164FF" w:rsidP="00385CD9">
            <w:pPr>
              <w:pStyle w:val="Tabletext"/>
            </w:pPr>
            <w:r w:rsidRPr="00BD11BE">
              <w:t>delivery status</w:t>
            </w:r>
          </w:p>
          <w:p w14:paraId="5FE8E90C" w14:textId="77777777" w:rsidR="004164FF" w:rsidRPr="00BD11BE" w:rsidRDefault="004164FF" w:rsidP="00385CD9">
            <w:pPr>
              <w:pStyle w:val="Tabletext"/>
            </w:pPr>
            <w:r w:rsidRPr="00BD11BE">
              <w:t>stock level</w:t>
            </w:r>
          </w:p>
        </w:tc>
        <w:tc>
          <w:tcPr>
            <w:tcW w:w="0" w:type="auto"/>
          </w:tcPr>
          <w:p w14:paraId="05414E46" w14:textId="77777777" w:rsidR="004164FF" w:rsidRPr="00BD11BE" w:rsidRDefault="004164FF" w:rsidP="00385CD9">
            <w:pPr>
              <w:pStyle w:val="Tabletext"/>
            </w:pPr>
            <w:r w:rsidRPr="00BD11BE">
              <w:fldChar w:fldCharType="begin" w:fldLock="1"/>
            </w:r>
            <w:r w:rsidRPr="00BD11BE">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strategies","type":"article-journal","volume":"19"},"uris":["http://www.mendeley.com/documents/?uuid=7dab76ac-81c3-4b68-9d23-87ca23782cf9"]},{"id":"ITEM-2","itemData":{"DOI":"10.1016/j.jom.2011.09.001","ISSN":"02726963","abstract":"This paper revisits Frohlich and Westbrook's arcs of integration concept [Arcs of integration: an international study of supply chain strategies. Journal of Operations Management 2001, 19 (2) pp. 185-200]. Using survey responses from 403 supply chain professionals, we compare the arcs of integration group memberships generated with our sample to the original study, rationalize the classification scheme, and assess the impact of supply chain integration strategies on quality, delivery, flexibility and cost performance. In doing so we cross-validate Frohlich and Westbrook's framework with a more recent and broader sample of data utilizing multi-dimensional performance measures collected from supply chain managers. We ground these relationships in the relational and resource-based views of the firm. We also extend Frohlich and Westbrook's study by investigating the moderating role of internal integration on the relationships between arcs of integration and performance. In accordance with information processing theory, the results indicate that internal integration strengthens the positive impacts of external integration on both delivery and flexibility performance. However, the theory is not supported for either quality or cost performance. Overall, our study confirms and extends the work of Frohlich and Westbrook, augments theories used to describe supply chain integration efforts, and provides practical implications for managers. © 2011 Elsevier B.V. All rights reserved.","author":[{"dropping-particle":"","family":"Schoenherr","given":"Tobias","non-dropping-particle":"","parse-names":false,"suffix":""},{"dropping-particle":"","family":"Swink","given":"Morgan","non-dropping-particle":"","parse-names":false,"suffix":""}],"container-title":"Journal of Operations Management","id":"ITEM-2","issue":"1-2","issued":{"date-parts":[["2012"]]},"page":"99-115","title":"Revisiting the arcs of integration: Cross-validations and extensions","type":"article-journal","volume":"30"},"uris":["http://www.mendeley.com/documents/?uuid=c3b19ce0-0aef-421b-8d4c-a0c9c19dcca4"]},{"id":"ITEM-3","itemData":{"DOI":"10.1108/SCM-04-2014-0120","ISSN":"13598546","abstract":"Purpose-This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Management","id":"ITEM-3","issue":"2","issued":{"date-parts":[["2015"]]},"page":"139-150","title":"A nuanced view on supply chain integration: A coordinative and collaborative approach to operational and sustainability performance improvement","type":"article-journal","volume":"20"},"uris":["http://www.mendeley.com/documents/?uuid=174b8afa-dd16-4160-947a-5442a28b75d4"]},{"id":"ITEM-4","itemData":{"DOI":"10.1108/SCM-05-2018-0189","ISSN":"13598546","abstract":"Purpose: This paper aims to explore the performance implications of supply chain integration (SCI) taking a strategic perspective. Thus, this paper is set to provide answers to the following research questions: Does a higher degree of SCI always lead to greater firm performance improvements? As the answer to this question is likely to be no, the authors explore the performance implications from a strategic perspective: Is the SCI–performance relationship contingent on a company’s competitive priorities (i.e. operations strategy)? Design/methodology/approach: The authors explore their questions through multiple quasi-independent data sets to test the impact of SCI on firm performance. Furthermore, the authors provide a more nuanced conceptual and empirical view to explore the previously uncovered contradictory results and contingent relationship challenging the “more integration equals higher firm performance” proposition. Findings: The results only provide partial support for the proposition that more integration is always beneficial in the supply chain context. The authors also identified that the impact of SCI on financial performance is contingent on a company’s competitive priorities. Originality/value: This study provides a much-needed comprehensive assessment of the SCI–performance relationship through critically re-evaluating one of the most popular propositions in the field of supply chain management. The results can be extrapolated beyond the dyad, as the authors conceptualise integration simultaneously from an upstream and downstream perspective.","author":[{"dropping-particle":"","family":"Wiengarten","given":"Frank","non-dropping-particle":"","parse-names":false,"suffix":""},{"dropping-particle":"","family":"Li","given":"Huashan","non-dropping-particle":"","parse-names":false,"suffix":""},{"dropping-particle":"","family":"Singh","given":"Prakash J.","non-dropping-particle":"","parse-names":false,"suffix":""},{"dropping-particle":"","family":"Fynes","given":"Brian","non-dropping-particle":"","parse-names":false,"suffix":""}],"container-title":"Supply Chain Management","id":"ITEM-4","issue":"4","issued":{"date-parts":[["2019"]]},"page":"540-559","title":"Re-evaluating supply chain integration and firm performance: linking operations strategy to supply chain strategy","type":"article-journal","volume":"24"},"uris":["http://www.mendeley.com/documents/?uuid=09f6dc6d-47e2-4711-9e9f-9cb14a68a6bf"]}],"mendeley":{"formattedCitation":"(Frohlich &amp; Westbrook, 2001; Schoenherr &amp; Swink, 2012; Wiengarten &amp; Longoni, 2015; Wiengarten et al., 2019)","plainTextFormattedCitation":"(Frohlich &amp; Westbrook, 2001; Schoenherr &amp; Swink, 2012; Wiengarten &amp; Longoni, 2015; Wiengarten et al., 2019)","previouslyFormattedCitation":"(Frohlich &amp; Westbrook, 2001; Schoenherr &amp; Swink, 2012; Wiengarten &amp; Longoni, 2015; Wiengarten et al., 2019)"},"properties":{"noteIndex":0},"schema":"https://github.com/citation-style-language/schema/raw/master/csl-citation.json"}</w:instrText>
            </w:r>
            <w:r w:rsidRPr="00BD11BE">
              <w:fldChar w:fldCharType="separate"/>
            </w:r>
            <w:r w:rsidRPr="00BD11BE">
              <w:t>(Frohlich &amp; Westbrook, 2001; Schoenherr &amp; Swink, 2012; Wiengarten &amp; Longoni, 2015; Wiengarten et al., 2019)</w:t>
            </w:r>
            <w:r w:rsidRPr="00BD11BE">
              <w:fldChar w:fldCharType="end"/>
            </w:r>
          </w:p>
        </w:tc>
      </w:tr>
      <w:tr w:rsidR="00C86B38" w:rsidRPr="00BD11BE" w14:paraId="3BCF17A4" w14:textId="77777777" w:rsidTr="00BA2106">
        <w:tc>
          <w:tcPr>
            <w:tcW w:w="0" w:type="auto"/>
            <w:vAlign w:val="center"/>
          </w:tcPr>
          <w:p w14:paraId="6DF1346E" w14:textId="77777777" w:rsidR="004164FF" w:rsidRPr="00BD11BE" w:rsidRDefault="004164FF" w:rsidP="00385CD9">
            <w:pPr>
              <w:pStyle w:val="Tabletext"/>
            </w:pPr>
            <w:r w:rsidRPr="00BD11BE">
              <w:t>Developing collaborative approaches with key suppliers/customers</w:t>
            </w:r>
          </w:p>
        </w:tc>
        <w:tc>
          <w:tcPr>
            <w:tcW w:w="0" w:type="auto"/>
          </w:tcPr>
          <w:p w14:paraId="597563E9" w14:textId="77777777" w:rsidR="004164FF" w:rsidRPr="00BD11BE" w:rsidRDefault="004164FF" w:rsidP="00385CD9">
            <w:pPr>
              <w:pStyle w:val="Tabletext"/>
            </w:pPr>
            <w:r w:rsidRPr="00BD11BE">
              <w:t>supplier development</w:t>
            </w:r>
          </w:p>
          <w:p w14:paraId="0786B68B" w14:textId="77777777" w:rsidR="004164FF" w:rsidRPr="00BD11BE" w:rsidRDefault="004164FF" w:rsidP="00385CD9">
            <w:pPr>
              <w:pStyle w:val="Tabletext"/>
            </w:pPr>
            <w:r w:rsidRPr="00BD11BE">
              <w:t>risk/ revenue sharing</w:t>
            </w:r>
          </w:p>
          <w:p w14:paraId="56159E41" w14:textId="77777777" w:rsidR="004164FF" w:rsidRPr="00BD11BE" w:rsidRDefault="004164FF" w:rsidP="00385CD9">
            <w:pPr>
              <w:pStyle w:val="Tabletext"/>
            </w:pPr>
            <w:r w:rsidRPr="00BD11BE">
              <w:t>long-term agreements</w:t>
            </w:r>
          </w:p>
        </w:tc>
        <w:tc>
          <w:tcPr>
            <w:tcW w:w="0" w:type="auto"/>
          </w:tcPr>
          <w:p w14:paraId="16650074" w14:textId="77777777" w:rsidR="004164FF" w:rsidRPr="00BD11BE" w:rsidRDefault="004164FF" w:rsidP="00385CD9">
            <w:pPr>
              <w:pStyle w:val="Tabletext"/>
            </w:pPr>
            <w:r w:rsidRPr="00BD11BE">
              <w:fldChar w:fldCharType="begin" w:fldLock="1"/>
            </w:r>
            <w:r w:rsidRPr="00BD11BE">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strategies","type":"article-journal","volume":"19"},"uris":["http://www.mendeley.com/documents/?uuid=7dab76ac-81c3-4b68-9d23-87ca23782cf9"]},{"id":"ITEM-2","itemData":{"DOI":"10.1016/j.jom.2011.09.001","ISSN":"02726963","abstract":"This paper revisits Frohlich and Westbrook's arcs of integration concept [Arcs of integration: an international study of supply chain strategies. Journal of Operations Management 2001, 19 (2) pp. 185-200]. Using survey responses from 403 supply chain professionals, we compare the arcs of integration group memberships generated with our sample to the original study, rationalize the classification scheme, and assess the impact of supply chain integration strategies on quality, delivery, flexibility and cost performance. In doing so we cross-validate Frohlich and Westbrook's framework with a more recent and broader sample of data utilizing multi-dimensional performance measures collected from supply chain managers. We ground these relationships in the relational and resource-based views of the firm. We also extend Frohlich and Westbrook's study by investigating the moderating role of internal integration on the relationships between arcs of integration and performance. In accordance with information processing theory, the results indicate that internal integration strengthens the positive impacts of external integration on both delivery and flexibility performance. However, the theory is not supported for either quality or cost performance. Overall, our study confirms and extends the work of Frohlich and Westbrook, augments theories used to describe supply chain integration efforts, and provides practical implications for managers. © 2011 Elsevier B.V. All rights reserved.","author":[{"dropping-particle":"","family":"Schoenherr","given":"Tobias","non-dropping-particle":"","parse-names":false,"suffix":""},{"dropping-particle":"","family":"Swink","given":"Morgan","non-dropping-particle":"","parse-names":false,"suffix":""}],"container-title":"Journal of Operations Management","id":"ITEM-2","issue":"1-2","issued":{"date-parts":[["2012"]]},"page":"99-115","title":"Revisiting the arcs of integration: Cross-validations and extensions","type":"article-journal","volume":"30"},"uris":["http://www.mendeley.com/documents/?uuid=c3b19ce0-0aef-421b-8d4c-a0c9c19dcca4"]},{"id":"ITEM-3","itemData":{"DOI":"10.1108/SCM-04-2014-0120","ISSN":"13598546","abstract":"Purpose-This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Management","id":"ITEM-3","issue":"2","issued":{"date-parts":[["2015"]]},"page":"139-150","title":"A nuanced view on supply chain integration: A coordinative and collaborative approach to operational and sustainability performance improvement","type":"article-journal","volume":"20"},"uris":["http://www.mendeley.com/documents/?uuid=174b8afa-dd16-4160-947a-5442a28b75d4"]},{"id":"ITEM-4","itemData":{"DOI":"10.1108/SCM-05-2018-0189","ISSN":"13598546","abstract":"Purpose: This paper aims to explore the performance implications of supply chain integration (SCI) taking a strategic perspective. Thus, this paper is set to provide answers to the following research questions: Does a higher degree of SCI always lead to greater firm performance improvements? As the answer to this question is likely to be no, the authors explore the performance implications from a strategic perspective: Is the SCI–performance relationship contingent on a company’s competitive priorities (i.e. operations strategy)? Design/methodology/approach: The authors explore their questions through multiple quasi-independent data sets to test the impact of SCI on firm performance. Furthermore, the authors provide a more nuanced conceptual and empirical view to explore the previously uncovered contradictory results and contingent relationship challenging the “more integration equals higher firm performance” proposition. Findings: The results only provide partial support for the proposition that more integration is always beneficial in the supply chain context. The authors also identified that the impact of SCI on financial performance is contingent on a company’s competitive priorities. Originality/value: This study provides a much-needed comprehensive assessment of the SCI–performance relationship through critically re-evaluating one of the most popular propositions in the field of supply chain management. The results can be extrapolated beyond the dyad, as the authors conceptualise integration simultaneously from an upstream and downstream perspective.","author":[{"dropping-particle":"","family":"Wiengarten","given":"Frank","non-dropping-particle":"","parse-names":false,"suffix":""},{"dropping-particle":"","family":"Li","given":"Huashan","non-dropping-particle":"","parse-names":false,"suffix":""},{"dropping-particle":"","family":"Singh","given":"Prakash J.","non-dropping-particle":"","parse-names":false,"suffix":""},{"dropping-particle":"","family":"Fynes","given":"Brian","non-dropping-particle":"","parse-names":false,"suffix":""}],"container-title":"Supply Chain Management","id":"ITEM-4","issue":"4","issued":{"date-parts":[["2019"]]},"page":"540-559","title":"Re-evaluating supply chain integration and firm performance: linking operations strategy to supply chain strategy","type":"article-journal","volume":"24"},"uris":["http://www.mendeley.com/documents/?uuid=09f6dc6d-47e2-4711-9e9f-9cb14a68a6bf"]}],"mendeley":{"formattedCitation":"(Frohlich &amp; Westbrook, 2001; Schoenherr &amp; Swink, 2012; Wiengarten &amp; Longoni, 2015; Wiengarten et al., 2019)","plainTextFormattedCitation":"(Frohlich &amp; Westbrook, 2001; Schoenherr &amp; Swink, 2012; Wiengarten &amp; Longoni, 2015; Wiengarten et al., 2019)","previouslyFormattedCitation":"(Frohlich &amp; Westbrook, 2001; Schoenherr &amp; Swink, 2012; Wiengarten &amp; Longoni, 2015; Wiengarten et al., 2019)"},"properties":{"noteIndex":0},"schema":"https://github.com/citation-style-language/schema/raw/master/csl-citation.json"}</w:instrText>
            </w:r>
            <w:r w:rsidRPr="00BD11BE">
              <w:fldChar w:fldCharType="separate"/>
            </w:r>
            <w:r w:rsidRPr="00BD11BE">
              <w:t>(Frohlich &amp; Westbrook, 2001; Schoenherr &amp; Swink, 2012; Wiengarten &amp; Longoni, 2015; Wiengarten et al., 2019)</w:t>
            </w:r>
            <w:r w:rsidRPr="00BD11BE">
              <w:fldChar w:fldCharType="end"/>
            </w:r>
          </w:p>
        </w:tc>
      </w:tr>
      <w:tr w:rsidR="00C86B38" w:rsidRPr="00BD11BE" w14:paraId="313FF24B" w14:textId="77777777" w:rsidTr="00BA2106">
        <w:tc>
          <w:tcPr>
            <w:tcW w:w="0" w:type="auto"/>
            <w:vAlign w:val="center"/>
          </w:tcPr>
          <w:p w14:paraId="12CABC95" w14:textId="77777777" w:rsidR="004164FF" w:rsidRPr="00BD11BE" w:rsidRDefault="004164FF" w:rsidP="00385CD9">
            <w:pPr>
              <w:pStyle w:val="Tabletext"/>
            </w:pPr>
            <w:r w:rsidRPr="00BD11BE">
              <w:t xml:space="preserve">Joint decision-making with key suppliers/customers </w:t>
            </w:r>
          </w:p>
        </w:tc>
        <w:tc>
          <w:tcPr>
            <w:tcW w:w="0" w:type="auto"/>
          </w:tcPr>
          <w:p w14:paraId="06B156FB" w14:textId="77777777" w:rsidR="004164FF" w:rsidRPr="00BD11BE" w:rsidRDefault="004164FF" w:rsidP="00385CD9">
            <w:pPr>
              <w:pStyle w:val="Tabletext"/>
            </w:pPr>
            <w:r w:rsidRPr="00BD11BE">
              <w:t>product design/modifications</w:t>
            </w:r>
          </w:p>
          <w:p w14:paraId="5C628D29" w14:textId="77777777" w:rsidR="004164FF" w:rsidRPr="00BD11BE" w:rsidRDefault="004164FF" w:rsidP="00385CD9">
            <w:pPr>
              <w:pStyle w:val="Tabletext"/>
            </w:pPr>
            <w:r w:rsidRPr="00BD11BE">
              <w:t>process design/ modifications</w:t>
            </w:r>
          </w:p>
          <w:p w14:paraId="4BCE3DA7" w14:textId="77777777" w:rsidR="004164FF" w:rsidRPr="00BD11BE" w:rsidRDefault="004164FF" w:rsidP="00385CD9">
            <w:pPr>
              <w:pStyle w:val="Tabletext"/>
            </w:pPr>
            <w:r w:rsidRPr="00BD11BE">
              <w:t xml:space="preserve">quality improvement </w:t>
            </w:r>
          </w:p>
          <w:p w14:paraId="42200EC1" w14:textId="77777777" w:rsidR="004164FF" w:rsidRPr="00BD11BE" w:rsidRDefault="004164FF" w:rsidP="00385CD9">
            <w:pPr>
              <w:pStyle w:val="Tabletext"/>
            </w:pPr>
            <w:r w:rsidRPr="00BD11BE">
              <w:t>cost control</w:t>
            </w:r>
          </w:p>
        </w:tc>
        <w:tc>
          <w:tcPr>
            <w:tcW w:w="0" w:type="auto"/>
          </w:tcPr>
          <w:p w14:paraId="62E2C8D8" w14:textId="77777777" w:rsidR="004164FF" w:rsidRPr="00BD11BE" w:rsidRDefault="004164FF" w:rsidP="00385CD9">
            <w:pPr>
              <w:pStyle w:val="Tabletext"/>
            </w:pPr>
            <w:r w:rsidRPr="00BD11BE">
              <w:fldChar w:fldCharType="begin" w:fldLock="1"/>
            </w:r>
            <w:r w:rsidRPr="00BD11BE">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strategies","type":"article-journal","volume":"19"},"uris":["http://www.mendeley.com/documents/?uuid=7dab76ac-81c3-4b68-9d23-87ca23782cf9"]},{"id":"ITEM-2","itemData":{"DOI":"10.1016/j.jom.2011.09.001","ISSN":"02726963","abstract":"This paper revisits Frohlich and Westbrook's arcs of integration concept [Arcs of integration: an international study of supply chain strategies. Journal of Operations Management 2001, 19 (2) pp. 185-200]. Using survey responses from 403 supply chain professionals, we compare the arcs of integration group memberships generated with our sample to the original study, rationalize the classification scheme, and assess the impact of supply chain integration strategies on quality, delivery, flexibility and cost performance. In doing so we cross-validate Frohlich and Westbrook's framework with a more recent and broader sample of data utilizing multi-dimensional performance measures collected from supply chain managers. We ground these relationships in the relational and resource-based views of the firm. We also extend Frohlich and Westbrook's study by investigating the moderating role of internal integration on the relationships between arcs of integration and performance. In accordance with information processing theory, the results indicate that internal integration strengthens the positive impacts of external integration on both delivery and flexibility performance. However, the theory is not supported for either quality or cost performance. Overall, our study confirms and extends the work of Frohlich and Westbrook, augments theories used to describe supply chain integration efforts, and provides practical implications for managers. © 2011 Elsevier B.V. All rights reserved.","author":[{"dropping-particle":"","family":"Schoenherr","given":"Tobias","non-dropping-particle":"","parse-names":false,"suffix":""},{"dropping-particle":"","family":"Swink","given":"Morgan","non-dropping-particle":"","parse-names":false,"suffix":""}],"container-title":"Journal of Operations Management","id":"ITEM-2","issue":"1-2","issued":{"date-parts":[["2012"]]},"page":"99-115","title":"Revisiting the arcs of integration: Cross-validations and extensions","type":"article-journal","volume":"30"},"uris":["http://www.mendeley.com/documents/?uuid=c3b19ce0-0aef-421b-8d4c-a0c9c19dcca4"]},{"id":"ITEM-3","itemData":{"DOI":"10.1108/SCM-04-2014-0120","ISSN":"13598546","abstract":"Purpose-This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Management","id":"ITEM-3","issue":"2","issued":{"date-parts":[["2015"]]},"page":"139-150","title":"A nuanced view on supply chain integration: A coordinative and collaborative approach to operational and sustainability performance improvement","type":"article-journal","volume":"20"},"uris":["http://www.mendeley.com/documents/?uuid=174b8afa-dd16-4160-947a-5442a28b75d4"]},{"id":"ITEM-4","itemData":{"DOI":"10.1108/SCM-05-2018-0189","ISSN":"13598546","abstract":"Purpose: This paper aims to explore the performance implications of supply chain integration (SCI) taking a strategic perspective. Thus, this paper is set to provide answers to the following research questions: Does a higher degree of SCI always lead to greater firm performance improvements? As the answer to this question is likely to be no, the authors explore the performance implications from a strategic perspective: Is the SCI–performance relationship contingent on a company’s competitive priorities (i.e. operations strategy)? Design/methodology/approach: The authors explore their questions through multiple quasi-independent data sets to test the impact of SCI on firm performance. Furthermore, the authors provide a more nuanced conceptual and empirical view to explore the previously uncovered contradictory results and contingent relationship challenging the “more integration equals higher firm performance” proposition. Findings: The results only provide partial support for the proposition that more integration is always beneficial in the supply chain context. The authors also identified that the impact of SCI on financial performance is contingent on a company’s competitive priorities. Originality/value: This study provides a much-needed comprehensive assessment of the SCI–performance relationship through critically re-evaluating one of the most popular propositions in the field of supply chain management. The results can be extrapolated beyond the dyad, as the authors conceptualise integration simultaneously from an upstream and downstream perspective.","author":[{"dropping-particle":"","family":"Wiengarten","given":"Frank","non-dropping-particle":"","parse-names":false,"suffix":""},{"dropping-particle":"","family":"Li","given":"Huashan","non-dropping-particle":"","parse-names":false,"suffix":""},{"dropping-particle":"","family":"Singh","given":"Prakash J.","non-dropping-particle":"","parse-names":false,"suffix":""},{"dropping-particle":"","family":"Fynes","given":"Brian","non-dropping-particle":"","parse-names":false,"suffix":""}],"container-title":"Supply Chain Management","id":"ITEM-4","issue":"4","issued":{"date-parts":[["2019"]]},"page":"540-559","title":"Re-evaluating supply chain integration and firm performance: linking operations strategy to supply chain strategy","type":"article-journal","volume":"24"},"uris":["http://www.mendeley.com/documents/?uuid=09f6dc6d-47e2-4711-9e9f-9cb14a68a6bf"]}],"mendeley":{"formattedCitation":"(Frohlich &amp; Westbrook, 2001; Schoenherr &amp; Swink, 2012; Wiengarten &amp; Longoni, 2015; Wiengarten et al., 2019)","plainTextFormattedCitation":"(Frohlich &amp; Westbrook, 2001; Schoenherr &amp; Swink, 2012; Wiengarten &amp; Longoni, 2015; Wiengarten et al., 2019)","previouslyFormattedCitation":"(Frohlich &amp; Westbrook, 2001; Schoenherr &amp; Swink, 2012; Wiengarten &amp; Longoni, 2015; Wiengarten et al., 2019)"},"properties":{"noteIndex":0},"schema":"https://github.com/citation-style-language/schema/raw/master/csl-citation.json"}</w:instrText>
            </w:r>
            <w:r w:rsidRPr="00BD11BE">
              <w:fldChar w:fldCharType="separate"/>
            </w:r>
            <w:r w:rsidRPr="00BD11BE">
              <w:t>(Frohlich &amp; Westbrook, 2001; Schoenherr &amp; Swink, 2012; Wiengarten &amp; Longoni, 2015; Wiengarten et al., 2019)</w:t>
            </w:r>
            <w:r w:rsidRPr="00BD11BE">
              <w:fldChar w:fldCharType="end"/>
            </w:r>
          </w:p>
        </w:tc>
      </w:tr>
      <w:tr w:rsidR="00C86B38" w:rsidRPr="00BD11BE" w14:paraId="51853A01" w14:textId="77777777" w:rsidTr="00BA2106">
        <w:trPr>
          <w:trHeight w:val="77"/>
        </w:trPr>
        <w:tc>
          <w:tcPr>
            <w:tcW w:w="0" w:type="auto"/>
            <w:vAlign w:val="center"/>
          </w:tcPr>
          <w:p w14:paraId="7D3EE954" w14:textId="77777777" w:rsidR="004164FF" w:rsidRPr="00BD11BE" w:rsidRDefault="004164FF" w:rsidP="00385CD9">
            <w:pPr>
              <w:pStyle w:val="Tabletext"/>
            </w:pPr>
            <w:r w:rsidRPr="00BD11BE">
              <w:t xml:space="preserve">System coupling with key suppliers/customers </w:t>
            </w:r>
          </w:p>
        </w:tc>
        <w:tc>
          <w:tcPr>
            <w:tcW w:w="0" w:type="auto"/>
          </w:tcPr>
          <w:p w14:paraId="718A43A8" w14:textId="77777777" w:rsidR="004164FF" w:rsidRPr="00BD11BE" w:rsidRDefault="004164FF" w:rsidP="00385CD9">
            <w:pPr>
              <w:pStyle w:val="Tabletext"/>
            </w:pPr>
            <w:r w:rsidRPr="00BD11BE">
              <w:t>vendor-managed inventory</w:t>
            </w:r>
          </w:p>
          <w:p w14:paraId="605285E1" w14:textId="77777777" w:rsidR="004164FF" w:rsidRPr="00BD11BE" w:rsidRDefault="004164FF" w:rsidP="00385CD9">
            <w:pPr>
              <w:pStyle w:val="Tabletext"/>
            </w:pPr>
            <w:r w:rsidRPr="00BD11BE">
              <w:t>just-in-time</w:t>
            </w:r>
          </w:p>
          <w:p w14:paraId="58E700B3" w14:textId="77777777" w:rsidR="004164FF" w:rsidRPr="00BD11BE" w:rsidRDefault="004164FF" w:rsidP="00385CD9">
            <w:pPr>
              <w:pStyle w:val="Tabletext"/>
            </w:pPr>
            <w:r w:rsidRPr="00BD11BE">
              <w:t>Kanban</w:t>
            </w:r>
          </w:p>
          <w:p w14:paraId="3112A573" w14:textId="77777777" w:rsidR="004164FF" w:rsidRPr="00BD11BE" w:rsidRDefault="004164FF" w:rsidP="00385CD9">
            <w:pPr>
              <w:pStyle w:val="Tabletext"/>
            </w:pPr>
            <w:r w:rsidRPr="00BD11BE">
              <w:t>continuous replenishment</w:t>
            </w:r>
          </w:p>
        </w:tc>
        <w:tc>
          <w:tcPr>
            <w:tcW w:w="0" w:type="auto"/>
          </w:tcPr>
          <w:p w14:paraId="3361FF20" w14:textId="77777777" w:rsidR="004164FF" w:rsidRPr="00BD11BE" w:rsidRDefault="004164FF" w:rsidP="00385CD9">
            <w:pPr>
              <w:pStyle w:val="Tabletext"/>
            </w:pPr>
            <w:r w:rsidRPr="00BD11BE">
              <w:fldChar w:fldCharType="begin" w:fldLock="1"/>
            </w:r>
            <w:r w:rsidRPr="00BD11BE">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strategies","type":"article-journal","volume":"19"},"uris":["http://www.mendeley.com/documents/?uuid=7dab76ac-81c3-4b68-9d23-87ca23782cf9"]},{"id":"ITEM-2","itemData":{"DOI":"10.1016/j.jom.2011.09.001","ISSN":"02726963","abstract":"This paper revisits Frohlich and Westbrook's arcs of integration concept [Arcs of integration: an international study of supply chain strategies. Journal of Operations Management 2001, 19 (2) pp. 185-200]. Using survey responses from 403 supply chain professionals, we compare the arcs of integration group memberships generated with our sample to the original study, rationalize the classification scheme, and assess the impact of supply chain integration strategies on quality, delivery, flexibility and cost performance. In doing so we cross-validate Frohlich and Westbrook's framework with a more recent and broader sample of data utilizing multi-dimensional performance measures collected from supply chain managers. We ground these relationships in the relational and resource-based views of the firm. We also extend Frohlich and Westbrook's study by investigating the moderating role of internal integration on the relationships between arcs of integration and performance. In accordance with information processing theory, the results indicate that internal integration strengthens the positive impacts of external integration on both delivery and flexibility performance. However, the theory is not supported for either quality or cost performance. Overall, our study confirms and extends the work of Frohlich and Westbrook, augments theories used to describe supply chain integration efforts, and provides practical implications for managers. © 2011 Elsevier B.V. All rights reserved.","author":[{"dropping-particle":"","family":"Schoenherr","given":"Tobias","non-dropping-particle":"","parse-names":false,"suffix":""},{"dropping-particle":"","family":"Swink","given":"Morgan","non-dropping-particle":"","parse-names":false,"suffix":""}],"container-title":"Journal of Operations Management","id":"ITEM-2","issue":"1-2","issued":{"date-parts":[["2012"]]},"page":"99-115","title":"Revisiting the arcs of integration: Cross-validations and extensions","type":"article-journal","volume":"30"},"uris":["http://www.mendeley.com/documents/?uuid=c3b19ce0-0aef-421b-8d4c-a0c9c19dcca4"]},{"id":"ITEM-3","itemData":{"DOI":"10.1108/SCM-04-2014-0120","ISSN":"13598546","abstract":"Purpose-This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Management","id":"ITEM-3","issue":"2","issued":{"date-parts":[["2015"]]},"page":"139-150","title":"A nuanced view on supply chain integration: A coordinative and collaborative approach to operational and sustainability performance improvement","type":"article-journal","volume":"20"},"uris":["http://www.mendeley.com/documents/?uuid=174b8afa-dd16-4160-947a-5442a28b75d4"]},{"id":"ITEM-4","itemData":{"DOI":"10.1108/SCM-05-2018-0189","ISSN":"13598546","abstract":"Purpose: This paper aims to explore the performance implications of supply chain integration (SCI) taking a strategic perspective. Thus, this paper is set to provide answers to the following research questions: Does a higher degree of SCI always lead to greater firm performance improvements? As the answer to this question is likely to be no, the authors explore the performance implications from a strategic perspective: Is the SCI–performance relationship contingent on a company’s competitive priorities (i.e. operations strategy)? Design/methodology/approach: The authors explore their questions through multiple quasi-independent data sets to test the impact of SCI on firm performance. Furthermore, the authors provide a more nuanced conceptual and empirical view to explore the previously uncovered contradictory results and contingent relationship challenging the “more integration equals higher firm performance” proposition. Findings: The results only provide partial support for the proposition that more integration is always beneficial in the supply chain context. The authors also identified that the impact of SCI on financial performance is contingent on a company’s competitive priorities. Originality/value: This study provides a much-needed comprehensive assessment of the SCI–performance relationship through critically re-evaluating one of the most popular propositions in the field of supply chain management. The results can be extrapolated beyond the dyad, as the authors conceptualise integration simultaneously from an upstream and downstream perspective.","author":[{"dropping-particle":"","family":"Wiengarten","given":"Frank","non-dropping-particle":"","parse-names":false,"suffix":""},{"dropping-particle":"","family":"Li","given":"Huashan","non-dropping-particle":"","parse-names":false,"suffix":""},{"dropping-particle":"","family":"Singh","given":"Prakash J.","non-dropping-particle":"","parse-names":false,"suffix":""},{"dropping-particle":"","family":"Fynes","given":"Brian","non-dropping-particle":"","parse-names":false,"suffix":""}],"container-title":"Supply Chain Management","id":"ITEM-4","issue":"4","issued":{"date-parts":[["2019"]]},"page":"540-559","title":"Re-evaluating supply chain integration and firm performance: linking operations strategy to supply chain strategy","type":"article-journal","volume":"24"},"uris":["http://www.mendeley.com/documents/?uuid=09f6dc6d-47e2-4711-9e9f-9cb14a68a6bf"]}],"mendeley":{"formattedCitation":"(Frohlich &amp; Westbrook, 2001; Schoenherr &amp; Swink, 2012; Wiengarten &amp; Longoni, 2015; Wiengarten et al., 2019)","plainTextFormattedCitation":"(Frohlich &amp; Westbrook, 2001; Schoenherr &amp; Swink, 2012; Wiengarten &amp; Longoni, 2015; Wiengarten et al., 2019)","previouslyFormattedCitation":"(Frohlich &amp; Westbrook, 2001; Schoenherr &amp; Swink, 2012; Wiengarten &amp; Longoni, 2015; Wiengarten et al., 2019)"},"properties":{"noteIndex":0},"schema":"https://github.com/citation-style-language/schema/raw/master/csl-citation.json"}</w:instrText>
            </w:r>
            <w:r w:rsidRPr="00BD11BE">
              <w:fldChar w:fldCharType="separate"/>
            </w:r>
            <w:r w:rsidRPr="00BD11BE">
              <w:t>(Frohlich &amp; Westbrook, 2001; Schoenherr &amp; Swink, 2012; Wiengarten &amp; Longoni, 2015; Wiengarten et al., 2019)</w:t>
            </w:r>
            <w:r w:rsidRPr="00BD11BE">
              <w:fldChar w:fldCharType="end"/>
            </w:r>
          </w:p>
        </w:tc>
      </w:tr>
    </w:tbl>
    <w:p w14:paraId="2406AB36" w14:textId="77777777" w:rsidR="00065347" w:rsidRDefault="00065347" w:rsidP="002F7336"/>
    <w:p w14:paraId="0E1435BA" w14:textId="3D2860F0" w:rsidR="00D06156" w:rsidRDefault="00492418" w:rsidP="002F7336">
      <w:r w:rsidRPr="00E81FD2">
        <w:t>On the other side, the absence of those mechanisms could make the adoption of CE practices more difficult: for example, it would be very difficult for a supply chain where participants do not share information on material flows to effectively operationalise feedback loops related to reuse, remanufacturing, or recycling. For these reasons, SCI might be an enabling mechanism of CE practices adoption also in the context of transition towards CSCs and support the creation of regenerative and restorative processes. Also the relationship of SCI with the adoption and the extension of CE practices in supply chains will be evaluated in the literature.</w:t>
      </w:r>
    </w:p>
    <w:p w14:paraId="5FF126CA" w14:textId="5B369B1A" w:rsidR="004164FF" w:rsidRDefault="004164FF" w:rsidP="005035B4">
      <w:pPr>
        <w:pStyle w:val="Heading3"/>
      </w:pPr>
      <w:bookmarkStart w:id="68" w:name="_Toc49839824"/>
      <w:bookmarkStart w:id="69" w:name="_Toc157759510"/>
      <w:r w:rsidRPr="00904DA0">
        <w:lastRenderedPageBreak/>
        <w:t>Review</w:t>
      </w:r>
      <w:r w:rsidRPr="007470C6">
        <w:t xml:space="preserve"> </w:t>
      </w:r>
      <w:r w:rsidRPr="006D6C08">
        <w:t>protocol</w:t>
      </w:r>
      <w:bookmarkEnd w:id="68"/>
      <w:bookmarkEnd w:id="69"/>
      <w:r w:rsidRPr="007470C6">
        <w:t xml:space="preserve"> </w:t>
      </w:r>
    </w:p>
    <w:p w14:paraId="1226C090" w14:textId="77777777" w:rsidR="00492418" w:rsidRPr="00E81FD2" w:rsidRDefault="00492418" w:rsidP="002F7336">
      <w:r w:rsidRPr="00E81FD2">
        <w:t xml:space="preserve">To identify and evaluate the most important research contributions connected with the two ideas of institutional theory and supply chain integration and with the research objective – understanding the transition towards the CE in supply chains – the literature was reviewed. The literature review process was inspired by two guiding questions and by the objective of explaining the relationship among the variables involved: institutional pressures, supply chain integration and adoption of CE practices (see Figure 4). No published literature review has been conducted on this topic. </w:t>
      </w:r>
    </w:p>
    <w:p w14:paraId="73B60D8E" w14:textId="77777777" w:rsidR="00492418" w:rsidRPr="00E81FD2" w:rsidRDefault="00492418" w:rsidP="002F7336">
      <w:r>
        <w:t>F</w:t>
      </w:r>
      <w:r w:rsidRPr="00E81FD2">
        <w:t>irst the appropriate method to conduct the literature review was chosen, taking into account the purpose of the research project. The most helpful approach was identified as the critical review for two reasons:</w:t>
      </w:r>
    </w:p>
    <w:p w14:paraId="29393002" w14:textId="76E88348" w:rsidR="00492418" w:rsidRPr="00492418" w:rsidRDefault="00492418" w:rsidP="0081080C">
      <w:pPr>
        <w:pStyle w:val="ListParagraph"/>
        <w:numPr>
          <w:ilvl w:val="0"/>
          <w:numId w:val="4"/>
        </w:numPr>
      </w:pPr>
      <w:r w:rsidRPr="00E81FD2">
        <w:t>The underlying guiding questions refer to different ideas (</w:t>
      </w:r>
      <w:r w:rsidR="00B651D9" w:rsidRPr="00E81FD2">
        <w:t>e.g.,</w:t>
      </w:r>
      <w:r w:rsidRPr="00E81FD2">
        <w:t xml:space="preserve"> adoption of CE practices, institutional pressures, and supply chain integration), which have been developed independently from each, rather than in a connected way.  The critical literature review approach is valuable for combining these different perspectives from the mentioned research areas and creating new theoretical models. </w:t>
      </w:r>
    </w:p>
    <w:p w14:paraId="6236CA36" w14:textId="26A314B7" w:rsidR="004164FF" w:rsidRDefault="00492418" w:rsidP="0081080C">
      <w:pPr>
        <w:pStyle w:val="ListParagraph"/>
        <w:numPr>
          <w:ilvl w:val="0"/>
          <w:numId w:val="4"/>
        </w:numPr>
      </w:pPr>
      <w:r w:rsidRPr="00E81FD2">
        <w:t xml:space="preserve">The objective of the review is to identify the most relevant and established ideas and key findings in the literature, rather than summarising all the material that has been published in a systematic way.  For this </w:t>
      </w:r>
      <w:r w:rsidR="00B651D9" w:rsidRPr="00E81FD2">
        <w:t>reason,</w:t>
      </w:r>
      <w:r w:rsidRPr="00E81FD2">
        <w:t xml:space="preserve"> the idea of conducting a systematic review was excluded. However, a review protocol was developed and </w:t>
      </w:r>
      <w:r w:rsidR="00B651D9" w:rsidRPr="00E81FD2">
        <w:t>followed,</w:t>
      </w:r>
      <w:r w:rsidRPr="00E81FD2">
        <w:t xml:space="preserve"> and every choice was documented in a systematic way.</w:t>
      </w:r>
    </w:p>
    <w:p w14:paraId="544779EF" w14:textId="77777777" w:rsidR="004164FF" w:rsidRDefault="004164FF" w:rsidP="002F7336">
      <w:r>
        <w:rPr>
          <w:noProof/>
          <w:lang w:eastAsia="zh-CN"/>
        </w:rPr>
        <w:drawing>
          <wp:inline distT="0" distB="0" distL="0" distR="0" wp14:anchorId="07CDCD4B" wp14:editId="7D495CE8">
            <wp:extent cx="6172200" cy="142800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28133" cy="1440942"/>
                    </a:xfrm>
                    <a:prstGeom prst="rect">
                      <a:avLst/>
                    </a:prstGeom>
                    <a:noFill/>
                  </pic:spPr>
                </pic:pic>
              </a:graphicData>
            </a:graphic>
          </wp:inline>
        </w:drawing>
      </w:r>
    </w:p>
    <w:p w14:paraId="20A54314" w14:textId="77777777" w:rsidR="00492418" w:rsidRDefault="00492418" w:rsidP="002F7336">
      <w:pPr>
        <w:pStyle w:val="Figurecaption"/>
      </w:pPr>
      <w:bookmarkStart w:id="70" w:name="_Toc48552036"/>
      <w:bookmarkStart w:id="71" w:name="_Toc48561455"/>
      <w:bookmarkStart w:id="72" w:name="_Toc49789732"/>
      <w:r>
        <w:t xml:space="preserve">Figure 4 </w:t>
      </w:r>
      <w:r w:rsidRPr="00E13CAD">
        <w:t>– The rationale of the</w:t>
      </w:r>
      <w:r>
        <w:t xml:space="preserve"> critical</w:t>
      </w:r>
      <w:r w:rsidRPr="00E13CAD">
        <w:t xml:space="preserve"> literature review process</w:t>
      </w:r>
      <w:bookmarkEnd w:id="70"/>
      <w:bookmarkEnd w:id="71"/>
      <w:bookmarkEnd w:id="72"/>
    </w:p>
    <w:p w14:paraId="551D9EC3" w14:textId="25745FCD" w:rsidR="004164FF" w:rsidRDefault="004164FF" w:rsidP="002F7336">
      <w:r>
        <w:t xml:space="preserve">The critical review was characterised by 4 steps (Figure </w:t>
      </w:r>
      <w:r w:rsidR="00E04A7D">
        <w:t>5</w:t>
      </w:r>
      <w:r>
        <w:t>):</w:t>
      </w:r>
    </w:p>
    <w:p w14:paraId="6C608FFB" w14:textId="77777777" w:rsidR="004164FF" w:rsidRDefault="004164FF" w:rsidP="0081080C">
      <w:pPr>
        <w:pStyle w:val="ListParagraph"/>
        <w:numPr>
          <w:ilvl w:val="0"/>
          <w:numId w:val="3"/>
        </w:numPr>
      </w:pPr>
      <w:r>
        <w:t xml:space="preserve">research question formulation; </w:t>
      </w:r>
    </w:p>
    <w:p w14:paraId="4F8074A9" w14:textId="77777777" w:rsidR="004164FF" w:rsidRDefault="004164FF" w:rsidP="0081080C">
      <w:pPr>
        <w:pStyle w:val="ListParagraph"/>
        <w:numPr>
          <w:ilvl w:val="0"/>
          <w:numId w:val="3"/>
        </w:numPr>
      </w:pPr>
      <w:r>
        <w:t xml:space="preserve">keyword-based </w:t>
      </w:r>
      <w:r w:rsidRPr="00DD78E6">
        <w:t>identification o</w:t>
      </w:r>
      <w:r>
        <w:t xml:space="preserve">f a first subset of </w:t>
      </w:r>
      <w:r w:rsidRPr="0059210E">
        <w:t>significant research to the topic</w:t>
      </w:r>
      <w:r>
        <w:t>;</w:t>
      </w:r>
      <w:r w:rsidRPr="00DD78E6">
        <w:t xml:space="preserve"> </w:t>
      </w:r>
    </w:p>
    <w:p w14:paraId="0E086791" w14:textId="77777777" w:rsidR="004164FF" w:rsidRDefault="004164FF" w:rsidP="0081080C">
      <w:pPr>
        <w:pStyle w:val="ListParagraph"/>
        <w:numPr>
          <w:ilvl w:val="0"/>
          <w:numId w:val="3"/>
        </w:numPr>
      </w:pPr>
      <w:r>
        <w:lastRenderedPageBreak/>
        <w:t xml:space="preserve">snowballing search process and selection of the </w:t>
      </w:r>
      <w:r w:rsidRPr="0059210E">
        <w:t>most relevant and significant research to the topic</w:t>
      </w:r>
      <w:r>
        <w:t xml:space="preserve">; </w:t>
      </w:r>
    </w:p>
    <w:p w14:paraId="7379D5ED" w14:textId="77777777" w:rsidR="004164FF" w:rsidRDefault="004164FF" w:rsidP="0081080C">
      <w:pPr>
        <w:pStyle w:val="ListParagraph"/>
        <w:numPr>
          <w:ilvl w:val="0"/>
          <w:numId w:val="3"/>
        </w:numPr>
      </w:pPr>
      <w:proofErr w:type="gramStart"/>
      <w:r>
        <w:t>analysis</w:t>
      </w:r>
      <w:proofErr w:type="gramEnd"/>
      <w:r>
        <w:t xml:space="preserve"> and synthesis of findings.</w:t>
      </w:r>
    </w:p>
    <w:p w14:paraId="2410E467" w14:textId="77777777" w:rsidR="004164FF" w:rsidRPr="00D571EB" w:rsidRDefault="004164FF" w:rsidP="005035B4">
      <w:pPr>
        <w:pStyle w:val="Heading3"/>
      </w:pPr>
      <w:bookmarkStart w:id="73" w:name="_Toc49839825"/>
      <w:bookmarkStart w:id="74" w:name="_Toc157759511"/>
      <w:r w:rsidRPr="00D571EB">
        <w:t>Research question formulation</w:t>
      </w:r>
      <w:bookmarkEnd w:id="73"/>
      <w:bookmarkEnd w:id="74"/>
    </w:p>
    <w:p w14:paraId="20D4F71C" w14:textId="77777777" w:rsidR="00492418" w:rsidRPr="00E81FD2" w:rsidRDefault="00492418" w:rsidP="002F7336">
      <w:bookmarkStart w:id="75" w:name="_Toc45932334"/>
      <w:bookmarkStart w:id="76" w:name="_Toc48552037"/>
      <w:bookmarkStart w:id="77" w:name="_Toc48561456"/>
      <w:bookmarkStart w:id="78" w:name="_Toc49789733"/>
      <w:r w:rsidRPr="00E81FD2">
        <w:t xml:space="preserve">The initial guiding questions of the review were investigating the relationship between the variables: institutional pressures and of supply chain integration with the adoption of CE practices: </w:t>
      </w:r>
    </w:p>
    <w:p w14:paraId="2518B568" w14:textId="77777777" w:rsidR="00492418" w:rsidRPr="00E81FD2" w:rsidRDefault="00492418" w:rsidP="0081080C">
      <w:pPr>
        <w:pStyle w:val="ListParagraph"/>
        <w:numPr>
          <w:ilvl w:val="0"/>
          <w:numId w:val="6"/>
        </w:numPr>
      </w:pPr>
      <w:r w:rsidRPr="00E81FD2">
        <w:t>Do institutional pressures have a role in the adoption of CE practices?</w:t>
      </w:r>
    </w:p>
    <w:p w14:paraId="3FF40E27" w14:textId="77777777" w:rsidR="00492418" w:rsidRPr="00E81FD2" w:rsidRDefault="00492418" w:rsidP="0081080C">
      <w:pPr>
        <w:pStyle w:val="ListParagraph"/>
        <w:numPr>
          <w:ilvl w:val="0"/>
          <w:numId w:val="6"/>
        </w:numPr>
      </w:pPr>
      <w:r w:rsidRPr="00E81FD2">
        <w:t>Does supply chain integration have a role in the adoption of CE practices in supply chains?</w:t>
      </w:r>
    </w:p>
    <w:p w14:paraId="10CFD0ED" w14:textId="77777777" w:rsidR="00492418" w:rsidRPr="00E81FD2" w:rsidRDefault="00492418" w:rsidP="002F7336">
      <w:r w:rsidRPr="00E81FD2">
        <w:t>Keyword strings were chosen in order to maximise the number of results extracted. The literature was examined using the Scopus database, which is considered one of the most relevant repositories of peer-reviewed papers. A first keyword based search, which was strictly focused on the CE literature stream, did not return a sufficient number of papers (Table 3).</w:t>
      </w:r>
    </w:p>
    <w:bookmarkEnd w:id="75"/>
    <w:bookmarkEnd w:id="76"/>
    <w:bookmarkEnd w:id="77"/>
    <w:bookmarkEnd w:id="78"/>
    <w:p w14:paraId="77EE64CC" w14:textId="77777777" w:rsidR="004164FF" w:rsidRDefault="004164FF" w:rsidP="00385CD9">
      <w:pPr>
        <w:jc w:val="center"/>
      </w:pPr>
      <w:r>
        <w:rPr>
          <w:noProof/>
          <w:lang w:eastAsia="zh-CN"/>
        </w:rPr>
        <w:drawing>
          <wp:inline distT="0" distB="0" distL="0" distR="0" wp14:anchorId="027E25FF" wp14:editId="3C8468E6">
            <wp:extent cx="2286000" cy="21394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9219" cy="2142460"/>
                    </a:xfrm>
                    <a:prstGeom prst="rect">
                      <a:avLst/>
                    </a:prstGeom>
                    <a:noFill/>
                  </pic:spPr>
                </pic:pic>
              </a:graphicData>
            </a:graphic>
          </wp:inline>
        </w:drawing>
      </w:r>
    </w:p>
    <w:p w14:paraId="62DAF1F1" w14:textId="77777777" w:rsidR="00492418" w:rsidRDefault="00492418" w:rsidP="002F7336">
      <w:pPr>
        <w:pStyle w:val="Figurecaption"/>
      </w:pPr>
      <w:r>
        <w:t xml:space="preserve">Figure 5 </w:t>
      </w:r>
      <w:r w:rsidRPr="00EE76F5">
        <w:t>– Flowchart of the research process followed for the critical review</w:t>
      </w:r>
    </w:p>
    <w:p w14:paraId="7C7B2E62" w14:textId="77777777" w:rsidR="00492418" w:rsidRPr="00E81FD2" w:rsidRDefault="00492418" w:rsidP="002F7336">
      <w:r w:rsidRPr="00E81FD2">
        <w:t xml:space="preserve">This is not surprising, as the recently developed literature on the CE </w:t>
      </w:r>
      <w:r w:rsidRPr="00E81FD2">
        <w:fldChar w:fldCharType="begin" w:fldLock="1"/>
      </w:r>
      <w:r w:rsidRPr="00E81FD2">
        <w:instrText>ADDIN CSL_CITATION {"citationItems":[{"id":"ITEM-1","itemData":{"DOI":"10.3390/su12104069","author":[{"dropping-particle":"","family":"Borrello","given":"Massimiliano","non-dropping-particle":"","parse-names":false,"suffix":""},{"dropping-particle":"","family":"Pascucci","given":"Stefano","non-dropping-particle":"","parse-names":false,"suffix":""},{"dropping-particle":"","family":"Cembalo","given":"Luigi","non-dropping-particle":"","parse-names":false,"suffix":""}],"id":"ITEM-1","issued":{"date-parts":[["2020"]]},"page":"1-24","title":"Three Propositions to Unify Circular Economy Research : A Review","type":"article-journal"},"uris":["http://www.mendeley.com/documents/?uuid=debe92cf-7425-48df-8ed2-03339b54c2c0"]}],"mendeley":{"formattedCitation":"(Borrello et al., 2020)","plainTextFormattedCitation":"(Borrello et al., 2020)","previouslyFormattedCitation":"(Borrello et al., 2020)"},"properties":{"noteIndex":0},"schema":"https://github.com/citation-style-language/schema/raw/master/csl-citation.json"}</w:instrText>
      </w:r>
      <w:r w:rsidRPr="00E81FD2">
        <w:fldChar w:fldCharType="separate"/>
      </w:r>
      <w:r w:rsidRPr="00E81FD2">
        <w:rPr>
          <w:noProof/>
        </w:rPr>
        <w:t>(Borrello et al., 2020)</w:t>
      </w:r>
      <w:r w:rsidRPr="00E81FD2">
        <w:fldChar w:fldCharType="end"/>
      </w:r>
      <w:r w:rsidRPr="00E81FD2">
        <w:t xml:space="preserve"> has mainly focused on micro (e.g. the single firm or product line) and macro (e.g. region, state) levels of analysis and, more rarely, on the meso (e.g. supply chain) one </w:t>
      </w:r>
      <w:r w:rsidRPr="00E81FD2">
        <w:fldChar w:fldCharType="begin" w:fldLock="1"/>
      </w:r>
      <w:r w:rsidRPr="00E81FD2">
        <w:instrText>ADDIN CSL_CITATION {"citationItems":[{"id":"ITEM-1","itemData":{"DOI":"10.1016/j.jclepro.2015.09.007","ISSN":"09596526","abstract":"In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Production","id":"ITEM-1","issued":{"date-parts":[["2016"]]},"page":"11-32","publisher":"Elsevier Ltd","title":"A review on circular economy: The expected transition to a balanced interplay of environmental and economic systems","type":"article-journal","volume":"114"},"uris":["http://www.mendeley.com/documents/?uuid=6fc3279a-678e-4520-acd8-f1f9b6916ce4"]},{"id":"ITEM-2","itemData":{"DOI":"10.1016/j.jclepro.2017.12.112","ISSN":"09596526","abstract":"Circular Economy (CE) aims to overcome the take-make-dispose linear pattern of production and consumption, proposing a circular system in which the value of products, materials and resources is maintained in the economy as long as possible. In recent years there has been a proliferation of scholars' publications on the topic. This study presents the results of a systematic literature review exploring the state-of-the-art of academic research on CE. The paper examines the CE body of literature with a systematic approach, to provide an exhaustive analysis of the phenomenon with rigorous and reproducible research criteria. The revisited material consists of 565 articles collected through the Web of Science and Scopus databases, and has been evaluated using specific structural dimensions to group literature into analytical categories. Starting from being a concept studied in connection with industrial ecology, CE has slowly acquired its independent role in academic research, framed mainly into environmental sustainability related studies. As a result of policies implementation, academic production is mainly concentrated in China and Europe, employing tools and methods for modelling processes and supporting decision-making for CE implementation (e.g. Life Cycle Assessment and Material Flow Analysis). CE studies follow three main lines of action: the first aims to change the social and economic dynamics at macro and administrative level; the second to support firms in circular processes implementation at micro level to spread new forms of consumption and product design; the third, developed at meso level, discusses industrial symbiosis experiences. CE is associated with a variety of concepts, and waste management emerges as the most relevant sub-sector. CE is also strongly connected with the concept of sustainability, proposing ways to operationalize its implementation at the environmental and economic level, while scholars only marginally consider social and institutional implications. The most explored practices are those related to cleaner production, aiming at reducing environmental impact and waste production along the life cycle of a product, and optimizing the performance and efficiency of processes. Conversely, studies on CE may devote greater attention to strategies for social and institutional changes, able to transform the upstream process of production and consumption. Considering business model strategies, scholars mainly focus on studying closin…","author":[{"dropping-particle":"","family":"Merli","given":"Roberto","non-dropping-particle":"","parse-names":false,"suffix":""},{"dropping-particle":"","family":"Preziosi","given":"Michele","non-dropping-particle":"","parse-names":false,"suffix":""},{"dropping-particle":"","family":"Acampora","given":"Alessia","non-dropping-particle":"","parse-names":false,"suffix":""}],"container-title":"Journal of Cleaner Production","id":"ITEM-2","issued":{"date-parts":[["2018"]]},"page":"703-722","publisher":"Elsevier Ltd","title":"How do scholars approach the circular economy? A systematic literature review","type":"article-journal","volume":"178"},"uris":["http://www.mendeley.com/documents/?uuid=97f5fac8-81bf-44c8-9904-9f7585f44b4d"]}],"mendeley":{"formattedCitation":"(Ghisellini et al., 2016; Merli et al., 2018)","plainTextFormattedCitation":"(Ghisellini et al., 2016; Merli et al., 2018)","previouslyFormattedCitation":"(Ghisellini et al., 2016; Merli et al., 2018)"},"properties":{"noteIndex":0},"schema":"https://github.com/citation-style-language/schema/raw/master/csl-citation.json"}</w:instrText>
      </w:r>
      <w:r w:rsidRPr="00E81FD2">
        <w:fldChar w:fldCharType="separate"/>
      </w:r>
      <w:r w:rsidRPr="00E81FD2">
        <w:rPr>
          <w:noProof/>
        </w:rPr>
        <w:t>(Ghisellini et al., 2016; Merli et al., 2018)</w:t>
      </w:r>
      <w:r w:rsidRPr="00E81FD2">
        <w:fldChar w:fldCharType="end"/>
      </w:r>
      <w:r w:rsidRPr="00E81FD2">
        <w:t xml:space="preserve">. Also, literature on Circular Supply Chain Management has rarely used theories to examine the adoption of CE practices </w:t>
      </w:r>
      <w:r w:rsidRPr="00E81FD2">
        <w:fldChar w:fldCharType="begin" w:fldLock="1"/>
      </w:r>
      <w:r w:rsidRPr="00E81FD2">
        <w:instrText>ADDIN CSL_CITATION {"citationItems":[{"id":"ITEM-1","itemData":{"DOI":"10.1016/j.jclepro.2020.120859","ISSN":"09596526","abstract":"The notion of circular economy (CE) has gained considerable attention recently among researchers, practitioners, and policymakers due to the enormous waste generation at all phases of a product life cycle. CE acts as alternative solutions to the dominant linear economic model of production and consumption. The incorporation of the CE into supply chain management is known as circular supply chain management (CSCM). The objective of this study is to conduct a state-of-art review of CSCM using content analysis methodology. This review covers the available circular supply chain literature, highlights the research trends, gaps and set up the potential research directions for future studies. Total 125 CSCM articles published in journals covering the span of last one decade (2010 to July 2019) are selected. The CSCM research articles are evaluated and segregated in 13 pre-defined structural dimensions and analytics. The result shows that there exist ample scope and open doors for the growth of CSCM which should be investigated with the help of advanced quantitative modeling approaches, highly developed optimization techniques, integrated multi-criteria decision making techniques, and proficient algorithms. Also, CSCM research needs to recognize enablers/drivers/critical success factors, barriers/obstacles, new circular business models and innovative frameworks. Therefore, this examination will prop up new opportunities for researchers to figure out the novel dimensions in the field of CSCM.","author":[{"dropping-particle":"","family":"Lahane","given":"Swapnil","non-dropping-particle":"","parse-names":false,"suffix":""},{"dropping-particle":"","family":"Kant","given":"Ravi","non-dropping-particle":"","parse-names":false,"suffix":""},{"dropping-particle":"","family":"Shankar","given":"Ravi","non-dropping-particle":"","parse-names":false,"suffix":""}],"container-title":"Journal of Cleaner Production","id":"ITEM-1","issued":{"date-parts":[["2020"]]},"page":"120859","publisher":"Elsevier Ltd","title":"Circular supply chain management: A state-of-art review and future opportunities","type":"article-journal","volume":"258"},"uris":["http://www.mendeley.com/documents/?uuid=23330932-4a53-4d51-948c-e152a0244a6f"]}],"mendeley":{"formattedCitation":"(Lahane et al., 2020)","plainTextFormattedCitation":"(Lahane et al., 2020)","previouslyFormattedCitation":"(Lahane et al., 2020)"},"properties":{"noteIndex":0},"schema":"https://github.com/citation-style-language/schema/raw/master/csl-citation.json"}</w:instrText>
      </w:r>
      <w:r w:rsidRPr="00E81FD2">
        <w:fldChar w:fldCharType="separate"/>
      </w:r>
      <w:r w:rsidRPr="00E81FD2">
        <w:rPr>
          <w:noProof/>
        </w:rPr>
        <w:t>(Lahane et al., 2020)</w:t>
      </w:r>
      <w:r w:rsidRPr="00E81FD2">
        <w:fldChar w:fldCharType="end"/>
      </w:r>
      <w:r w:rsidRPr="00E81FD2">
        <w:t xml:space="preserve">. </w:t>
      </w:r>
    </w:p>
    <w:p w14:paraId="1CAF728C" w14:textId="77777777" w:rsidR="00492418" w:rsidRPr="00E81FD2" w:rsidRDefault="00492418" w:rsidP="002F7336">
      <w:r w:rsidRPr="00E81FD2">
        <w:t xml:space="preserve">For these reason, the guiding questions (and accordingly the related keyword strings: see Table 3, II Step) have been widened, in order to include the more traditional Supply Chain </w:t>
      </w:r>
      <w:r w:rsidRPr="00E81FD2">
        <w:lastRenderedPageBreak/>
        <w:t xml:space="preserve">Management (SCM) literature, which has already analysed the drivers of ‘sustainable’ and ‘green’ practices and also the role of supply chain configuration in the adoption. Considering similar literature and research areas improves the definition of constructs and enhances the theoretical level and the possibility to generalise findings </w:t>
      </w:r>
      <w:r w:rsidRPr="00E81FD2">
        <w:fldChar w:fldCharType="begin" w:fldLock="1"/>
      </w:r>
      <w:r w:rsidRPr="00E81FD2">
        <w:instrText>ADDIN CSL_CITATION {"citationItems":[{"id":"ITEM-1","itemData":{"DOI":"10.5465/amr.1989.4308385","ISSN":"0363-7425","abstract":"This paper describes the process of inducting theory using case studies—from specifying the research questions to reaching closure. Some features of the process, such as problem definition and construct validation, are similar to hypothesis-testing research. Others, such as within-case analysis and replication logic, are unique to the inductive, case-oriented process. Overall, the process described here is highly iterative and tightly linked to data. This research approach is especially appropriate in new topic areas. The resultant theory is often novel, testable, and empirically valid. Finally, framebreaking insights, the tests of good theory (e.g. , parsimony, logical coherence), and convincing grounding in the evidence are the key criteria for evaluating this type of research.","author":[{"dropping-particle":"","family":"Eisenhardt","given":"Kathleen M.","non-dropping-particle":"","parse-names":false,"suffix":""}],"container-title":"Academy of Management Review","id":"ITEM-1","issue":"4","issued":{"date-parts":[["1989"]]},"page":"532-550","title":"Building Theories from Case Study Research","type":"article-journal","volume":"14"},"uris":["http://www.mendeley.com/documents/?uuid=f30ffc19-6aaa-4f6d-bdc7-1143df97b6ba"]}],"mendeley":{"formattedCitation":"(Eisenhardt, 1989)","plainTextFormattedCitation":"(Eisenhardt, 1989)","previouslyFormattedCitation":"(Eisenhardt, 1989)"},"properties":{"noteIndex":0},"schema":"https://github.com/citation-style-language/schema/raw/master/csl-citation.json"}</w:instrText>
      </w:r>
      <w:r w:rsidRPr="00E81FD2">
        <w:fldChar w:fldCharType="separate"/>
      </w:r>
      <w:r w:rsidRPr="00E81FD2">
        <w:rPr>
          <w:noProof/>
        </w:rPr>
        <w:t>(Eisenhardt, 1989)</w:t>
      </w:r>
      <w:r w:rsidRPr="00E81FD2">
        <w:fldChar w:fldCharType="end"/>
      </w:r>
      <w:r w:rsidRPr="00E81FD2">
        <w:t xml:space="preserve">. </w:t>
      </w:r>
    </w:p>
    <w:p w14:paraId="11CA2287" w14:textId="77777777" w:rsidR="00492418" w:rsidRPr="00E81FD2" w:rsidRDefault="00492418" w:rsidP="002F7336">
      <w:r w:rsidRPr="00E81FD2">
        <w:t xml:space="preserve">The final guiding questions were (Figure 6): </w:t>
      </w:r>
    </w:p>
    <w:p w14:paraId="6A26BAC4" w14:textId="77777777" w:rsidR="00492418" w:rsidRPr="00492418" w:rsidRDefault="00492418" w:rsidP="0081080C">
      <w:pPr>
        <w:pStyle w:val="ListParagraph"/>
        <w:numPr>
          <w:ilvl w:val="0"/>
          <w:numId w:val="7"/>
        </w:numPr>
      </w:pPr>
      <w:r w:rsidRPr="00E81FD2">
        <w:t>Do institutional pressures have a role in the adoption of CE, ‘green’, ‘sustainable’ practices?</w:t>
      </w:r>
    </w:p>
    <w:p w14:paraId="52297D3F" w14:textId="36656028" w:rsidR="00065347" w:rsidRDefault="00492418" w:rsidP="0081080C">
      <w:pPr>
        <w:pStyle w:val="ListParagraph"/>
        <w:numPr>
          <w:ilvl w:val="0"/>
          <w:numId w:val="7"/>
        </w:numPr>
      </w:pPr>
      <w:r w:rsidRPr="00E81FD2">
        <w:t>Does supply chain integration have a role in the adoption of CE, ‘green’, ‘sustainable’ practices in supply chains?</w:t>
      </w:r>
    </w:p>
    <w:p w14:paraId="1DAE5896" w14:textId="2C6249F3" w:rsidR="004164FF" w:rsidRDefault="004164FF" w:rsidP="002F7336">
      <w:pPr>
        <w:pStyle w:val="Figurecaption"/>
      </w:pPr>
      <w:bookmarkStart w:id="79" w:name="_Toc48552065"/>
      <w:bookmarkStart w:id="80" w:name="_Toc48552220"/>
      <w:bookmarkStart w:id="81" w:name="_Toc48561477"/>
      <w:bookmarkStart w:id="82" w:name="_Toc49529058"/>
      <w:r>
        <w:t xml:space="preserve">Table </w:t>
      </w:r>
      <w:r w:rsidR="009A73E6">
        <w:t>3</w:t>
      </w:r>
      <w:r>
        <w:t xml:space="preserve"> </w:t>
      </w:r>
      <w:r w:rsidRPr="00D31726">
        <w:t>– Strings used in the first keyword based search</w:t>
      </w:r>
      <w:bookmarkEnd w:id="79"/>
      <w:bookmarkEnd w:id="80"/>
      <w:bookmarkEnd w:id="81"/>
      <w:bookmarkEnd w:id="82"/>
    </w:p>
    <w:tbl>
      <w:tblPr>
        <w:tblStyle w:val="TableGrid"/>
        <w:tblW w:w="0" w:type="auto"/>
        <w:tblLook w:val="04A0" w:firstRow="1" w:lastRow="0" w:firstColumn="1" w:lastColumn="0" w:noHBand="0" w:noVBand="1"/>
      </w:tblPr>
      <w:tblGrid>
        <w:gridCol w:w="989"/>
        <w:gridCol w:w="6677"/>
        <w:gridCol w:w="828"/>
      </w:tblGrid>
      <w:tr w:rsidR="004164FF" w14:paraId="053B2E18" w14:textId="77777777" w:rsidTr="00BA2106">
        <w:tc>
          <w:tcPr>
            <w:tcW w:w="0" w:type="auto"/>
          </w:tcPr>
          <w:p w14:paraId="448921C6" w14:textId="77777777" w:rsidR="004164FF" w:rsidRPr="00157E3A" w:rsidRDefault="004164FF" w:rsidP="0048118F">
            <w:pPr>
              <w:pStyle w:val="Tabletext"/>
            </w:pPr>
            <w:r>
              <w:t>String name</w:t>
            </w:r>
          </w:p>
        </w:tc>
        <w:tc>
          <w:tcPr>
            <w:tcW w:w="0" w:type="auto"/>
          </w:tcPr>
          <w:p w14:paraId="5BE17402" w14:textId="77777777" w:rsidR="004164FF" w:rsidRPr="00A708F7" w:rsidRDefault="004164FF" w:rsidP="0048118F">
            <w:pPr>
              <w:pStyle w:val="Tabletext"/>
            </w:pPr>
            <w:r w:rsidRPr="00A708F7">
              <w:t>I Step</w:t>
            </w:r>
          </w:p>
        </w:tc>
        <w:tc>
          <w:tcPr>
            <w:tcW w:w="0" w:type="auto"/>
          </w:tcPr>
          <w:p w14:paraId="732C4AB6" w14:textId="77777777" w:rsidR="004164FF" w:rsidRPr="00F56101" w:rsidRDefault="004164FF" w:rsidP="0048118F">
            <w:pPr>
              <w:pStyle w:val="Tabletext"/>
            </w:pPr>
            <w:r w:rsidRPr="00F56101">
              <w:t>Results</w:t>
            </w:r>
          </w:p>
        </w:tc>
      </w:tr>
      <w:tr w:rsidR="004164FF" w14:paraId="1479FF22" w14:textId="77777777" w:rsidTr="00BA2106">
        <w:tc>
          <w:tcPr>
            <w:tcW w:w="0" w:type="auto"/>
          </w:tcPr>
          <w:p w14:paraId="4A63F981" w14:textId="77777777" w:rsidR="004164FF" w:rsidRDefault="004164FF" w:rsidP="0048118F">
            <w:pPr>
              <w:pStyle w:val="Tabletext"/>
            </w:pPr>
            <w:r>
              <w:t xml:space="preserve">String </w:t>
            </w:r>
            <w:proofErr w:type="spellStart"/>
            <w:r>
              <w:t>I.i</w:t>
            </w:r>
            <w:proofErr w:type="spellEnd"/>
          </w:p>
        </w:tc>
        <w:tc>
          <w:tcPr>
            <w:tcW w:w="0" w:type="auto"/>
          </w:tcPr>
          <w:p w14:paraId="786798D6" w14:textId="77777777" w:rsidR="004164FF" w:rsidRPr="00F56101" w:rsidRDefault="004164FF" w:rsidP="0048118F">
            <w:pPr>
              <w:pStyle w:val="Tabletext"/>
            </w:pPr>
            <w:r>
              <w:t>“</w:t>
            </w:r>
            <w:r w:rsidRPr="00F56101">
              <w:t>institution</w:t>
            </w:r>
            <w:r>
              <w:t xml:space="preserve">al </w:t>
            </w:r>
            <w:proofErr w:type="spellStart"/>
            <w:r>
              <w:t>pressur</w:t>
            </w:r>
            <w:proofErr w:type="spellEnd"/>
            <w:r w:rsidRPr="00F56101">
              <w:t>*</w:t>
            </w:r>
            <w:r>
              <w:t>”</w:t>
            </w:r>
            <w:r w:rsidRPr="00F56101">
              <w:t xml:space="preserve"> AND "supply c</w:t>
            </w:r>
            <w:r>
              <w:t>hain integration" AND "circular*</w:t>
            </w:r>
            <w:r w:rsidRPr="00F56101">
              <w:t>"</w:t>
            </w:r>
          </w:p>
        </w:tc>
        <w:tc>
          <w:tcPr>
            <w:tcW w:w="0" w:type="auto"/>
          </w:tcPr>
          <w:p w14:paraId="395F34D1" w14:textId="77777777" w:rsidR="004164FF" w:rsidRDefault="004164FF" w:rsidP="0048118F">
            <w:pPr>
              <w:pStyle w:val="Tabletext"/>
            </w:pPr>
            <w:r w:rsidRPr="00F56101">
              <w:t>0</w:t>
            </w:r>
          </w:p>
        </w:tc>
      </w:tr>
      <w:tr w:rsidR="004164FF" w14:paraId="6F5845F2" w14:textId="77777777" w:rsidTr="00BA2106">
        <w:tc>
          <w:tcPr>
            <w:tcW w:w="0" w:type="auto"/>
          </w:tcPr>
          <w:p w14:paraId="273D8096" w14:textId="77777777" w:rsidR="004164FF" w:rsidRDefault="004164FF" w:rsidP="0048118F">
            <w:pPr>
              <w:pStyle w:val="Tabletext"/>
            </w:pPr>
            <w:r>
              <w:t xml:space="preserve">String </w:t>
            </w:r>
            <w:proofErr w:type="spellStart"/>
            <w:r>
              <w:t>I.ii</w:t>
            </w:r>
            <w:proofErr w:type="spellEnd"/>
          </w:p>
        </w:tc>
        <w:tc>
          <w:tcPr>
            <w:tcW w:w="0" w:type="auto"/>
          </w:tcPr>
          <w:p w14:paraId="7D7ACE09" w14:textId="082BF119" w:rsidR="004164FF" w:rsidRPr="00F56101" w:rsidRDefault="004164FF" w:rsidP="0048118F">
            <w:pPr>
              <w:pStyle w:val="Tabletext"/>
            </w:pPr>
            <w:r>
              <w:t>“</w:t>
            </w:r>
            <w:r w:rsidRPr="00F56101">
              <w:t>institution</w:t>
            </w:r>
            <w:r>
              <w:t xml:space="preserve">al </w:t>
            </w:r>
            <w:proofErr w:type="spellStart"/>
            <w:r>
              <w:t>pressur</w:t>
            </w:r>
            <w:proofErr w:type="spellEnd"/>
            <w:r w:rsidRPr="00F56101">
              <w:t xml:space="preserve"> *</w:t>
            </w:r>
            <w:r>
              <w:t>”</w:t>
            </w:r>
            <w:r w:rsidRPr="00F56101">
              <w:t xml:space="preserve"> AND</w:t>
            </w:r>
            <w:r>
              <w:t xml:space="preserve"> "supply chain" AND "circular*</w:t>
            </w:r>
            <w:r w:rsidRPr="00F56101">
              <w:t>"</w:t>
            </w:r>
          </w:p>
        </w:tc>
        <w:tc>
          <w:tcPr>
            <w:tcW w:w="0" w:type="auto"/>
          </w:tcPr>
          <w:p w14:paraId="6B3F1D69" w14:textId="77777777" w:rsidR="004164FF" w:rsidRDefault="004164FF" w:rsidP="0048118F">
            <w:pPr>
              <w:pStyle w:val="Tabletext"/>
            </w:pPr>
            <w:r>
              <w:t>24</w:t>
            </w:r>
          </w:p>
        </w:tc>
      </w:tr>
      <w:tr w:rsidR="004164FF" w14:paraId="61853067" w14:textId="77777777" w:rsidTr="00BA2106">
        <w:tc>
          <w:tcPr>
            <w:tcW w:w="0" w:type="auto"/>
          </w:tcPr>
          <w:p w14:paraId="2880380C" w14:textId="77777777" w:rsidR="004164FF" w:rsidRPr="00763F64" w:rsidRDefault="004164FF" w:rsidP="0048118F">
            <w:pPr>
              <w:pStyle w:val="Tabletext"/>
            </w:pPr>
            <w:r>
              <w:t xml:space="preserve">String </w:t>
            </w:r>
            <w:proofErr w:type="spellStart"/>
            <w:r>
              <w:t>I.iii</w:t>
            </w:r>
            <w:proofErr w:type="spellEnd"/>
          </w:p>
        </w:tc>
        <w:tc>
          <w:tcPr>
            <w:tcW w:w="0" w:type="auto"/>
          </w:tcPr>
          <w:p w14:paraId="59F2E3D3" w14:textId="77777777" w:rsidR="004164FF" w:rsidRPr="00F56101" w:rsidRDefault="004164FF" w:rsidP="0048118F">
            <w:pPr>
              <w:pStyle w:val="Tabletext"/>
            </w:pPr>
            <w:r w:rsidRPr="00763F64">
              <w:t>"supply c</w:t>
            </w:r>
            <w:r>
              <w:t>hain integration" AND "circular*</w:t>
            </w:r>
            <w:r w:rsidRPr="00763F64">
              <w:t>"</w:t>
            </w:r>
          </w:p>
        </w:tc>
        <w:tc>
          <w:tcPr>
            <w:tcW w:w="0" w:type="auto"/>
          </w:tcPr>
          <w:p w14:paraId="561AE9B9" w14:textId="77777777" w:rsidR="004164FF" w:rsidRPr="00763F64" w:rsidRDefault="004164FF" w:rsidP="0048118F">
            <w:pPr>
              <w:pStyle w:val="Tabletext"/>
            </w:pPr>
            <w:r>
              <w:t>6</w:t>
            </w:r>
          </w:p>
        </w:tc>
      </w:tr>
      <w:tr w:rsidR="004164FF" w14:paraId="5B0E14DB" w14:textId="77777777" w:rsidTr="00BA2106">
        <w:tc>
          <w:tcPr>
            <w:tcW w:w="0" w:type="auto"/>
          </w:tcPr>
          <w:p w14:paraId="4D9EC339" w14:textId="77777777" w:rsidR="004164FF" w:rsidRPr="00157E3A" w:rsidRDefault="004164FF" w:rsidP="0048118F">
            <w:pPr>
              <w:pStyle w:val="Tabletext"/>
            </w:pPr>
            <w:r>
              <w:t xml:space="preserve">String </w:t>
            </w:r>
            <w:proofErr w:type="spellStart"/>
            <w:r>
              <w:t>I.iv</w:t>
            </w:r>
            <w:proofErr w:type="spellEnd"/>
          </w:p>
        </w:tc>
        <w:tc>
          <w:tcPr>
            <w:tcW w:w="0" w:type="auto"/>
          </w:tcPr>
          <w:p w14:paraId="5EB43972" w14:textId="6FCEA934" w:rsidR="004164FF" w:rsidRPr="00763F64" w:rsidRDefault="004164FF" w:rsidP="0048118F">
            <w:pPr>
              <w:pStyle w:val="Tabletext"/>
            </w:pPr>
            <w:r w:rsidRPr="00157E3A">
              <w:t>"circular economy</w:t>
            </w:r>
            <w:r w:rsidR="00B651D9" w:rsidRPr="00157E3A">
              <w:t>” AND</w:t>
            </w:r>
            <w:r w:rsidRPr="00157E3A">
              <w:t xml:space="preserve"> "supply chain" AND "driver"</w:t>
            </w:r>
          </w:p>
        </w:tc>
        <w:tc>
          <w:tcPr>
            <w:tcW w:w="0" w:type="auto"/>
          </w:tcPr>
          <w:p w14:paraId="430CBF27" w14:textId="77777777" w:rsidR="004164FF" w:rsidRDefault="004164FF" w:rsidP="0048118F">
            <w:pPr>
              <w:pStyle w:val="Tabletext"/>
            </w:pPr>
            <w:r>
              <w:t>36</w:t>
            </w:r>
          </w:p>
        </w:tc>
      </w:tr>
      <w:tr w:rsidR="004164FF" w14:paraId="65459497" w14:textId="77777777" w:rsidTr="00BA2106">
        <w:tc>
          <w:tcPr>
            <w:tcW w:w="0" w:type="auto"/>
          </w:tcPr>
          <w:p w14:paraId="4642FFA8" w14:textId="77777777" w:rsidR="004164FF" w:rsidRPr="00157E3A" w:rsidRDefault="004164FF" w:rsidP="0048118F">
            <w:pPr>
              <w:pStyle w:val="Tabletext"/>
            </w:pPr>
          </w:p>
        </w:tc>
        <w:tc>
          <w:tcPr>
            <w:tcW w:w="0" w:type="auto"/>
          </w:tcPr>
          <w:p w14:paraId="1356B1AA" w14:textId="77777777" w:rsidR="004164FF" w:rsidRPr="00A708F7" w:rsidRDefault="004164FF" w:rsidP="0048118F">
            <w:pPr>
              <w:pStyle w:val="Tabletext"/>
            </w:pPr>
            <w:r w:rsidRPr="00A708F7">
              <w:t>II Step</w:t>
            </w:r>
          </w:p>
        </w:tc>
        <w:tc>
          <w:tcPr>
            <w:tcW w:w="0" w:type="auto"/>
          </w:tcPr>
          <w:p w14:paraId="7FEA943B" w14:textId="77777777" w:rsidR="004164FF" w:rsidRDefault="004164FF" w:rsidP="0048118F">
            <w:pPr>
              <w:pStyle w:val="Tabletext"/>
            </w:pPr>
          </w:p>
        </w:tc>
      </w:tr>
      <w:tr w:rsidR="004164FF" w14:paraId="71E42F49" w14:textId="77777777" w:rsidTr="00BA2106">
        <w:tc>
          <w:tcPr>
            <w:tcW w:w="0" w:type="auto"/>
          </w:tcPr>
          <w:p w14:paraId="39625A1E" w14:textId="77777777" w:rsidR="004164FF" w:rsidRPr="008A25E2" w:rsidRDefault="004164FF" w:rsidP="0048118F">
            <w:pPr>
              <w:pStyle w:val="Tabletext"/>
            </w:pPr>
            <w:r>
              <w:t xml:space="preserve">String </w:t>
            </w:r>
            <w:proofErr w:type="spellStart"/>
            <w:r>
              <w:t>II.i</w:t>
            </w:r>
            <w:proofErr w:type="spellEnd"/>
          </w:p>
        </w:tc>
        <w:tc>
          <w:tcPr>
            <w:tcW w:w="0" w:type="auto"/>
          </w:tcPr>
          <w:p w14:paraId="0D281502" w14:textId="15ACD3AD" w:rsidR="004164FF" w:rsidRPr="00763F64" w:rsidRDefault="004164FF" w:rsidP="0048118F">
            <w:pPr>
              <w:pStyle w:val="Tabletext"/>
            </w:pPr>
            <w:r w:rsidRPr="008A25E2">
              <w:t xml:space="preserve">(("institutional </w:t>
            </w:r>
            <w:proofErr w:type="spellStart"/>
            <w:r w:rsidRPr="008A25E2">
              <w:t>pressur</w:t>
            </w:r>
            <w:proofErr w:type="spellEnd"/>
            <w:r w:rsidRPr="008A25E2">
              <w:t>*" OR "supply chain i</w:t>
            </w:r>
            <w:r>
              <w:t>ntegration") AND ("circular*</w:t>
            </w:r>
            <w:r w:rsidRPr="008A25E2">
              <w:t>" OR "green" OR "sustainable" OR "industrial symbiosis"))</w:t>
            </w:r>
            <w:r>
              <w:t xml:space="preserve"> </w:t>
            </w:r>
          </w:p>
        </w:tc>
        <w:tc>
          <w:tcPr>
            <w:tcW w:w="0" w:type="auto"/>
          </w:tcPr>
          <w:p w14:paraId="55BA949D" w14:textId="77777777" w:rsidR="004164FF" w:rsidRDefault="004164FF" w:rsidP="0048118F">
            <w:pPr>
              <w:pStyle w:val="Tabletext"/>
            </w:pPr>
            <w:r>
              <w:t>313</w:t>
            </w:r>
          </w:p>
        </w:tc>
      </w:tr>
      <w:tr w:rsidR="004164FF" w14:paraId="7A07E3C0" w14:textId="77777777" w:rsidTr="00BA2106">
        <w:tc>
          <w:tcPr>
            <w:tcW w:w="0" w:type="auto"/>
          </w:tcPr>
          <w:p w14:paraId="59F70512" w14:textId="77777777" w:rsidR="004164FF" w:rsidRPr="00157E3A" w:rsidRDefault="004164FF" w:rsidP="0048118F">
            <w:pPr>
              <w:pStyle w:val="Tabletext"/>
            </w:pPr>
            <w:r>
              <w:t xml:space="preserve">String </w:t>
            </w:r>
            <w:proofErr w:type="spellStart"/>
            <w:r>
              <w:t>II.ii</w:t>
            </w:r>
            <w:proofErr w:type="spellEnd"/>
          </w:p>
        </w:tc>
        <w:tc>
          <w:tcPr>
            <w:tcW w:w="0" w:type="auto"/>
          </w:tcPr>
          <w:p w14:paraId="748A5FA0" w14:textId="10F31033" w:rsidR="004164FF" w:rsidRPr="008A25E2" w:rsidRDefault="004164FF" w:rsidP="0048118F">
            <w:pPr>
              <w:pStyle w:val="Tabletext"/>
            </w:pPr>
            <w:r w:rsidRPr="00157E3A">
              <w:t>"circular economy" AND "supply chain</w:t>
            </w:r>
            <w:r w:rsidR="00B651D9">
              <w:t>”</w:t>
            </w:r>
            <w:r w:rsidRPr="00157E3A">
              <w:t xml:space="preserve"> AND "driver"</w:t>
            </w:r>
          </w:p>
        </w:tc>
        <w:tc>
          <w:tcPr>
            <w:tcW w:w="0" w:type="auto"/>
          </w:tcPr>
          <w:p w14:paraId="7B836007" w14:textId="77777777" w:rsidR="004164FF" w:rsidRDefault="004164FF" w:rsidP="0048118F">
            <w:pPr>
              <w:pStyle w:val="Tabletext"/>
            </w:pPr>
            <w:r>
              <w:t>36</w:t>
            </w:r>
          </w:p>
        </w:tc>
      </w:tr>
    </w:tbl>
    <w:p w14:paraId="1BB93CA8" w14:textId="77777777" w:rsidR="004164FF" w:rsidRDefault="004164FF" w:rsidP="002F7336"/>
    <w:p w14:paraId="577C5EA3" w14:textId="77777777" w:rsidR="004164FF" w:rsidRDefault="004164FF" w:rsidP="0048118F">
      <w:pPr>
        <w:jc w:val="center"/>
      </w:pPr>
      <w:bookmarkStart w:id="83" w:name="_Toc47519559"/>
      <w:bookmarkStart w:id="84" w:name="_Toc47519560"/>
      <w:bookmarkStart w:id="85" w:name="_Toc47517753"/>
      <w:bookmarkStart w:id="86" w:name="_Toc47519382"/>
      <w:bookmarkStart w:id="87" w:name="_Toc47519562"/>
      <w:bookmarkStart w:id="88" w:name="_Toc47517754"/>
      <w:bookmarkStart w:id="89" w:name="_Toc47519383"/>
      <w:bookmarkStart w:id="90" w:name="_Toc47519563"/>
      <w:bookmarkEnd w:id="83"/>
      <w:bookmarkEnd w:id="84"/>
      <w:bookmarkEnd w:id="85"/>
      <w:bookmarkEnd w:id="86"/>
      <w:bookmarkEnd w:id="87"/>
      <w:bookmarkEnd w:id="88"/>
      <w:bookmarkEnd w:id="89"/>
      <w:bookmarkEnd w:id="90"/>
      <w:r>
        <w:rPr>
          <w:noProof/>
          <w:lang w:eastAsia="zh-CN"/>
        </w:rPr>
        <w:drawing>
          <wp:inline distT="0" distB="0" distL="0" distR="0" wp14:anchorId="3EB9216A" wp14:editId="5F43B287">
            <wp:extent cx="2335237" cy="1705725"/>
            <wp:effectExtent l="0" t="0" r="825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38409" cy="1708042"/>
                    </a:xfrm>
                    <a:prstGeom prst="rect">
                      <a:avLst/>
                    </a:prstGeom>
                    <a:noFill/>
                  </pic:spPr>
                </pic:pic>
              </a:graphicData>
            </a:graphic>
          </wp:inline>
        </w:drawing>
      </w:r>
    </w:p>
    <w:p w14:paraId="7D3E0FCB" w14:textId="77777777" w:rsidR="00492418" w:rsidRDefault="00492418" w:rsidP="002F7336">
      <w:pPr>
        <w:pStyle w:val="Figurecaption"/>
      </w:pPr>
      <w:bookmarkStart w:id="91" w:name="_Toc45932335"/>
      <w:bookmarkStart w:id="92" w:name="_Toc48552038"/>
      <w:bookmarkStart w:id="93" w:name="_Toc48561457"/>
      <w:bookmarkStart w:id="94" w:name="_Toc49789734"/>
      <w:bookmarkStart w:id="95" w:name="_Toc49839826"/>
      <w:r>
        <w:t xml:space="preserve">Figure 6 </w:t>
      </w:r>
      <w:r w:rsidRPr="00D075F1">
        <w:t>– The final guiding questions</w:t>
      </w:r>
      <w:bookmarkEnd w:id="91"/>
      <w:bookmarkEnd w:id="92"/>
      <w:bookmarkEnd w:id="93"/>
      <w:bookmarkEnd w:id="94"/>
    </w:p>
    <w:p w14:paraId="59477E5C" w14:textId="35F90AA9" w:rsidR="004164FF" w:rsidRDefault="00947F87" w:rsidP="002F7336">
      <w:pPr>
        <w:pStyle w:val="Heading4Paragraph"/>
      </w:pPr>
      <w:r>
        <w:t xml:space="preserve">2.3.1 </w:t>
      </w:r>
      <w:r w:rsidR="004164FF">
        <w:t>Identification and selection of the most relevant and significant research to the topic</w:t>
      </w:r>
      <w:bookmarkEnd w:id="95"/>
    </w:p>
    <w:p w14:paraId="476A3641" w14:textId="77777777" w:rsidR="009E313C" w:rsidRPr="00E81FD2" w:rsidRDefault="009E313C" w:rsidP="002F7336">
      <w:r w:rsidRPr="00E81FD2">
        <w:lastRenderedPageBreak/>
        <w:t>According to the critical review process</w:t>
      </w:r>
      <w:r>
        <w:t>,</w:t>
      </w:r>
      <w:r w:rsidRPr="00E81FD2">
        <w:t xml:space="preserve"> the most relevant and significant research on the topic has to be identified. As knowledge related to the research topic is fragmented and relates to different research streams, the identification process should be designed taking into account such complexities. To consider all the relevant research the first keyword-based search was followed by a snowballing process. Guidelines were built, followed and documented carefully. </w:t>
      </w:r>
    </w:p>
    <w:p w14:paraId="50B03B72" w14:textId="77777777" w:rsidR="009E313C" w:rsidRPr="00E81FD2" w:rsidRDefault="009E313C" w:rsidP="002F7336">
      <w:r w:rsidRPr="00E81FD2">
        <w:t xml:space="preserve">The 349 papers extracted with String </w:t>
      </w:r>
      <w:proofErr w:type="spellStart"/>
      <w:r w:rsidRPr="00E81FD2">
        <w:t>II.i</w:t>
      </w:r>
      <w:proofErr w:type="spellEnd"/>
      <w:r w:rsidRPr="00E81FD2">
        <w:t xml:space="preserve"> and </w:t>
      </w:r>
      <w:proofErr w:type="spellStart"/>
      <w:r w:rsidRPr="00E81FD2">
        <w:t>II.ii</w:t>
      </w:r>
      <w:proofErr w:type="spellEnd"/>
      <w:r w:rsidRPr="00E81FD2">
        <w:t xml:space="preserve"> (see Figure 7) were firstly analysed and selected. Whether a paper was included or excluded was based on analysing its title and </w:t>
      </w:r>
      <w:proofErr w:type="gramStart"/>
      <w:r w:rsidRPr="00E81FD2">
        <w:t>its</w:t>
      </w:r>
      <w:proofErr w:type="gramEnd"/>
      <w:r w:rsidRPr="00E81FD2">
        <w:t xml:space="preserve"> abstract: </w:t>
      </w:r>
    </w:p>
    <w:p w14:paraId="13E56A78" w14:textId="77777777" w:rsidR="009E313C" w:rsidRPr="00E81FD2" w:rsidRDefault="009E313C" w:rsidP="0081080C">
      <w:pPr>
        <w:pStyle w:val="ListParagraph"/>
        <w:numPr>
          <w:ilvl w:val="0"/>
          <w:numId w:val="8"/>
        </w:numPr>
      </w:pPr>
      <w:r w:rsidRPr="00E81FD2">
        <w:t xml:space="preserve">Papers that described the adoption CE, ‘green’, and ‘sustainable’ practices as </w:t>
      </w:r>
      <w:r>
        <w:t xml:space="preserve">being </w:t>
      </w:r>
      <w:r w:rsidRPr="00E81FD2">
        <w:t>driven by institutional pressures</w:t>
      </w:r>
      <w:r>
        <w:t>,</w:t>
      </w:r>
      <w:r w:rsidRPr="00E81FD2">
        <w:t xml:space="preserve"> have been </w:t>
      </w:r>
      <w:r w:rsidRPr="002F7336">
        <w:rPr>
          <w:i/>
          <w:iCs/>
        </w:rPr>
        <w:t>included</w:t>
      </w:r>
      <w:r w:rsidRPr="00E81FD2">
        <w:t xml:space="preserve">. </w:t>
      </w:r>
    </w:p>
    <w:p w14:paraId="63324034" w14:textId="77777777" w:rsidR="009E313C" w:rsidRPr="00E81FD2" w:rsidRDefault="009E313C" w:rsidP="0081080C">
      <w:pPr>
        <w:pStyle w:val="ListParagraph"/>
        <w:numPr>
          <w:ilvl w:val="0"/>
          <w:numId w:val="8"/>
        </w:numPr>
      </w:pPr>
      <w:r w:rsidRPr="00E81FD2">
        <w:t>Papers that analysed the effect of the adoption of CE, ‘green’, and ‘sustainable’ practices on firms’ or supply chains’ performance, without focusing on the process of adoption of CE practices</w:t>
      </w:r>
      <w:r>
        <w:t>,</w:t>
      </w:r>
      <w:r w:rsidRPr="00E81FD2">
        <w:t xml:space="preserve"> were </w:t>
      </w:r>
      <w:r w:rsidRPr="002F7336">
        <w:rPr>
          <w:i/>
          <w:iCs/>
        </w:rPr>
        <w:t>excluded;</w:t>
      </w:r>
      <w:r w:rsidRPr="00E81FD2">
        <w:t xml:space="preserve"> </w:t>
      </w:r>
    </w:p>
    <w:p w14:paraId="19D5F717" w14:textId="77777777" w:rsidR="009E313C" w:rsidRPr="00E81FD2" w:rsidRDefault="009E313C" w:rsidP="0081080C">
      <w:pPr>
        <w:pStyle w:val="ListParagraph"/>
        <w:numPr>
          <w:ilvl w:val="0"/>
          <w:numId w:val="8"/>
        </w:numPr>
      </w:pPr>
      <w:r w:rsidRPr="00E81FD2">
        <w:t>Papers that analysed the role of supply chain integration in the transition towards CE in supply chains</w:t>
      </w:r>
      <w:r>
        <w:t>,</w:t>
      </w:r>
      <w:r w:rsidRPr="00E81FD2">
        <w:t xml:space="preserve"> have been </w:t>
      </w:r>
      <w:r w:rsidRPr="002F7336">
        <w:rPr>
          <w:i/>
          <w:iCs/>
        </w:rPr>
        <w:t>included</w:t>
      </w:r>
      <w:r w:rsidRPr="00E81FD2">
        <w:t xml:space="preserve">. </w:t>
      </w:r>
    </w:p>
    <w:p w14:paraId="4074EBEC" w14:textId="77777777" w:rsidR="009E313C" w:rsidRPr="00E81FD2" w:rsidRDefault="009E313C" w:rsidP="0081080C">
      <w:pPr>
        <w:pStyle w:val="ListParagraph"/>
        <w:numPr>
          <w:ilvl w:val="0"/>
          <w:numId w:val="8"/>
        </w:numPr>
      </w:pPr>
      <w:r w:rsidRPr="00E81FD2">
        <w:t>Papers which applied institutional theory without a clear focus on supply chains or organisations</w:t>
      </w:r>
      <w:r>
        <w:t>,</w:t>
      </w:r>
      <w:r w:rsidRPr="00E81FD2">
        <w:t xml:space="preserve"> were </w:t>
      </w:r>
      <w:r w:rsidRPr="002F7336">
        <w:rPr>
          <w:i/>
          <w:iCs/>
        </w:rPr>
        <w:t>excluded;</w:t>
      </w:r>
    </w:p>
    <w:p w14:paraId="608B89E9" w14:textId="77777777" w:rsidR="009E313C" w:rsidRPr="00E81FD2" w:rsidRDefault="009E313C" w:rsidP="0081080C">
      <w:pPr>
        <w:pStyle w:val="ListParagraph"/>
        <w:numPr>
          <w:ilvl w:val="0"/>
          <w:numId w:val="8"/>
        </w:numPr>
      </w:pPr>
      <w:r w:rsidRPr="00E81FD2">
        <w:t>Papers that described the adoption CE practices through case studies, as well as the drivers and barriers behind CE adoption in supply chains</w:t>
      </w:r>
      <w:r>
        <w:t>,</w:t>
      </w:r>
      <w:r w:rsidRPr="00E81FD2">
        <w:t xml:space="preserve"> were all </w:t>
      </w:r>
      <w:r w:rsidRPr="002F7336">
        <w:rPr>
          <w:i/>
          <w:iCs/>
        </w:rPr>
        <w:t>included</w:t>
      </w:r>
      <w:r w:rsidRPr="00E81FD2">
        <w:t>.</w:t>
      </w:r>
    </w:p>
    <w:p w14:paraId="6FAB8586" w14:textId="470A831A" w:rsidR="004164FF" w:rsidRDefault="009E313C" w:rsidP="002F7336">
      <w:r w:rsidRPr="00E81FD2">
        <w:t>T</w:t>
      </w:r>
      <w:r w:rsidR="00236638">
        <w:t>he 20</w:t>
      </w:r>
      <w:r w:rsidRPr="00E81FD2">
        <w:t xml:space="preserve"> shortlisted papers include recognised leading experts’ works in the fields of the CE and </w:t>
      </w:r>
      <w:r>
        <w:t>S</w:t>
      </w:r>
      <w:r w:rsidRPr="00E81FD2">
        <w:t xml:space="preserve">upply </w:t>
      </w:r>
      <w:r>
        <w:t>C</w:t>
      </w:r>
      <w:r w:rsidRPr="00E81FD2">
        <w:t xml:space="preserve">hain </w:t>
      </w:r>
      <w:r>
        <w:t>M</w:t>
      </w:r>
      <w:r w:rsidRPr="00E81FD2">
        <w:t xml:space="preserve">anagement (Table 4). These papers were then read in their </w:t>
      </w:r>
      <w:r>
        <w:t>entirety</w:t>
      </w:r>
      <w:r w:rsidRPr="00E81FD2">
        <w:t xml:space="preserve"> and used as the starting point of a snowballing process </w:t>
      </w:r>
      <w:r w:rsidRPr="00E81FD2">
        <w:fldChar w:fldCharType="begin" w:fldLock="1"/>
      </w:r>
      <w:r w:rsidRPr="00E81FD2">
        <w:instrText>ADDIN CSL_CITATION {"citationItems":[{"id":"ITEM-1","itemData":{"DOI":"10.1080/17521882.2011.596485","ISSN":"17521882","abstract":"Exploring and evaluating findings from previous research is an essential aspect of all research projects enabling the work to be set in the context of what is known and what is not known. This necessitates a critical review of the literature in which existing research is discussed and evaluated, thereby contextualising and justifying the project. In this research note we consider what is understood by being critical when reviewing prior to outlining the key attributes of a critical literature review. We conclude with a summary checklist to help ensure a literature review is critical. © Taylor &amp; Francis.","author":[{"dropping-particle":"","family":"Saunders","given":"Mark N.K.","non-dropping-particle":"","parse-names":false,"suffix":""},{"dropping-particle":"","family":"Rojon","given":"Céline","non-dropping-particle":"","parse-names":false,"suffix":""}],"container-title":"Coaching","id":"ITEM-1","issue":"2","issued":{"date-parts":[["2011"]]},"page":"156-162","title":"On the attributes of a critical literature review","type":"article-journal","volume":"4"},"uris":["http://www.mendeley.com/documents/?uuid=22799655-6db0-499e-bb11-6852c731ebc2"]}],"mendeley":{"formattedCitation":"(Saunders &amp; Rojon, 2011)","plainTextFormattedCitation":"(Saunders &amp; Rojon, 2011)","previouslyFormattedCitation":"(Saunders &amp; Rojon, 2011)"},"properties":{"noteIndex":0},"schema":"https://github.com/citation-style-language/schema/raw/master/csl-citation.json"}</w:instrText>
      </w:r>
      <w:r w:rsidRPr="00E81FD2">
        <w:fldChar w:fldCharType="separate"/>
      </w:r>
      <w:r w:rsidRPr="00E81FD2">
        <w:rPr>
          <w:noProof/>
        </w:rPr>
        <w:t>(Saunders &amp; Rojon, 2011)</w:t>
      </w:r>
      <w:r w:rsidRPr="00E81FD2">
        <w:fldChar w:fldCharType="end"/>
      </w:r>
      <w:r w:rsidRPr="00E81FD2">
        <w:t>. During the snowballing process</w:t>
      </w:r>
      <w:r>
        <w:t>,</w:t>
      </w:r>
      <w:r w:rsidRPr="00E81FD2">
        <w:t xml:space="preserve"> further relevant works were identified by looking at the references of the first subset of papers. For each paper, both citing and cited articles were included. The iterative process continued until there were no new articles.</w:t>
      </w:r>
    </w:p>
    <w:p w14:paraId="65F8238C" w14:textId="77777777" w:rsidR="0062477F" w:rsidRDefault="0062477F" w:rsidP="0062477F">
      <w:r w:rsidRPr="00E81FD2">
        <w:t xml:space="preserve">A total of 21 papers were gathered through the iterative snowballing process (see Figure 7). The resulting 41 papers were considered a good sample and were read in their entirety. These papers are classified in Table 5 into the three classes which highlight their contribution to the following critical review. The first class of papers gathers the most relevant pieces of work on CE practices, drivers and barriers at the supply chain level. This group of papers is </w:t>
      </w:r>
      <w:r w:rsidRPr="00287FBD">
        <w:t>foundational</w:t>
      </w:r>
      <w:r w:rsidRPr="00287FBD" w:rsidDel="00287FBD">
        <w:t xml:space="preserve"> </w:t>
      </w:r>
      <w:r w:rsidRPr="00E81FD2">
        <w:t xml:space="preserve">to an introduction to the research problem and the theoretical background, to integrate what has already been presented in Chapter 2 with a literature review. The second </w:t>
      </w:r>
      <w:r w:rsidRPr="00E81FD2">
        <w:lastRenderedPageBreak/>
        <w:t>class collects the key contributions that have focus on the relationship between institutional pressures and the adoption of CE, ‘green’ and ‘sustainable’ practices. The third class centres on the effect of SCI on the adoption of CE, ‘green’ and ‘sustainable’ practices</w:t>
      </w:r>
      <w:r>
        <w:t>,</w:t>
      </w:r>
      <w:r w:rsidRPr="00E81FD2">
        <w:t xml:space="preserve"> and also on the effect between SCI on the relationship between institutional pressures and the adoption of CE, ‘green’ and ‘sustainable’ practices. </w:t>
      </w:r>
      <w:r>
        <w:t xml:space="preserve"> </w:t>
      </w:r>
    </w:p>
    <w:p w14:paraId="222E6655" w14:textId="583338B5" w:rsidR="004164FF" w:rsidRDefault="004164FF" w:rsidP="002F7336">
      <w:pPr>
        <w:pStyle w:val="Figurecaption"/>
      </w:pPr>
      <w:bookmarkStart w:id="96" w:name="_Toc48552066"/>
      <w:bookmarkStart w:id="97" w:name="_Toc48552221"/>
      <w:bookmarkStart w:id="98" w:name="_Toc48561478"/>
      <w:bookmarkStart w:id="99" w:name="_Toc49529059"/>
      <w:r>
        <w:t xml:space="preserve">Table </w:t>
      </w:r>
      <w:r w:rsidR="009A73E6">
        <w:t>4</w:t>
      </w:r>
      <w:r>
        <w:t xml:space="preserve"> – Examples of the shortlisted papers</w:t>
      </w:r>
      <w:bookmarkEnd w:id="96"/>
      <w:bookmarkEnd w:id="97"/>
      <w:bookmarkEnd w:id="98"/>
      <w:bookmarkEnd w:id="99"/>
    </w:p>
    <w:tbl>
      <w:tblPr>
        <w:tblStyle w:val="TableGrid"/>
        <w:tblpPr w:leftFromText="180" w:rightFromText="180" w:vertAnchor="text" w:horzAnchor="margin" w:tblpY="14"/>
        <w:tblW w:w="0" w:type="auto"/>
        <w:tblLook w:val="04A0" w:firstRow="1" w:lastRow="0" w:firstColumn="1" w:lastColumn="0" w:noHBand="0" w:noVBand="1"/>
      </w:tblPr>
      <w:tblGrid>
        <w:gridCol w:w="1750"/>
        <w:gridCol w:w="3915"/>
        <w:gridCol w:w="629"/>
        <w:gridCol w:w="2200"/>
      </w:tblGrid>
      <w:tr w:rsidR="004164FF" w:rsidRPr="00BD11BE" w14:paraId="6FC787E8" w14:textId="77777777" w:rsidTr="00BA2106">
        <w:tc>
          <w:tcPr>
            <w:tcW w:w="0" w:type="auto"/>
          </w:tcPr>
          <w:p w14:paraId="6918A012" w14:textId="77777777" w:rsidR="004164FF" w:rsidRPr="00BD11BE" w:rsidRDefault="004164FF" w:rsidP="00BD0461">
            <w:pPr>
              <w:pStyle w:val="Tabletext"/>
            </w:pPr>
            <w:r w:rsidRPr="00BD11BE">
              <w:t>Authors</w:t>
            </w:r>
          </w:p>
        </w:tc>
        <w:tc>
          <w:tcPr>
            <w:tcW w:w="0" w:type="auto"/>
          </w:tcPr>
          <w:p w14:paraId="70C1C088" w14:textId="77777777" w:rsidR="004164FF" w:rsidRPr="00BD11BE" w:rsidRDefault="004164FF" w:rsidP="00BD0461">
            <w:pPr>
              <w:pStyle w:val="Tabletext"/>
            </w:pPr>
            <w:r w:rsidRPr="00BD11BE">
              <w:t>Title</w:t>
            </w:r>
          </w:p>
        </w:tc>
        <w:tc>
          <w:tcPr>
            <w:tcW w:w="0" w:type="auto"/>
          </w:tcPr>
          <w:p w14:paraId="5404141F" w14:textId="77777777" w:rsidR="004164FF" w:rsidRPr="00BD11BE" w:rsidRDefault="004164FF" w:rsidP="00BD0461">
            <w:pPr>
              <w:pStyle w:val="Tabletext"/>
            </w:pPr>
            <w:r w:rsidRPr="00BD11BE">
              <w:t>Year</w:t>
            </w:r>
          </w:p>
        </w:tc>
        <w:tc>
          <w:tcPr>
            <w:tcW w:w="0" w:type="auto"/>
          </w:tcPr>
          <w:p w14:paraId="3B84C6B3" w14:textId="77777777" w:rsidR="004164FF" w:rsidRPr="00BD11BE" w:rsidRDefault="004164FF" w:rsidP="00BD0461">
            <w:pPr>
              <w:pStyle w:val="Tabletext"/>
            </w:pPr>
            <w:r w:rsidRPr="00BD11BE">
              <w:t>Source</w:t>
            </w:r>
          </w:p>
        </w:tc>
      </w:tr>
      <w:tr w:rsidR="004164FF" w:rsidRPr="00BD11BE" w14:paraId="06018D68" w14:textId="77777777" w:rsidTr="00BA2106">
        <w:tc>
          <w:tcPr>
            <w:tcW w:w="0" w:type="auto"/>
          </w:tcPr>
          <w:p w14:paraId="54B5C90A" w14:textId="77777777" w:rsidR="004164FF" w:rsidRPr="00BD11BE" w:rsidRDefault="004164FF" w:rsidP="00BD0461">
            <w:pPr>
              <w:pStyle w:val="Tabletext"/>
            </w:pPr>
            <w:proofErr w:type="spellStart"/>
            <w:r w:rsidRPr="00BD11BE">
              <w:t>Vachon</w:t>
            </w:r>
            <w:proofErr w:type="spellEnd"/>
            <w:r w:rsidRPr="00BD11BE">
              <w:t xml:space="preserve"> S., </w:t>
            </w:r>
            <w:proofErr w:type="spellStart"/>
            <w:r w:rsidRPr="00BD11BE">
              <w:t>Klassen</w:t>
            </w:r>
            <w:proofErr w:type="spellEnd"/>
            <w:r w:rsidRPr="00BD11BE">
              <w:t xml:space="preserve"> R.D.</w:t>
            </w:r>
          </w:p>
        </w:tc>
        <w:tc>
          <w:tcPr>
            <w:tcW w:w="0" w:type="auto"/>
          </w:tcPr>
          <w:p w14:paraId="5CEE64EA" w14:textId="77777777" w:rsidR="004164FF" w:rsidRPr="00BD11BE" w:rsidRDefault="004164FF" w:rsidP="00BD0461">
            <w:pPr>
              <w:pStyle w:val="Tabletext"/>
            </w:pPr>
            <w:r w:rsidRPr="00BD11BE">
              <w:t>Extending green practices across the supply chain: The impact of upstream and downstream integration</w:t>
            </w:r>
          </w:p>
        </w:tc>
        <w:tc>
          <w:tcPr>
            <w:tcW w:w="0" w:type="auto"/>
          </w:tcPr>
          <w:p w14:paraId="40A24E82" w14:textId="77777777" w:rsidR="004164FF" w:rsidRPr="00BD11BE" w:rsidRDefault="004164FF" w:rsidP="00BD0461">
            <w:pPr>
              <w:pStyle w:val="Tabletext"/>
            </w:pPr>
            <w:r w:rsidRPr="00BD11BE">
              <w:t>2006</w:t>
            </w:r>
          </w:p>
        </w:tc>
        <w:tc>
          <w:tcPr>
            <w:tcW w:w="0" w:type="auto"/>
          </w:tcPr>
          <w:p w14:paraId="2DAAA17A" w14:textId="77777777" w:rsidR="004164FF" w:rsidRPr="00BD11BE" w:rsidRDefault="004164FF" w:rsidP="00BD0461">
            <w:pPr>
              <w:pStyle w:val="Tabletext"/>
            </w:pPr>
            <w:r w:rsidRPr="00BD11BE">
              <w:t>International Journal of Operations and Production Management</w:t>
            </w:r>
          </w:p>
        </w:tc>
      </w:tr>
      <w:tr w:rsidR="004164FF" w:rsidRPr="00BD11BE" w14:paraId="2DF07923" w14:textId="77777777" w:rsidTr="00BA2106">
        <w:tc>
          <w:tcPr>
            <w:tcW w:w="0" w:type="auto"/>
          </w:tcPr>
          <w:p w14:paraId="049A7838" w14:textId="77777777" w:rsidR="004164FF" w:rsidRPr="00BD11BE" w:rsidRDefault="004164FF" w:rsidP="00BD0461">
            <w:pPr>
              <w:pStyle w:val="Tabletext"/>
              <w:rPr>
                <w:lang w:val="nl-NL"/>
              </w:rPr>
            </w:pPr>
            <w:r w:rsidRPr="00BD11BE">
              <w:rPr>
                <w:lang w:val="nl-NL"/>
              </w:rPr>
              <w:t>Escobar L.F., Vredenburg H.</w:t>
            </w:r>
          </w:p>
        </w:tc>
        <w:tc>
          <w:tcPr>
            <w:tcW w:w="0" w:type="auto"/>
          </w:tcPr>
          <w:p w14:paraId="3502C0FB" w14:textId="77777777" w:rsidR="004164FF" w:rsidRPr="00BD11BE" w:rsidRDefault="004164FF" w:rsidP="00BD0461">
            <w:pPr>
              <w:pStyle w:val="Tabletext"/>
            </w:pPr>
            <w:r w:rsidRPr="00BD11BE">
              <w:t>Multinational Oil Companies and the Adoption of Sustainable Development: A Resource-Based and Institutional Theory Interpretation of Adoption Heterogeneity</w:t>
            </w:r>
          </w:p>
        </w:tc>
        <w:tc>
          <w:tcPr>
            <w:tcW w:w="0" w:type="auto"/>
          </w:tcPr>
          <w:p w14:paraId="45B21F58" w14:textId="77777777" w:rsidR="004164FF" w:rsidRPr="00BD11BE" w:rsidRDefault="004164FF" w:rsidP="00BD0461">
            <w:pPr>
              <w:pStyle w:val="Tabletext"/>
            </w:pPr>
            <w:r w:rsidRPr="00BD11BE">
              <w:t>2011</w:t>
            </w:r>
          </w:p>
        </w:tc>
        <w:tc>
          <w:tcPr>
            <w:tcW w:w="0" w:type="auto"/>
          </w:tcPr>
          <w:p w14:paraId="5D695BB8" w14:textId="77777777" w:rsidR="004164FF" w:rsidRPr="00BD11BE" w:rsidRDefault="004164FF" w:rsidP="00BD0461">
            <w:pPr>
              <w:pStyle w:val="Tabletext"/>
            </w:pPr>
            <w:r w:rsidRPr="00BD11BE">
              <w:t>Journal of Business Ethics</w:t>
            </w:r>
          </w:p>
        </w:tc>
      </w:tr>
      <w:tr w:rsidR="004164FF" w:rsidRPr="00BD11BE" w14:paraId="50768F79" w14:textId="77777777" w:rsidTr="00BA2106">
        <w:tc>
          <w:tcPr>
            <w:tcW w:w="0" w:type="auto"/>
          </w:tcPr>
          <w:p w14:paraId="7D63FEA4" w14:textId="77777777" w:rsidR="004164FF" w:rsidRPr="00BD11BE" w:rsidRDefault="004164FF" w:rsidP="00BD0461">
            <w:pPr>
              <w:pStyle w:val="Tabletext"/>
              <w:rPr>
                <w:lang w:val="fr-FR"/>
              </w:rPr>
            </w:pPr>
            <w:r w:rsidRPr="00BD11BE">
              <w:rPr>
                <w:lang w:val="fr-FR"/>
              </w:rPr>
              <w:t xml:space="preserve">Zhu Q., </w:t>
            </w:r>
            <w:proofErr w:type="spellStart"/>
            <w:r w:rsidRPr="00BD11BE">
              <w:rPr>
                <w:lang w:val="fr-FR"/>
              </w:rPr>
              <w:t>Sarkis</w:t>
            </w:r>
            <w:proofErr w:type="spellEnd"/>
            <w:r w:rsidRPr="00BD11BE">
              <w:rPr>
                <w:lang w:val="fr-FR"/>
              </w:rPr>
              <w:t xml:space="preserve"> J., Lai K.-H.</w:t>
            </w:r>
          </w:p>
        </w:tc>
        <w:tc>
          <w:tcPr>
            <w:tcW w:w="0" w:type="auto"/>
          </w:tcPr>
          <w:p w14:paraId="002CCBFF" w14:textId="77777777" w:rsidR="004164FF" w:rsidRPr="00BD11BE" w:rsidRDefault="004164FF" w:rsidP="00BD0461">
            <w:pPr>
              <w:pStyle w:val="Tabletext"/>
            </w:pPr>
            <w:r w:rsidRPr="00BD11BE">
              <w:t>Institutional-based antecedents and performance outcomes of internal and external green supply chain management practices</w:t>
            </w:r>
          </w:p>
        </w:tc>
        <w:tc>
          <w:tcPr>
            <w:tcW w:w="0" w:type="auto"/>
          </w:tcPr>
          <w:p w14:paraId="519AB733" w14:textId="77777777" w:rsidR="004164FF" w:rsidRPr="00BD11BE" w:rsidRDefault="004164FF" w:rsidP="00BD0461">
            <w:pPr>
              <w:pStyle w:val="Tabletext"/>
            </w:pPr>
            <w:r w:rsidRPr="00BD11BE">
              <w:t>2013</w:t>
            </w:r>
          </w:p>
        </w:tc>
        <w:tc>
          <w:tcPr>
            <w:tcW w:w="0" w:type="auto"/>
          </w:tcPr>
          <w:p w14:paraId="3772F6E5" w14:textId="77777777" w:rsidR="004164FF" w:rsidRPr="00BD11BE" w:rsidRDefault="004164FF" w:rsidP="00BD0461">
            <w:pPr>
              <w:pStyle w:val="Tabletext"/>
            </w:pPr>
            <w:r w:rsidRPr="00BD11BE">
              <w:t>Journal of Purchasing and Supply Management</w:t>
            </w:r>
          </w:p>
        </w:tc>
      </w:tr>
      <w:tr w:rsidR="004164FF" w:rsidRPr="00BD11BE" w14:paraId="53CE7533" w14:textId="77777777" w:rsidTr="00BA2106">
        <w:tc>
          <w:tcPr>
            <w:tcW w:w="0" w:type="auto"/>
          </w:tcPr>
          <w:p w14:paraId="6F6AFE74" w14:textId="77777777" w:rsidR="004164FF" w:rsidRPr="00BD11BE" w:rsidRDefault="004164FF" w:rsidP="00BD0461">
            <w:pPr>
              <w:pStyle w:val="Tabletext"/>
            </w:pPr>
            <w:r w:rsidRPr="00BD11BE">
              <w:t xml:space="preserve">Tate W.L., Ellram L.M., </w:t>
            </w:r>
            <w:proofErr w:type="spellStart"/>
            <w:r w:rsidRPr="00BD11BE">
              <w:t>Kirchoff</w:t>
            </w:r>
            <w:proofErr w:type="spellEnd"/>
            <w:r w:rsidRPr="00BD11BE">
              <w:t xml:space="preserve"> J.F.</w:t>
            </w:r>
          </w:p>
        </w:tc>
        <w:tc>
          <w:tcPr>
            <w:tcW w:w="0" w:type="auto"/>
          </w:tcPr>
          <w:p w14:paraId="76B09EC0" w14:textId="77777777" w:rsidR="004164FF" w:rsidRPr="00BD11BE" w:rsidRDefault="004164FF" w:rsidP="00BD0461">
            <w:pPr>
              <w:pStyle w:val="Tabletext"/>
            </w:pPr>
            <w:r w:rsidRPr="00BD11BE">
              <w:t>Corporate social responsibility reports: A thematic analysis related to supply chain management</w:t>
            </w:r>
          </w:p>
        </w:tc>
        <w:tc>
          <w:tcPr>
            <w:tcW w:w="0" w:type="auto"/>
          </w:tcPr>
          <w:p w14:paraId="70C71A44" w14:textId="77777777" w:rsidR="004164FF" w:rsidRPr="00BD11BE" w:rsidRDefault="004164FF" w:rsidP="00BD0461">
            <w:pPr>
              <w:pStyle w:val="Tabletext"/>
            </w:pPr>
            <w:r w:rsidRPr="00BD11BE">
              <w:t>2010</w:t>
            </w:r>
          </w:p>
        </w:tc>
        <w:tc>
          <w:tcPr>
            <w:tcW w:w="0" w:type="auto"/>
          </w:tcPr>
          <w:p w14:paraId="21479FE9" w14:textId="77777777" w:rsidR="004164FF" w:rsidRPr="00BD11BE" w:rsidRDefault="004164FF" w:rsidP="00BD0461">
            <w:pPr>
              <w:pStyle w:val="Tabletext"/>
            </w:pPr>
            <w:r w:rsidRPr="00BD11BE">
              <w:t>Journal of Supply Chain Management</w:t>
            </w:r>
          </w:p>
        </w:tc>
      </w:tr>
      <w:tr w:rsidR="004164FF" w:rsidRPr="00BD11BE" w14:paraId="2FDEADA2" w14:textId="77777777" w:rsidTr="00BA2106">
        <w:tc>
          <w:tcPr>
            <w:tcW w:w="0" w:type="auto"/>
          </w:tcPr>
          <w:p w14:paraId="32731146" w14:textId="77777777" w:rsidR="004164FF" w:rsidRPr="00BD11BE" w:rsidRDefault="004164FF" w:rsidP="00BD0461">
            <w:pPr>
              <w:pStyle w:val="Tabletext"/>
            </w:pPr>
            <w:proofErr w:type="spellStart"/>
            <w:r w:rsidRPr="00BD11BE">
              <w:t>Hoejmose</w:t>
            </w:r>
            <w:proofErr w:type="spellEnd"/>
            <w:r w:rsidRPr="00BD11BE">
              <w:t xml:space="preserve"> S.U., </w:t>
            </w:r>
            <w:proofErr w:type="spellStart"/>
            <w:r w:rsidRPr="00BD11BE">
              <w:t>Grosvold</w:t>
            </w:r>
            <w:proofErr w:type="spellEnd"/>
            <w:r w:rsidRPr="00BD11BE">
              <w:t xml:space="preserve"> J., Millington A.</w:t>
            </w:r>
          </w:p>
        </w:tc>
        <w:tc>
          <w:tcPr>
            <w:tcW w:w="0" w:type="auto"/>
          </w:tcPr>
          <w:p w14:paraId="036A8BEA" w14:textId="77777777" w:rsidR="004164FF" w:rsidRPr="00BD11BE" w:rsidRDefault="004164FF" w:rsidP="00BD0461">
            <w:pPr>
              <w:pStyle w:val="Tabletext"/>
            </w:pPr>
            <w:r w:rsidRPr="00BD11BE">
              <w:t>The effect of institutional pressure on cooperative and coercive 'green' supply chain practices</w:t>
            </w:r>
          </w:p>
        </w:tc>
        <w:tc>
          <w:tcPr>
            <w:tcW w:w="0" w:type="auto"/>
          </w:tcPr>
          <w:p w14:paraId="29864F8C" w14:textId="77777777" w:rsidR="004164FF" w:rsidRPr="00BD11BE" w:rsidRDefault="004164FF" w:rsidP="00BD0461">
            <w:pPr>
              <w:pStyle w:val="Tabletext"/>
            </w:pPr>
            <w:r w:rsidRPr="00BD11BE">
              <w:t>2014</w:t>
            </w:r>
          </w:p>
        </w:tc>
        <w:tc>
          <w:tcPr>
            <w:tcW w:w="0" w:type="auto"/>
          </w:tcPr>
          <w:p w14:paraId="20A688E6" w14:textId="77777777" w:rsidR="004164FF" w:rsidRPr="00BD11BE" w:rsidRDefault="004164FF" w:rsidP="00BD0461">
            <w:pPr>
              <w:pStyle w:val="Tabletext"/>
            </w:pPr>
            <w:r w:rsidRPr="00BD11BE">
              <w:t>Journal of Purchasing and Supply Management</w:t>
            </w:r>
          </w:p>
        </w:tc>
      </w:tr>
      <w:tr w:rsidR="004164FF" w:rsidRPr="00BD11BE" w14:paraId="7FA2BB32" w14:textId="77777777" w:rsidTr="00BA2106">
        <w:tc>
          <w:tcPr>
            <w:tcW w:w="0" w:type="auto"/>
          </w:tcPr>
          <w:p w14:paraId="0CB7DDAC" w14:textId="77777777" w:rsidR="004164FF" w:rsidRPr="00BD11BE" w:rsidRDefault="004164FF" w:rsidP="00BD0461">
            <w:pPr>
              <w:pStyle w:val="Tabletext"/>
              <w:rPr>
                <w:lang w:val="de-DE"/>
              </w:rPr>
            </w:pPr>
            <w:r w:rsidRPr="00BD11BE">
              <w:rPr>
                <w:lang w:val="de-DE"/>
              </w:rPr>
              <w:t>Herczeg G., Akkerman R., Hauschild M.Z.</w:t>
            </w:r>
          </w:p>
        </w:tc>
        <w:tc>
          <w:tcPr>
            <w:tcW w:w="0" w:type="auto"/>
          </w:tcPr>
          <w:p w14:paraId="04BFBD58" w14:textId="77777777" w:rsidR="004164FF" w:rsidRPr="00BD11BE" w:rsidRDefault="004164FF" w:rsidP="00BD0461">
            <w:pPr>
              <w:pStyle w:val="Tabletext"/>
            </w:pPr>
            <w:r w:rsidRPr="00BD11BE">
              <w:t>Supply chain collaboration in industrial symbiosis networks</w:t>
            </w:r>
          </w:p>
        </w:tc>
        <w:tc>
          <w:tcPr>
            <w:tcW w:w="0" w:type="auto"/>
          </w:tcPr>
          <w:p w14:paraId="4ACF92BD" w14:textId="77777777" w:rsidR="004164FF" w:rsidRPr="00BD11BE" w:rsidRDefault="004164FF" w:rsidP="00BD0461">
            <w:pPr>
              <w:pStyle w:val="Tabletext"/>
            </w:pPr>
            <w:r w:rsidRPr="00BD11BE">
              <w:t>2018</w:t>
            </w:r>
          </w:p>
        </w:tc>
        <w:tc>
          <w:tcPr>
            <w:tcW w:w="0" w:type="auto"/>
          </w:tcPr>
          <w:p w14:paraId="183D383A" w14:textId="77777777" w:rsidR="004164FF" w:rsidRPr="00BD11BE" w:rsidRDefault="004164FF" w:rsidP="00BD0461">
            <w:pPr>
              <w:pStyle w:val="Tabletext"/>
            </w:pPr>
            <w:r w:rsidRPr="00BD11BE">
              <w:t>Journal of Cleaner Production</w:t>
            </w:r>
          </w:p>
        </w:tc>
      </w:tr>
      <w:tr w:rsidR="004164FF" w:rsidRPr="00BD11BE" w14:paraId="25729E4D" w14:textId="77777777" w:rsidTr="00BA2106">
        <w:tc>
          <w:tcPr>
            <w:tcW w:w="0" w:type="auto"/>
          </w:tcPr>
          <w:p w14:paraId="20F45ADC" w14:textId="77777777" w:rsidR="004164FF" w:rsidRPr="00BD11BE" w:rsidRDefault="004164FF" w:rsidP="00BD0461">
            <w:pPr>
              <w:pStyle w:val="Tabletext"/>
            </w:pPr>
            <w:r w:rsidRPr="00BD11BE">
              <w:t>Zeng H., Chen X., Xiao X., Zhou Z.</w:t>
            </w:r>
          </w:p>
        </w:tc>
        <w:tc>
          <w:tcPr>
            <w:tcW w:w="0" w:type="auto"/>
          </w:tcPr>
          <w:p w14:paraId="594E80C3" w14:textId="77777777" w:rsidR="004164FF" w:rsidRPr="00BD11BE" w:rsidRDefault="004164FF" w:rsidP="00BD0461">
            <w:pPr>
              <w:pStyle w:val="Tabletext"/>
            </w:pPr>
            <w:r w:rsidRPr="00BD11BE">
              <w:t>Institutional pressures, sustainable supply chain management, and circular economy capability: Empirical evidence from Chinese eco-industrial park firms</w:t>
            </w:r>
          </w:p>
        </w:tc>
        <w:tc>
          <w:tcPr>
            <w:tcW w:w="0" w:type="auto"/>
          </w:tcPr>
          <w:p w14:paraId="33AEA6B0" w14:textId="77777777" w:rsidR="004164FF" w:rsidRPr="00BD11BE" w:rsidRDefault="004164FF" w:rsidP="00BD0461">
            <w:pPr>
              <w:pStyle w:val="Tabletext"/>
            </w:pPr>
            <w:r w:rsidRPr="00BD11BE">
              <w:t>2017</w:t>
            </w:r>
          </w:p>
        </w:tc>
        <w:tc>
          <w:tcPr>
            <w:tcW w:w="0" w:type="auto"/>
          </w:tcPr>
          <w:p w14:paraId="4E3D6C5A" w14:textId="77777777" w:rsidR="004164FF" w:rsidRPr="00BD11BE" w:rsidRDefault="004164FF" w:rsidP="00BD0461">
            <w:pPr>
              <w:pStyle w:val="Tabletext"/>
            </w:pPr>
            <w:r w:rsidRPr="00BD11BE">
              <w:t>Journal of Cleaner Production</w:t>
            </w:r>
          </w:p>
        </w:tc>
      </w:tr>
      <w:tr w:rsidR="004164FF" w:rsidRPr="00BD11BE" w14:paraId="74E22204" w14:textId="77777777" w:rsidTr="00BA2106">
        <w:tc>
          <w:tcPr>
            <w:tcW w:w="0" w:type="auto"/>
          </w:tcPr>
          <w:p w14:paraId="392FAF23" w14:textId="77777777" w:rsidR="004164FF" w:rsidRPr="00BD11BE" w:rsidRDefault="004164FF" w:rsidP="00BD0461">
            <w:pPr>
              <w:pStyle w:val="Tabletext"/>
            </w:pPr>
            <w:r w:rsidRPr="00BD11BE">
              <w:t xml:space="preserve">Govindan K., </w:t>
            </w:r>
            <w:proofErr w:type="spellStart"/>
            <w:r w:rsidRPr="00BD11BE">
              <w:t>Hasanagic</w:t>
            </w:r>
            <w:proofErr w:type="spellEnd"/>
            <w:r w:rsidRPr="00BD11BE">
              <w:t xml:space="preserve"> M.</w:t>
            </w:r>
          </w:p>
        </w:tc>
        <w:tc>
          <w:tcPr>
            <w:tcW w:w="0" w:type="auto"/>
          </w:tcPr>
          <w:p w14:paraId="755EB045" w14:textId="77777777" w:rsidR="004164FF" w:rsidRPr="00BD11BE" w:rsidRDefault="004164FF" w:rsidP="00BD0461">
            <w:pPr>
              <w:pStyle w:val="Tabletext"/>
            </w:pPr>
            <w:r w:rsidRPr="00BD11BE">
              <w:t>A systematic review on drivers, barriers, and practices towards circular economy: a supply chain perspective</w:t>
            </w:r>
          </w:p>
        </w:tc>
        <w:tc>
          <w:tcPr>
            <w:tcW w:w="0" w:type="auto"/>
          </w:tcPr>
          <w:p w14:paraId="4C9D501C" w14:textId="77777777" w:rsidR="004164FF" w:rsidRPr="00BD11BE" w:rsidRDefault="004164FF" w:rsidP="00BD0461">
            <w:pPr>
              <w:pStyle w:val="Tabletext"/>
            </w:pPr>
            <w:r w:rsidRPr="00BD11BE">
              <w:t>2018</w:t>
            </w:r>
          </w:p>
        </w:tc>
        <w:tc>
          <w:tcPr>
            <w:tcW w:w="0" w:type="auto"/>
          </w:tcPr>
          <w:p w14:paraId="4A17248D" w14:textId="77777777" w:rsidR="004164FF" w:rsidRPr="00BD11BE" w:rsidRDefault="004164FF" w:rsidP="00BD0461">
            <w:pPr>
              <w:pStyle w:val="Tabletext"/>
            </w:pPr>
            <w:r w:rsidRPr="00BD11BE">
              <w:t>International Journal of Production Research</w:t>
            </w:r>
          </w:p>
        </w:tc>
      </w:tr>
      <w:tr w:rsidR="004164FF" w:rsidRPr="00BD11BE" w14:paraId="72F01659" w14:textId="77777777" w:rsidTr="00BA2106">
        <w:tc>
          <w:tcPr>
            <w:tcW w:w="0" w:type="auto"/>
          </w:tcPr>
          <w:p w14:paraId="223FE9C4" w14:textId="77777777" w:rsidR="004164FF" w:rsidRPr="00BD11BE" w:rsidRDefault="004164FF" w:rsidP="00BD0461">
            <w:pPr>
              <w:pStyle w:val="Tabletext"/>
            </w:pPr>
            <w:r w:rsidRPr="00BD11BE">
              <w:t xml:space="preserve">Masi D., Day S., </w:t>
            </w:r>
            <w:proofErr w:type="spellStart"/>
            <w:r w:rsidRPr="00BD11BE">
              <w:t>Godsell</w:t>
            </w:r>
            <w:proofErr w:type="spellEnd"/>
            <w:r w:rsidRPr="00BD11BE">
              <w:t xml:space="preserve"> J.</w:t>
            </w:r>
          </w:p>
        </w:tc>
        <w:tc>
          <w:tcPr>
            <w:tcW w:w="0" w:type="auto"/>
          </w:tcPr>
          <w:p w14:paraId="08F7D6DA" w14:textId="77777777" w:rsidR="004164FF" w:rsidRPr="00BD11BE" w:rsidRDefault="004164FF" w:rsidP="00BD0461">
            <w:pPr>
              <w:pStyle w:val="Tabletext"/>
            </w:pPr>
            <w:r w:rsidRPr="00BD11BE">
              <w:t>Supply chain configurations in the circular economy: A systematic literature review</w:t>
            </w:r>
          </w:p>
        </w:tc>
        <w:tc>
          <w:tcPr>
            <w:tcW w:w="0" w:type="auto"/>
          </w:tcPr>
          <w:p w14:paraId="26FA2A16" w14:textId="77777777" w:rsidR="004164FF" w:rsidRPr="00BD11BE" w:rsidRDefault="004164FF" w:rsidP="00BD0461">
            <w:pPr>
              <w:pStyle w:val="Tabletext"/>
            </w:pPr>
            <w:r w:rsidRPr="00BD11BE">
              <w:t>2017</w:t>
            </w:r>
          </w:p>
        </w:tc>
        <w:tc>
          <w:tcPr>
            <w:tcW w:w="0" w:type="auto"/>
          </w:tcPr>
          <w:p w14:paraId="662D4D01" w14:textId="77777777" w:rsidR="004164FF" w:rsidRPr="00BD11BE" w:rsidRDefault="004164FF" w:rsidP="00BD0461">
            <w:pPr>
              <w:pStyle w:val="Tabletext"/>
            </w:pPr>
            <w:r w:rsidRPr="00BD11BE">
              <w:t>Sustainability (Switzerland)</w:t>
            </w:r>
          </w:p>
        </w:tc>
      </w:tr>
    </w:tbl>
    <w:p w14:paraId="7F963F40" w14:textId="77777777" w:rsidR="004164FF" w:rsidRDefault="004164FF" w:rsidP="002F7336"/>
    <w:p w14:paraId="0685E325" w14:textId="77777777" w:rsidR="00065347" w:rsidRDefault="00065347" w:rsidP="002F7336">
      <w:pPr>
        <w:pStyle w:val="Heading4Paragraph"/>
      </w:pPr>
      <w:bookmarkStart w:id="100" w:name="_Toc49839827"/>
      <w:r w:rsidRPr="00E404E9">
        <w:t>Analysis and synthesis</w:t>
      </w:r>
      <w:bookmarkEnd w:id="100"/>
    </w:p>
    <w:p w14:paraId="2B0AE69C" w14:textId="089CEEC1" w:rsidR="00065347" w:rsidRPr="00A708F7" w:rsidRDefault="009E313C" w:rsidP="002F7336">
      <w:pPr>
        <w:rPr>
          <w:b/>
          <w:bCs/>
        </w:rPr>
      </w:pPr>
      <w:r w:rsidRPr="00E81FD2">
        <w:t xml:space="preserve">The content of all the papers was analysed. The main objective was to analyse the nature of the relationship among the identified concepts, and the creation of a conceptual model, which could be supported by the existing literature. The results of the content analysis are examined in the </w:t>
      </w:r>
      <w:r>
        <w:t xml:space="preserve">Section </w:t>
      </w:r>
      <w:r w:rsidRPr="00E81FD2">
        <w:t xml:space="preserve">2.4. </w:t>
      </w:r>
      <w:r w:rsidR="00065347">
        <w:t xml:space="preserve"> </w:t>
      </w:r>
    </w:p>
    <w:p w14:paraId="24B33A74" w14:textId="6BDA7442" w:rsidR="004164FF" w:rsidRDefault="004164FF" w:rsidP="002F7336">
      <w:r>
        <w:rPr>
          <w:noProof/>
          <w:lang w:eastAsia="zh-CN"/>
        </w:rPr>
        <w:lastRenderedPageBreak/>
        <w:drawing>
          <wp:inline distT="0" distB="0" distL="0" distR="0" wp14:anchorId="4324C8C6" wp14:editId="753724B3">
            <wp:extent cx="5973536" cy="1774832"/>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5405" cy="1781330"/>
                    </a:xfrm>
                    <a:prstGeom prst="rect">
                      <a:avLst/>
                    </a:prstGeom>
                    <a:noFill/>
                  </pic:spPr>
                </pic:pic>
              </a:graphicData>
            </a:graphic>
          </wp:inline>
        </w:drawing>
      </w:r>
    </w:p>
    <w:p w14:paraId="5A29413F" w14:textId="77777777" w:rsidR="009E313C" w:rsidRDefault="009E313C" w:rsidP="002F7336">
      <w:pPr>
        <w:pStyle w:val="Figurecaption"/>
      </w:pPr>
      <w:bookmarkStart w:id="101" w:name="_Toc48552039"/>
      <w:bookmarkStart w:id="102" w:name="_Toc48561458"/>
      <w:bookmarkStart w:id="103" w:name="_Toc49789735"/>
      <w:r>
        <w:t>Figure 7 – Flowchart of the critical literature review process</w:t>
      </w:r>
      <w:bookmarkEnd w:id="101"/>
      <w:bookmarkEnd w:id="102"/>
      <w:bookmarkEnd w:id="103"/>
    </w:p>
    <w:p w14:paraId="0AD63ED9" w14:textId="53BE2956" w:rsidR="004164FF" w:rsidRDefault="004164FF" w:rsidP="002F7336">
      <w:pPr>
        <w:pStyle w:val="Figurecaption"/>
      </w:pPr>
      <w:bookmarkStart w:id="104" w:name="_Toc45932366"/>
      <w:bookmarkStart w:id="105" w:name="_Toc48552067"/>
      <w:bookmarkStart w:id="106" w:name="_Toc48552222"/>
      <w:bookmarkStart w:id="107" w:name="_Toc48561479"/>
      <w:bookmarkStart w:id="108" w:name="_Toc49529060"/>
      <w:r>
        <w:t xml:space="preserve">Table </w:t>
      </w:r>
      <w:r w:rsidR="009A73E6">
        <w:t>5</w:t>
      </w:r>
      <w:r>
        <w:t xml:space="preserve"> </w:t>
      </w:r>
      <w:r w:rsidRPr="008F3B29">
        <w:t>– The papers included in the critical review of the literature</w:t>
      </w:r>
      <w:bookmarkEnd w:id="104"/>
      <w:bookmarkEnd w:id="105"/>
      <w:bookmarkEnd w:id="106"/>
      <w:bookmarkEnd w:id="107"/>
      <w:bookmarkEnd w:id="108"/>
    </w:p>
    <w:tbl>
      <w:tblPr>
        <w:tblStyle w:val="TableGrid"/>
        <w:tblW w:w="0" w:type="auto"/>
        <w:tblLook w:val="04A0" w:firstRow="1" w:lastRow="0" w:firstColumn="1" w:lastColumn="0" w:noHBand="0" w:noVBand="1"/>
      </w:tblPr>
      <w:tblGrid>
        <w:gridCol w:w="2030"/>
        <w:gridCol w:w="6464"/>
      </w:tblGrid>
      <w:tr w:rsidR="004164FF" w:rsidRPr="00BD11BE" w14:paraId="68F2908B" w14:textId="77777777" w:rsidTr="00BA2106">
        <w:tc>
          <w:tcPr>
            <w:tcW w:w="0" w:type="auto"/>
          </w:tcPr>
          <w:p w14:paraId="5835C1FA" w14:textId="77777777" w:rsidR="004164FF" w:rsidRPr="00BD11BE" w:rsidRDefault="004164FF" w:rsidP="00BD0461">
            <w:pPr>
              <w:pStyle w:val="Tabletext"/>
            </w:pPr>
            <w:r w:rsidRPr="00BD11BE">
              <w:t>CE practices, drivers and barriers</w:t>
            </w:r>
          </w:p>
        </w:tc>
        <w:tc>
          <w:tcPr>
            <w:tcW w:w="0" w:type="auto"/>
          </w:tcPr>
          <w:p w14:paraId="215F8809" w14:textId="77777777" w:rsidR="004164FF" w:rsidRPr="00BD11BE" w:rsidRDefault="004164FF" w:rsidP="00BD0461">
            <w:pPr>
              <w:pStyle w:val="Tabletext"/>
            </w:pPr>
            <w:r w:rsidRPr="00BD11BE">
              <w:fldChar w:fldCharType="begin" w:fldLock="1"/>
            </w:r>
            <w:r w:rsidRPr="00BD11BE">
              <w:instrText>ADDIN CSL_CITATION {"citationItems":[{"id":"ITEM-1","itemData":{"DOI":"10.1080/00207543.2017.1402141","ISSN":"1366588X","abstract":"In the last few years, the circular economy has received considerable attention worldwide because it offers an opportunity to optimise and promote sustainable production and consumption through new models based on continuous growth and limitless resources. Although various advantages have been identified that emerge from the application of a circular economy, no concrete studies exist that investigate current state-of-the-art drivers, barriers and practices in this relevant field. An in-depth exploration of current practices would enhance the circular economy’s significance and would help understand its present level of implementation. With this concern, this study provides an analysis of the drivers, barriers and practices that influence the implementation of the circular economy in the context of supply chains through a systematic review. In order to analyse the circular economy’s level of implementation, we correlate stakeholders’ perspectives with drivers, barriers, and practices; thus, a multi-perspective framework is proposed. From the results, it is evident that among various stakeholders, the governmental perspective has the maximum positive impact on the implementation of the circular economy in supply chains. Specifically, the circular economy can be promoted through laws, policies, risk reduction (through tax levies) and strict governance.","author":[{"dropping-particle":"","family":"Govindan","given":"Kannan","non-dropping-particle":"","parse-names":false,"suffix":""},{"dropping-particle":"","family":"Hasanagic","given":"Mia","non-dropping-particle":"","parse-names":false,"suffix":""}],"container-title":"International Journal of Production Research","id":"ITEM-1","issue":"1-2","issued":{"date-parts":[["2018"]]},"page":"278-311","publisher":"Taylor &amp; Francis","title":"A systematic review on drivers, barriers, and practices towards circular economy: a supply chain perspective","type":"article-journal","volume":"56"},"uris":["http://www.mendeley.com/documents/?uuid=ed71e2c9-a156-48c2-a01b-2889609ef16f"]},{"id":"ITEM-2","itemData":{"DOI":"10.1016/j.omega.2015.05.015","ISSN":"03050483","abstract":"In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Kingdom)","id":"ITEM-2","issued":{"date-parts":[["2017"]]},"page":"344-357","publisher":"Elsevier","title":"Sustainable supply chain management and the transition towards a circular economy: Evidence and some applications","type":"article-journal","volume":"66"},"uris":["http://www.mendeley.com/documents/?uuid=5dd8e2c4-fae0-4040-ae7c-ed96e73d9ca4"]},{"id":"ITEM-3","itemData":{"DOI":"10.1080/00207543.2018.1542176","ISSN":"1366588X","abstract":"Despite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Research","id":"ITEM-3","issue":"23","issued":{"date-parts":[["2019"]]},"page":"7395-7422","publisher":"Taylor &amp; Francis","title":"Challenges in supply chain redesign for the Circular Economy: a literature review and a multiple case study","type":"article-journal","volume":"57"},"uris":["http://www.mendeley.com/documents/?uuid=66ed4a77-74f5-4258-a3a6-d2c5ce0085d1"]},{"id":"ITEM-4","itemData":{"DOI":"10.1016/j.jclepro.2019.05.044","ISSN":"09596526","abstract":"Much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adopt more circular business models. On the other hand, no significant evidence was found of any influence exerted by the drivers related to regulatory pressure, resource exploitation risks, and the pursuit of environmental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Production","id":"ITEM-4","issued":{"date-parts":[["2019"]]},"page":"314-327","publisher":"Elsevier Ltd","title":"Drivers and approaches to the circular economy in manufacturing firms","type":"article-journal","volume":"230"},"uris":["http://www.mendeley.com/documents/?uuid=dba2b38b-10ca-4ca4-9ac5-fec8ed7d491b"]},{"id":"ITEM-5","itemData":{"DOI":"10.1016/j.resconrec.2017.08.017","ISSN":"18790658","abstract":"The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Recycling","id":"ITEM-5","issue":"August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Europe","type":"article-journal","volume":"135"},"uris":["http://www.mendeley.com/documents/?uuid=9e3263bd-e8a0-4a47-9772-35fddaf67ff7"]},{"id":"ITEM-6","itemData":{"DOI":"10.1080/09537287.2018.1449246","ISSN":"13665871","abstract":"The circular economy (CE) proposes an economic framework based on circular flows of products and materials. Transition towards a CE is underway, therefore, understanding the nature and state of this transition is important for creating effective policies and business strategies. Some studies have focused on specific contexts and pockets of good practice. This exploratory, survey-based study of 77 companies investigates the shift towards the CE using a taxonomy of practices and barriers. Results show that firms favour practices related to resource and energy utilisation efficiency, while practices related to investment recovery, green purchasing and customer cooperation are less prevalent. Eco-design and internal environmental management practices have a medium level of implementation. The significant upfront investment cost, lack of awareness or sense of urgency were identified as implementation barriers. Results suggest the CE is driven by economic not environmental considerations, and the deployment of practices remains within a firm rather than across the supply chain.","author":[{"dropping-particle":"","family":"Masi","given":"Donato","non-dropping-particle":"","parse-names":false,"suffix":""},{"dropping-particle":"","family":"Kumar","given":"Vikas","non-dropping-particle":"","parse-names":false,"suffix":""},{"dropping-particle":"","family":"Garza-Reyes","given":"Jose Arturo","non-dropping-particle":"","parse-names":false,"suffix":""},{"dropping-particle":"","family":"Godsell","given":"Janet","non-dropping-particle":"","parse-names":false,"suffix":""}],"container-title":"Production Planning and Control","id":"ITEM-6","issue":"6","issued":{"date-parts":[["2018"]]},"page":"539-550","publisher":"Taylor &amp; Francis","title":"Towards a more circular economy: exploring the awareness, practices, and barriers from a focal firm perspective","type":"article-journal","volume":"29"},"uris":["http://www.mendeley.com/documents/?uuid=029a547a-2bbc-46c5-90ce-760a1c73caf5"]},{"id":"ITEM-7","itemData":{"DOI":"10.3390/su9091602","ISSN":"20711050","abstract":"As the circular economy (CE) gains traction in literature and practice, several academic communities are opening up spaces that move away from the CE as a pure engineering concept. This systematic literature review (n = 77) analyses and discusses the fragmented body of knowledge on the meso-level of supply chains (SCs): (a) to find common ground that underpins the current implementation of the CE on this level; and (b) to identify drivers, inhibitors, and enablers from which CE SC configurations emerge. The review finds that there remain differences in CE definitions that result from claimed antecedents and scopes, resulting in distinct research streams. On the meso-level, eco-industrial parks, environmental SCs, and closed-loop SCs each face significant challenges. The latter potentially offers the largest environmental benefits but engenders radical changes for business models and exposes SCs to more risk. We firstly argue for moving away from using a prescriptive set of practices as definitions for the CE towards a set of overarching goals to allow for the inclusion of future practices and techniques. Secondly, we highlight that research going beyond the meso-level to consider the wider social and institutional environment is needed to solve current challenges.","author":[{"dropping-particle":"","family":"Masi","given":"Donato","non-dropping-particle":"","parse-names":false,"suffix":""},{"dropping-particle":"","family":"Day","given":"Steven","non-dropping-particle":"","parse-names":false,"suffix":""},{"dropping-particle":"","family":"Godsell","given":"Janet","non-dropping-particle":"","parse-names":false,"suffix":""}],"container-title":"Sustainability (Switzerland)","id":"ITEM-7","issue":"9","issued":{"date-parts":[["2017"]]},"title":"Supply chain configurations in the circular economy: A systematic literature review","type":"article-journal","volume":"9"},"uris":["http://www.mendeley.com/documents/?uuid=ab7c22f4-4bd3-4163-8e68-d35ddac9bd78"]},{"id":"ITEM-8","itemData":{"DOI":"10.1016/j.jclepro.2018.10.273","ISSN":"09596526","abstract":"Global megatrends such as scarcity of natural resources and urbanization have been the drivers for a mining sector upswing. Therefore, the mining sector in Finland, with attractive ore geology, has recently experienced rapid growth and new mines have been opened. At the same time, society's expectations have increased, resulting in a public debate on mining companies’ environmental and social responsibility. Companies have the same positioning choices relative to their competitors, but environmental issues are a new area of interest in order to stand out strategically. In this study of companies with mining operations in Finland, strategic environmental management practices are examined based on companies’ own public information. This article takes a closer look at whether their public reporting projects an image of strategic environmental management. The results show that environmental and social considerations are essential elements in companies’ commitments and strengthen their business strategy. This study also shows a gap between strategic commitments and their implementation, based on the company reports.","author":[{"dropping-particle":"","family":"Ruokonen","given":"Eeva","non-dropping-particle":"","parse-names":false,"suffix":""},{"dropping-particle":"","family":"Temmes","given":"Armi","non-dropping-particle":"","parse-names":false,"suffix":""}],"container-title":"Journal of Cleaner Production","id":"ITEM-8","issued":{"date-parts":[["2019"]]},"page":"466-476","publisher":"Elsevier Ltd","title":"The approaches of strategic environmental management used by mining companies in Finland","type":"article-journal","volume":"210"},"uris":["http://www.mendeley.com/documents/?uuid=9a0eb57b-42bb-446f-a0a5-3573f542ed9e"]},{"id":"ITEM-9","itemData":{"DOI":"10.1016/j.jclepro.2016.12.047","ISSN":"09596526","abstract":"Circular economy ambitions demand considering lifecycle of products within product development. From the perspective of the circular economy, environmental considerations should, for example, increasingly entail product's use phase not only to increase product's energy-efficiency, but also to prolong the time in use. This paper investigates how these considerations are addressed within information and communications technology (ICT) sector. Drawing from previous research in constructing the hypotheses, it is examined how companies report about their quantitative environmental targets for products, and what topical areas are in focus for their environmentally conscious practices related to products’ reuse. Then, relationships with these published quantitative targets and environmental performance are assessed. Content analysis method is used to derive data from 43 sustainability reports. Our results suggest that being mature enough to publish quantitative environmental targets for products is positively associated with lifecycle thinking, considering the durability of products, and remanufacture. This exploratory study reveals among others, that although published, quantitative environmental targets for products are not yet dominantly present; they are positively associated with environmental performance measures. This includes capability to report quantitatively on flows of reclaimed products, and positions in external ranking. But, we also highlight the need for more discussion around reuse alternatives that are not commonly published among companies in this sample. The paper concludes by discussing the applicability of this research method.","author":[{"dropping-particle":"","family":"Sihvonen","given":"Siru","non-dropping-particle":"","parse-names":false,"suffix":""},{"dropping-particle":"","family":"Partanen","given":"Jouni","non-dropping-particle":"","parse-names":false,"suffix":""}],"container-title":"Journal of Cleaner Production","id":"ITEM-9","issued":{"date-parts":[["2017"]]},"page":"769-783","publisher":"Elsevier Ltd","title":"Eco-design practices with a focus on quantitative environmental targets: An exploratory content analysis within ICT sector","type":"article-journal","volume":"143"},"uris":["http://www.mendeley.com/documents/?uuid=727b240b-0fba-4ec3-b051-c03741e39852"]},{"id":"ITEM-10","itemData":{"DOI":"10.1002/bse.2048","ISSN":"10990836","abstract":"Despite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Environment","id":"ITEM-10","issue":"7","issued":{"date-parts":[["2018"]]},"page":"1005-1022","title":"Circular economy in corporate sustainability strategies: A review of corporate sustainability reports in the fast-moving consumer goods sector","type":"article-journal","volume":"27"},"uris":["http://www.mendeley.com/documents/?uuid=a4245b62-344e-4d4e-bee8-a6f8d7febd42"]},{"id":"ITEM-11","itemData":{"DOI":"10.1108/MD-10-2018-1111","ISSN":"00251747","abstract":"Purpose: The purpose of this paper is twofold: first, to advance the knowledge of Circular Business Models (BMs) over linear models by focusing on new dynamics which are unique to developing countries and have mostly been overlooked by contemporary literature; and second, to bring to the fore aspects of human-sphere which are currently under-researched in the circular economy (CE) domain. Therefore, the research explores how collaboration can facilitate the transition of a developing country’s economy through the creation of value from circular BMs and human-sphere. Design/methodology/approach: To fulfill the research objectives, the authors apply natural resource-based view (NRBV) theory to an in-depth case study. The authors draw the data from semi-structured interviews and observations in North African manufacturing companies. Findings: It was found that multi-stakeholder collaboration is pertinent in implementing CE, especially in developing countries. Collaboration between companies, focusing on CE BMs, with other companies/SMEs could lead to technology transfer and organizational learning necessary for resource efficiency (RE) and clean technology (CT) – the basis for CE. The authors propose a model for collaboration as an enabler for CE. Research limitations/implications: The analysis found multi-stakeholder collaboration to be an important antecedent to CE implementation in a developing country context. Furthermore, the authors found multinational companies who implement CE BMs generate a beneficial symbiotic relationship with local businesses. These benefits mainly revolve around technology transfer and organizational learning which is necessary for RE and CT – the basis for CE. Therefore, to advance knowledge and practice in this area, the authors propose a model for collaboration as an enabler for CE. Practical implications: The authors argue for the importance of collaboration in advancing CE practices which can yield tangible benefits for developing economies. Originality/value: This paper helps address the lack of theory driven research in CE. The paper is a pioneer in this research field as it proposes a theoretical framework for collaboration in CE drawing on from NRBV.","author":[{"dropping-particle":"","family":"Mishra","given":"Jyoti L.","non-dropping-particle":"","parse-names":false,"suffix":""},{"dropping-particle":"","family":"Chiwenga","given":"Kudzai Dominic","non-dropping-particle":"","parse-names":false,"suffix":""},{"dropping-particle":"","family":"Ali","given":"Khaoula","non-dropping-particle":"","parse-names":false,"suffix":""}],"container-title":"Management Decision","id":"ITEM-11","issued":{"date-parts":[["2019"]]},"title":"Collaboration as an enabler for circular economy: a case study of a developing country","type":"article-journal"},"uris":["http://www.mendeley.com/documents/?uuid=8e7df8df-63f7-489f-9af8-f523168f390d"]}],"mendeley":{"formattedCitation":"(Genovese et al., 2017; Masi et al., 2017, 2018; Sihvonen &amp; Partanen, 2017; Stewart &amp; Niero, 2018; Govindan &amp; Hasanagic, 2018; Ranta et al., 2018; Bressanelli et al., 2019; Gusmerotti et al., 2019; Mishra et al., 2019; Ruokonen &amp; Temmes, 2019)","plainTextFormattedCitation":"(Genovese et al., 2017; Masi et al., 2017, 2018; Sihvonen &amp; Partanen, 2017; Stewart &amp; Niero, 2018; Govindan &amp; Hasanagic, 2018; Ranta et al., 2018; Bressanelli et al., 2019; Gusmerotti et al., 2019; Mishra et al., 2019; Ruokonen &amp; Temmes, 2019)","previouslyFormattedCitation":"(Genovese et al., 2017; Masi et al., 2017, 2018; Sihvonen &amp; Partanen, 2017; Stewart &amp; Niero, 2018; Govindan &amp; Hasanagic, 2018; Ranta et al., 2018; Bressanelli et al., 2019; Gusmerotti et al., 2019; Mishra et al., 2019; Ruokonen &amp; Temmes, 2019)"},"properties":{"noteIndex":0},"schema":"https://github.com/citation-style-language/schema/raw/master/csl-citation.json"}</w:instrText>
            </w:r>
            <w:r w:rsidRPr="00BD11BE">
              <w:fldChar w:fldCharType="separate"/>
            </w:r>
            <w:r w:rsidRPr="00BD11BE">
              <w:rPr>
                <w:noProof/>
              </w:rPr>
              <w:t>(Genovese et al., 2017; Masi et al., 2017, 2018; Sihvonen &amp; Partanen, 2017; Stewart &amp; Niero, 2018; Govindan &amp; Hasanagic, 2018; Ranta et al., 2018; Bressanelli et al., 2019; Gusmerotti et al., 2019; Mishra et al., 2019; Ruokonen &amp; Temmes, 2019)</w:t>
            </w:r>
            <w:r w:rsidRPr="00BD11BE">
              <w:fldChar w:fldCharType="end"/>
            </w:r>
          </w:p>
        </w:tc>
      </w:tr>
      <w:tr w:rsidR="004164FF" w:rsidRPr="00BD11BE" w14:paraId="4323F68F" w14:textId="77777777" w:rsidTr="00BA2106">
        <w:tc>
          <w:tcPr>
            <w:tcW w:w="0" w:type="auto"/>
          </w:tcPr>
          <w:p w14:paraId="3CA00514" w14:textId="77777777" w:rsidR="004164FF" w:rsidRPr="00BD11BE" w:rsidRDefault="004164FF" w:rsidP="00BD0461">
            <w:pPr>
              <w:pStyle w:val="Tabletext"/>
            </w:pPr>
            <w:r w:rsidRPr="00BD11BE">
              <w:t>Institutional pressures &amp; adoption of CE (or ‘green’) practices</w:t>
            </w:r>
          </w:p>
        </w:tc>
        <w:tc>
          <w:tcPr>
            <w:tcW w:w="0" w:type="auto"/>
          </w:tcPr>
          <w:p w14:paraId="61EFAF46" w14:textId="77777777" w:rsidR="004164FF" w:rsidRPr="00BD11BE" w:rsidRDefault="004164FF" w:rsidP="00BD0461">
            <w:pPr>
              <w:pStyle w:val="Tabletext"/>
            </w:pPr>
            <w:r w:rsidRPr="00BD11BE">
              <w:fldChar w:fldCharType="begin" w:fldLock="1"/>
            </w:r>
            <w:r w:rsidRPr="00BD11BE">
              <w:instrText>ADDIN CSL_CITATION {"citationItems":[{"id":"ITEM-1","itemData":{"DOI":"10.1016/j.ijpe.2013.12.027","ISSN":"09255273","abstract":"The need for sustainable practices in the food supply chain, particularly in the area of energy reduction, is becoming acute. The food industry currently has to contend with multiple competing pressures alongside the new challenges of sustainable production. We applied Institutional Theory to explore the role of supermarkets in the development of legitimate sustainable practices across the dairy supply chains. The paper focuses on dairy supply chain organizations and their consumption of energy. We conducted 70 semi-structured telephone interviews with various stakeholders across the supply chain. Findings revealed that the majority of actors in the supply chain identified supermarkets as the dominant player, and that the supermarkets exert pressure on other smaller organizations across the supply chain. Although some organizations wished to pursue a sustainable agenda through integrating new rules and legitimate practices within their own organization, the dominant logic appeared to be one of cost reduction and profit maximization. There was also evidence that supermarkets and other large organizations attempt to replicate publicly available information on green successes for image purposes. We conclude that the dominant logic of cost reduction is so well established that challenging the dominant logic may prove difficult. The challenge is therefore to complement the dominant logic with sustainable practices across the whole supply chain, a role Government needs to play. This will require a broader more systemic approach to encouraging sustainable practices including investment and financing practices, so that all members of the dairy supply chain can co-operate and contribute to energy reduction. © 2014 The Authors.","author":[{"dropping-particle":"","family":"Glover","given":"J. L.","non-dropping-particle":"","parse-names":false,"suffix":""},{"dropping-particle":"","family":"Champion","given":"D.","non-dropping-particle":"","parse-names":false,"suffix":""},{"dropping-particle":"","family":"Daniels","given":"K. J.","non-dropping-particle":"","parse-names":false,"suffix":""},{"dropping-particle":"","family":"Dainty","given":"A. J.D.","non-dropping-particle":"","parse-names":false,"suffix":""}],"container-title":"International Journal of Production Economics","id":"ITEM-1","issued":{"date-parts":[["2014"]]},"page":"102-111","publisher":"Elsevier","title":"An Institutional Theory perspective on sustainable practices across the dairy supply chain","type":"article-journal","volume":"152"},"uris":["http://www.mendeley.com/documents/?uuid=1ce318fa-7065-485d-833f-e2b17abc4c6f"]},{"id":"ITEM-2","itemData":{"DOI":"10.1111/j.1745-493X.2009.03184.x","ISSN":"15232409","abstract":"Firms are increasingly under pressure from stakeholders to incorporate the triple-bottom line of social, environmental and economic responsibility considerations into operations and supply chain management strategies. This research uses content analysis software that performed centering resonance analysis to examine corporate communication to stakeholders through corporate social responsibility (CSR) reports. The intent is to determine how supply chain strategies factor in to the triple-bottom line of 100 socially and environmentally responsible global companies. This research compares and contrasts the influential words in the CSR reports of firms from a range of industries, sizes and geographical regions. The content analysis revealed ten themes that provide a snapshot of how top global companies integrate and improve the triple-bottom line in internal operations and external supply chains. Findings indicated that while institutional pressure is the major driving force behind strategy development for all of the industries studied, companies emphasize different facets of social, environmental and economic responsibility upstream and downstream in supply chains based on industry, size and geographic location. The analysis revealed unique insights regarding corporate communications that other methodologies would not find. © 2009 Institute for Supply Management, Inc.™.","author":[{"dropping-particle":"","family":"Tate","given":"Wendy L.","non-dropping-particle":"","parse-names":false,"suffix":""},{"dropping-particle":"","family":"Ellram","given":"Lisa M.","non-dropping-particle":"","parse-names":false,"suffix":""},{"dropping-particle":"","family":"Kirchoff","given":"Jon F.","non-dropping-particle":"","parse-names":false,"suffix":""}],"container-title":"Journal of Supply Chain Management","id":"ITEM-2","issue":"1","issued":{"date-parts":[["2010"]]},"page":"19-44","title":"Corporate social responsibility reports: A thematic analysis related to supply chain management","type":"article-journal","volume":"46"},"uris":["http://www.mendeley.com/documents/?uuid=f3336daa-94a4-4b47-8d91-fb4640794e17"]},{"id":"ITEM-3","itemData":{"DOI":"10.1108/IJPDLM-01-2017-0049","ISSN":"09600035","abstract":"Purpose: Green supply chain management (GSCM) and the circular economy (CE) overlap but also differ. The purpose of this paper is to clarify linkages between these two concepts. It identifies mutual theory applications used to study GSCM and CE. Design/methodology/approach: A systematic literature review is conducted to identify theories from GSCM and CE studies. A critical analysis explores the theories that can provide mutual applications between GSCM and CE fields. Propositions are developed. Findings: In all, 12 theories are applied in both GSCM and CE studies. Several theories are only applied in GSCM studies, but can help to advance CE study. These theories include complexity, transaction cost economics, agency, and information theories. Each of the eight theories only applied to CE can potentially advance GSCM study. Research limitations/implications: The findings contribute to further theory development for both GSCM and CE study. A methodological review can advance theoretical development and cross-pollination in both fields. Originality/value: This work is the first study to explicitly explore linkages of GSCM and CE from a theoretical perspective.","author":[{"dropping-particle":"","family":"Liu","given":"Junjun","non-dropping-particle":"","parse-names":false,"suffix":""},{"dropping-particle":"","family":"Feng","given":"Yunting","non-dropping-particle":"","parse-names":false,"suffix":""},{"dropping-particle":"","family":"Zhu","given":"Qinghua","non-dropping-particle":"","parse-names":false,"suffix":""},{"dropping-particle":"","family":"Sarkis","given":"Joseph","non-dropping-particle":"","parse-names":false,"suffix":""}],"container-title":"International Journal of Physical Distribution and Logistics Management","id":"ITEM-3","issue":"8","issued":{"date-parts":[["2018"]]},"page":"794-817","title":"Green supply chain management and the circular economy: Reviewing theory for advancement of both fields","type":"article-journal","volume":"48"},"uris":["http://www.mendeley.com/documents/?uuid=cb60bd56-6f70-4f3d-809f-537e586bff97"]},{"id":"ITEM-4","itemData":{"DOI":"10.1016/j.pursup.2012.12.001","ISSN":"14784092","abstract":"Green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Management","id":"ITEM-4","issue":"2","issued":{"date-parts":[["2013"]]},"page":"106-117","publisher":"Elsevier","title":"Institutional-based antecedents and performance outcomes of internal and external green supply chain management practices","type":"article-journal","volume":"19"},"uris":["http://www.mendeley.com/documents/?uuid=1da0a602-27b6-41eb-b893-9cf81eeae654"]},{"id":"ITEM-5","itemData":{"DOI":"10.1016/j.jenvman.2010.02.013","ISSN":"03014797","abstract":"The rapidly growing industrial activities in emerging economies such as China have been causing resource depletion and pollution problems. This reality requires China to adopt an integrated management approach to resolve the conflict between industrial development and environmental protection, and the concept of circular economy (CE) serves this purpose. In this paper, we examine if different types of manufacturing enterprises on environmental-oriented supply chain cooperation (ESCC) exist. We also determine if the Chinese manufacturer types varying in ESCC differ in their implementation of the CE practices towards achieving the CE-targeted goals on improving both environmental and economic performance. Our cluster analytic results with multivariate analysis of variance (MANOVA) among the four identified types of Chinese manufacturers varying in environmental-oriented supply chain cooperation highlight the importance to intensify the cooperation with upstream and downstream supply chain partners for a CE initiative to succeed. © 2010 Elsevier Ltd.","author":[{"dropping-particle":"","family":"Zhu","given":"Qinghua","non-dropping-particle":"","parse-names":false,"suffix":""},{"dropping-particle":"","family":"Geng","given":"Yong","non-dropping-particle":"","parse-names":false,"suffix":""},{"dropping-particle":"","family":"Lai","given":"Kee hung","non-dropping-particle":"","parse-names":false,"suffix":""}],"container-title":"Journal of Environmental Management","id":"ITEM-5","issue":"6","issued":{"date-parts":[["2010"]]},"page":"1324-1331","publisher":"Elsevier Ltd","title":"Circular economy practices among Chinese manufacturers varying in environmental-oriented supply chain cooperation and the performance implications","type":"article-journal","volume":"91"},"uris":["http://www.mendeley.com/documents/?uuid=6c8b9d21-4a9f-488a-8435-6c6e3c15f981"]},{"id":"ITEM-6","itemData":{"DOI":"10.1111/jscm.12065","ISSN":"1745493X","abstract":"Supply chain technology (SCT) facilitates information transfer within and across firm boundaries. However, institutional environments in emerging markets give rise to challenges that inhibit the implementation of SCT and the consequent realization of its benefits. Unfortunately, there is a lack of understanding as to the nature or the extent of these implementation challenges. We undertook a grounded theory study in the emerging market of India to investigate how SCT is implemented when subjected to prevailing institutional pressures. Based on an analysis of interviews with 50 supply chain managers, we find that early adopters of SCT experience significant and numerous unmet expectations associated with SCT implementation. These unmet expectations arise from competing institutional logics with the resultant isomorphic pressure causing the juxtaposition of two incompatible supply chains in India. A key finding of this study contradicts extant research, supporting recent work in emerging markets, to suggest a need to reassess our mental models developed in the West and conceptualize de novo models that are sensitive to the institutional environments of emerging markets.","author":[{"dropping-particle":"","family":"Saldanha","given":"John P.","non-dropping-particle":"","parse-names":false,"suffix":""},{"dropping-particle":"","family":"Mello","given":"John E.","non-dropping-particle":"","parse-names":false,"suffix":""},{"dropping-particle":"","family":"Knemeyer","given":"A. Michael","non-dropping-particle":"","parse-names":false,"suffix":""},{"dropping-particle":"","family":"Vijayaraghavan","given":"T. A.S.","non-dropping-particle":"","parse-names":false,"suffix":""}],"container-title":"Journal of Supply Chain Management","id":"ITEM-6","issue":"1","issued":{"date-parts":[["2015"]]},"page":"5-26","title":"Implementing Supply Chain Technologies in Emerging Markets: An Institutional Theory Perspective","type":"article-journal","volume":"51"},"uris":["http://www.mendeley.com/documents/?uuid=95573c4d-761e-4c94-8891-58811775719f"]},{"id":"ITEM-7","itemData":{"DOI":"10.1007/s10551-010-0534-x","ISSN":"01674544","abstract":"Sustainable development is often framed as a social issue to which corporations should pay attention because it offers both opportunities and challenges. Through the use of institutional theory and the resource-based view of the firm, we shed some light on why, more than 20 years after sustainable development was first introduced, we see neither the adoption of this business model as dominant nor its converse, that is the total abandonment of the model as unworkable and unprofitable. We focus on multinational corporations (MNCs) because they were among the organizations first called to take action. In order to illustrate the institutional pressures MNCs face and their strategic response to these pressures, we analysed four major oil and gas multinationals subject to similar sustainable development pressures - climate change, biodiversity, renewable energy development and social investment. We argue that normative and coercive isomorphism does not occur at the global level because sustainable development is largely a stakeholder-driven rather than a broad social pressure. That is, host country interpretation of sustainable development pressures varies across an MNC's subsidiary network. Based on the analysis of the four major MNCs' annual reports from 2000 to 2005, we argue that mimetic isomorphism may occur, but since it implies the use of complex and intangible resources, mimetic processes are slow, rare and discretionary. © 2010 Springer Science+Business Media B.V.","author":[{"dropping-particle":"","family":"Escobar","given":"Luis Fernando","non-dropping-particle":"","parse-names":false,"suffix":""},{"dropping-particle":"","family":"Vredenburg","given":"Harrie","non-dropping-particle":"","parse-names":false,"suffix":""}],"container-title":"Journal of Business Ethics","id":"ITEM-7","issue":"1","issued":{"date-parts":[["2011"]]},"page":"39-65","title":"Multinational Oil Companies and the Adoption of Sustainable Development: A Resource-Based and Institutional Theory Interpretation of Adoption Heterogeneity","type":"article-journal","volume":"98"},"uris":["http://www.mendeley.com/documents/?uuid=6173ea6c-8b45-45b8-9102-6c1cab4a49ff"]},{"id":"ITEM-8","itemData":{"abstract":"Our main objective in this article is to join the growing group of \"green\" organization theorists by demonstrating the usefulness of institutional theory as an approach to ecologically sustainable orga- nizations. Institutional theory helps to understand how consensus is built around the meaning of sustainability and how concepts or prac- tices associated with sustainability are developed and diffused among organizations. We extend institutional theory by offering hy- potheses in four different areas: (a) the incorporation of values into organizational sustainability, (b) the study of institutions as distinct elements within systems, (c) the study of institutions as distinct spheres, and (d) the construction of paradigms that support organiza- tional sustainability. We then offer possible modifications to institu- tional theory that are suggested by the extension to a new area of study. Among them are the consideration of natural constraints on sense making and paradigm construction, the study of regional net- works, and the recognition of the role of individual actors. Finally, we discuss possible avenues for future research by drawing on research that we are currently conducting. \"Ecologically","author":[{"dropping-particle":"","family":"Jennings","given":"P Devereaux","non-dropping-particle":"","parse-names":false,"suffix":""},{"dropping-particle":"","family":"Zandbergen","given":"Paul A","non-dropping-particle":"","parse-names":false,"suffix":""}],"container-title":"The Academy of Management Review","id":"ITEM-8","issue":"4","issued":{"date-parts":[["1995"]]},"page":"1015-1052","title":"Ecologically Sustainable Organizations : An Institutional Approach","type":"article-journal","volume":"20"},"uris":["http://www.mendeley.com/documents/?uuid=c728866f-08f2-4feb-84d1-43d98173eb2e"]},{"id":"ITEM-9","itemData":{"DOI":"10.1016/j.sbspro.2012.09.1221","ISSN":"18770428","abstract":"Green supply chain management (GSCM) has emerged as an important organizational strategy in modern business environment. It has been touted as an efficient approach to enhancing manufacturing sustainability. However, how to develop and stimulate green partnerships among supply chain partners remains a challenge. This study examines how institutional theory influences GSCM practices and supply chain performance by examining whether firms submit to institutional pressures in their adoption of green practices in addition to seeking economic efficiency. Two research questions are addressed: (1) Are GSCM practices motivated by institutional variables (external pressures), and (2) what are those “institutional variables” and how are they contributing to the diffusion of GSCM practices? Based on the data collected from the U.S. and Taiwan manufacturing plants in the electric and electronics industry using survey method, structural equation modelling (SEM) was performed to examine theoretical relationships among various institutional variables, green supply chain practices, and manufacturing performance. The findings prove that pressures from institutional actors have a significantly positive impact on GSCM practices adoption, which in turns improve organizational performance. This study provides managers with valuable implications and guidelines in enhancing their efficiency and performance through meeting standards from institutional pressures.","author":[{"dropping-particle":"","family":"Lin","given":"Ru-jen","non-dropping-particle":"","parse-names":false,"suffix":""},{"dropping-particle":"","family":"Sheu","given":"Chwen","non-dropping-particle":"","parse-names":false,"suffix":""}],"container-title":"Procedia - Social and Behavioral Sciences","id":"ITEM-9","issued":{"date-parts":[["2012"]]},"page":"533-540","publisher":"Elsevier B.V.","title":"Why Do Firms Adopt/Implement Green Practices?–An Institutional Theory Perspective","type":"article-journal","volume":"57"},"uris":["http://www.mendeley.com/documents/?uuid=54a3dfdc-20a4-4e2d-980e-fa05e89a648f"]},{"id":"ITEM-10","itemData":{"DOI":"10.3390/su10051517","ISSN":"20711050","abstract":"The adoption of green practices within and outside organizational boundaries is imperative to ascertain environmental and economic performance goals. This article examined whether internal and external green supply chain management (GSCM) practices have the same or different kinds of regulatory, market, or competitive pressures. We employed institutional theory to identify different kinds of pressures, and resource dependence theory to explore the impact of internal and external GSCM practices on performance. An empirical study was conducted by collecting data through a structured questionnaire administered in Pakistan to the executives in the manufacturing industry. A total of 207 responses were used for data analysis by employing the partial least squares structural equation modeling (PLS-SEM) method. Normative pressures were found to be the most significant in both internal and external GSCM practices, while coercive and mimetic pressures positively affected internal and external GSCM practices, respectively. Internal GSCM practices proved to be more significant in improving environmental performance, and also had a substantial impact on external GSCM practices. In contrast, External GSCM practices had a significant positive effect on economic performance, while environmental performance also contributed to improving economic performance. The theoretical and managerial implications are discussed for academics, policymakers, and industry practitioners.","author":[{"dropping-particle":"","family":"Saeed","given":"Amer","non-dropping-particle":"","parse-names":false,"suffix":""},{"dropping-particle":"","family":"Jun","given":"Yun","non-dropping-particle":"","parse-names":false,"suffix":""},{"dropping-particle":"","family":"Nubuor","given":"Saviour Ayertey","non-dropping-particle":"","parse-names":false,"suffix":""},{"dropping-particle":"","family":"RasikaPriyankara","given":"Hewawasam Puwakpitiyage","non-dropping-particle":"","parse-names":false,"suffix":""},{"dropping-particle":"","family":"Jayasuriya","given":"Mahabaduge Prasad Fernando","non-dropping-particle":"","parse-names":false,"suffix":""}],"container-title":"Sustainability (Switzerland)","id":"ITEM-10","issue":"5","issued":{"date-parts":[["2018"]]},"page":"1-24","title":"Institutional pressures, green supply chain management practices on environmental and economic performance: A two theory view","type":"article-journal","volume":"10"},"uris":["http://www.mendeley.com/documents/?uuid=ae74ced9-7d1b-4698-be5d-e05e4cbe3090"]},{"id":"ITEM-11","itemData":{"DOI":"10.1016/j.jclepro.2019.01.239","ISSN":"09596526","abstract":"'sustainable business practice’ is an aspiration for an increasing proportion of small and medium-sized enterprises (SMEs) around the world, promising profitability, resilience and positive social and environmental impacts. ‘Lean thinking’ has evolved as a popular business strategy for SMEs to achieve sustainable business practice, addressing the need for efficiency in production and waste reduction. In this study we explore the co-evolution of ‘lean and green thinking’ and the potential for lean and green practices to enable successful transitions to sustainable business practice. Focusing on investigations into manufacturing SMEs in Queensland, Australia, we first establish four key enablers and six key barriers to sustainable business practice, derived from a series of in-depth interviews with Chief Executive Officers and senior managers involved in sustainability and lean manufacturing. We offer an institutional theory perspective on these findings, concluding the potential for normative, coercive and mimetic drivers to influence SMEs to shape environmental, social and economic decision making and legitimize the transition to sustainable business practice. We then present a novel ‘Model of strategic enablers of sustainable business practice’ to guide SMEs to intentionally use their lean and green strategies to successfully adopt sustainable business outcomes. We propose that through adopting lean and green thinking to transition to sustainable business practice, SMEs can more rapidly contribute to the circular economy at the level of firm. Agencies and professional bodies can support SMEs in this transition through targeted interventions that address the enablers and barriers presented.","author":[{"dropping-particle":"","family":"Caldera","given":"H. T.S.","non-dropping-particle":"","parse-names":false,"suffix":""},{"dropping-particle":"","family":"Desha","given":"C.","non-dropping-particle":"","parse-names":false,"suffix":""},{"dropping-particle":"","family":"Dawes","given":"L.","non-dropping-particle":"","parse-names":false,"suffix":""}],"container-title":"Journal of Cleaner Production","id":"ITEM-11","issued":{"date-parts":[["2019"]]},"page":"575-590","publisher":"Elsevier Ltd","title":"Evaluating the enablers and barriers for successful implementation of sustainable business practice in ‘lean’ SMEs","type":"article-journal","volume":"218"},"uris":["http://www.mendeley.com/documents/?uuid=05beae6a-a770-46cd-88ae-be2842754641"]},{"id":"ITEM-12","itemData":{"DOI":"10.1007/s10551-015-2960-2","ISSN":"15730697","abstract":"This paper analyzes the determinants underlying the internalization of proactive environmental management proposed by certifiable environmental management systems (EMSs) such as those set out in ISO 14001 and the European Management and Auditing Scheme (EMAS). Using a study based on 232 usable questionnaires from EMAS-registered organizations, we explored the influence of institutional pressures from different stakeholders and the role of corporate strategy in the “substantial” versus “symbolic” integration of environmental practices. The results highlighted that although institutional pressures generally strengthen the internalization of proactive environmental practices, the influence of stakeholders can either support the integration of these practices or encourage their superficial adoption. For example, while pressure from suppliers and shareholders contribute to corporate greening, pressure from customers and industrial associations tend to encourage greenwashing (i.e., the superficial and misleading adoption of environmental practices). Product quality-oriented strategies also positively influence EMS internalization. The paper sheds light on the institutional complexity underlying the substantial versus symbolic implementation of environmental practices, and questions the dominant isomorphic view of EMS adoption. The paper also bridges the gap between complementary approaches on corporate greening, notably neo-institutional and stakeholder theories.","author":[{"dropping-particle":"","family":"Testa","given":"Francesco","non-dropping-particle":"","parse-names":false,"suffix":""},{"dropping-particle":"","family":"Boiral","given":"Olivier","non-dropping-particle":"","parse-names":false,"suffix":""},{"dropping-particle":"","family":"Iraldo","given":"Fabio","non-dropping-particle":"","parse-names":false,"suffix":""}],"container-title":"Journal of Business Ethics","id":"ITEM-12","issue":"2","issued":{"date-parts":[["2018"]]},"page":"287-307","publisher":"Springer Netherlands","title":"Internalization of environmental practices and institutional complexity: Can stakeholders pressures encourage greenwashing?","type":"article-journal","volume":"147"},"uris":["http://www.mendeley.com/documents/?uuid=95a2c7bd-0501-485c-a1e4-e5cbcac4c716"]},{"id":"ITEM-13","itemData":{"DOI":"10.1016/j.jclepro.2016.10.093","ISSN":"09596526","abstract":"An eco-industrial park is the practical application of sustainable supply chain management at an industrial park level. As the external sustainability of the supply chain becomes more difficult, integrating the circular economy concept into supply chain management is required to achieve an optimal balance of economic, social, and environmental benefits for a company. Based on institutional theory, we construct a concept model according to the paradigm of “institution-conduct-performance.” We then test the mechanism and relationships among institutional pressure, supply chain relationship management, sustainable supply chain design, and circular economy capability using data collected from eco-industrial park firms in China via 363 questionnaires. The findings show that institutional pressure has a significant positive impact on supply chain relationship management and sustainable supply chain design; sustainable supply chain management practice is an important factor promoting the improvement of the circular economy capability of companies, and coercive pressure, normative pressure, and mimetic pressure exert different degrees of negative moderating effects. This study expands our knowledge of variables affecting sustainable supply chain management and also provides theoretical guidance for successful green production practices of eco-industrial park firms.","author":[{"dropping-particle":"","family":"Zeng","given":"Huixiang","non-dropping-particle":"","parse-names":false,"suffix":""},{"dropping-particle":"","family":"Chen","given":"Xiaohong","non-dropping-particle":"","parse-names":false,"suffix":""},{"dropping-particle":"","family":"Xiao","given":"Xu","non-dropping-particle":"","parse-names":false,"suffix":""},{"dropping-particle":"","family":"Zhou","given":"Zhifang","non-dropping-particle":"","parse-names":false,"suffix":""}],"container-title":"Journal of Cleaner Production","id":"ITEM-13","issue":"May 2014","issued":{"date-parts":[["2017"]]},"page":"54-65","publisher":"Elsevier Ltd","title":"Institutional pressures, sustainable supply chain management, and circular economy capability: Empirical evidence from Chinese eco-industrial park firms","type":"article-journal","volume":"155"},"uris":["http://www.mendeley.com/documents/?uuid=8c7c1062-01b5-44cb-976b-2e628c14e352"]},{"id":"ITEM-14","itemData":{"DOI":"10.1016/j.ijpe.2010.11.010","ISSN":"09255273","abstract":"Green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author":[{"dropping-particle":"","family":"Sarkis","given":"Joseph","non-dropping-particle":"","parse-names":false,"suffix":""},{"dropping-particle":"","family":"Zhu","given":"Qinghua","non-dropping-particle":"","parse-names":false,"suffix":""},{"dropping-particle":"","family":"Lai","given":"Kee Hung","non-dropping-particle":"","parse-names":false,"suffix":""}],"container-title":"International Journal of Production Economics","id":"ITEM-14","issue":"1","issued":{"date-parts":[["2011"]]},"page":"1-15","publisher":"Elsevier","title":"An organizational theoretic review of green supply chain management literature","type":"article-journal","volume":"130"},"uris":["http://www.mendeley.com/documents/?uuid=8957105b-d7b9-4460-89c4-91bc5d837cde"]},{"id":"ITEM-15","itemData":{"DOI":"10.1108/IJPDLM-05-2013-0106","ISSN":"09600035","abstract":"Purpose - The purpose of this paper is to investigate theoretical perspectives in sustainable supply chain management (SSCM) and contributes to understanding the current state of research in the field and its future development. Design/methodology/approach - This paper conducts a structured literature review and aims at mapping the use of theories in the field. The authors assess the current state of research, looking in more details at popular theories, and propose possible future avenues for the field to develop. Findings - Theory-building efforts in SSCM remain scarce, with the predominance of a few popular imported macro theories (resource-based view (RBV), stakeholder theory and institutional theory) having implications on the conceptualisation of SSCM and the topics researched to date. More theoretical contributions can potentially emerge from the adoption of original methodologies, the investigation of under-explored aspects of SSCM and the testing of recently developed frameworks. Research limitations/implications - Drawing on the analysis the authors propose an overarching map of popular theories in SSCM and define potential avenues towards the maturation of the discipline. A number of propositions are offered to guide future research. This study constitutes a first step towards understanding how theories in SSCM are developing and how SSCM has been conceptualised. Originality/value - The originality of this paper lies in its analytical focus on theories in SSCM, which have not been mapped to date.","author":[{"dropping-particle":"","family":"Touboulic","given":"Anne","non-dropping-particle":"","parse-names":false,"suffix":""},{"dropping-particle":"","family":"Walker","given":"Helen","non-dropping-particle":"","parse-names":false,"suffix":""}],"container-title":"International Journal of Physical Distribution and Logistics Management","id":"ITEM-15","issued":{"date-parts":[["2015","3","2"]]},"page":"16-42","publisher":"Emerald Group Publishing Ltd.","title":"Theories in sustainable supply chain management: A structured literature review","type":"article","volume":"45"},"uris":["http://www.mendeley.com/documents/?uuid=4e98e46a-6d1e-3151-aaea-bd656493cb51"]},{"id":"ITEM-16","itemData":{"DOI":"10.1002/bse.557","ISSN":"09644733","abstract":"Some researchers question the legitimacy of EMSs since organizations can claim to have one when in fact they make no attempt to reduce their environmental harm. In instances where EMSs enhance an organization's environmental performance, critics argue that improvements are likely to occur within the organization's operational boundaries rather than being extended throughout the supply chain. However, previous research suggests that the organizational capabilities required to adopt an EMS may facilitate GSCM implementation and the institutional pressures to adopt both management practices are similar. Consequently, EMS adopters may have a greater propensity to expand their focus beyond their organizational boundaries and utilize GSCM practices to minimize system-wide environmental impacts. This research illuminates the debate by empirically evaluating the relationship between EMS and GSCM practices. Copyright © 2006 John Wiley &amp; Sons, Ltd and ERP Environment.","author":[{"dropping-particle":"","family":"Darnall","given":"Nicole","non-dropping-particle":"","parse-names":false,"suffix":""},{"dropping-particle":"","family":"Jolley","given":"G. Jason","non-dropping-particle":"","parse-names":false,"suffix":""},{"dropping-particle":"","family":"Handfield","given":"Robert","non-dropping-particle":"","parse-names":false,"suffix":""}],"container-title":"Business Strategy and the Environment","id":"ITEM-16","issue":"1","issued":{"date-parts":[["2008"]]},"page":"30-45","title":"Environmental management systems and green supply chain management: Complements for sustainability?","type":"article-journal","volume":"17"},"uris":["http://www.mendeley.com/documents/?uuid=886f7864-3a03-4f91-ad4d-5b871e0483a0"]},{"id":"ITEM-17","itemData":{"DOI":"10.1016/j.jeem.2010.11.003","ISSN":"00950696","abstract":"Using Japanese facility-level data, we estimate the effects of ISO 14001 certification on the promotion of more advanced practices, namely green supply chain management (GSCM). Our results show that ISO 14001 promotes GSCM practices. Facilities with environmental management systems (EMS) certified to ISO 14001 are 40% more likely to assess their suppliers' environmental performance and 50% more likely to require that their suppliers undertake specific environmental practices. Further, government programs that encourage voluntary EMS adoption indirectly promote GSCM practices. These programs increase the probabilities that facilities will assess their suppliers' environmental performance and require suppliers to undertake specific environmental practices by 7% and 8%, respectively. Combined, these findings suggest that there may be significant but previously unnoticed spillover effects of ISO 14001 and government promotion of voluntary action. © 2010 Elsevier Inc.","author":[{"dropping-particle":"","family":"Arimura","given":"Toshi H.","non-dropping-particle":"","parse-names":false,"suffix":""},{"dropping-particle":"","family":"Darnall","given":"Nicole","non-dropping-particle":"","parse-names":false,"suffix":""},{"dropping-particle":"","family":"Katayama","given":"Hajime","non-dropping-particle":"","parse-names":false,"suffix":""}],"container-title":"Journal of Environmental Economics and Management","id":"ITEM-17","issue":"2","issued":{"date-parts":[["2011"]]},"page":"170-182","publisher":"Elsevier","title":"Is ISO 14001 a gateway to more advanced voluntary action? The case of green supply chain management","type":"article-journal","volume":"61"},"uris":["http://www.mendeley.com/documents/?uuid=271fa2d0-c41a-4915-9018-9c2d7885465e"]},{"id":"ITEM-18","itemData":{"DOI":"10.3390/su9050764","ISSN":"20711050","abstract":"This study investigates the impact of three institutional pressures, namely government, customer, and competitor pressures, on the environmental and operational performance of firms. These three institutional pressures are examined by implementing green supply chain management, considering the role of top management and studying social capital between buyers and suppliers in the supply chain. Data were collected through an electronic mail survey from buyer firms in the manufacturing industry in Korea. With 241 complete and usable responses, we used structural equation modeling to test our hypotheses. Our findings revealed that the majority of our hypotheses were supported, which is in line with the existing literature. However, the impact of coercive pressure on top management support and the impact of structural social capital on performance were found to be insignificant. The major contribution of our study is that it broadens the framework of green supply chain management (GSCM) by integrating major and recent constructs in the GSCM theory, while also providing instructive managerial implications through empirical evidence.","author":[{"dropping-particle":"","family":"Chu","given":"Soh Hyun","non-dropping-particle":"","parse-names":false,"suffix":""},{"dropping-particle":"","family":"Yang","given":"Hongsuk","non-dropping-particle":"","parse-names":false,"suffix":""},{"dropping-particle":"","family":"Lee","given":"Mansokku","non-dropping-particle":"","parse-names":false,"suffix":""},{"dropping-particle":"","family":"Park","given":"Sangwook","non-dropping-particle":"","parse-names":false,"suffix":""}],"container-title":"Sustainability (Switzerland)","id":"ITEM-18","issue":"5","issued":{"date-parts":[["2017"]]},"title":"The impact of institutional pressures on green supply chain management and firm performance: Top management roles and social capital","type":"article-journal","volume":"9"},"uris":["http://www.mendeley.com/documents/?uuid=2b27f423-0596-41f4-af97-576a37ac3406"]},{"id":"ITEM-19","itemData":{"abstract":"Purpose: Academia has so far only sparsely investigated the phenomenon of circular economy with the support of organisational theories. We propose an Institutional Perspective to investigate how the new phenomenon influences different aspects of solution business and explain why circular economy principles are adopted or ignored by manufacturers. Design/Methodology/Approach: In this conceptual study based on a literature review of 55 journal articles, we present and unpack core ideas of Institutional Theory and set each of them in the context of circular economy. Findings: Research in circular economy has so far predominantly used institutional pressures and not developed the theory further. We discuss three major constructs of IT, Institutional Isomorphism, Institutional Logics, and Organisational Fields in the context of circular economy to be used in management research and practice. Originality/Value: Institutional Theory is recently under scrutiny as it has become too vague and used inaccurately as a means to get published in management journals. With our study, we propose a way to refocus Institutional Theory and present operationalizable suggestion for a variety of further research in the field of servitization and business development.","author":[{"dropping-particle":"","family":"Widmer","given":"Tobias","non-dropping-particle":"","parse-names":false,"suffix":""},{"dropping-particle":"","family":"Prior","given":"Daniel","non-dropping-particle":"","parse-names":false,"suffix":""}],"container-title":"Proceedings of the Spring Servitization Conference 2019","id":"ITEM-19","issue":"May","issued":{"date-parts":[["2019"]]},"title":"Institutional Isomorphism, Institutional Logics and Organisational Fields: An Institutionalist Perspective on Circular Economy","type":"article-journal"},"uris":["http://www.mendeley.com/documents/?uuid=982cf74d-d85c-41e8-b52f-31f78aa5260a"]}],"mendeley":{"formattedCitation":"(Jennings &amp; Zandbergen, 1995; Darnall et al., 2008; Tate et al., 2010; Zhu et al., 2010, 2013; Arimura et al., 2011; Sarkis et al., 2011; Escobar &amp; Vredenburg, 2011; Lin &amp; Sheu, 2012; Glover et al., 2014; Saldanha et al., 2015; Touboulic &amp; Walker, 2015; Chu et al., 2017; H. Zeng et al., 2017; Saeed et al., 2018; Testa et al., 2018; Liu et al., 2018; Caldera et al., 2019; Widmer &amp; Prior, 2019)","plainTextFormattedCitation":"(Jennings &amp; Zandbergen, 1995; Darnall et al., 2008; Tate et al., 2010; Zhu et al., 2010, 2013; Arimura et al., 2011; Sarkis et al., 2011; Escobar &amp; Vredenburg, 2011; Lin &amp; Sheu, 2012; Glover et al., 2014; Saldanha et al., 2015; Touboulic &amp; Walker, 2015; Chu et al., 2017; H. Zeng et al., 2017; Saeed et al., 2018; Testa et al., 2018; Liu et al., 2018; Caldera et al., 2019; Widmer &amp; Prior, 2019)","previouslyFormattedCitation":"(Jennings &amp; Zandbergen, 1995; Darnall et al., 2008; Tate et al., 2010; Zhu et al., 2010, 2013; Arimura et al., 2011; Sarkis et al., 2011; Escobar &amp; Vredenburg, 2011; Lin &amp; Sheu, 2012; Glover et al., 2014; Saldanha et al., 2015; Touboulic &amp; Walker, 2015; Chu et al., 2017; H. Zeng et al., 2017; Saeed et al., 2018; Testa et al., 2018; Liu et al., 2018; Caldera et al., 2019; Widmer &amp; Prior, 2019)"},"properties":{"noteIndex":0},"schema":"https://github.com/citation-style-language/schema/raw/master/csl-citation.json"}</w:instrText>
            </w:r>
            <w:r w:rsidRPr="00BD11BE">
              <w:fldChar w:fldCharType="separate"/>
            </w:r>
            <w:r w:rsidRPr="00BD11BE">
              <w:rPr>
                <w:noProof/>
              </w:rPr>
              <w:t>(Jennings &amp; Zandbergen, 1995; Darnall et al., 2008; Tate et al., 2010; Zhu et al., 2010, 2013; Arimura et al., 2011; Sarkis et al., 2011; Escobar &amp; Vredenburg, 2011; Lin &amp; Sheu, 2012; Glover et al., 2014; Saldanha et al., 2015; Touboulic &amp; Walker, 2015; Chu et al., 2017; H. Zeng et al., 2017; Saeed et al., 2018; Testa et al., 2018; Liu et al., 2018; Caldera et al., 2019; Widmer &amp; Prior, 2019)</w:t>
            </w:r>
            <w:r w:rsidRPr="00BD11BE">
              <w:fldChar w:fldCharType="end"/>
            </w:r>
          </w:p>
        </w:tc>
      </w:tr>
      <w:tr w:rsidR="004164FF" w:rsidRPr="00BD11BE" w14:paraId="24A91834" w14:textId="77777777" w:rsidTr="00BA2106">
        <w:tc>
          <w:tcPr>
            <w:tcW w:w="0" w:type="auto"/>
          </w:tcPr>
          <w:p w14:paraId="55B69587" w14:textId="77777777" w:rsidR="004164FF" w:rsidRPr="00BD11BE" w:rsidRDefault="004164FF" w:rsidP="00BD0461">
            <w:pPr>
              <w:pStyle w:val="Tabletext"/>
            </w:pPr>
            <w:r w:rsidRPr="00BD11BE">
              <w:t>Supply chain integration and adoption of CE (or ‘green’) practices</w:t>
            </w:r>
          </w:p>
        </w:tc>
        <w:tc>
          <w:tcPr>
            <w:tcW w:w="0" w:type="auto"/>
          </w:tcPr>
          <w:p w14:paraId="5893441E" w14:textId="77777777" w:rsidR="004164FF" w:rsidRPr="00BD11BE" w:rsidRDefault="004164FF" w:rsidP="00BD0461">
            <w:pPr>
              <w:pStyle w:val="Tabletext"/>
            </w:pPr>
            <w:r w:rsidRPr="00BD11BE">
              <w:fldChar w:fldCharType="begin" w:fldLock="1"/>
            </w:r>
            <w:r w:rsidRPr="00BD11BE">
              <w:instrText>ADDIN CSL_CITATION {"citationItems":[{"id":"ITEM-1","itemData":{"DOI":"10.1016/j.pursup.2014.12.004","ISSN":"14784092","abstract":"The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Management","id":"ITEM-1","issue":"2","issued":{"date-parts":[["2015"]]},"page":"95-102","publisher":"Elsevier","title":"Sustainable supplier development practices: Drivers and enablers in a global context","type":"article-journal","volume":"21"},"uris":["http://www.mendeley.com/documents/?uuid=121cabff-e9cf-4ff0-bbb3-eebcc9a65ad2"]},{"id":"ITEM-2","itemData":{"DOI":"10.1016/j.ijpe.2016.08.033","ISSN":"09255273","abstract":"This paper aims to understand and analyze how different institutional pressures created by stakeholders tend to promote the green bullwhip effect and the consequent adoption of green supply chain management (GSCM) practices across a supply chain. It examines GSCM practices adopted in the supply chain as a result of pressures from primary stakeholders, and how they exert environmental/institutional pressures. A case study methodology has been adopted to study a focal company (an automotive battery company located in Brazil) and its stakeholders, including customers, its supplier, and the government. The results, synthesized through eight propositions, highlight the effect that the institutional environment exercises on generating the green bullwhip effect in the supply chain.","author":[{"dropping-particle":"","family":"Seles","given":"Bruno Michel Roman Pais","non-dropping-particle":"","parse-names":false,"suffix":""},{"dropping-particle":"","family":"Sousa Jabbour","given":"Ana Beatriz Lopes","non-dropping-particle":"de","parse-names":false,"suffix":""},{"dropping-particle":"","family":"Jabbour","given":"Charbel José Chiappetta","non-dropping-particle":"","parse-names":false,"suffix":""},{"dropping-particle":"","family":"Dangelico","given":"Rosa Maria","non-dropping-particle":"","parse-names":false,"suffix":""}],"container-title":"International Journal of Production Economics","id":"ITEM-2","issued":{"date-parts":[["2016"]]},"page":"342-355","publisher":"Elsevier","title":"The green bullwhip effect, the diffusion of green supply chain practices, and institutional pressures: Evidence from the automotive sector","type":"article-journal","volume":"182"},"uris":["http://www.mendeley.com/documents/?uuid=896d2c85-c766-4dd9-b178-612ea28d994f"]},{"id":"ITEM-3","itemData":{"DOI":"10.3390/su10103581","ISSN":"20711050","abstract":"Environmental burdens arise in the whole life cycle of construction. Waste and pollution are produced in the upstream and downstream of a construction project along the supply chains. The interdependency between on-site construction and off-site logistics also leads to an expansion effect of waste when a disturbance occurs. A related supply chain activated by construction activities should be taken into account to improve the sustainability in construction from a material and waste management perspective. However, it is unknown how the supply chain integration could contribute to the sustainable use of materials in construction. Therefore, an empirical investigation is conducted. A research model with eight latent-constructs is designed through a comprehensive literature review, and 70 completed survey questionnaires are received. Using PLS-SEM (partial least squares-structural equation modeling), sample data is analyzed and seven research hypotheses are examined. Results support the assumption that the construction supply chain integration had a positive correlation with the sustainable use of construction materials. Discussion and relevant suggestions are given for the future research.","author":[{"dropping-particle":"","family":"Zeng","given":"Ningshuang","non-dropping-particle":"","parse-names":false,"suffix":""},{"dropping-particle":"","family":"Liu","given":"Yan","non-dropping-particle":"","parse-names":false,"suffix":""},{"dropping-particle":"","family":"Mao","given":"Chao","non-dropping-particle":"","parse-names":false,"suffix":""},{"dropping-particle":"","family":"König","given":"Markus","non-dropping-particle":"","parse-names":false,"suffix":""}],"container-title":"Sustainability (Switzerland)","id":"ITEM-3","issue":"10","issued":{"date-parts":[["2018"]]},"title":"Investigating the relationship between construction supply chain integration and sustainable use of material: Evidence from China","type":"article-journal","volume":"10"},"uris":["http://www.mendeley.com/documents/?uuid=2177eabb-a048-467e-82b0-614296ca8333"]},{"id":"ITEM-4","itemData":{"DOI":"10.1016/j.jclepro.2017.10.046","ISSN":"09596526","abstract":"A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Production","id":"ITEM-4","issued":{"date-parts":[["2018"]]},"page":"1058-1067","title":"Supply chain collaboration in industrial symbiosis networks","type":"article-journal","volume":"171"},"uris":["http://www.mendeley.com/documents/?uuid=20a570de-bacf-423c-a7ed-fc4796e6dabf"]},{"id":"ITEM-5","itemData":{"DOI":"10.1016/j.jclepro.2010.09.017","ISSN":"09596526","abstract":"Due to increasing energy scarcity and environmental issues as well as the goal to develop low carbon society, the Chinese government initiated a comprehensive Energy Saving and Emission Reduction (ESER) program for sustainable production and consumption in 2005. Under the ESER program, Chinese manufacturers have struggled to reduce their environmental pollution and energy consumption. To achieve their ESER goals, Chinese manufacturers should cooperate with their suppliers and customers. However, it is not clear how to drive Chinese manufacturers to implement extended supply chain (ESC) practices for ESER goals, and what kinds of barriers exist. By utilizing a total of 299 usable questionnaires, we did descriptive analysis. Statistic results show that Chinese manufacturers implement ESC practices for ESER goals at a low level. Coercive, normative and mimetic drivers are generally weak while internal barriers are relatively higher. We further used hierarchical analysis to examine whether drivers motivate Chinese manufacturers to implement ESC practices for ESER goals, and whether barriers impede ESC practices. Main regression results and implications include: (1) Coercive drivers do not really motivate ESC practices for ESER goals. To promote ESC practices for the ESER goals, the Chinese government should enact stricter regulations and strengthen their enforcement level. (2) Normative drivers motivate Chinese manufacturers to implement sustainable purchasing. With the increasing environmental awareness of Chinese consumers, Chinese manufactures will have higher normative drivers and then be more proactive to implement sustainable purchasing. (3) Mimetic drivers promote both sustainable purchasing and sustainable customer cooperation. By learning from manufacturers in developed countries, especially those operating in China, Chinese manufacturers tend to implement ESC practice for ESER goals. (4) Internal barriers, such as lack of financial gains, resource and capability, are main obstacles for the implementation of sustainable customer cooperation. Thus, how to overcome internal barriers is a key for Chinese manufacturers to effectively and efficiently implement ESC practices for ESER goals. © 2010 Elsevier Ltd. All rights reserved.","author":[{"dropping-particle":"","family":"Zhu","given":"Qinghua","non-dropping-particle":"","parse-names":false,"suffix":""},{"dropping-particle":"","family":"Geng","given":"Yong","non-dropping-particle":"","parse-names":false,"suffix":""}],"container-title":"Journal of Cleaner Production","id":"ITEM-5","issued":{"date-parts":[["2013"]]},"page":"6-12","publisher":"Elsevier Ltd","title":"Drivers and barriers of extended supply chain practices for energy saving and emission reduction among Chinese manufacturers","type":"article-journal","volume":"40"},"uris":["http://www.mendeley.com/documents/?uuid=8d2a43d4-b85a-4a8e-8389-027b763ae0f8"]},{"id":"ITEM-6","itemData":{"DOI":"10.1108/SCM-06-2012-0201","ISSN":"13598546","abstract":"Purpose: The purpose of this paper is to explore the relationship between green supply chain integration (GSCI) and green innovation and to analyze the moderating effects of environmental uncertainty. Design/methodology/approach: A multi-dimensional approach was employed to develop a comprehensive theoretical framework which encompasses various aspects of GSCI, green innovation and environmental uncertainty. To identify the effects of GSCI and environmental uncertainty on green innovation, hierarchical moderated regression analysis was applied using questionnaire data from 211 Taiwanese, information technology (IT) manufacturers. Findings: Supplier, customer and internal integration enhance both green product and process innovations. Demand uncertainty positively moderates each GSCI-green innovation link. However, the moderating effect of technological uncertainty is insignificant. Research limitations/implications: This study conducted a cross-sectional investigation of the Taiwanese IT industry. Therefore, it lacks the advantages of a longitudinal case study and its findings cannot be generalized to other industries. Practical implications: This study argues that, to improve green innovation performance, managers should endeavor to integrate resources and capabilities within their organizations, suppliers and customers. It also suggests that managers should constantly follow demand trends in the market and maintain tight technological networks among supply chain partners. Originality/value: This study provides new insights into green supply chain management (GSCM) knowledge: theoretically creating GSCI-green innovation links with the natural-resource-based view, and empirically demonstrating that effective green innovation requires multi-dimensional GSCI. Furthermore, it develops a valid and reliable scale of environmental uncertainty for future research in GSCM, and presents the characteristics of implementing GSCI in Taiwan's IT industry. © Emerald Group Publishing Limited.","author":[{"dropping-particle":"","family":"Wu","given":"Guo Ciang","non-dropping-particle":"","parse-names":false,"suffix":""}],"container-title":"Supply Chain Management","id":"ITEM-6","issue":"5","issued":{"date-parts":[["2013"]]},"page":"539-552","title":"The influence of green supply chain integration and environmental uncertainty on green innovation in Taiwan's IT industry","type":"article-journal","volume":"18"},"uris":["http://www.mendeley.com/documents/?uuid=3c9e1d5b-a2ce-4e5a-b3ff-dd342b4a1355"]},{"id":"ITEM-7","itemData":{"DOI":"10.1080/00207543.2020.1756510","ISSN":"xxxx-xxxx","abstract":"This paper argues that mechanisms such as information sharing and collaboration used in green supply chain integration (GSCI) to improve information processing capacity can reduce uncertain outcomes of green product and process innovation. Based on data from a survey of Chinese (Hong Kong) firms, the paper tests whether the three dimensions of GSCI (green internal, customer and supplier integration) improve environmental performance and cost reduction by facilitating green product and process innovation. The results show that green customer integration improves cost and environmental performance through green process innovation (not green product innovation). Both green product and process innovations are facilitated by green customer integration (not green supplier integration), while both green customer and supplier integration significantly depend on green internal integration. These suggest that the distinctive information processing capacity created by green internal and customer integration can facilitate the green process innovation required to improve environmental and cost efficiency, while green product innovation and green supplier integration cannot create such efficiencies.","author":[{"dropping-particle":"","family":"Wong","given":"Chee Yew","non-dropping-particle":"","parse-names":false,"suffix":""},{"dropping-particle":"","family":"Wong","given":"Christina W.Y.","non-dropping-particle":"","parse-names":false,"suffix":""},{"dropping-particle":"","family":"Boon-itt","given":"Sakun","non-dropping-particle":"","parse-names":false,"suffix":""}],"container-title":"International Journal of Production Research","id":"ITEM-7","issue":"0","issued":{"date-parts":[["2020"]]},"page":"1-21","publisher":"Taylor &amp; Francis","title":"Effects of green supply chain integration and green innovation on environmental and cost performance","type":"article-journal","volume":"0"},"uris":["http://www.mendeley.com/documents/?uuid=fec488cc-8306-4952-9cbd-6b5433d87b9c"]},{"id":"ITEM-8","itemData":{"DOI":"10.1108/01443570610672248","ISSN":"01443577","abstract":"Purpose - This research aims to extend the \"collaborative paradigm\" proposed by others in prior research beyond a supply chain's core operations. To date, this paradigm has generated relatively little empirical research on peripheral, non-core areas such the natural environment. Antecedents (both plant-level and supply chain characteristics) of green supply chain practices (GSCP) are examined. Among possible antecedents, prior research pointed to supply chain integration - both logistical (tactical level) and technological (strategic level) - as a potentially important determinant of green practices. Design/methodology/approach - Green practices are defined along the two dimensions of environmental collaboration and monitoring. The empirical analysis used data from 84 plants in North America surveyed in 2002. Validity and reliability of scales for new and existing constructs were assessed through factor analysis. Hierarchical linear regression was used to test the hypotheses for the antecedents of GSCP. Findings - Technological integration with primary suppliers and major customers was positively linked to environmental monitoring and collaboration. For logistical integration, a linkage was found only with environmental monitoring of suppliers. Finally, as the supply base was reduced, the extent of environmental collaboration with primary suppliers increased. Research limitations/implications - Greater supply chain integration can benefit environment management in operations, and the collaborative paradigm can be extended to this domain. A limitation is that the empirical analysis focused on one industry representing a single echelon. Originality/value - This is one of the few studies that conceptualize and empirically test GSCP, and consider both and separately upstream and downstream interactions in the supply chain. © Emerald Group Publishing Limited.","author":[{"dropping-particle":"","family":"Vachon","given":"Stephan","non-dropping-particle":"","parse-names":false,"suffix":""},{"dropping-particle":"","family":"Klassen","given":"Robert D.","non-dropping-particle":"","parse-names":false,"suffix":""}],"container-title":"International Journal of Operations and Production Management","id":"ITEM-8","issue":"7","issued":{"date-parts":[["2006"]]},"page":"795-821","title":"Extending green practices across the supply chain: The impact of upstream and downstream integration","type":"article-journal","volume":"26"},"uris":["http://www.mendeley.com/documents/?uuid=bf5d75a1-73c3-4be8-aefe-2145b199155b"]},{"id":"ITEM-9","itemData":{"DOI":"10.1108/SCM-04-2014-0120","ISSN":"13598546","abstract":"Purpose-This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Management","id":"ITEM-9","issue":"2","issued":{"date-parts":[["2015"]]},"page":"139-150","title":"A nuanced view on supply chain integration: A coordinative and collaborative approach to operational and sustainability performance improvement","type":"article-journal","volume":"20"},"uris":["http://www.mendeley.com/documents/?uuid=174b8afa-dd16-4160-947a-5442a28b75d4"]},{"id":"ITEM-10","itemData":{"DOI":"10.1016/j.resconrec.2019.104517","ISSN":"18790658","abstract":"As the environmental mindset became increasingly present in the steel industry, so did the concerns with the developments of its market. In an attempt to address both sides of this challenge, this article aimed at identifying how the implementation of different Supply Chain Integration strategies oriented towards raw material self-sufficiency and resource ownership retention could affect circularity. The European steel industry was used as case study and the effects of closing material loops via Supply Chain Integration were tested by running simulations on an integrated Life Cycle Assessment and System Dynamics model. The results brought to light that different approaches can be environmentally and strategically promising, as well as able to drive improvements in raw material self-sufficiency and in resource ownership retention. Noteworthy were the adoption of vertical hedging strategies on the supply side, and of horizontal hedging strategies on end-of-life for either recycling, refurbishing or repair and maintenance services.","author":[{"dropping-particle":"","family":"Pinto","given":"Julian T.M.","non-dropping-particle":"","parse-names":false,"suffix":""},{"dropping-particle":"","family":"Diemer","given":"Arnaud","non-dropping-particle":"","parse-names":false,"suffix":""}],"container-title":"Resources, Conservation and Recycling","id":"ITEM-10","issue":"November 2018","issued":{"date-parts":[["2020"]]},"page":"104517","publisher":"Elsevier","title":"Supply chain integration strategies and circularity in the European steel industry","type":"article-journal","volume":"153"},"uris":["http://www.mendeley.com/documents/?uuid=852296ff-db39-4c0d-95d3-604405f2a1bc"]}],"mendeley":{"formattedCitation":"(Vachon &amp; Klassen, 2006; Wu, 2013; Zhu &amp; Geng, 2013; Sancha et al., 2015; Wiengarten &amp; Longoni, 2015; Seles et al., 2016; Herczeg et al., 2018; N. Zeng et al., 2018; Pinto &amp; Diemer, 2020; Wong et al., 2020)","plainTextFormattedCitation":"(Vachon &amp; Klassen, 2006; Wu, 2013; Zhu &amp; Geng, 2013; Sancha et al., 2015; Wiengarten &amp; Longoni, 2015; Seles et al., 2016; Herczeg et al., 2018; N. Zeng et al., 2018; Pinto &amp; Diemer, 2020; Wong et al., 2020)","previouslyFormattedCitation":"(Vachon &amp; Klassen, 2006; Wu, 2013; Zhu &amp; Geng, 2013; Sancha et al., 2015; Wiengarten &amp; Longoni, 2015; Seles et al., 2016; Herczeg et al., 2018; N. Zeng et al., 2018; Pinto &amp; Diemer, 2020; Wong et al., 2020)"},"properties":{"noteIndex":0},"schema":"https://github.com/citation-style-language/schema/raw/master/csl-citation.json"}</w:instrText>
            </w:r>
            <w:r w:rsidRPr="00BD11BE">
              <w:fldChar w:fldCharType="separate"/>
            </w:r>
            <w:r w:rsidRPr="00BD11BE">
              <w:rPr>
                <w:noProof/>
              </w:rPr>
              <w:t>(Vachon &amp; Klassen, 2006; Wu, 2013; Zhu &amp; Geng, 2013; Sancha et al., 2015; Wiengarten &amp; Longoni, 2015; Seles et al., 2016; Herczeg et al., 2018; N. Zeng et al., 2018; Pinto &amp; Diemer, 2020; Wong et al., 2020)</w:t>
            </w:r>
            <w:r w:rsidRPr="00BD11BE">
              <w:fldChar w:fldCharType="end"/>
            </w:r>
          </w:p>
        </w:tc>
      </w:tr>
    </w:tbl>
    <w:p w14:paraId="7CCBB23E" w14:textId="77777777" w:rsidR="00065347" w:rsidRDefault="00065347" w:rsidP="002F7336">
      <w:bookmarkStart w:id="109" w:name="_Toc49839828"/>
    </w:p>
    <w:p w14:paraId="36B87775" w14:textId="5967C3B4" w:rsidR="004164FF" w:rsidRPr="00446F10" w:rsidRDefault="004164FF" w:rsidP="005035B4">
      <w:pPr>
        <w:pStyle w:val="Heading3"/>
      </w:pPr>
      <w:bookmarkStart w:id="110" w:name="_Toc157759512"/>
      <w:r w:rsidRPr="00904DA0">
        <w:t>Literature</w:t>
      </w:r>
      <w:r w:rsidRPr="00446F10">
        <w:t xml:space="preserve"> </w:t>
      </w:r>
      <w:r w:rsidRPr="006D6C08">
        <w:t>review</w:t>
      </w:r>
      <w:r w:rsidRPr="00446F10">
        <w:t xml:space="preserve"> results</w:t>
      </w:r>
      <w:bookmarkEnd w:id="109"/>
      <w:bookmarkEnd w:id="110"/>
    </w:p>
    <w:p w14:paraId="5DCB88A9" w14:textId="167618A7" w:rsidR="004164FF" w:rsidRDefault="009E313C" w:rsidP="002F7336">
      <w:r w:rsidRPr="00E81FD2">
        <w:t xml:space="preserve">The three themes identified in the literature search are discussed one by one in the following sub-sections. The main contribution of the papers </w:t>
      </w:r>
      <w:r w:rsidR="00B651D9" w:rsidRPr="00E81FD2">
        <w:t>is</w:t>
      </w:r>
      <w:r w:rsidRPr="00E81FD2">
        <w:t xml:space="preserve"> highlighted in the light of the possible contribution to the understanding of the research problem of the underlying research project.</w:t>
      </w:r>
      <w:r w:rsidR="004164FF">
        <w:t xml:space="preserve"> </w:t>
      </w:r>
    </w:p>
    <w:p w14:paraId="6446AE55" w14:textId="25FCE381" w:rsidR="004164FF" w:rsidRPr="0001620B" w:rsidRDefault="00947F87" w:rsidP="002F7336">
      <w:pPr>
        <w:pStyle w:val="Heading4Paragraph"/>
      </w:pPr>
      <w:bookmarkStart w:id="111" w:name="_Toc49839829"/>
      <w:r>
        <w:t xml:space="preserve">2.4.1 </w:t>
      </w:r>
      <w:r w:rsidR="004164FF" w:rsidRPr="0001620B">
        <w:t>Practices, drivers and barriers towards the CE in supply chain</w:t>
      </w:r>
      <w:bookmarkEnd w:id="111"/>
      <w:r w:rsidR="004164FF" w:rsidRPr="0001620B">
        <w:t xml:space="preserve"> </w:t>
      </w:r>
    </w:p>
    <w:p w14:paraId="15DB2EBE" w14:textId="77777777" w:rsidR="009E313C" w:rsidRPr="00E81FD2" w:rsidRDefault="009E313C" w:rsidP="002F7336">
      <w:r w:rsidRPr="00E81FD2">
        <w:t xml:space="preserve">CE literature has grown exponentially in the last few years </w:t>
      </w:r>
      <w:r w:rsidRPr="00E81FD2">
        <w:fldChar w:fldCharType="begin" w:fldLock="1"/>
      </w:r>
      <w:r w:rsidRPr="00E81FD2">
        <w:instrText>ADDIN CSL_CITATION {"citationItems":[{"id":"ITEM-1","itemData":{"DOI":"10.1016/j.jclepro.2017.12.112","ISSN":"09596526","abstract":"Circular Economy (CE) aims to overcome the take-make-dispose linear pattern of production and consumption, proposing a circular system in which the value of products, materials and resources is maintained in the economy as long as possible. In recent years there has been a proliferation of scholars' publications on the topic. This study presents the results of a systematic literature review exploring the state-of-the-art of academic research on CE. The paper examines the CE body of literature with a systematic approach, to provide an exhaustive analysis of the phenomenon with rigorous and reproducible research criteria. The revisited material consists of 565 articles collected through the Web of Science and Scopus databases, and has been evaluated using specific structural dimensions to group literature into analytical categories. Starting from being a concept studied in connection with industrial ecology, CE has slowly acquired its independent role in academic research, framed mainly into environmental sustainability related studies. As a result of policies implementation, academic production is mainly concentrated in China and Europe, employing tools and methods for modelling processes and supporting decision-making for CE implementation (e.g. Life Cycle Assessment and Material Flow Analysis). CE studies follow three main lines of action: the first aims to change the social and economic dynamics at macro and administrative level; the second to support firms in circular processes implementation at micro level to spread new forms of consumption and product design; the third, developed at meso level, discusses industrial symbiosis experiences. CE is associated with a variety of concepts, and waste management emerges as the most relevant sub-sector. CE is also strongly connected with the concept of sustainability, proposing ways to operationalize its implementation at the environmental and economic level, while scholars only marginally consider social and institutional implications. The most explored practices are those related to cleaner production, aiming at reducing environmental impact and waste production along the life cycle of a product, and optimizing the performance and efficiency of processes. Conversely, studies on CE may devote greater attention to strategies for social and institutional changes, able to transform the upstream process of production and consumption. Considering business model strategies, scholars mainly focus on studying closin…","author":[{"dropping-particle":"","family":"Merli","given":"Roberto","non-dropping-particle":"","parse-names":false,"suffix":""},{"dropping-particle":"","family":"Preziosi","given":"Michele","non-dropping-particle":"","parse-names":false,"suffix":""},{"dropping-particle":"","family":"Acampora","given":"Alessia","non-dropping-particle":"","parse-names":false,"suffix":""}],"container-title":"Journal of Cleaner Production","id":"ITEM-1","issued":{"date-parts":[["2018"]]},"page":"703-722","publisher":"Elsevier Ltd","title":"How do scholars approach the circular economy? A systematic literature review","type":"article-journal","volume":"178"},"uris":["http://www.mendeley.com/documents/?uuid=97f5fac8-81bf-44c8-9904-9f7585f44b4d"]},{"id":"ITEM-2","itemData":{"DOI":"10.3390/su12104069","author":[{"dropping-particle":"","family":"Borrello","given":"Massimiliano","non-dropping-particle":"","parse-names":false,"suffix":""},{"dropping-particle":"","family":"Pascucci","given":"Stefano","non-dropping-particle":"","parse-names":false,"suffix":""},{"dropping-particle":"","family":"Cembalo","given":"Luigi","non-dropping-particle":"","parse-names":false,"suffix":""}],"id":"ITEM-2","issued":{"date-parts":[["2020"]]},"page":"1-24","title":"Three Propositions to Unify Circular Economy Research : A Review","type":"article-journal"},"uris":["http://www.mendeley.com/documents/?uuid=debe92cf-7425-48df-8ed2-03339b54c2c0"]}],"mendeley":{"formattedCitation":"(Merli et al., 2018; Borrello et al., 2020)","plainTextFormattedCitation":"(Merli et al., 2018; Borrello et al., 2020)","previouslyFormattedCitation":"(Merli et al., 2018; Borrello et al., 2020)"},"properties":{"noteIndex":0},"schema":"https://github.com/citation-style-language/schema/raw/master/csl-citation.json"}</w:instrText>
      </w:r>
      <w:r w:rsidRPr="00E81FD2">
        <w:fldChar w:fldCharType="separate"/>
      </w:r>
      <w:r w:rsidRPr="00E81FD2">
        <w:rPr>
          <w:noProof/>
        </w:rPr>
        <w:t>(Merli et al., 2018; Borrello et al., 2020)</w:t>
      </w:r>
      <w:r w:rsidRPr="00E81FD2">
        <w:fldChar w:fldCharType="end"/>
      </w:r>
      <w:r w:rsidRPr="00E81FD2">
        <w:t>. The literature has already focused on reviewing CE practices, drivers and barriers in real world industrial context. Masi et al. (2018) identified green supply chain practices adopted in a sample of firms: companies’ efforts focused on resource and energy utilisation efficiency practices, while investment recovery, green purchasing and customer cooperation practices – which required an active involvement of the suppliers and customers – were rarely considered. An increasing number of scholars involved in sustainability studies</w:t>
      </w:r>
      <w:r>
        <w:t>,</w:t>
      </w:r>
      <w:r w:rsidRPr="00E81FD2">
        <w:t xml:space="preserve"> have performed systematic analyses of Corporate Sustainability (CS) reports. </w:t>
      </w:r>
      <w:r w:rsidRPr="00E81FD2">
        <w:rPr>
          <w:noProof/>
        </w:rPr>
        <w:t xml:space="preserve">Ruokonen and </w:t>
      </w:r>
      <w:r w:rsidRPr="00E81FD2">
        <w:rPr>
          <w:noProof/>
        </w:rPr>
        <w:lastRenderedPageBreak/>
        <w:t xml:space="preserve">Temmes (2019) concentrated on the mining sector and on the existing gap between commitments and implementation of sustainability actions. </w:t>
      </w:r>
      <w:r w:rsidRPr="00E81FD2">
        <w:t xml:space="preserve">CS reports have been used to evaluate the diffusion and the quality of eco-design practices within ICT sector </w:t>
      </w:r>
      <w:r w:rsidRPr="00E81FD2">
        <w:fldChar w:fldCharType="begin" w:fldLock="1"/>
      </w:r>
      <w:r w:rsidRPr="00E81FD2">
        <w:instrText>ADDIN CSL_CITATION {"citationItems":[{"id":"ITEM-1","itemData":{"DOI":"10.1016/j.jclepro.2016.12.047","ISSN":"09596526","abstract":"Circular economy ambitions demand considering lifecycle of products within product development. From the perspective of the circular economy, environmental considerations should, for example, increasingly entail product's use phase not only to increase product's energy-efficiency, but also to prolong the time in use. This paper investigates how these considerations are addressed within information and communications technology (ICT) sector. Drawing from previous research in constructing the hypotheses, it is examined how companies report about their quantitative environmental targets for products, and what topical areas are in focus for their environmentally conscious practices related to products’ reuse. Then, relationships with these published quantitative targets and environmental performance are assessed. Content analysis method is used to derive data from 43 sustainability reports. Our results suggest that being mature enough to publish quantitative environmental targets for products is positively associated with lifecycle thinking, considering the durability of products, and remanufacture. This exploratory study reveals among others, that although published, quantitative environmental targets for products are not yet dominantly present; they are positively associated with environmental performance measures. This includes capability to report quantitatively on flows of reclaimed products, and positions in external ranking. But, we also highlight the need for more discussion around reuse alternatives that are not commonly published among companies in this sample. The paper concludes by discussing the applicability of this research method.","author":[{"dropping-particle":"","family":"Sihvonen","given":"Siru","non-dropping-particle":"","parse-names":false,"suffix":""},{"dropping-particle":"","family":"Partanen","given":"Jouni","non-dropping-particle":"","parse-names":false,"suffix":""}],"container-title":"Journal of Cleaner Production","id":"ITEM-1","issued":{"date-parts":[["2017"]]},"page":"769-783","publisher":"Elsevier Ltd","title":"Eco-design practices with a focus on quantitative environmental targets: An exploratory content analysis within ICT sector","type":"article-journal","volume":"143"},"uris":["http://www.mendeley.com/documents/?uuid=727b240b-0fba-4ec3-b051-c03741e39852"]}],"mendeley":{"formattedCitation":"(Sihvonen &amp; Partanen, 2017)","plainTextFormattedCitation":"(Sihvonen &amp; Partanen, 2017)","previouslyFormattedCitation":"(Sihvonen &amp; Partanen, 2017)"},"properties":{"noteIndex":0},"schema":"https://github.com/citation-style-language/schema/raw/master/csl-citation.json"}</w:instrText>
      </w:r>
      <w:r w:rsidRPr="00E81FD2">
        <w:fldChar w:fldCharType="separate"/>
      </w:r>
      <w:r w:rsidRPr="00E81FD2">
        <w:rPr>
          <w:noProof/>
        </w:rPr>
        <w:t>(Sihvonen &amp; Partanen, 2017)</w:t>
      </w:r>
      <w:r w:rsidRPr="00E81FD2">
        <w:fldChar w:fldCharType="end"/>
      </w:r>
      <w:r w:rsidRPr="00E81FD2">
        <w:t xml:space="preserve">. Stewart and Niero (2019) assessed the CE practices in the Fast Moving Consumer Goods industry – linked with the reduction and prevention of waste streams, with the reuse of products and with the recycling of end of life materials. </w:t>
      </w:r>
      <w:proofErr w:type="spellStart"/>
      <w:r w:rsidRPr="00E81FD2">
        <w:t>Gusmerotti</w:t>
      </w:r>
      <w:proofErr w:type="spellEnd"/>
      <w:r w:rsidRPr="00E81FD2">
        <w:t xml:space="preserve"> et al. (2019) classified Italian manufacturing companies into clusters according to different levels of adoption of the CE paradigm: the great majority had still a linear business model, or focused only on improving resource efficiency, while a small portion was looked at increasing market competitiveness through a product stewardship strategy or at integrating CE principles in all business functions.</w:t>
      </w:r>
    </w:p>
    <w:p w14:paraId="149CE1AE" w14:textId="77777777" w:rsidR="009E313C" w:rsidRPr="00E81FD2" w:rsidRDefault="009E313C" w:rsidP="002F7336">
      <w:r w:rsidRPr="00E81FD2">
        <w:t xml:space="preserve">Different authors have expanded the scope of gathering CE applications, by investigating also drivers and barriers behind their implementation </w:t>
      </w:r>
      <w:r w:rsidRPr="00E81FD2">
        <w:fldChar w:fldCharType="begin" w:fldLock="1"/>
      </w:r>
      <w:r w:rsidRPr="00E81FD2">
        <w:instrText>ADDIN CSL_CITATION {"citationItems":[{"id":"ITEM-1","itemData":{"DOI":"10.1080/00207543.2018.1542176","ISSN":"1366588X","abstract":"Despite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Research","id":"ITEM-1","issue":"23","issued":{"date-parts":[["2019"]]},"page":"7395-7422","publisher":"Taylor &amp; Francis","title":"Challenges in supply chain redesign for the Circular Economy: a literature review and a multiple case study","type":"article-journal","volume":"57"},"uris":["http://www.mendeley.com/documents/?uuid=66ed4a77-74f5-4258-a3a6-d2c5ce0085d1"]},{"id":"ITEM-2","itemData":{"DOI":"10.1080/09537287.2018.1449246","ISSN":"13665871","abstract":"The circular economy (CE) proposes an economic framework based on circular flows of products and materials. Transition towards a CE is underway, therefore, understanding the nature and state of this transition is important for creating effective policies and business strategies. Some studies have focused on specific contexts and pockets of good practice. This exploratory, survey-based study of 77 companies investigates the shift towards the CE using a taxonomy of practices and barriers. Results show that firms favour practices related to resource and energy utilisation efficiency, while practices related to investment recovery, green purchasing and customer cooperation are less prevalent. Eco-design and internal environmental management practices have a medium level of implementation. The significant upfront investment cost, lack of awareness or sense of urgency were identified as implementation barriers. Results suggest the CE is driven by economic not environmental considerations, and the deployment of practices remains within a firm rather than across the supply chain.","author":[{"dropping-particle":"","family":"Masi","given":"Donato","non-dropping-particle":"","parse-names":false,"suffix":""},{"dropping-particle":"","family":"Kumar","given":"Vikas","non-dropping-particle":"","parse-names":false,"suffix":""},{"dropping-particle":"","family":"Garza-Reyes","given":"Jose Arturo","non-dropping-particle":"","parse-names":false,"suffix":""},{"dropping-particle":"","family":"Godsell","given":"Janet","non-dropping-particle":"","parse-names":false,"suffix":""}],"container-title":"Production Planning and Control","id":"ITEM-2","issue":"6","issued":{"date-parts":[["2018"]]},"page":"539-550","publisher":"Taylor &amp; Francis","title":"Towards a more circular economy: exploring the awareness, practices, and barriers from a focal firm perspective","type":"article-journal","volume":"29"},"uris":["http://www.mendeley.com/documents/?uuid=029a547a-2bbc-46c5-90ce-760a1c73caf5"]},{"id":"ITEM-3","itemData":{"DOI":"10.1080/00207543.2017.1402141","ISSN":"1366588X","abstract":"In the last few years, the circular economy has received considerable attention worldwide because it offers an opportunity to optimise and promote sustainable production and consumption through new models based on continuous growth and limitless resources. Although various advantages have been identified that emerge from the application of a circular economy, no concrete studies exist that investigate current state-of-the-art drivers, barriers and practices in this relevant field. An in-depth exploration of current practices would enhance the circular economy’s significance and would help understand its present level of implementation. With this concern, this study provides an analysis of the drivers, barriers and practices that influence the implementation of the circular economy in the context of supply chains through a systematic review. In order to analyse the circular economy’s level of implementation, we correlate stakeholders’ perspectives with drivers, barriers, and practices; thus, a multi-perspective framework is proposed. From the results, it is evident that among various stakeholders, the governmental perspective has the maximum positive impact on the implementation of the circular economy in supply chains. Specifically, the circular economy can be promoted through laws, policies, risk reduction (through tax levies) and strict governance.","author":[{"dropping-particle":"","family":"Govindan","given":"Kannan","non-dropping-particle":"","parse-names":false,"suffix":""},{"dropping-particle":"","family":"Hasanagic","given":"Mia","non-dropping-particle":"","parse-names":false,"suffix":""}],"container-title":"International Journal of Production Research","id":"ITEM-3","issue":"1-2","issued":{"date-parts":[["2018"]]},"page":"278-311","publisher":"Taylor &amp; Francis","title":"A systematic review on drivers, barriers, and practices towards circular economy: a supply chain perspective","type":"article-journal","volume":"56"},"uris":["http://www.mendeley.com/documents/?uuid=ed71e2c9-a156-48c2-a01b-2889609ef16f"]},{"id":"ITEM-4","itemData":{"DOI":"10.1016/j.jclepro.2019.05.044","ISSN":"09596526","abstract":"Much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adopt more circular business models. On the other hand, no significant evidence was found of any influence exerted by the drivers related to regulatory pressure, resource exploitation risks, and the pursuit of environmenta</w:instrText>
      </w:r>
      <w:r w:rsidRPr="00E81FD2">
        <w:rPr>
          <w:lang w:val="it-IT"/>
        </w:rPr>
        <w:instrText>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Production","id":"ITEM-4","issued":{"date-parts":[["2019"]]},"page":"314-327","publisher":"Elsevier Ltd","title":"Drivers and approaches to the circular economy in manufacturing firms","type":"article-journal","volume":"230"},"uris":["http://www.mendeley.com/documents/?uuid=dba2b38b-10ca-4ca4-9ac5-fec8ed7d491b"]}],"mendeley":{"formattedCitation":"(Govindan &amp; Hasanagic, 2018; Masi et al., 2018; Bressanelli et al., 2019; Gusmerotti et al., 2019)","plainTextFormattedCitation":"(Govindan &amp; Hasanagic, 2018; Masi et al., 2018; Bressanelli et al., 2019; Gusmerotti et al., 2019)","previouslyFormattedCitation":"(Govindan &amp; Hasanagic, 2018; Masi et al., 2018; Bressanelli et al., 2019; Gusmerotti et al., 2019)"},"properties":{"noteIndex":0},"schema":"https://github.com/citation-style-language/schema/raw/master/csl-citation.json"}</w:instrText>
      </w:r>
      <w:r w:rsidRPr="00E81FD2">
        <w:fldChar w:fldCharType="separate"/>
      </w:r>
      <w:r w:rsidRPr="00E81FD2">
        <w:rPr>
          <w:noProof/>
          <w:lang w:val="it-IT"/>
        </w:rPr>
        <w:t>(Govindan &amp; Hasanagic, 2018; Masi et al., 2018; Bressanelli et al., 2019; Gusmerotti et al., 2019)</w:t>
      </w:r>
      <w:r w:rsidRPr="00E81FD2">
        <w:fldChar w:fldCharType="end"/>
      </w:r>
      <w:r w:rsidRPr="00E81FD2">
        <w:rPr>
          <w:lang w:val="it-IT"/>
        </w:rPr>
        <w:t xml:space="preserve">. </w:t>
      </w:r>
      <w:r w:rsidRPr="00E81FD2">
        <w:t xml:space="preserve">Economic drivers seem to be the most important for companies and weak economic incentives or high up-front investments for firms are classified as common CE barriers. Societal barriers referred to an absence of societal concern on resource scarcity and environment. The lack of the disclosure of environmental information by firms was one of the main informational barriers, while institutional ones referred, for example, to low taxes on virgin materials, which could undermine the economic convenience of CE initiatives. The most frequently mentioned barriers in the literature </w:t>
      </w:r>
      <w:r w:rsidRPr="00E81FD2">
        <w:fldChar w:fldCharType="begin" w:fldLock="1"/>
      </w:r>
      <w:r w:rsidRPr="00E81FD2">
        <w:instrText>ADDIN CSL_CITATION {"citationItems":[{"id":"ITEM-1","itemData":{"DOI":"10.1080/00207543.2017.1402141","ISSN":"1366588X","abstract":"In the last few years, the circular economy has received considerable attention worldwide because it offers an opportunity to optimise and promote sustainable production and consumption through new models based on continuous growth and limitless resources. Although various advantages have been identified that emerge from the application of a circular economy, no concrete studies exist that investigate current state-of-the-art drivers, barriers and practices in this relevant field. An in-depth exploration of current practices would enhance the circular economy’s significance and would help understand its present level of implementation. With this concern, this study provides an analysis of the drivers, barriers and practices that influence the implementation of the circular economy in the context of supply chains through a systematic review. In order to analyse the circular economy’s level of implementation, we correlate stakeholders’ perspectives with drivers, barriers, and practices; thus, a multi-perspective framework is proposed. From the results, it is evident that among various stakeholders, the governmental perspective has the maximum positive impact on the implementation of the circular economy in supply chains. Specifically, the circular economy can be promoted through laws, policies, risk reduction (through tax levies) and strict governance.","author":[{"dropping-particle":"","family":"Govindan","given":"Kannan","non-dropping-particle":"","parse-names":false,"suffix":""},{"dropping-particle":"","family":"Hasanagic","given":"Mia","non-dropping-particle":"","parse-names":false,"suffix":""}],"container-title":"International Journal of Production Research","id":"ITEM-1","issue":"1-2","issued":{"date-parts":[["2018"]]},"page":"278-311","publisher":"Taylor &amp; Francis","title":"A systematic review on drivers, barriers, and practices towards circular economy: a supply chain perspective","type":"article-journal","volume":"56"},"uris":["http://www.mendeley.com/documents/?uuid=ed71e2c9-a156-48c2-a01b-2889609ef16f"]}],"mendeley":{"formattedCitation":"(Govindan &amp; Hasanagic, 2018)","plainTextFormattedCitation":"(Govindan &amp; Hasanagic, 2018)","previouslyFormattedCitation":"(Govindan &amp; Hasanagic, 2018)"},"properties":{"noteIndex":0},"schema":"https://github.com/citation-style-language/schema/raw/master/csl-citation.json"}</w:instrText>
      </w:r>
      <w:r w:rsidRPr="00E81FD2">
        <w:fldChar w:fldCharType="separate"/>
      </w:r>
      <w:r w:rsidRPr="00E81FD2">
        <w:rPr>
          <w:noProof/>
        </w:rPr>
        <w:t>(Govindan &amp; Hasanagic, 2018)</w:t>
      </w:r>
      <w:r w:rsidRPr="00E81FD2">
        <w:fldChar w:fldCharType="end"/>
      </w:r>
      <w:r w:rsidRPr="00E81FD2">
        <w:t xml:space="preserve"> are consumers’ perception towards reused components, and technological limitations on the tracking of recycled materials. Other studies mentioned other classes of barriers while confirming the presence of technical challenges (Bressanelli et al., 2019; Masi et al., 2018). By exploring real implementation challenges, other authors conclude that most of the barriers are cultural and institutional: low prices of virgin materials, lack of consumer acceptance, as well as lack of awareness in company culture </w:t>
      </w:r>
      <w:r w:rsidRPr="00E81FD2">
        <w:fldChar w:fldCharType="begin" w:fldLock="1"/>
      </w:r>
      <w:r w:rsidRPr="00E81FD2">
        <w:instrText>ADDIN CSL_CITATION {"citationItems":[{"id":"ITEM-1","itemData":{"DOI":"10.1016/j.ecolecon.2018.04.028","ISSN":"09218009","abstract":"The circular economy concept is much discussed in the European Union (EU), but only limited progress has been accomplished so far regarding its implementation. Most scholarly studies blame this on various technological barriers. Our work rebuts these studies. We present the first large-N-study on circular economy barriers in the EU (208 survey respondents, 47 expert interviews). We find that cultural barriers, particularly a lack of consumer interest and awareness as well as a hesitant company culture, are considered the main circular economy barriers by businesses and policy-makers. These are driven by market barriers which, in turn, are induced by a lack of synergistic governmental interventions to accelerate the transition towards a circular economy. Meanwhile, not a single technological barrier is ranked among the most pressing circular economy barriers, according to our research. Overall, our work suggests that circular economy is a niche discussion among sustainable development professionals at this stage. Significant efforts need to be undertaken for the concept to maintain its momentum.","author":[{"dropping-particle":"","family":"Kirchherr","given":"Julian","non-dropping-particle":"","parse-names":false,"suffix":""},{"dropping-particle":"","family":"Piscicelli","given":"Laura","non-dropping-particle":"","parse-names":false,"suffix":""},{"dropping-particle":"","family":"Bour","given":"Ruben","non-dropping-particle":"","parse-names":false,"suffix":""},{"dropping-particle":"","family":"Kostense-Smit","given":"Erica","non-dropping-particle":"","parse-names":false,"suffix":""},{"dropping-particle":"","family":"Muller","given":"Jennifer","non-dropping-particle":"","parse-names":false,"suffix":""},{"dropping-particle":"","family":"Huibrechtse-Truijens","given":"Anne","non-dropping-particle":"","parse-names":false,"suffix":""},{"dropping-particle":"","family":"Hekkert","given":"Marko","non-dropping-particle":"","parse-names":false,"suffix":""}],"container-title":"Ecological Economics","id":"ITEM-1","issue":"December 2017","issued":{"date-parts":[["2018"]]},"page":"264-272","publisher":"Elsevier","title":"Barriers to the Circular Economy: Evidence From the European Union (EU)","type":"article-journal","volume":"150"},"uris":["http://www.mendeley.com/documents/?uuid=a9277404-ee50-4c75-b7b3-f338cd89b5bb"]}],"mendeley":{"formattedCitation":"(Kirchherr et al., 2018)","plainTextFormattedCitation":"(Kirchherr et al., 2018)","previouslyFormattedCitation":"(Kirchherr et al., 2018)"},"properties":{"noteIndex":0},"schema":"https://github.com/citation-style-language/schema/raw/master/csl-citation.json"}</w:instrText>
      </w:r>
      <w:r w:rsidRPr="00E81FD2">
        <w:fldChar w:fldCharType="separate"/>
      </w:r>
      <w:r w:rsidRPr="00E81FD2">
        <w:rPr>
          <w:noProof/>
        </w:rPr>
        <w:t>(Kirchherr et al., 2018)</w:t>
      </w:r>
      <w:r w:rsidRPr="00E81FD2">
        <w:fldChar w:fldCharType="end"/>
      </w:r>
      <w:r w:rsidRPr="00E81FD2">
        <w:t xml:space="preserve">. Accordingly, the role of government is highlighted </w:t>
      </w:r>
      <w:r w:rsidRPr="00E81FD2">
        <w:fldChar w:fldCharType="begin" w:fldLock="1"/>
      </w:r>
      <w:r w:rsidRPr="00E81FD2">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applications","type":"article-journal","volume":"66"},"uris":["http://www.mendeley.com/documents/?uuid=5dd8e2c4-fae0-4040-ae7c-ed96e73d9ca4"]},{"id":"ITEM-2","itemData":{"DOI":"10.1080/00207543.2017.1402141","ISSN":"1366588X","abstract":"In the last few years, the circular economy has received considerable attention worldwide because it offers an opportunity to optimise and promote sustainable production and consumption through new models based on continuous growth and limitless resources. Although various advantages have been identified that emerge from the application of a circular economy, no concrete studies exist that investigate current state-of-the-art drivers, barriers and practices in this relevant field. An in-depth exploration of current practices would enhance the circular economy’s significance and would help understand its present level of implementation. With this concern, this study provides an analysis of the drivers, barriers and practices that influence the implementation of the circular economy in the context of supply chains through a systematic review. In order to analyse the circular economy’s level of implementation, we correlate stakeholders’ perspectives with drivers, barriers, and practices; thus, a multi-perspective framework is proposed. From the results, it is evident that among various stakeholders, the governmental perspective has the maximum positive impact on the implementation of the circular economy in supply chains. Specifically, the circular economy can be promoted through laws, policies, risk reduction (through tax levies) and strict governance.","author":[{"dropping-particle":"","family":"Govindan","given":"Kannan","non-dropping-particle":"","parse-names":false,"suffix":""},{"dropping-particle":"","family":"Hasanagic","given":"Mia","non-dropping-particle":"","parse-names":false,"suffix":""}],"container-title":"International Journal of Production Research","id":"ITEM-2","issue":"1-2","issued":{"date-parts":[["2018"]]},"page":"278-311","publisher":"Taylor &amp; Francis","title":"A systematic review on drivers, barriers, and practices towards circular economy: a supply chain perspective","type":"article-journal","volume":"56"},"uris":["http://www.mendeley.com/documents/?uuid=ed71e2c9-a156-48c2-a01b-2889609ef16f"]}],"mendeley":{"formattedCitation":"(Genovese et al., 2017; Govindan &amp; Hasanagic, 2018)","plainTextFormattedCitation":"(Genovese et al., 2017; Govindan &amp; Hasanagic, 2018)","previouslyFormattedCitation":"(Genovese et al., 2017; Govindan &amp; Hasanagic, 2018)"},"properties":{"noteIndex":0},"schema":"https://github.com/citation-style-language/schema/raw/master/csl-citation.json"}</w:instrText>
      </w:r>
      <w:r w:rsidRPr="00E81FD2">
        <w:fldChar w:fldCharType="separate"/>
      </w:r>
      <w:r w:rsidRPr="00E81FD2">
        <w:rPr>
          <w:noProof/>
        </w:rPr>
        <w:t>(Genovese et al., 2017; Govindan &amp; Hasanagic, 2018)</w:t>
      </w:r>
      <w:r w:rsidRPr="00E81FD2">
        <w:fldChar w:fldCharType="end"/>
      </w:r>
      <w:r w:rsidRPr="00E81FD2">
        <w:t xml:space="preserve">, to build incentives for business initiatives and win market barriers. </w:t>
      </w:r>
    </w:p>
    <w:p w14:paraId="618A7B98" w14:textId="413F2262" w:rsidR="009E313C" w:rsidRPr="00E81FD2" w:rsidRDefault="009E313C" w:rsidP="002F7336">
      <w:r w:rsidRPr="00E81FD2">
        <w:t xml:space="preserve">Some initial studies have mentioned both institutional pressures and supply chain integration. </w:t>
      </w:r>
      <w:proofErr w:type="spellStart"/>
      <w:r w:rsidRPr="00E81FD2">
        <w:t>Ranta</w:t>
      </w:r>
      <w:proofErr w:type="spellEnd"/>
      <w:r w:rsidRPr="00E81FD2">
        <w:t xml:space="preserve"> et al. (2018) adopted IT lenses to evaluate drivers and barriers in different institutional environments (China, Europe and the USA): recycling was the primary CE action, whereas other CE practices, like reuse appeared not to be supported by the regulatory nor the cultural-</w:t>
      </w:r>
      <w:r w:rsidRPr="00E81FD2">
        <w:lastRenderedPageBreak/>
        <w:t xml:space="preserve">cognitive institutional environment </w:t>
      </w:r>
      <w:r w:rsidRPr="00E81FD2">
        <w:fldChar w:fldCharType="begin" w:fldLock="1"/>
      </w:r>
      <w:r w:rsidRPr="00E81FD2">
        <w:instrText>ADDIN CSL_CITATION {"citationItems":[{"id":"ITEM-1","itemData":{"DOI":"10.1016/j.resconrec.2017.08.017","ISSN":"18790658","abstract":"The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Recycling","id":"ITEM-1","issue":"August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Europe","type":"article-journal","volume":"135"},"uris":["http://www.mendeley.com/documents/?uuid=9e3263bd-e8a0-4a47-9772-35fddaf67ff7"]}],"mendeley":{"formattedCitation":"(Ranta et al., 2018)","plainTextFormattedCitation":"(Ranta et al., 2018)","previouslyFormattedCitation":"(Ranta et al., 2018)"},"properties":{"noteIndex":0},"schema":"https://github.com/citation-style-language/schema/raw/master/csl-citation.json"}</w:instrText>
      </w:r>
      <w:r w:rsidRPr="00E81FD2">
        <w:fldChar w:fldCharType="separate"/>
      </w:r>
      <w:r w:rsidRPr="00E81FD2">
        <w:rPr>
          <w:noProof/>
        </w:rPr>
        <w:t>(Ranta et al., 2018)</w:t>
      </w:r>
      <w:r w:rsidRPr="00E81FD2">
        <w:fldChar w:fldCharType="end"/>
      </w:r>
      <w:r w:rsidRPr="00E81FD2">
        <w:t xml:space="preserve">. Bressanelli et al. (2019) identified the most relevant challenges for CSCs and also the mechanisms organisations could use to address them. Some challenges included market cannibalisation of CE products and the impact of fashion changes, while some of the mechanisms could be linked to the concept of SCI – for example establishing partnerships or sharing information among different supply chain actors </w:t>
      </w:r>
      <w:r w:rsidRPr="00E81FD2">
        <w:fldChar w:fldCharType="begin" w:fldLock="1"/>
      </w:r>
      <w:r w:rsidRPr="00E81FD2">
        <w:instrText>ADDIN CSL_CITATION {"citationItems":[{"id":"ITEM-1","itemData":{"DOI":"10.1080/00207543.2018.1542176","ISSN":"1366588X","abstract":"Despite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Research","id":"ITEM-1","issue":"23","issued":{"date-parts":[["2019"]]},"page":"7395-7422","publisher":"Taylor &amp; Francis","title":"Challenges in supply chain redesign for the Circular Economy: a literature review and a multiple case study","type":"article-journal","volume":"57"},"uris":["http://www.mendeley.com/documents/?uuid=66ed4a77-74f5-4258-a3a6-d2c5ce0085d1"]}],"mendeley":{"formattedCitation":"(Bressanelli et al., 2019)","plainTextFormattedCitation":"(Bressanelli et al., 2019)","previouslyFormattedCitation":"(Bressanelli et al., 2019)"},"properties":{"noteIndex":0},"schema":"https://github.com/citation-style-language/schema/raw/master/csl-citation.json"}</w:instrText>
      </w:r>
      <w:r w:rsidRPr="00E81FD2">
        <w:fldChar w:fldCharType="separate"/>
      </w:r>
      <w:r w:rsidRPr="00E81FD2">
        <w:rPr>
          <w:noProof/>
        </w:rPr>
        <w:t>(Bressanelli et al., 2019)</w:t>
      </w:r>
      <w:r w:rsidRPr="00E81FD2">
        <w:fldChar w:fldCharType="end"/>
      </w:r>
      <w:r w:rsidRPr="00E81FD2">
        <w:t xml:space="preserve">. Collaboration across the whole value chain - sharing knowledge on products and processes, developing collaborative approaches (training for supplier development) investing in systems – is considered an enabler of CE adoption </w:t>
      </w:r>
      <w:r w:rsidRPr="00E81FD2">
        <w:fldChar w:fldCharType="begin" w:fldLock="1"/>
      </w:r>
      <w:r w:rsidRPr="00E81FD2">
        <w:instrText>ADDIN CSL_CITATION {"citationItems":[{"id":"ITEM-1","itemData":{"DOI":"10.1108/MD-10-2018-1111","ISSN":"00251747","abstract":"Purpose: The purpose of this paper is twofold: first, to advance the knowledge of Circular Business Models (BMs) over linear models by focusing on new dynamics which are unique to developing countries and have mostly been overlooked by contemporary literature; and second, to bring to the fore aspects of human-sphere which are currently under-researched in the circular economy (CE) domain. Therefore, the research explores how collaboration can facilitate the transition of a developing country’s economy through the creation of value from circular BMs and human-sphere. Design/methodology/approach: To fulfill the research objectives, the authors apply natural resource-based view (NRBV) theory to an in-depth case study. The authors draw the data from semi-structured interviews and observations in North African manufacturing companies. Findings: It was found that multi-stakeholder collaboration is pertinent in implementing CE, especially in developing countries. Collaboration between companies, focusing on CE BMs, with other companies/SMEs could lead to technology transfer and organizational learning necessary for resource efficiency (RE) and clean technology (CT) – the basis for CE. The authors propose a model for collaboration as an enabler for CE. Research limitations/implications: The analysis found multi-stakeholder collaboration to be an important antecedent to CE implementation in a developing country context. Furthermore, the authors found multinational companies who implement CE BMs generate a beneficial symbiotic relationship with local businesses. These benefits mainly revolve around technology transfer and organizational learning which is necessary for RE and CT – the basis for CE. Therefore, to advance knowledge and practice in this area, the authors propose a model for collaboration as an enabler for CE. Practical implications: The authors argue for the importance of collaboration in advancing CE practices which can yield tangible benefits for developing economies. Originality/value: This paper helps address the lack of theory driven research in CE. The paper is a pioneer in this research field as it proposes a theoretical framework for collaboration in CE drawing on from NRBV.","author":[{"dropping-particle":"","family":"Mishra","given":"Jyoti L.","non-dropping-particle":"","parse-names":false,"suffix":""},{"dropping-particle":"","family":"Chiwenga","given":"Kudzai Dominic","non-dropping-particle":"","parse-names":false,"suffix":""},{"dropping-particle":"","family":"Ali","given":"Khaoula","non-dropping-particle":"","parse-names":false,"suffix":""}],"container-title":"Management Decision","id":"ITEM-1","issued":{"date-parts":[["2019"]]},"title":"Collaboration as an enabler for circular economy: a case study of a developing country","type":"article-journal"},"uris":["http://www.mendeley.com/documents/?uuid=8e7df8df-63f7-489f-9af8-f523168f390d"]}],"mendeley":{"formattedCitation":"(Mishra et al., 2019)","plainTextFormattedCitation":"(Mishra et al., 2019)","previouslyFormattedCitation":"(Mishra et al., 2019)"},"properties":{"noteIndex":0},"schema":"https://github.com/citation-style-language/schema/raw/master/csl-citation.json"}</w:instrText>
      </w:r>
      <w:r w:rsidRPr="00E81FD2">
        <w:fldChar w:fldCharType="separate"/>
      </w:r>
      <w:r w:rsidRPr="00E81FD2">
        <w:rPr>
          <w:noProof/>
        </w:rPr>
        <w:t>(Mishra et al., 2019)</w:t>
      </w:r>
      <w:r w:rsidRPr="00E81FD2">
        <w:fldChar w:fldCharType="end"/>
      </w:r>
      <w:r w:rsidRPr="00E81FD2">
        <w:t xml:space="preserve">. However, most of the mentioned articles had primarily a descriptive </w:t>
      </w:r>
      <w:r w:rsidR="00B651D9" w:rsidRPr="00E81FD2">
        <w:t>purpose and</w:t>
      </w:r>
      <w:r>
        <w:t xml:space="preserve"> were </w:t>
      </w:r>
      <w:r w:rsidRPr="00E81FD2">
        <w:t>not aiming at exploring factors behind the transition of supply chains towards the CE from a theoretical point of view.</w:t>
      </w:r>
    </w:p>
    <w:p w14:paraId="75F91D5E" w14:textId="18B45694" w:rsidR="004164FF" w:rsidRDefault="009E313C" w:rsidP="002F7336">
      <w:r w:rsidRPr="00E81FD2">
        <w:t>The literature on the CE at the supply chain level is grounded mainly on single cases and best practices. Factors and variables that drive or inhibit the adoption of CE practices are identified and described, but the discussion looks a-theoretical: there are no large-scale studies, which try to generalise findings or to test relationships among the identified factors. However, the more traditional Supply Chain Management (SCM) literature has already analysed the antecedents of ‘sustainable’ and ‘green’ practices and also supply chain configurations that could best support their adoption, as the next two sub-sections will show.</w:t>
      </w:r>
    </w:p>
    <w:p w14:paraId="70E89B14" w14:textId="2F493D2B" w:rsidR="004164FF" w:rsidRPr="000E2C2E" w:rsidRDefault="00947F87" w:rsidP="002F7336">
      <w:pPr>
        <w:pStyle w:val="Heading4Paragraph"/>
      </w:pPr>
      <w:bookmarkStart w:id="112" w:name="_Toc49839830"/>
      <w:r>
        <w:t xml:space="preserve">2.4.2 </w:t>
      </w:r>
      <w:r w:rsidR="004164FF" w:rsidRPr="000E2C2E">
        <w:t>Institutional theory and CE and ‘green’ practices adoption in firms</w:t>
      </w:r>
      <w:bookmarkEnd w:id="112"/>
    </w:p>
    <w:p w14:paraId="6E9E6D1F" w14:textId="77777777" w:rsidR="009E313C" w:rsidRPr="00E81FD2" w:rsidRDefault="009E313C" w:rsidP="002F7336">
      <w:r w:rsidRPr="00E81FD2">
        <w:t>The introduction of sustainability agendas in the last decades of the 20</w:t>
      </w:r>
      <w:r w:rsidRPr="00E81FD2">
        <w:rPr>
          <w:vertAlign w:val="superscript"/>
        </w:rPr>
        <w:t>th</w:t>
      </w:r>
      <w:r w:rsidRPr="00E81FD2">
        <w:t xml:space="preserve"> century – together with all the other forces like regulation, the growing sensibility of consumers to environmental protection and labour dignity, the relevance of certification and standards and corporate long-term pledges (</w:t>
      </w:r>
      <w:r w:rsidRPr="00E81FD2">
        <w:rPr>
          <w:i/>
          <w:iCs/>
        </w:rPr>
        <w:t>carbon neutrality, zero plastic waste, modern slavery act</w:t>
      </w:r>
      <w:r w:rsidRPr="00E81FD2">
        <w:t xml:space="preserve">) – was able to shape the configuration and the operation mode of supply chains </w:t>
      </w:r>
      <w:r w:rsidRPr="00E81FD2">
        <w:fldChar w:fldCharType="begin" w:fldLock="1"/>
      </w:r>
      <w:r w:rsidRPr="00E81FD2">
        <w:instrText>ADDIN CSL_CITATION {"citationItems":[{"id":"ITEM-1","itemData":{"DOI":"10.1108/IJOPM-02-2016-0080","ISSN":"17586593","abstract":"Purpose: Supply chains evolve and change in size, shape and configuration, and in how they are coordinated, controlled and managed. Some supply chains are mature and relatively unchanging. Some are subject to significant change. New supply chains may emerge and evolve for a variety of reasons. The purpose of this paper is to examine the nature of supply chain evolution and address the question “What makes a supply chain like it is?” Design/methodology/approach: The paper analyses and develops key aspects, concepts and principal themes concerning the emergence and evolution of supply chains over their lifecycle. Findings: The paper defines the supply chain lifecycle and identifies six factors that interact and may affect a supply chain over its lifecycle – technology and innovation, economics, markets and competition, policy and regulation, procurement and sourcing, supply chain strategies and re-engineering. A number of emergent themes and propositions on factors affecting a supply chain’s characteristics over its lifecycle are presented. The paper argues that a new science is needed to investigate and understand the supply chain lifecycle. Practical implications: Supply chains are critical for the world economy and essential for modern life. Understanding the supply chain lifecycle and how supply chains evolve provides new perspectives for contemporary supply chain design and management. Originality/value: The paper presents detailed analysis, critique and reflections from leading researchers on emerging, evolving and mature supply chains.","author":[{"dropping-particle":"","family":"MacCarthy","given":"Bart L.","non-dropping-particle":"","parse-names":false,"suffix":""},{"dropping-particle":"","family":"Blome","given":"Constantin","non-dropping-particle":"","parse-names":false,"suffix":""},{"dropping-particle":"","family":"Olhager","given":"Jan","non-dropping-particle":"","parse-names":false,"suffix":""},{"dropping-particle":"","family":"Srai","given":"Jagjit Singh","non-dropping-particle":"","parse-names":false,"suffix":""},{"dropping-particle":"","family":"Zhao","given":"Xiande","non-dropping-particle":"","parse-names":false,"suffix":""}],"container-title":"International Journal of Operations and Production Management","id":"ITEM-1","issue":"12","issued":{"date-parts":[["2016"]]},"page":"1696-1718","title":"Supply chain evolution – theory, concepts and science","type":"article-journal","volume":"36"},"uris":["http://www.mendeley.com/documents/?uuid=9847d066-11e4-45ab-9b3c-e756b83e65dd"]}],"mendeley":{"formattedCitation":"(MacCarthy et al., 2016)","plainTextFormattedCitation":"(MacCarthy et al., 2016)","previouslyFormattedCitation":"(MacCarthy et al., 2016)"},"properties":{"noteIndex":0},"schema":"https://github.com/citation-style-language/schema/raw/master/csl-citation.json"}</w:instrText>
      </w:r>
      <w:r w:rsidRPr="00E81FD2">
        <w:fldChar w:fldCharType="separate"/>
      </w:r>
      <w:r w:rsidRPr="00E81FD2">
        <w:rPr>
          <w:noProof/>
        </w:rPr>
        <w:t>(MacCarthy et al., 2016)</w:t>
      </w:r>
      <w:r w:rsidRPr="00E81FD2">
        <w:fldChar w:fldCharType="end"/>
      </w:r>
      <w:r w:rsidRPr="00E81FD2">
        <w:t xml:space="preserve">. Organisations have been focusing on how to integrate environmental and social concerns in their supply chains; how to reduce negative impacts of production and consumption; how to shift from a shareholder centred to a stakeholder centred perspective, which consider both environment and society. </w:t>
      </w:r>
    </w:p>
    <w:p w14:paraId="4ECD340C" w14:textId="455FD9AA" w:rsidR="009E313C" w:rsidRPr="00E81FD2" w:rsidRDefault="009E313C" w:rsidP="002F7336">
      <w:r w:rsidRPr="00E81FD2">
        <w:t xml:space="preserve">In this context, SSCM and GSCM research investigated the impact of ‘green’ and ‘sustainable’ practices in the reduction of the negative impacts of firms’ operations and of their entire supply chains. Also, GSCM literature has been recently connected with the concept of the CE: Green Supply Chains are considered an important unit of action towards </w:t>
      </w:r>
      <w:r w:rsidRPr="00E81FD2">
        <w:lastRenderedPageBreak/>
        <w:t xml:space="preserve">the CE </w:t>
      </w:r>
      <w:r w:rsidRPr="00E81FD2">
        <w:fldChar w:fldCharType="begin" w:fldLock="1"/>
      </w:r>
      <w:r w:rsidRPr="00E81FD2">
        <w:instrText>ADDIN CSL_CITATION {"citationItems":[{"id":"ITEM-1","itemData":{"DOI":"10.1108/IJPDLM-01-2017-0049","ISSN":"09600035","abstract":"Purpose: Green supply chain management (GSCM) and the circular economy (CE) overlap but also differ. The purpose of this paper is to clarify linkages between these two concepts. It identifies mutual theory applications used to study GSCM and CE. Design/methodology/approach: A systematic literature review is conducted to identify theories from GSCM and CE studies. A critical analysis explores the theories that can provide mutual applications between GSCM and CE fields. Propositions are developed. Findings: In all, 12 theories are applied in both GSCM and CE studies. Several theories are only applied in GSCM studies, but can help to advance CE study. These theories include complexity, transaction cost economics, agency, and information theories. Each of the eight theories only applied to CE can potentially advance GSCM study. Research limitations/implications: The findings contribute to further theory development for both GSCM and CE study. A methodological review can advance theoretical development and cross-pollination in both fields. Originality/value: This work is the first study to explicitly explore linkages of GSCM and CE from a theoretical perspective.","author":[{"dropping-particle":"","family":"Liu","given":"Junjun","non-dropping-particle":"","parse-names":false,"suffix":""},{"dropping-particle":"","family":"Feng","given":"Yunting","non-dropping-particle":"","parse-names":false,"suffix":""},{"dropping-particle":"","family":"Zhu","given":"Qinghua","non-dropping-particle":"","parse-names":false,"suffix":""},{"dropping-particle":"","family":"Sarkis","given":"Joseph","non-dropping-particle":"","parse-names":false,"suffix":""}],"container-title":"International Journal of Physical Distribution and Logistics Management","id":"ITEM-1","issue":"8","issued":{"date-parts":[["2018"]]},"page":"794-817","title":"Green supply chain management and the circular economy: Reviewing theory for advancement of both fields","type":"article-journal","volume":"48"},"uris":["http://www.mendeley.com/documents/?uuid=cb60bd56-6f70-4f3d-809f-537e586bff97"]}],"mendeley":{"formattedCitation":"(Liu et al., 2018)","plainTextFormattedCitation":"(Liu et al., 2018)","previouslyFormattedCitation":"(Liu et al., 2018)"},"properties":{"noteIndex":0},"schema":"https://github.com/citation-style-language/schema/raw/master/csl-citation.json"}</w:instrText>
      </w:r>
      <w:r w:rsidRPr="00E81FD2">
        <w:fldChar w:fldCharType="separate"/>
      </w:r>
      <w:r w:rsidRPr="00E81FD2">
        <w:rPr>
          <w:noProof/>
        </w:rPr>
        <w:t>(Liu et al., 2018)</w:t>
      </w:r>
      <w:r w:rsidRPr="00E81FD2">
        <w:fldChar w:fldCharType="end"/>
      </w:r>
      <w:r w:rsidRPr="00E81FD2">
        <w:t>. GSCM practices work across different stages of the value creation process (</w:t>
      </w:r>
      <w:r w:rsidR="00B651D9" w:rsidRPr="00E81FD2">
        <w:t>e.g.,</w:t>
      </w:r>
      <w:r w:rsidRPr="00E81FD2">
        <w:t xml:space="preserve"> design, sourcing, procurement, production, distribution, end-of-life management) and include five major elements: green purchasing, eco-design or design for the environment, internal environmental management, customer cooperation for environmental concerns, and investment recovery (Liu et al., 2018). The adoption of GSCM practices drives the CE performance </w:t>
      </w:r>
      <w:r w:rsidRPr="00E81FD2">
        <w:fldChar w:fldCharType="begin" w:fldLock="1"/>
      </w:r>
      <w:r w:rsidRPr="00E81FD2">
        <w:instrText>ADDIN CSL_CITATION {"citationItems":[{"id":"ITEM-1","itemData":{"DOI":"10.1111/j.1530-9290.2011.00329.x","ISSN":"15309290","abstract":"Due to resource scarcity and environmental degradation, a new development concept emphasizing environmental concerns, called the circular economy (CE), has been enacted in legislation in China. This environmental management concept can be implemented at three levels, namely, region, industrial zone, and individual enterprise, with the objective of boosting economic development while lessening environmental and resource challenges. Environmental supply chain cooperation (ESCC), an approach that utilizes customer and supplier cooperation in environmental management, has been initiated among Chinese enterprises. Using survey data collected from 396 Chinese manufacturers, we examine the role of ESCC practices in influencing the relationship between implementing CE practices and the achievement of performance outcomes by testing the moderation and mediation effects of ESCC practices on the CE practice-performance relationship through hierarchical regression analysis. Our data analyses indicate that ESCC practices are useful by moderation and, in some cases, essential by mediation, for Chinese manufacturers seeking to realize the performance targets desired in CE practices. The results highlight the need for Chinese manufacturers to improve supply chain coordination in their implementation of CE. On the policy side, our research findings suggest that ESCC practices are beneficial and, in some cases, necessary for the development of CE in China. © 2011 by Yale University.","author":[{"dropping-particle":"","family":"Zhu","given":"Qinghua","non-dropping-particle":"","parse-names":false,"suffix":""},{"dropping-particle":"","family":"Geng","given":"Yong","non-dropping-particle":"","parse-names":false,"suffix":""},{"dropping-particle":"","family":"Lai","given":"Kee hung","non-dropping-particle":"","parse-names":false,"suffix":""}],"container-title":"Journal of Industrial Ecology","id":"ITEM-1","issue":"3","issued":{"date-parts":[["2011"]]},"note":"Moderating effect explained","page":"405-419","title":"Environmental supply chain cooperation and its effect on the circular economy practice-performance relationship among Chinese manufacturers","type":"article-journal","volume":"15"},"uris":["http://www.mendeley.com/documents/?uuid=06db7da4-47ba-43ff-8288-c72ac197a176"]}],"mendeley":{"formattedCitation":"(Zhu et al., 2011)","plainTextFormattedCitation":"(Zhu et al., 2011)","previouslyFormattedCitation":"(Zhu et al., 2011)"},"properties":{"noteIndex":0},"schema":"https://github.com/citation-style-language/schema/raw/master/csl-citation.json"}</w:instrText>
      </w:r>
      <w:r w:rsidRPr="00E81FD2">
        <w:fldChar w:fldCharType="separate"/>
      </w:r>
      <w:r w:rsidRPr="00E81FD2">
        <w:rPr>
          <w:noProof/>
        </w:rPr>
        <w:t>(Zhu et al., 2011)</w:t>
      </w:r>
      <w:r w:rsidRPr="00E81FD2">
        <w:fldChar w:fldCharType="end"/>
      </w:r>
      <w:r w:rsidRPr="00E81FD2">
        <w:t xml:space="preserve"> and CE Capability of the firm </w:t>
      </w:r>
      <w:r w:rsidRPr="00E81FD2">
        <w:fldChar w:fldCharType="begin" w:fldLock="1"/>
      </w:r>
      <w:r w:rsidRPr="00E81FD2">
        <w:instrText>ADDIN CSL_CITATION {"citationItems":[{"id":"ITEM-1","itemData":{"DOI":"10.1111/j.1530-9290.2011.00329.x","ISSN":"15309290","abstract":"Due to resource scarcity and environmental degradation, a new development concept emphasizing environmental concerns, called the circular economy (CE), has been enacted in legislation in China. This environmental management concept can be implemented at three levels, namely, region, industrial zone, and individual enterprise, with the objective of boosting economic development while lessening environmental and resource challenges. Environmental supply chain cooperation (ESCC), an approach that utilizes customer and supplier cooperation in environmental management, has been initiated among Chinese enterprises. Using survey data collected from 396 Chinese manufacturers, we examine the role of ESCC practices in influencing the relationship between implementing CE practices and the achievement of performance outcomes by testing the moderation and mediation effects of ESCC practices on the CE practice-performance relationship through hierarchical regression analysis. Our data analyses indicate that ESCC practices are useful by moderation and, in some cases, essential by mediation, for Chinese manufacturers seeking to realize the performance targets desired in CE practices. The results highlight the need for Chinese manufacturers to improve supply chain coordination in their implementation of CE. On the policy side, our research findings suggest that ESCC practices are beneficial and, in some cases, necessary for the development of CE in China. © 2011 by Yale University.","author":[{"dropping-particle":"","family":"Zhu","given":"Qinghua","non-dropping-particle":"","parse-names":false,"suffix":""},{"dropping-particle":"","family":"Geng","given":"Yong","non-dropping-particle":"","parse-names":false,"suffix":""},{"dropping-particle":"","family":"Lai","given":"Kee hung","non-dropping-particle":"","parse-names":false,"suffix":""}],"container-title":"Journal of Industrial Ecology","id":"ITEM-1","issue":"3","issued":{"date-parts":[["2011"]]},"note":"Moderating effect explained","page":"405-419","title":"Environmental supply chain cooperation and its effect on the circular economy practice-performance relationship among Chinese manufacturers","type":"article-journal","volume":"15"},"uris":["http://www.mendeley.com/documents/?uuid=06db7da4-47ba-43ff-8288-c72ac197a176"]},{"id":"ITEM-2","itemData":{"DOI":"10.1016/j.jclepro.2016.10.093","ISSN":"09596526","abstract":"An eco-industrial park is the practical application of sustainable supply chain management at an industrial park level. As the external sustainability of the supply chain becomes more difficult, integrating the circular economy concept into supply chain management is required to achieve an optimal balance of economic, social, and environmental benefits for a company. Based on institutional theory, we construct a concept model according to the paradigm of “institution-conduct-performance.” We then test the mechanism and relationships among institutional pressure, supply chain relationship management, sustainable supply chain design, and circular economy capability using data collected from eco-industrial park firms in China via 363 questionnaires. The findings show that institutional pressure has a significant positive impact on supply chain relationship management and sustainable supply chain design; sustainable supply chain management practice is an important factor promoting the improvement of the circular economy capability of companies, and coercive pressure, normative pressure, and mimetic pressure exert different degrees of negative moderating effects. This study expands our knowledge of variables affecting sustainable supply chain management and also provides theoretical guidance for successful green production practices of eco-industrial park firms.","author":[{"dropping-particle":"","family":"Zeng","given":"Huixiang","non-dropping-particle":"","parse-names":false,"suffix":""},{"dropping-particle":"","family":"Chen","given":"Xiaohong","non-dropping-particle":"","parse-names":false,"suffix":""},{"dropping-particle":"","family":"Xiao","given":"Xu","non-dropping-particle":"","parse-names":false,"suffix":""},{"dropping-particle":"","family":"Zhou","given":"Zhifang","non-dropping-particle":"","parse-names":false,"suffix":""}],"container-title":"Journal of Cleaner Production","id":"ITEM-2","issue":"May 2014","issued":{"date-parts":[["2017"]]},"page":"54-65","publisher":"Elsevier Ltd","title":"Institutional pressures, sustainable supply chain management, and circular economy capability: Empirical evidence from Chinese eco-industrial park firms","type":"article-journal","volume":"155"},"uris":["http://www.mendeley.com/documents/?uuid=8c7c1062-01b5-44cb-976b-2e628c14e352"]}],"mendeley":{"formattedCitation":"(Zhu et al., 2011; H. Zeng et al., 2017)","plainTextFormattedCitation":"(Zhu et al., 2011; H. Zeng et al., 2017)","previouslyFormattedCitation":"(Zhu et al., 2011; H. Zeng et al., 2017)"},"properties":{"noteIndex":0},"schema":"https://github.com/citation-style-language/schema/raw/master/csl-citation.json"}</w:instrText>
      </w:r>
      <w:r w:rsidRPr="00E81FD2">
        <w:fldChar w:fldCharType="separate"/>
      </w:r>
      <w:r w:rsidRPr="00E81FD2">
        <w:rPr>
          <w:noProof/>
        </w:rPr>
        <w:t>(Zhu et al., 2011; H. Zeng et al., 2017)</w:t>
      </w:r>
      <w:r w:rsidRPr="00E81FD2">
        <w:fldChar w:fldCharType="end"/>
      </w:r>
      <w:r w:rsidRPr="00E81FD2">
        <w:t xml:space="preserve">. </w:t>
      </w:r>
    </w:p>
    <w:p w14:paraId="76F68073" w14:textId="31529EE1" w:rsidR="004164FF" w:rsidRDefault="009E313C" w:rsidP="002F7336">
      <w:r w:rsidRPr="00E81FD2">
        <w:t xml:space="preserve">Institutional pressures (some examples can be seen in Table 6) are widely considered to be one of the main drivers of ‘green’ and ‘sustainable’ practices in organizations and their supply chains </w:t>
      </w:r>
      <w:r w:rsidRPr="00E81FD2">
        <w:fldChar w:fldCharType="begin" w:fldLock="1"/>
      </w:r>
      <w:r w:rsidRPr="00E81FD2">
        <w:instrText>ADDIN CSL_CITATION {"citationItems":[{"id":"ITEM-1","itemData":{"DOI":"10.1016/j.ijpe.2010.11.010","ISSN":"09255273","abstract":"Green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author":[{"dropping-particle":"","family":"Sarkis","given":"Joseph","non-dropping-particle":"","parse-names":false,"suffix":""},{"dropping-particle":"","family":"Zhu","given":"Qinghua","non-dropping-particle":"","parse-names":false,"suffix":""},{"dropping-particle":"","family":"Lai","given":"Kee Hung","non-dropping-particle":"","parse-names":false,"suffix":""}],"container-title":"International Journal of Production Economics","id":"ITEM-1","issue":"1","issued":{"date-parts":[["2011"]]},"page":"1-15","publisher":"Elsevier","title":"An organizational theoretic review of green supply chain management literature","type":"article-journal","volume":"130"},"uris":["http://www.mendeley.com/documents/?uuid=8957105b-d7b9-4460-89c4-91bc5d837cde"]},{"id":"ITEM-2","itemData":{"DOI":"10.1108/IJPDLM-05-2013-0106","ISSN":"09600035","abstract":"Purpose - The purpose of this paper is to investigate theoretical perspectives in sustainable supply chain management (SSCM) and contributes to understanding the current state of research in the field and its future development. Design/methodology/approach - This paper conducts a structured literature review and aims at mapping the use of theories in the field. The authors assess the current state of research, looking in more details at popular theories, and propose possible future avenues for the field to develop. Findings - Theory-building efforts in SSCM remain scarce, with the predominance of a few popular imported macro theories (resource-based view (RBV), stakeholder theory and institutional theory) having implications on the conceptualisation of SSCM and the topics researched to date. More theoretical contributions can potentially emerge from the adoption of original methodologies, the investigation of under-explored aspects of SSCM and the testing of recently developed frameworks. Research limitations/implications - Drawing on the analysis the authors propose an overarching map of popular theories in SSCM and define potential avenues towards the maturation of the discipline. A number of propositions are offered to guide future research. This study constitutes a first step towards understanding how theories in SSCM are developing and how SSCM has been conceptualised. Originality/value - The originality of this paper lies in its analytical focus on theories in SSCM, which have not been mapped to date.","author":[{"dropping-particle":"","family":"Touboulic","given":"Anne","non-dropping-particle":"","parse-names":false,"suffix":""},{"dropping-particle":"","family":"Walker","given":"Helen","non-dropping-particle":"","parse-names":false,"suffix":""}],"container-title":"International Journal of Physical Distribution and Logistics Management","id":"ITEM-2","issued":{"date-parts":[["2015","3","2"]]},"page":"16-42","publisher":"Emerald Group Publishing Ltd.","title":"Theories in sustainable supply chain management: A structured literature review","type":"article","volume":"45"},"uris":["http://www.mendeley.com/documents/?uuid=4e98e46a-6d1e-3151-aaea-bd656493cb51"]},{"id":"ITEM-3","itemData":{"DOI":"10.1016/j.pursup.2012.12.001","ISSN":"14784092","abstract":"Green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Management","id":"ITEM-3","issue":"2","issued":{"date-parts":[["2013"]]},"page":"106-117","publisher":"Elsevier","title":"Institutional-based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practices","type":"article-journal","volume":"19"},"uris":["http://www.mendeley.com/documents/?uuid=1da0a602-27b6-41eb-b893-9cf81eeae654"]}],"mendeley":{"formattedCitation":"(Sarkis et al., 2011; Zhu et al., 2013; Touboulic &amp; Walker, 2015)","plainTextFormattedCitation":"(Sarkis et al., 2011; Zhu et al., 2013; Touboulic &amp; Walker, 2015)","previouslyFormattedCitation":"(Sarkis et al., 2011; Zhu et al., 2013; Touboulic &amp; Walker, 2015)"},"properties":{"noteIndex":0},"schema":"https://github.com/citation-style-language/schema/raw/master/csl-citation.json"}</w:instrText>
      </w:r>
      <w:r w:rsidRPr="00E81FD2">
        <w:fldChar w:fldCharType="separate"/>
      </w:r>
      <w:r w:rsidRPr="00E81FD2">
        <w:rPr>
          <w:noProof/>
        </w:rPr>
        <w:t>(Sarkis et al., 2011; Zhu et al., 2013; Touboulic &amp; Walker, 2015)</w:t>
      </w:r>
      <w:r w:rsidRPr="00E81FD2">
        <w:fldChar w:fldCharType="end"/>
      </w:r>
      <w:r w:rsidRPr="00E81FD2">
        <w:t xml:space="preserve">, and the most important factor behind triple-bottom-line integration in corporations strategy in every industrial sector </w:t>
      </w:r>
      <w:r w:rsidRPr="00E81FD2">
        <w:fldChar w:fldCharType="begin" w:fldLock="1"/>
      </w:r>
      <w:r w:rsidRPr="00E81FD2">
        <w:instrText>ADDIN CSL_CITATION {"citationItems":[{"id":"ITEM-1","itemData":{"DOI":"10.1111/j.1745-493X.2009.03184.x","ISSN":"15232409","abstract":"Firms are increasingly under pressure from stakeholders to incorporate the triple-bottom line of social, environmental and economic responsibility considerations into operations and supply chain management strategies. This research uses content analysis software that performed centering resonance analysis to examine corporate communication to stakeholders through corporate social responsibility (CSR) reports. The intent is to determine how supply chain strategies factor in to the triple-bottom line of 100 socially and environmentally responsible global companies. This research compares and contrasts the influential words in the CSR reports of firms from a range of industries, sizes and geographical regions. The content analysis revealed ten themes that provide a snapshot of how top global companies integrate and improve the triple-bottom line in internal operations and external supply chains. Findings indicated that while institutional pressure is the major driving force behind strategy development for all of the industries studied, companies emphasize different facets of social, environmental and economic responsibility upstream and downstream in supply chains based on industry, size and geographic location. The analysis revealed unique insights regarding corporate communications that other methodologies would not find. © 2009 Institute for Supply Management, Inc.™.","author":[{"dropping-particle":"","family":"Tate","given":"Wendy L.","non-dropping-particle":"","parse-names":false,"suffix":""},{"dropping-particle":"","family":"Ellram","given":"Lisa M.","non-dropping-particle":"","parse-names":false,"suffix":""},{"dropping-particle":"","family":"Kirchoff","given":"Jon F.","non-dropping-particle":"","parse-names":false,"suffix":""}],"container-title":"Journal of Supply Chain Management","id":"ITEM-1","issue":"1","issued":{"date-parts":[["2010"]]},"page":"19-44","title":"Corporate social responsibility reports: A thematic analysis related to supply chain management","type":"article-journal","volume":"46"},"uris":["http://www.mendeley.com/documents/?uuid=f3336daa-94a4-4b47-8d91-fb4640794e17"]}],"mendeley":{"formattedCitation":"(Tate et al., 2010)","plainTextFormattedCitation":"(Tate et al., 2010)","previouslyFormattedCitation":"(Tate et al., 2010)"},"properties":{"noteIndex":0},"schema":"https://github.com/citation-style-language/schema/raw/master/csl-citation.json"}</w:instrText>
      </w:r>
      <w:r w:rsidRPr="00E81FD2">
        <w:fldChar w:fldCharType="separate"/>
      </w:r>
      <w:r w:rsidRPr="00E81FD2">
        <w:rPr>
          <w:noProof/>
        </w:rPr>
        <w:t>(Tate et al., 2010)</w:t>
      </w:r>
      <w:r w:rsidRPr="00E81FD2">
        <w:fldChar w:fldCharType="end"/>
      </w:r>
      <w:r w:rsidRPr="00E81FD2">
        <w:t>. In SSCM and GSCM literature, IT lenses are adopted to explore a variety of aspects: what pressure enables the adoption of which practice; the circumstances of adoption and diffusion; the role of standards and certification; the role of government and of laws; the dynamics inside the supply chains; the challenges that this transition poses in presence of multiple institutional context, like in the case of global network of supply and markets.</w:t>
      </w:r>
    </w:p>
    <w:p w14:paraId="54B2ACAC" w14:textId="000DDCB0" w:rsidR="004164FF" w:rsidRDefault="004164FF" w:rsidP="002F7336">
      <w:pPr>
        <w:pStyle w:val="Figurecaption"/>
      </w:pPr>
      <w:bookmarkStart w:id="113" w:name="_Toc48552068"/>
      <w:bookmarkStart w:id="114" w:name="_Toc48552223"/>
      <w:bookmarkStart w:id="115" w:name="_Toc48561480"/>
      <w:bookmarkStart w:id="116" w:name="_Toc49529061"/>
      <w:r>
        <w:t xml:space="preserve">Table </w:t>
      </w:r>
      <w:r w:rsidR="009A73E6">
        <w:t>6</w:t>
      </w:r>
      <w:r>
        <w:t xml:space="preserve"> </w:t>
      </w:r>
      <w:r w:rsidRPr="00873B10">
        <w:t xml:space="preserve">– </w:t>
      </w:r>
      <w:r>
        <w:t>Examples of institutional pressures</w:t>
      </w:r>
      <w:r w:rsidRPr="00873B10">
        <w:t xml:space="preserve"> in SCM literature</w:t>
      </w:r>
      <w:bookmarkEnd w:id="113"/>
      <w:bookmarkEnd w:id="114"/>
      <w:bookmarkEnd w:id="115"/>
      <w:bookmarkEnd w:id="116"/>
    </w:p>
    <w:tbl>
      <w:tblPr>
        <w:tblStyle w:val="PlainTable2"/>
        <w:tblW w:w="0" w:type="auto"/>
        <w:tblLook w:val="04A0" w:firstRow="1" w:lastRow="0" w:firstColumn="1" w:lastColumn="0" w:noHBand="0" w:noVBand="1"/>
      </w:tblPr>
      <w:tblGrid>
        <w:gridCol w:w="1749"/>
        <w:gridCol w:w="6755"/>
      </w:tblGrid>
      <w:tr w:rsidR="004164FF" w:rsidRPr="00A06D92" w14:paraId="2AE62BC1" w14:textId="77777777" w:rsidTr="00BA2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72C48" w14:textId="77777777" w:rsidR="004164FF" w:rsidRPr="00A06D92" w:rsidRDefault="004164FF" w:rsidP="00BD0461">
            <w:pPr>
              <w:pStyle w:val="Tabletext"/>
            </w:pPr>
            <w:r w:rsidRPr="00A06D92">
              <w:t>Constructs</w:t>
            </w:r>
          </w:p>
        </w:tc>
        <w:tc>
          <w:tcPr>
            <w:tcW w:w="0" w:type="auto"/>
          </w:tcPr>
          <w:p w14:paraId="738AB246" w14:textId="77777777" w:rsidR="004164FF" w:rsidRPr="00A06D92" w:rsidRDefault="004164FF" w:rsidP="00BD0461">
            <w:pPr>
              <w:pStyle w:val="Tabletext"/>
              <w:cnfStyle w:val="100000000000" w:firstRow="1" w:lastRow="0" w:firstColumn="0" w:lastColumn="0" w:oddVBand="0" w:evenVBand="0" w:oddHBand="0" w:evenHBand="0" w:firstRowFirstColumn="0" w:firstRowLastColumn="0" w:lastRowFirstColumn="0" w:lastRowLastColumn="0"/>
            </w:pPr>
            <w:r>
              <w:t>Examples of pressures</w:t>
            </w:r>
          </w:p>
        </w:tc>
      </w:tr>
      <w:tr w:rsidR="004164FF" w:rsidRPr="00A06D92" w14:paraId="3E9412C6" w14:textId="77777777" w:rsidTr="00BA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295C8F" w14:textId="77777777" w:rsidR="004164FF" w:rsidRPr="00A06D92" w:rsidRDefault="004164FF" w:rsidP="00BD0461">
            <w:pPr>
              <w:pStyle w:val="Tabletext"/>
            </w:pPr>
            <w:r w:rsidRPr="00A06D92">
              <w:t>Coercive Pressure</w:t>
            </w:r>
          </w:p>
          <w:p w14:paraId="5CD0C4CC" w14:textId="77777777" w:rsidR="004164FF" w:rsidRPr="00A06D92" w:rsidRDefault="004164FF" w:rsidP="00BD0461">
            <w:pPr>
              <w:pStyle w:val="Tabletext"/>
            </w:pPr>
          </w:p>
        </w:tc>
        <w:tc>
          <w:tcPr>
            <w:tcW w:w="0" w:type="auto"/>
          </w:tcPr>
          <w:p w14:paraId="501AA0B2"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 xml:space="preserve">National/Regional environmental regulations (such as waste emission, cleaner production etc.)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2893BDA8"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 xml:space="preserve">National/ Regional resource saving and conservation regulations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46DFAC93"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 xml:space="preserve">Market – customers </w:t>
            </w:r>
            <w:r w:rsidRPr="00A06D92">
              <w:fldChar w:fldCharType="begin" w:fldLock="1"/>
            </w:r>
            <w:r>
              <w:instrText>ADDIN CSL_CITATION {"citationItems":[{"id":"ITEM-1","itemData":{"DOI":"10.1016/j.ijpe.2013.12.027","ISSN":"09255273","abstract":"The need for sustainable practices in the food supply chain, particularly in the area of energy reduction, is becoming acute. The food industry currently has to contend with multiple competing pressures alongside the new challenges of sustainable production. We applied Institutional Theory to explore the role of supermarkets in the development of legitimate sustainable practices across the dairy supply chains. The paper focuses on dairy supply chain organizations and their consumption of energy. We conducted 70 semi-structured telephone interviews with various stakeholders across the supply chain. Findings revealed that the majority of actors in the supply chain identified supermarkets as the dominant player, and that the supermarkets exert pressure on other smaller organizations across the supply chain. Although some organizations wished to pursue a sustainable agenda through integrating new rules and legitimate practices within their own organization, the dominant logic appeared to be one of cost reduction and profit maximization. There was also evidence that supermarkets and other large organizations attempt to replicate publicly available information on green successes for image purposes. We conclude that the dominant logic of cost reduction is so well established that challenging the dominant logic may prove difficult. The challenge is therefore to complement the dominant logic with sustainable practices across the whole supply chain, a role Government needs to play. This will require a broader more systemic approach to encouraging sustainable practices including investment and financing practices, so that all members of the dairy supply chain can co-operate and contribute to energy reduction. © 2014 The Authors.","author":[{"dropping-particle":"","family":"Glover","given":"J. L.","non-dropping-particle":"","parse-names":false,"suffix":""},{"dropping-particle":"","family":"Champion","given":"D.","non-dropping-particle":"","parse-names":false,"suffix":""},{"dropping-particle":"","family":"Daniels","given":"K. J.","non-dropping-particle":"","parse-names":false,"suffix":""},{"dropping-particle":"","family":"Dainty","given":"A. J.D.","non-dropping-particle":"","parse-names":false,"suffix":""}],"container-title":"International Journal of Production Economics","id":"ITEM-1","issued":{"date-parts":[["2014"]]},"page":"102-111","publisher":"Elsevier","title":"An Institutional Theory perspective on sustainable practices across the dairy supply chain","type":"article-journal","volume":"152"},"uris":["http://www.mendeley.com/documents/?uuid=1ce318fa-7065-485d-833f-e2b17abc4c6f"]},{"id":"ITEM-2","itemData":{"DOI":"10.1016/j.sbspro.2012.09.1221","ISSN":"18770428","abstract":"Green supply chain management (GSCM) has emerged as an important organizational strategy in modern business environment. It has been touted as an efficient approach to enhancing manufacturing sustainability. However, how to develop and stimulate green partnerships among supply chain partners remains a challenge. This study examines how institutional theory influences GSCM practices and supply chain performance by examining whether firms submit to institutional pressures in their adoption of green practices in addition to seeking economic efficiency. Two research questions are addressed: (1) Are GSCM practices motivated by institutional variables (external pressures), and (2) what are those “institutional variables” and how are they contributing to the diffusion of GSCM practices? Based on the data collected from the U.S. and Taiwan manufacturing plants in the electric and electronics industry using survey method, structural equation modelling (SEM) was performed to examine theoretical relationships among various institutional variables, green supply chain practices, and manufacturing performance. The findings prove that pressures from institutional actors have a significantly positive impact on GSCM practices adoption, which in turns improve organizational performance. This study provides managers with valuable implications and guidelines in enhancing their efficiency and performance through meeting standards from institutional pressures.","author":[{"dropping-particle":"","family":"Lin","given":"Ru-jen","non-dropping-particle":"","parse-names":false,"suffix":""},{"dropping-particle":"","family":"Sheu","given":"Chwen","non-dropping-particle":"","parse-names":false,"suffix":""}],"container-title":"Procedia - Social and Behavioral Sciences","id":"ITEM-2","issued":{"date-parts":[["2012"]]},"page":"533-540","publisher":"Elsevier B.V.","title":"Why Do Firms Adopt/Implement Green Practices?–An Institutional Theory Perspective","type":"article-journal","volume":"57"},"uris":["http://www.mendeley.com/documents/?uuid=54a3dfdc-20a4-4e2d-980e-fa05e89a648f"]}],"mendeley":{"formattedCitation":"(Lin &amp; Sheu, 2012; Glover et al., 2014)","plainTextFormattedCitation":"(Lin &amp; Sheu, 2012; Glover et al., 2014)","previouslyFormattedCitation":"(Lin &amp; Sheu, 2012; Glover et al., 2014)"},"properties":{"noteIndex":0},"schema":"https://github.com/citation-style-language/schema/raw/master/csl-citation.json"}</w:instrText>
            </w:r>
            <w:r w:rsidRPr="00A06D92">
              <w:fldChar w:fldCharType="separate"/>
            </w:r>
            <w:r w:rsidRPr="00DA3594">
              <w:rPr>
                <w:noProof/>
              </w:rPr>
              <w:t>(Lin &amp; Sheu, 2012; Glover et al., 2014)</w:t>
            </w:r>
            <w:r w:rsidRPr="00A06D92">
              <w:fldChar w:fldCharType="end"/>
            </w:r>
          </w:p>
          <w:p w14:paraId="0DEC5561"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 xml:space="preserve">Market – suppliers </w:t>
            </w:r>
            <w:r w:rsidRPr="00A06D92">
              <w:fldChar w:fldCharType="begin" w:fldLock="1"/>
            </w:r>
            <w:r>
              <w:instrText>ADDIN CSL_CITATION {"citationItems":[{"id":"ITEM-1","itemData":{"DOI":"10.1016/j.ijpe.2013.12.027","ISSN":"09255273","abstract":"The need for sustainable practices in the food supply chain, particularly in the area of energy reduction, is becoming acute. The food industry currently has to contend with multiple competing pressures alongside the new challenges of sustainable production. We applied Institutional Theory to explore the role of supermarkets in the development of legitimate sustainable practices across the dairy supply chains. The paper focuses on dairy supply chain organizations and their consumption of energy. We conducted 70 semi-structured telephone interviews with various stakeholders across the supply chain. Findings revealed that the majority of actors in the supply chain identified supermarkets as the dominant player, and that the supermarkets exert pressure on other smaller organizations across the supply chain. Although some organizations wished to pursue a sustainable agenda through integrating new rules and legitimate practices within their own organization, the dominant logic appeared to be one of cost reduction and profit maximization. There was also evidence that supermarkets and other large organizations attempt to replicate publicly available information on green successes for image purposes. We conclude that the dominant logic of cost reduction is so well established that challenging the dominant logic may prove difficult. The challenge is therefore to complement the dominant logic with sustainable practices across the whole supply chain, a role Government needs to play. This will require a broader more systemic approach to encouraging sustainable practices including investment and financing practices, so that all members of the dairy supply chain can co-operate and contribute to energy reduction. © 2014 The Authors.","author":[{"dropping-particle":"","family":"Glover","given":"J. L.","non-dropping-particle":"","parse-names":false,"suffix":""},{"dropping-particle":"","family":"Champion","given":"D.","non-dropping-particle":"","parse-names":false,"suffix":""},{"dropping-particle":"","family":"Daniels","given":"K. J.","non-dropping-particle":"","parse-names":false,"suffix":""},{"dropping-particle":"","family":"Dainty","given":"A. J.D.","non-dropping-particle":"","parse-names":false,"suffix":""}],"container-title":"International Journal of Production Economics","id":"ITEM-1","issued":{"date-parts":[["2014"]]},"page":"102-111","publisher":"Elsevier","title":"An Institutional Theory perspective on sustainable practices across the dairy supply chain","type":"article-journal","volume":"152"},"uris":["http://www.mendeley.com/documents/?uuid=1ce318fa-7065-485d-833f-e2b17abc4c6f"]},{"id":"ITEM-2","itemData":{"DOI":"10.1016/j.sbspro.2012.09.1221","ISSN":"18770428","abstract":"Green supply chain management (GSCM) has emerged as an important organizational strategy in modern business environment. It has been touted as an efficient approach to enhancing manufacturing sustainability. However, how to develop and stimulate green partnerships among supply chain partners remains a challenge. This study examines how institutional theory influences GSCM practices and supply chain performance by examining whether firms submit to institutional pressures in their adoption of green practices in addition to seeking economic efficiency. Two research questions are addressed: (1) Are GSCM practices motivated by institutional variables (external pressures), and (2) what are those “institutional variables” and how are they contributing to the diffusion of GSCM practices? Based on the data collected from the U.S. and Taiwan manufacturing plants in the electric and electronics industry using survey method, structural equation modelling (SEM) was performed to examine theoretical relationships among various institutional variables, green supply chain practices, and manufacturing performance. The findings prove that pressures from institutional actors have a significantly positive impact on GSCM practices adoption, which in turns improve organizational performance. This study provides managers with valuable implications and guidelines in enhancing their efficiency and performance through meeting standards from institutional pressures.","author":[{"dropping-particle":"","family":"Lin","given":"Ru-jen","non-dropping-particle":"","parse-names":false,"suffix":""},{"dropping-particle":"","family":"Sheu","given":"Chwen","non-dropping-particle":"","parse-names":false,"suffix":""}],"container-title":"Procedia - Social and Behavioral Sciences","id":"ITEM-2","issued":{"date-parts":[["2012"]]},"page":"533-540","publisher":"Elsevier B.V.","title":"Why Do Firms Adopt/Implement Green Practices?–An Institutional Theory Perspective","type":"article-journal","volume":"57"},"uris":["http://www.mendeley.com/documents/?uuid=54a3dfdc-20a4-4e2d-980e-fa05e89a648f"]}],"mendeley":{"formattedCitation":"(Lin &amp; Sheu, 2012; Glover et al., 2014)","plainTextFormattedCitation":"(Lin &amp; Sheu, 2012; Glover et al., 2014)","previouslyFormattedCitation":"(Lin &amp; Sheu, 2012; Glover et al., 2014)"},"properties":{"noteIndex":0},"schema":"https://github.com/citation-style-language/schema/raw/master/csl-citation.json"}</w:instrText>
            </w:r>
            <w:r w:rsidRPr="00A06D92">
              <w:fldChar w:fldCharType="separate"/>
            </w:r>
            <w:r w:rsidRPr="00DA3594">
              <w:rPr>
                <w:noProof/>
              </w:rPr>
              <w:t>(Lin &amp; Sheu, 2012; Glover et al., 2014)</w:t>
            </w:r>
            <w:r w:rsidRPr="00A06D92">
              <w:fldChar w:fldCharType="end"/>
            </w:r>
          </w:p>
        </w:tc>
      </w:tr>
      <w:tr w:rsidR="004164FF" w:rsidRPr="00A06D92" w14:paraId="7B17E188" w14:textId="77777777" w:rsidTr="00BA2106">
        <w:tc>
          <w:tcPr>
            <w:cnfStyle w:val="001000000000" w:firstRow="0" w:lastRow="0" w:firstColumn="1" w:lastColumn="0" w:oddVBand="0" w:evenVBand="0" w:oddHBand="0" w:evenHBand="0" w:firstRowFirstColumn="0" w:firstRowLastColumn="0" w:lastRowFirstColumn="0" w:lastRowLastColumn="0"/>
            <w:tcW w:w="0" w:type="auto"/>
          </w:tcPr>
          <w:p w14:paraId="51A11A08" w14:textId="77777777" w:rsidR="004164FF" w:rsidRPr="00A06D92" w:rsidRDefault="004164FF" w:rsidP="00BD0461">
            <w:pPr>
              <w:pStyle w:val="Tabletext"/>
            </w:pPr>
            <w:r w:rsidRPr="00A06D92">
              <w:t>Normative Pressure</w:t>
            </w:r>
          </w:p>
          <w:p w14:paraId="2C709886" w14:textId="77777777" w:rsidR="004164FF" w:rsidRPr="00A06D92" w:rsidRDefault="004164FF" w:rsidP="00BD0461">
            <w:pPr>
              <w:pStyle w:val="Tabletext"/>
            </w:pPr>
          </w:p>
        </w:tc>
        <w:tc>
          <w:tcPr>
            <w:tcW w:w="0" w:type="auto"/>
          </w:tcPr>
          <w:p w14:paraId="76980A91" w14:textId="77777777" w:rsidR="004164FF" w:rsidRPr="00A06D92" w:rsidRDefault="004164FF" w:rsidP="00BD0461">
            <w:pPr>
              <w:pStyle w:val="Tabletext"/>
              <w:cnfStyle w:val="000000000000" w:firstRow="0" w:lastRow="0" w:firstColumn="0" w:lastColumn="0" w:oddVBand="0" w:evenVBand="0" w:oddHBand="0" w:evenHBand="0" w:firstRowFirstColumn="0" w:firstRowLastColumn="0" w:lastRowFirstColumn="0" w:lastRowLastColumn="0"/>
            </w:pPr>
            <w:r w:rsidRPr="00A06D92">
              <w:t xml:space="preserve">Environmental requirements from customers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41DA5E3A" w14:textId="77777777" w:rsidR="004164FF" w:rsidRPr="00A06D92" w:rsidRDefault="004164FF" w:rsidP="00BD0461">
            <w:pPr>
              <w:pStyle w:val="Tabletext"/>
              <w:cnfStyle w:val="000000000000" w:firstRow="0" w:lastRow="0" w:firstColumn="0" w:lastColumn="0" w:oddVBand="0" w:evenVBand="0" w:oddHBand="0" w:evenHBand="0" w:firstRowFirstColumn="0" w:firstRowLastColumn="0" w:lastRowFirstColumn="0" w:lastRowLastColumn="0"/>
            </w:pPr>
            <w:r w:rsidRPr="00A06D92">
              <w:t>Environmental awareness of customers’</w:t>
            </w:r>
            <w:r>
              <w:t xml:space="preserve">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715DB328" w14:textId="77777777" w:rsidR="004164FF" w:rsidRPr="00A06D92" w:rsidRDefault="004164FF" w:rsidP="00BD0461">
            <w:pPr>
              <w:pStyle w:val="Tabletext"/>
              <w:cnfStyle w:val="000000000000" w:firstRow="0" w:lastRow="0" w:firstColumn="0" w:lastColumn="0" w:oddVBand="0" w:evenVBand="0" w:oddHBand="0" w:evenHBand="0" w:firstRowFirstColumn="0" w:firstRowLastColumn="0" w:lastRowFirstColumn="0" w:lastRowLastColumn="0"/>
            </w:pPr>
            <w:r w:rsidRPr="00A06D92">
              <w:t>Media attention in the industry</w:t>
            </w:r>
            <w:r>
              <w:t xml:space="preserve">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32AEE870" w14:textId="77777777" w:rsidR="004164FF" w:rsidRPr="00A06D92" w:rsidRDefault="004164FF" w:rsidP="00BD0461">
            <w:pPr>
              <w:pStyle w:val="Tabletext"/>
              <w:cnfStyle w:val="000000000000" w:firstRow="0" w:lastRow="0" w:firstColumn="0" w:lastColumn="0" w:oddVBand="0" w:evenVBand="0" w:oddHBand="0" w:evenHBand="0" w:firstRowFirstColumn="0" w:firstRowLastColumn="0" w:lastRowFirstColumn="0" w:lastRowLastColumn="0"/>
            </w:pPr>
            <w:r w:rsidRPr="00A06D92">
              <w:t xml:space="preserve">Public environmental awareness (community, NGO etc.)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tc>
      </w:tr>
      <w:tr w:rsidR="004164FF" w:rsidRPr="00A06D92" w14:paraId="1BAC02D2" w14:textId="77777777" w:rsidTr="00BA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341E3B" w14:textId="77777777" w:rsidR="004164FF" w:rsidRPr="00A06D92" w:rsidRDefault="004164FF" w:rsidP="00BD0461">
            <w:pPr>
              <w:pStyle w:val="Tabletext"/>
            </w:pPr>
            <w:r w:rsidRPr="00A06D92">
              <w:t>Mimetic Pressure</w:t>
            </w:r>
          </w:p>
          <w:p w14:paraId="1078B925" w14:textId="77777777" w:rsidR="004164FF" w:rsidRPr="00A06D92" w:rsidRDefault="004164FF" w:rsidP="00BD0461">
            <w:pPr>
              <w:pStyle w:val="Tabletext"/>
            </w:pPr>
          </w:p>
        </w:tc>
        <w:tc>
          <w:tcPr>
            <w:tcW w:w="0" w:type="auto"/>
          </w:tcPr>
          <w:p w14:paraId="02636FA6"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 xml:space="preserve">Competitors’ adoption and ‘green’ practices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3BBEF76A"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Industrial professional group activities</w:t>
            </w:r>
            <w:r>
              <w:t xml:space="preserve">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28267B9F"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 xml:space="preserve">Green strategy of same product producers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p w14:paraId="676152A2" w14:textId="77777777" w:rsidR="004164FF" w:rsidRPr="00A06D92" w:rsidRDefault="004164FF" w:rsidP="00BD0461">
            <w:pPr>
              <w:pStyle w:val="Tabletext"/>
              <w:cnfStyle w:val="000000100000" w:firstRow="0" w:lastRow="0" w:firstColumn="0" w:lastColumn="0" w:oddVBand="0" w:evenVBand="0" w:oddHBand="1" w:evenHBand="0" w:firstRowFirstColumn="0" w:firstRowLastColumn="0" w:lastRowFirstColumn="0" w:lastRowLastColumn="0"/>
            </w:pPr>
            <w:r w:rsidRPr="00A06D92">
              <w:t xml:space="preserve">Green strategy of substitute product producers </w:t>
            </w:r>
            <w:r w:rsidRPr="00A06D92">
              <w:fldChar w:fldCharType="begin" w:fldLock="1"/>
            </w:r>
            <w:r>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practices","type":"article-journal","volume":"19"},"uris":["http://www.mendeley.com/documents/?uuid=1da0a602-27b6-41eb-b893-9cf81eeae654"]}],"mendeley":{"formattedCitation":"(Zhu et al., 2013)","plainTextFormattedCitation":"(Zhu et al., 2013)","previouslyFormattedCitation":"(Zhu et al., 2013)"},"properties":{"noteIndex":0},"schema":"https://github.com/citation-style-language/schema/raw/master/csl-citation.json"}</w:instrText>
            </w:r>
            <w:r w:rsidRPr="00A06D92">
              <w:fldChar w:fldCharType="separate"/>
            </w:r>
            <w:r w:rsidRPr="0034603E">
              <w:rPr>
                <w:noProof/>
              </w:rPr>
              <w:t>(Zhu et al., 2013)</w:t>
            </w:r>
            <w:r w:rsidRPr="00A06D92">
              <w:fldChar w:fldCharType="end"/>
            </w:r>
          </w:p>
        </w:tc>
      </w:tr>
    </w:tbl>
    <w:p w14:paraId="30F4F055" w14:textId="77777777" w:rsidR="004164FF" w:rsidRDefault="004164FF" w:rsidP="002F7336"/>
    <w:p w14:paraId="2CDEAED2" w14:textId="255A9B6A" w:rsidR="009E313C" w:rsidRPr="00E81FD2" w:rsidRDefault="009E313C" w:rsidP="002F7336">
      <w:bookmarkStart w:id="117" w:name="_Toc49839831"/>
      <w:r w:rsidRPr="00E81FD2">
        <w:t xml:space="preserve">The transition towards green supply chains follows a clear dynamic </w:t>
      </w:r>
      <w:r w:rsidRPr="00E81FD2">
        <w:fldChar w:fldCharType="begin" w:fldLock="1"/>
      </w:r>
      <w:r w:rsidRPr="00E81FD2">
        <w:instrText>ADDIN CSL_CITATION {"citationItems":[{"id":"ITEM-1","itemData":{"DOI":"10.1016/j.pursup.2012.12.001","ISSN":"14784092","abstract":"Green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Management","id":"ITEM-1","issue":"2","issued":{"date-parts":[["2013"]]},"page":"106-117","publisher":"Elsevier","title":"Institutional-based antecedents and performance outcomes of internal and external green supply chain management practices","type":"article-journal","volume":"19"},"uris":["http://www.mendeley.com/documents/?uuid=1da0a602-27b6-41eb-b893-9cf81eeae654"]},{"id":"ITEM-2","itemData":{"DOI":"10.3390/su10051517","ISSN":"20711050","abstract":"The adoption of green practices within and outside organizational boundaries is imperative to ascertain environmental and economic performance goals. This article examined whether internal and external green supply chain management (GSCM) practices have the same or different kinds of regulatory, market, or competitive pressures. We employed institutional theory to identify different kinds of pressures, and resource dependence theory to explore the impact of internal and external GSCM practices on performance. An empirical study was conducted by collecting data through a structured questionnaire administered in Pakistan to the executives in the manufacturing industry. A total of 207 responses were used for data analysis by employing the partial least squares structural equation modeling (PLS-SEM) method. Normative pressures were found to be the most significant in both internal and external GSCM practices, while coercive and mimetic pressures positively affected internal and external GSCM practices, respectively. Internal GSCM practices proved to be more significant in improving environmental performance, and also had a substantial impact on external GSCM practices. In contrast, External GSCM practices had a significant positive effect on economic performance, while environmental performance also contributed to improving economic performance. The theoretical and managerial implications are discussed for academics, policymakers, and industry practitioners.","author":[{"dropping-particle":"","family":"Saeed","given":"Amer","non-dropping-particle":"","parse-names":false,"suffix":""},{"dropping-particle":"","family":"Jun","given":"Yun","non-dropping-particle":"","parse-names":false,"suffix":""},{"dropping-particle":"","family":"Nubuor","given":"Saviour Ayertey","non-dropping-particle":"","parse-names":false,"suffix":""},{"dropping-particle":"","family":"RasikaPriyankara","given":"Hewawasam Puwakpitiyage","non-dropping-particle":"","parse-names":false,"suffix":""},{"dropping-particle":"","family":"Jayasuriya","given":"Mahabaduge Prasad Fernando","non-dropping-particle":"","parse-names":false,"suffix":""}],"container-title":"Sustainability (Switzerland)","id":"ITEM-2","issue":"5","issued":{"date-parts":[["2018"]]},"page":"1-24","title":"Institutional pressures, green supply chain management practices on environmental and economic performance: A two theory view","type":"article-journal","volume":"10"},"uris":["http://www.mendeley.com/documents/?uuid=ae74ced9-7d1b-4698-be5d-e05e4cbe3090"]}],"mendeley":{"formattedCitation":"(Zhu et al., 2013; Saeed et al., 2018)","plainTextFormattedCitation":"(Zhu et al., 2013; Saeed et al., 2018)","previouslyFormattedCitation":"(Zhu et al., 2013; Saeed et al., 2018)"},"properties":{"noteIndex":0},"schema":"https://github.com/citation-style-language/schema/raw/master/csl-citation.json"}</w:instrText>
      </w:r>
      <w:r w:rsidRPr="00E81FD2">
        <w:fldChar w:fldCharType="separate"/>
      </w:r>
      <w:r w:rsidRPr="00E81FD2">
        <w:rPr>
          <w:noProof/>
        </w:rPr>
        <w:t>(Zhu et al., 2013; Saeed et al., 2018)</w:t>
      </w:r>
      <w:r w:rsidRPr="00E81FD2">
        <w:fldChar w:fldCharType="end"/>
      </w:r>
      <w:r w:rsidRPr="00E81FD2">
        <w:t xml:space="preserve"> and to understand it, it is necessary to introduce the distinction between ‘internal’ and ‘external’ GSCM practices: internal GSCM practices (e.g. eco-design and internal </w:t>
      </w:r>
      <w:r w:rsidRPr="00E81FD2">
        <w:lastRenderedPageBreak/>
        <w:t>environmental management) can be adopted by a single firm in the supply chain independently; external GSCM practices (e.g. customer cooperation, green purchasing, and investment recovery) require the involvement and the cooperation with other actors in the supply chain. Driven by institutional pressures, a first proactive actor in the supply chain takes the initiative and adopts one or more internal GSCM practices across its internal functions. Once the first firm in the supply chain has adopted internal GSCM practices, it tries to extend them to some of its external partners (e.g.</w:t>
      </w:r>
      <w:r w:rsidR="007D1EE7">
        <w:t>,</w:t>
      </w:r>
      <w:r w:rsidRPr="00E81FD2">
        <w:t xml:space="preserve"> suppliers, distributors, customers). For this reason, the adoption of external GSCM practices is driven not only by institutional pressures, but also by the presence of internal GSCM practices </w:t>
      </w:r>
      <w:r w:rsidRPr="00E81FD2">
        <w:fldChar w:fldCharType="begin" w:fldLock="1"/>
      </w:r>
      <w:r w:rsidRPr="00E81FD2">
        <w:instrText>ADDIN CSL_CITATION {"citationItems":[{"id":"ITEM-1","itemData":{"DOI":"10.1002/bse.557","ISSN":"09644733","abstract":"Some researchers question the legitimacy of EMSs since organizations can claim to have one when in fact they make no attempt to reduce their environmental harm. In instances where EMSs enhance an organization's environmental performance, critics argue that improvements are likely to occur within the organization's operational boundaries rather than being extended throughout the supply chain. However, previous research suggests that the organizational capabilities required to adopt an EMS may facilitate GSCM implementation and the institutional pressures to adopt both management practices are similar. Consequently, EMS adopters may have a greater propensity to expand their focus beyond their organizational boundaries and utilize GSCM practices to minimize system-wide environmental impacts. This research illuminates the debate by empirically evaluating the relationship between EMS and GSCM practices. Copyright © 2006 John Wiley &amp; Sons, Ltd and ERP Environment.","author":[{"dropping-particle":"","family":"Darnall","given":"Nicole","non-dropping-particle":"","parse-names":false,"suffix":""},{"dropping-particle":"","family":"Jolley","given":"G. Jason","non-dropping-particle":"","parse-names":false,"suffix":""},{"dropping-particle":"","family":"Handfield","given":"Robert","non-dropping-particle":"","parse-names":false,"suffix":""}],"container-title":"Business Strategy and the Environment","id":"ITEM-1","issue":"1","issued":{"date-parts":[["2008"]]},"page":"30-45","title":"Environmental management systems and green supply chain management: Complements for sustainability?","type":"article-journal","volume":"17"},"uris":["http://www.mendeley.com/documents/?uuid=886f7864-3a03-4f91-ad4d-5b871e0483a0"]},{"id":"ITEM-2","itemData":{"DOI":"10.1016/j.pursup.2012.12.001","ISSN":"14784092","abstract":"Green supply chain management (GSCM) has been a developing topic for at least a couple of decades. Over this time, significant complexities have been observed in its management. Helping to simplify and understand these complexities is necessary from both a practical and research perspective. Given this situation and to further enhance understanding of the topic and even supply chain management in general, this paper develops and empirically tests a theoretical model on the different types of institutional pressures motivating manufacturing enterprises to pursue green supply chain management (GSCM) practices and commensurate performance outcomes. Using a sample of 396 Chinese manufacturers, path analysis is used to evaluate the many structural links. The statistic results show that institutional pressures have driven the manufacturer adoption of internal GSCM practices which in turn relate to their external GSCM practices adoption. The statistic results also suggest that GSCM practices do not directly affect economic performance, but can improve it indirectly. This research contributes to the literature on institutional theory in corporate environmental practices. The research findings provide useful insights for managers seeking to adopt GSCM practices. The results also provide policy insights for professional organizations, regulators, and legislators to further promote GSCM.","author":[{"dropping-particle":"","family":"Zhu","given":"Qinghua","non-dropping-particle":"","parse-names":false,"suffix":""},{"dropping-particle":"","family":"Sarkis","given":"Joseph","non-dropping-particle":"","parse-names":false,"suffix":""},{"dropping-particle":"","family":"Lai","given":"Kee hung","non-dropping-particle":"","parse-names":false,"suffix":""}],"container-title":"Journal of Purchasing and Supply Management","id":"ITEM-2","issue":"2","issued":{"date-parts":[["2013"]]},"page":"106-117","publisher":"Elsevier","title":"Institutional-based antecedents and performance outcomes of internal and external green supply chain management practices","type":"article-journal","volume":"19"},"uris":["http://www.mendeley.com/documents/?uuid=1da0a602-27b6-41eb-b893-9cf81eeae654"]}],"mendeley":{"formattedCitation":"(Darnall et al., 2008; Zhu et al., 2013)","plainTextFormattedCitation":"(Darnall et al., 2008; Zhu et al., 2013)","previouslyFormattedCitation":"(Darnall et al., 2008; Zhu et al., 2013)"},"properties":{"noteIndex":0},"schema":"https://github.com/citation-style-language/schema/raw/master/csl-citation.json"}</w:instrText>
      </w:r>
      <w:r w:rsidRPr="00E81FD2">
        <w:fldChar w:fldCharType="separate"/>
      </w:r>
      <w:r w:rsidRPr="00E81FD2">
        <w:rPr>
          <w:noProof/>
        </w:rPr>
        <w:t>(Darnall et al., 2008; Zhu et al., 2013)</w:t>
      </w:r>
      <w:r w:rsidRPr="00E81FD2">
        <w:fldChar w:fldCharType="end"/>
      </w:r>
      <w:r w:rsidRPr="00E81FD2">
        <w:t xml:space="preserve"> since it requires the coordination with internal teams and the support of management </w:t>
      </w:r>
      <w:r w:rsidRPr="00E81FD2">
        <w:fldChar w:fldCharType="begin" w:fldLock="1"/>
      </w:r>
      <w:r w:rsidRPr="00E81FD2">
        <w:instrText>ADDIN CSL_CITATION {"citationItems":[{"id":"ITEM-1","itemData":{"DOI":"10.1108/MD-04-2018-0396","ISSN":"00251747","abstract":"Purpose: With considerable international awareness of circular economy (CE), the purpose of this paper is to propose a theoretical framework, informed by institutional theory and upper echelon theory (UET), to explain how top management commitment (TMC) mediates the relationship between external pressures and supplier relationship management (SRM) practices for CE. Design/methodology/approach: The authors test the hypotheses using cross-sectional data gathered using a survey of companies involved in sustainability practices. Findings: The results of the hierarchical regression and mediating regression analyses suggest that TMC positively mediates the effect of external institutional pressures on SRM. Originality/value: The authors advance existing theory by integrating institutional theory and UET to explain SRM practices in sustainable supply networks. Furthermore, the authors offer guidance to managers who would like to engage in leveraging SRM in sustainable supply networks and outline future research directions.","author":[{"dropping-particle":"","family":"Dubey","given":"Rameshwar","non-dropping-particle":"","parse-names":false,"suffix":""},{"dropping-particle":"","family":"Gunasekaran","given":"Angappa","non-dropping-particle":"","parse-names":false,"suffix":""},{"dropping-particle":"","family":"Childe","given":"Stephen J.","non-dropping-particle":"","parse-names":false,"suffix":""},{"dropping-particle":"","family":"Papadopoulos","given":"Thanos","non-dropping-particle":"","parse-names":false,"suffix":""},{"dropping-particle":"","family":"Helo","given":"Petri","non-dropping-particle":"","parse-names":false,"suffix":""}],"container-title":"Management Decision","id":"ITEM-1","issue":"4","issued":{"date-parts":[["2019"]]},"page":"767-790","title":"Supplier relationship management for circular economy: Influence of external pressures and top management commitment","type":"article-journal","volume":"57"},"uris":["http://www.mendeley.com/documents/?uuid=23c79f0d-6d38-43ba-a8be-d6382c9e0363"]}],"mendeley":{"formattedCitation":"(Dubey et al., 2019)","plainTextFormattedCitation":"(Dubey et al., 2019)","previouslyFormattedCitation":"(Dubey et al., 2019)"},"properties":{"noteIndex":0},"schema":"https://github.com/citation-style-language/schema/raw/master/csl-citation.json"}</w:instrText>
      </w:r>
      <w:r w:rsidRPr="00E81FD2">
        <w:fldChar w:fldCharType="separate"/>
      </w:r>
      <w:r w:rsidRPr="00E81FD2">
        <w:rPr>
          <w:noProof/>
        </w:rPr>
        <w:t>(Dubey et al., 2019)</w:t>
      </w:r>
      <w:r w:rsidRPr="00E81FD2">
        <w:fldChar w:fldCharType="end"/>
      </w:r>
      <w:r w:rsidRPr="00E81FD2">
        <w:t xml:space="preserve">. Institutional pressures drive both ‘internal’ and ‘external’ GSCM practices, and the presence of internal GSCM practices drives the adoption of external GSCM practices. This point will be better articulated in the next subsection, where the role of supply chain integration will be explored.  </w:t>
      </w:r>
    </w:p>
    <w:p w14:paraId="28313F03" w14:textId="680B9A06" w:rsidR="00065347" w:rsidRDefault="009E313C" w:rsidP="002F7336">
      <w:r w:rsidRPr="00E81FD2">
        <w:t xml:space="preserve">The literature also widely explored the effect of institutional pressures on global supply chains. MNEs adopt CE or GSCM practices depending on the presence of strong institutions, typical of the Global North </w:t>
      </w:r>
      <w:r w:rsidRPr="00E81FD2">
        <w:fldChar w:fldCharType="begin" w:fldLock="1"/>
      </w:r>
      <w:r w:rsidRPr="00E81FD2">
        <w:instrText>ADDIN CSL_CITATION {"citationItems":[{"id":"ITEM-1","itemData":{"DOI":"10.1002/bse.2037","ISSN":"10990836","abstract":"Integrating previous research, we propose a theoretical model predicting the different effects of global diversification on corporate social performance in environmental protection (EP) by focusing on the institutional difference between developing and developed countries. Moreover, arguing for the moderating effects of firm resources, we also predict and test the effect of firm slack resources on the relationship between the diversification and corporate social performance in EP. By analyzing longitudinal data of 847 multinational enterprises (MNEs), we found empirical evidence that when MNEs diversify mainly into developed countries, they are likely to show more EP. By contrast, when MNEs diversify into developing countries, they are likely to show less EP. Furthermore, we found that a firm's financial slack could weaken the positive effect of diversification into developed countries and enhance the negative effect of diversification into developing countries on EP. However, a firm's human resource slack could only weaken the positive effect of diversification into developed countries on EP. We conclude with a discussion of the implications of the findings.","author":[{"dropping-particle":"","family":"Li","given":"Ji","non-dropping-particle":"","parse-names":false,"suffix":""},{"dropping-particle":"","family":"Zhang","given":"Ying","non-dropping-particle":"","parse-names":false,"suffix":""},{"dropping-particle":"","family":"Hu","given":"Yanghong","non-dropping-particle":"","parse-names":false,"suffix":""},{"dropping-particle":"","family":"Tao","given":"Xiaolong","non-dropping-particle":"","parse-names":false,"suffix":""},{"dropping-particle":"","family":"Jiang","given":"Wanxing","non-dropping-particle":"","parse-names":false,"suffix":""},{"dropping-particle":"","family":"Qi","given":"Lei","non-dropping-particle":"","parse-names":false,"suffix":""}],"container-title":"Business Strategy and the Environment","id":"ITEM-1","issue":"7","issued":{"date-parts":[["2018"]]},"page":"858-871","title":"Developed market or developing market?: A perspective of institutional theory on multinational enterprises’ diversification and sustainable development with environmental protection","type":"article-journal","volume":"27"},"uris":["http://www.mendeley.com/documents/?uuid=bb29de98-c8ae-40ba-a15c-8038e926ff08"]}],"mendeley":{"formattedCitation":"(Li et al., 2018)","plainTextFormattedCitation":"(Li et al., 2018)","previouslyFormattedCitation":"(Li et al., 2018)"},"properties":{"noteIndex":0},"schema":"https://github.com/citation-style-language/schema/raw/master/csl-citation.json"}</w:instrText>
      </w:r>
      <w:r w:rsidRPr="00E81FD2">
        <w:fldChar w:fldCharType="separate"/>
      </w:r>
      <w:r w:rsidRPr="00E81FD2">
        <w:rPr>
          <w:noProof/>
        </w:rPr>
        <w:t>(Li et al., 2018)</w:t>
      </w:r>
      <w:r w:rsidRPr="00E81FD2">
        <w:fldChar w:fldCharType="end"/>
      </w:r>
      <w:r w:rsidRPr="00E81FD2">
        <w:t xml:space="preserve">, or of the institutional void, in the Global South </w:t>
      </w:r>
      <w:r w:rsidRPr="00E81FD2">
        <w:fldChar w:fldCharType="begin" w:fldLock="1"/>
      </w:r>
      <w:r w:rsidRPr="00E81FD2">
        <w:instrText>ADDIN CSL_CITATION {"citationItems":[{"id":"ITEM-1","itemData":{"DOI":"10.1016/j.jenvman.2020.110416","ISSN":"10958630","PMID":"32217311","abstract":"The literature on the diffusion of the circular economy (CE) rarely provides empirical evidence from emerging economies that face institutional voids and sustainability paradoxes. In contrast, drawing on stakeholder theory, in this paper we test a research framework capable of capturing the imbricated and complex relations among stakeholder pressure, barriers to and motivators of the CE, circular business models, and firms’ sustainable performance. Survey-based primary data was gathered from Brazilian industrial companies which lack regulatory clarity regarding the implementation of a CE. Our research results comprise both expected and unexpected outcomes: (i) differing from other countries, the relevance of regulatory stakeholders in Brazil could not be fully confirmed, adding complexity to the topic; (ii) unexpectedly, in this research, company owners/shareholders were the most salient stakeholders; (iii) stakeholders do indeed exert influence on how firms deal with barriers to and motivators of a CE; (iv) we found that internal barriers and internal motivators were perceived as more intense than external ones, which may create organizational tensions; (v) the adoption of a CE by firms tends to improve their sustainable performance; (vi) the previous possession of ISO 14001 and ISO 9001 certifications may control the way companies perceive the benefits of a CE.","author":[{"dropping-particle":"","family":"Chiappetta Jabbour","given":"Charbel Jose","non-dropping-particle":"","parse-names":false,"suffix":""},{"dropping-particle":"","family":"Seuring","given":"Stefan","non-dropping-particle":"","parse-names":false,"suffix":""},{"dropping-particle":"","family":"Lopes de Sousa Jabbour","given":"Ana Beatriz","non-dropping-particle":"","parse-names":false,"suffix":""},{"dropping-particle":"","family":"Jugend","given":"Daniel","non-dropping-particle":"","parse-names":false,"suffix":""},{"dropping-particle":"","family":"Camargo Fiorini","given":"Paula","non-dropping-particle":"De","parse-names":false,"suffix":""},{"dropping-particle":"","family":"Latan","given":"Hengky","non-dropping-particle":"","parse-names":false,"suffix":""},{"dropping-particle":"","family":"Izeppi","given":"Wagner Colucci","non-dropping-particle":"","parse-names":false,"suffix":""}],"container-title":"Journal of Environmental Management","id":"ITEM-1","issue":"March","issued":{"date-parts":[["2020"]]},"page":"110416","publisher":"Elsevier Ltd","title":"Stakeholders, innovative business models for the circular economy and sustainable performance of firms in an emerging economy facing institutional voids","type":"article-journal","volume":"264"},"uris":["http://www.mendeley.com/documents/?uuid=c8e1c2be-2828-4d37-b565-a7c763a6bbbf"]}],"mendeley":{"formattedCitation":"(Chiappetta Jabbour et al., 2020)","plainTextFormattedCitation":"(Chiappetta Jabbour et al., 2020)","previouslyFormattedCitation":"(Chiappetta Jabbour et al., 2020)"},"properties":{"noteIndex":0},"schema":"https://github.com/citation-style-language/schema/raw/master/csl-citation.json"}</w:instrText>
      </w:r>
      <w:r w:rsidRPr="00E81FD2">
        <w:fldChar w:fldCharType="separate"/>
      </w:r>
      <w:r w:rsidRPr="00E81FD2">
        <w:rPr>
          <w:noProof/>
        </w:rPr>
        <w:t>(Chiappetta Jabbour et al., 2020)</w:t>
      </w:r>
      <w:r w:rsidRPr="00E81FD2">
        <w:fldChar w:fldCharType="end"/>
      </w:r>
      <w:r w:rsidRPr="00E81FD2">
        <w:t xml:space="preserve">. Different institutional contexts and distance from suppliers might also cause some challenges: decoupling </w:t>
      </w:r>
      <w:r w:rsidRPr="00E81FD2">
        <w:fldChar w:fldCharType="begin" w:fldLock="1"/>
      </w:r>
      <w:r w:rsidRPr="00E81FD2">
        <w:instrText>ADDIN CSL_CITATION {"citationItems":[{"id":"ITEM-1","itemData":{"DOI":"10.1007/s10551-018-3951-x","ISBN":"0123456789","ISSN":"15730697","abstract":"The implementation of socially sustainable practices in suppliers situated in challenging institutional contexts is examined using institutional theory, both in terms of how institutional pressures affect implementation and what explains the decoupling of practices from the day-to-day reality. A multi-case study approach is employed based on seven apparel industry suppliers in Bangladesh. Cross-case analysis highlights the coercive, mimetic, and normative pressures on suppliers to implement socially sustainable practices. A key pressure identified that has not previously been highlighted in the literature is horizontal collaboration between buyers, which intensifies coercive pressure on suppliers and increases the consequences of non-compliance. The factors that contribute to decoupling are categorized into firm-, supply chain-, and environment-related factors. Further, six propositions are developed on how specific forms of institutional pressure can tackle particular decoupling factors to support implementation. The paper responds to recent calls for greater scrutiny of why and how firms decouple ethical practices and supports the development of the literature specifically on social sustainability, which lags behind that on environmental sustainability and has been largely focused on the Western buyer perspective. The findings have implications for the diffusion of ethical practices into supply chains, especially distant suppliers in very different and challenging institutional contexts.","author":[{"dropping-particle":"","family":"Huq","given":"Fahian Anisul","non-dropping-particle":"","parse-names":false,"suffix":""},{"dropping-particle":"","family":"Stevenson","given":"Mark","non-dropping-particle":"","parse-names":false,"suffix":""}],"container-title":"Journal of Business Ethics","id":"ITEM-1","issue":"2","issued":{"date-parts":[["2020"]]},"page":"415-442","publisher":"Springer Netherlands","title":"Implementing Socially Sustainable Practices in Challenging Institutional Contexts: Building Theory from Seven Developing Country Supplier Cases","type":"article-journal","volume":"161"},"uris":["http://www.mendeley.com/documents/?uuid=a36137d4-71ff-4c0e-82d4-d8f82baf8f4a"]},{"id":"ITEM-2","itemData":{"DOI":"10.1111/jscm.12065","ISSN":"1745493X","abstract":"Supply chain technology (SCT) facilitates information transfer within and across firm boundaries. However, institutional environments in emerging markets give rise to challenges that inhibit the implementation of SCT and the consequent realization of its benefits. Unfortunately, there is a lack of understanding as to the nature or the extent of these implementation challenges. We undertook a grounded theory study in the emerging market of India to investigate how SCT is implemented when subjected to prevailing institutional pressures. Based on an analysis of interviews with 50 supply chain managers, we find that early adopters of SCT experience significant and numerous unmet expectations associated with SCT implementation. These unmet expectations arise from competing institutional logics with the resultant isomorphic pressure causing the juxtaposition of two incompatible supply chains in India. A key finding of this study contradicts extant research, supporting recent work in emerging markets, to suggest a need to reassess our mental models developed in the West and conceptualize de novo models that are sensitive to the institutional environments of emerging markets.","author":[{"dropping-particle":"","family":"Saldanha","given":"John P.","non-dropping-particle":"","parse-names":false,"suffix":""},{"dropping-particle":"","family":"Mello","given":"John E.","non-dropping-particle":"","parse-names":false,"suffix":""},{"dropping-particle":"","family":"Knemeyer","given":"A. Michael","non-dropping-particle":"","parse-names":false,"suffix":""},{"dropping-particle":"","family":"Vijayaraghavan","given":"T. A.S.","non-dropping-particle":"","parse-names":false,"suffix":""}],"container-title":"Journal of Supply Chain Management","id":"ITEM-2","issue":"1","issued":{"date-parts":[["2015"]]},"page":"5-26","title":"Implementing Supply Chain Technologies in Emerging Markets: An Institutional Theory Perspective","type":"article-journal","volume":"51"},"uris":["http://www.mendeley.com/documents/?uuid=95573c4d-761e-4c94-8891-58811775719f"]}],"mendeley":{"formattedCitation":"(Saldanha et al., 2015; Huq &amp; Stevenson, 2020)","plainTextFormattedCitation":"(Saldanha et al., 2015; Huq &amp; Stevenson, 2020)","previouslyFormattedCitation":"(Saldanha et al., 2015; Huq &amp; Stevenson, 2020)"},"properties":{"noteIndex":0},"schema":"https://github.com/citation-style-language/schema/raw/master/csl-citation.json"}</w:instrText>
      </w:r>
      <w:r w:rsidRPr="00E81FD2">
        <w:fldChar w:fldCharType="separate"/>
      </w:r>
      <w:r w:rsidRPr="00E81FD2">
        <w:rPr>
          <w:noProof/>
        </w:rPr>
        <w:t>(Saldanha et al., 2015; Huq &amp; Stevenson, 2020)</w:t>
      </w:r>
      <w:r w:rsidRPr="00E81FD2">
        <w:fldChar w:fldCharType="end"/>
      </w:r>
      <w:r w:rsidRPr="00E81FD2">
        <w:t xml:space="preserve">, or higher sustainability risk </w:t>
      </w:r>
      <w:r w:rsidRPr="00E81FD2">
        <w:fldChar w:fldCharType="begin" w:fldLock="1"/>
      </w:r>
      <w:r w:rsidRPr="00E81FD2">
        <w:instrText>ADDIN CSL_CITATION {"citationItems":[{"id":"ITEM-1","itemData":{"DOI":"10.1111/jbl.12143","ISSN":"21581592","abstract":"Supply chain scholars have begun to recognize the institutional influences on supply chains, yet scarce attention has been directed toward the fact that global supply chains often comprise different institutions. This omission represents a severe shortcoming because the understanding of what constitutes legitimate behavior may vary substantially between contexts. This conceptual study employs the institutional distance concept to the case of supply chain sustainability risks. It focuses initially on paradoxical situations in which both the buyer and the supplier fully comply with stakeholder expectations within their own legitimacy contexts, yet the buyer's stakeholders still withdraw legitimacy from and harm the buyer. The study analyzes the causal microfoundations of how and why such paradoxical risks manifest, drawing on stakeholder theory and institutional theory. The analysis shows that accounting for the differing legitimacy contexts is necessary for explaining these risks, thereby substantiating our initial claim that institutional distance matters to global supply chains. The study yields important implications for corporate practice in that it highlights an inherent trade-off in many global supply chains.","author":[{"dropping-particle":"","family":"Busse","given":"Christian","non-dropping-particle":"","parse-names":false,"suffix":""},{"dropping-particle":"","family":"Kach","given":"Andrew P.","non-dropping-particle":"","parse-names":false,"suffix":""},{"dropping-particle":"","family":"Bode","given":"Christoph","non-dropping-particle":"","parse-names":false,"suffix":""}],"container-title":"Journal of Business Logistics","id":"ITEM-1","issue":"4","issued":{"date-parts":[["2016"]]},"page":"312-328","title":"Sustainability and the False Sense of Legitimacy: How Institutional Distance Augments Risk in Global Supply Chains","type":"article-journal","volume":"37"},"uris":["http://www.mendeley.com/documents/?uuid=9e5f9890-fbc3-4d68-b109-282e263a0717"]}],"mendeley":{"formattedCitation":"(Busse et al., 2016)","plainTextFormattedCitation":"(Busse et al., 2016)","previouslyFormattedCitation":"(Busse et al., 2016)"},"properties":{"noteIndex":0},"schema":"https://github.com/citation-style-language/schema/raw/master/csl-citation.json"}</w:instrText>
      </w:r>
      <w:r w:rsidRPr="00E81FD2">
        <w:fldChar w:fldCharType="separate"/>
      </w:r>
      <w:r w:rsidRPr="00E81FD2">
        <w:rPr>
          <w:noProof/>
        </w:rPr>
        <w:t>(Busse et al., 2016)</w:t>
      </w:r>
      <w:r w:rsidRPr="00E81FD2">
        <w:fldChar w:fldCharType="end"/>
      </w:r>
      <w:r w:rsidRPr="00E81FD2">
        <w:t>. In such a context, coercive and normative pressu</w:t>
      </w:r>
      <w:r w:rsidR="00444F93">
        <w:t>res might have no effect, and mi</w:t>
      </w:r>
      <w:r w:rsidRPr="00E81FD2">
        <w:t xml:space="preserve">metic pressure could be the only pressure driving Multi-National Corporations to adopt sustainable development practices </w:t>
      </w:r>
      <w:r w:rsidRPr="00E81FD2">
        <w:fldChar w:fldCharType="begin" w:fldLock="1"/>
      </w:r>
      <w:r w:rsidRPr="00E81FD2">
        <w:instrText>ADDIN CSL_CITATION {"citationItems":[{"id":"ITEM-1","itemData":{"DOI":"10.1007/s10551-010-0534-x","ISSN":"01674544","abstract":"Sustainable development is often framed as a social issue to which corporations should pay attention because it offers both opportunities and challenges. Through the use of institutional theory and the resource-based view of the firm, we shed some light on why, more than 20 years after sustainable development was first introduced, we see neither the adoption of this business model as dominant nor its converse, that is the total abandonment of the model as unworkable and unprofitable. We focus on multinational corporations (MNCs) because they were among the organizations first called to take action. In order to illustrate the institutional pressures MNCs face and their strategic response to these pressures, we analysed four major oil and gas multinationals subject to similar sustainable development pressures - climate change, biodiversity, renewable energy development and social investment. We argue that normative and coercive isomorphism does not occur at the global level because sustainable development is largely a stakeholder-driven rather than a broad social pressure. That is, host country interpretation of sustainable development pressures varies across an MNC's subsidiary network. Based on the analysis of the four major MNCs' annual reports from 2000 to 2005, we argue that mimetic isomorphism may occur, but since it implies the use of complex and intangible resources, mimetic processes are slow, rare and discretionary. © 2010 Springer Science+Business Media B.V.","author":[{"dropping-particle":"","family":"Escobar","given":"Luis Fernando","non-dropping-particle":"","parse-names":false,"suffix":""},{"dropping-particle":"","family":"Vredenburg","given":"Harrie","non-dropping-particle":"","parse-names":false,"suffix":""}],"container-title":"Journal of Business Ethics","id":"ITEM-1","issue":"1","issued":{"date-parts":[["2011"]]},"page":"39-65","title":"Multinational Oil Companies and the Adoption of Sustainable Development: A Resource-Based and Institutional Theory Interpretation of Adoption Heterogeneity","type":"article-journal","volume":"98"},"uris":["http://www.mendeley.com/documents/?uuid=6173ea6c-8b45-45b8-9102-6c1cab4a49ff"]},{"id":"ITEM-2","itemData":{"DOI":"10.1016/j.pursup.2014.12.004","ISSN":"14784092","abstract":"The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Management","id":"ITEM-2","issue":"2","issued":{"date-parts":[["2015"]]},"page":"95-102","publisher":"Elsevier","title":"Sustainable supplier development practices: Drivers and enablers in a global context","type":"article-journal","volume":"21"},"uris":["http://www.mendeley.com/documents/?uuid=121cabff-e9cf-4ff0-bbb3-eebcc9a65ad2"]}],"mendeley":{"formattedCitation":"(Escobar &amp; Vredenburg, 2011; Sancha et al., 2015)","plainTextFormattedCitation":"(Escobar &amp; Vredenburg, 2011; Sancha et al., 2015)","previouslyFormattedCitation":"(Escobar &amp; Vredenburg, 2011; Sancha et al., 2015)"},"properties":{"noteIndex":0},"schema":"https://github.com/citation-style-language/schema/raw/master/csl-citation.json"}</w:instrText>
      </w:r>
      <w:r w:rsidRPr="00E81FD2">
        <w:fldChar w:fldCharType="separate"/>
      </w:r>
      <w:r w:rsidRPr="00E81FD2">
        <w:rPr>
          <w:noProof/>
        </w:rPr>
        <w:t>(Escobar &amp; Vredenburg, 2011; Sancha et al., 2015)</w:t>
      </w:r>
      <w:r w:rsidRPr="00E81FD2">
        <w:fldChar w:fldCharType="end"/>
      </w:r>
      <w:r>
        <w:t>.</w:t>
      </w:r>
    </w:p>
    <w:p w14:paraId="11C2FA5A" w14:textId="1A7E5641" w:rsidR="004164FF" w:rsidRDefault="00947F87" w:rsidP="002F7336">
      <w:pPr>
        <w:pStyle w:val="Heading4Paragraph"/>
      </w:pPr>
      <w:r>
        <w:t xml:space="preserve">2.4.3 </w:t>
      </w:r>
      <w:r w:rsidR="004164FF">
        <w:t>Extending green practices in the supply chain – the role of supply chain integration</w:t>
      </w:r>
      <w:bookmarkEnd w:id="117"/>
      <w:r w:rsidR="004164FF">
        <w:t xml:space="preserve"> </w:t>
      </w:r>
    </w:p>
    <w:p w14:paraId="206992DA" w14:textId="0A2DB8CB" w:rsidR="009E313C" w:rsidRPr="00E81FD2" w:rsidRDefault="009E313C" w:rsidP="002F7336">
      <w:r w:rsidRPr="00E81FD2">
        <w:t>Once a firm has adopted CE practices, it can use different approaches to involve its supply chain. The way its supply chain</w:t>
      </w:r>
      <w:r w:rsidRPr="00E81FD2" w:rsidDel="00A80679">
        <w:t xml:space="preserve"> </w:t>
      </w:r>
      <w:r w:rsidRPr="00E81FD2">
        <w:t xml:space="preserve">is organised and configured plays an important role as to how these practices can be spread in the supply chain. Suppliers and customers could be forced to adopt practices through coercive pressures coming from market, economic and power mechanisms </w:t>
      </w:r>
      <w:r w:rsidRPr="00E81FD2">
        <w:fldChar w:fldCharType="begin" w:fldLock="1"/>
      </w:r>
      <w:r w:rsidRPr="00E81FD2">
        <w:instrText>ADDIN CSL_CITATION {"citationItems":[{"id":"ITEM-1","itemData":{"DOI":"10.1016/j.pursup.2014.07.002","ISSN":"14784092","abstract":"Little is known about buyers' decisions to implement 'green' supply chain management (GSCM) through either coercive or cooperative approaches. This is an important area of study as buyers are increasingly expected to improve and ensure that their purchasing and supply chain practices are environmentally sound. Pressuring and monitoring suppliers to become more environmentally responsible dominates the coercive approach to GSCM. In contrast, a cooperative approach is associated with training and helping suppliers to become 'greener'. In this study we draw on institutional theory, and argue that the decision to implement such practices and the choice between them will be contingent upon institutional pressures (mimetic, normative and coercive), and downstream customer requirements for GSCM. Using primary survey data from 198 UK-based companies, we find compelling evidence to suggest that coercive and cooperative GSCM practices are driven by substantially different factors. Institutional pressures significantly determine cooperative approaches to GSCM while coercive practices are, to a larger extent, driven by downstream customer demands. Customer pressure is also found to moderate the influence of institutional factors on cooperative practices; no significant effect was found for coercive practices.","author":[{"dropping-particle":"","family":"Hoejmose","given":"Stefan U.","non-dropping-particle":"","parse-names":false,"suffix":""},{"dropping-particle":"","family":"Grosvold","given":"Johanne","non-dropping-particle":"","parse-names":false,"suffix":""},{"dropping-particle":"","family":"Millington","given":"Andrew","non-dropping-particle":"","parse-names":false,"suffix":""}],"container-title":"Journal of Purchasing and Supply Management","id":"ITEM-1","issue":"4","issued":{"date-parts":[["2014"]]},"page":"215-224","publisher":"Elsevier","title":"The effect of institutional pressure on cooperative and coercive 'green' supply chain practices","type":"article-journal","volume":"20"},"uris":["http://www.mendeley.com/documents/?uuid=d8ea6f4f-a8c5-4d75-95cf-59e42bbc93da"]}],"mendeley":{"formattedCitation":"(Hoejmose et al., 2014)","plainTextFormattedCitation":"(Hoejmose et al., 2014)","previouslyFormattedCitation":"(Hoejmose et al., 2014)"},"properties":{"noteIndex":0},"schema":"https://github.com/citation-style-language/schema/raw/master/csl-citation.json"}</w:instrText>
      </w:r>
      <w:r w:rsidRPr="00E81FD2">
        <w:fldChar w:fldCharType="separate"/>
      </w:r>
      <w:r w:rsidRPr="00E81FD2">
        <w:rPr>
          <w:noProof/>
        </w:rPr>
        <w:t>(Hoejmose et al., 2014)</w:t>
      </w:r>
      <w:r w:rsidRPr="00E81FD2">
        <w:fldChar w:fldCharType="end"/>
      </w:r>
      <w:r w:rsidRPr="00E81FD2">
        <w:t xml:space="preserve">. Concentrating on the dairy supply chain in the UK, Glover at al. (2014) explained that the dominant position of supermarkets in the network translated in to coercive pressures on suppliers to adopt energy reduction practices </w:t>
      </w:r>
      <w:r w:rsidRPr="00E81FD2">
        <w:fldChar w:fldCharType="begin" w:fldLock="1"/>
      </w:r>
      <w:r w:rsidRPr="00E81FD2">
        <w:instrText>ADDIN CSL_CITATION {"citationItems":[{"id":"ITEM-1","itemData":{"DOI":"10.1016/j.ijpe.2013.12.027","ISSN":"09255273","abstract":"The need for sustainable practices in the food supply chain, particularly in the area of energy reduction, is becoming acute. The food industry currently has to contend with multiple competing pressures alongside the new challenges of sustainable production. We applied Institutional Theory to explore the role of supermarkets in the development of legitimate sustainable practices across the dairy supply chains. The paper focuses on dairy supply chain organizations and their consumption of energy. We conducted 70 semi-structured telephone interviews with various stakeholders across the supply chain. Findings revealed that the majority of actors in the supply chain identified supermarkets as the dominant player, and that the supermarkets exert pressure on other smaller organizations across the supply chain. Although some organizations wished to pursue a sustainable agenda through integrating new rules and legitimate practices within their own organization, the dominant logic appeared to be one of cost reduction and profit maximization. There was also evidence that supermarkets and other large organizations attempt to replicate publicly available information on green successes for image purposes. We conclude that the dominant logic of cost reduction is so well established that challenging the dominant logic may prove difficult. The challenge is therefore to complement the dominant logic with sustainable practices across the whole supply chain, a role Government needs to play. This will require a broader more systemic approach to encouraging sustainable practices including investment and financing practices, so that all members of the dairy supply chain can co-operate and contribute to energy reduction. © 2014 The Authors.","author":[{"dropping-particle":"","family":"Glover","given":"J. L.","non-dropping-particle":"","parse-names":false,"suffix":""},{"dropping-particle":"","family":"Champion","given":"D.","non-dropping-particle":"","parse-names":false,"suffix":""},{"dropping-particle":"","family":"Daniels","given":"K. J.","non-dropping-particle":"","parse-names":false,"suffix":""},{"dropping-particle":"","family":"Dainty","given":"A. J.D.","non-dropping-particle":"","parse-names":false,"suffix":""}],"container-title":"International Journal of Production Economics","id":"ITEM-1","issued":{"date-parts":[["2014"]]},"page":"102-111","publisher":"Elsevier","title":"An Institutional Theory perspective on sustainable practices across the dairy supply chain","type":"article-journal","volume":"152"},"uris":["http://www.mendeley.com/documents/?uuid=1ce318fa-7065-485d-833f-e2b17abc4c6f"]}],"mendeley":{"formattedCitation":"(Glover et al., 2014)","plainTextFormattedCitation":"(Glover et al., 2014)","previouslyFormattedCitation":"(Glover et al., 2014)"},"properties":{"noteIndex":0},"schema":"https://github.com/citation-style-language/schema/raw/master/csl-citation.json"}</w:instrText>
      </w:r>
      <w:r w:rsidRPr="00E81FD2">
        <w:fldChar w:fldCharType="separate"/>
      </w:r>
      <w:r w:rsidRPr="00E81FD2">
        <w:rPr>
          <w:noProof/>
        </w:rPr>
        <w:t>(Glover et al., 2014)</w:t>
      </w:r>
      <w:r w:rsidRPr="00E81FD2">
        <w:fldChar w:fldCharType="end"/>
      </w:r>
      <w:r w:rsidRPr="00E81FD2">
        <w:t xml:space="preserve">. That same process is named by Seles et al., (2016) ‘green bullwhip’ </w:t>
      </w:r>
      <w:r w:rsidRPr="00E81FD2">
        <w:lastRenderedPageBreak/>
        <w:t>effect</w:t>
      </w:r>
      <w:r>
        <w:t xml:space="preserve">, </w:t>
      </w:r>
      <w:r w:rsidR="00B651D9">
        <w:t>i.e.,</w:t>
      </w:r>
      <w:r>
        <w:t xml:space="preserve"> </w:t>
      </w:r>
      <w:r w:rsidRPr="00E81FD2">
        <w:t xml:space="preserve">the adoption of GSCM practices, which is driven by institutional pressures, exerts institutional pressures itself over on the other supply chain tiers. </w:t>
      </w:r>
    </w:p>
    <w:p w14:paraId="0D336DA8" w14:textId="77777777" w:rsidR="009E313C" w:rsidRPr="00E81FD2" w:rsidRDefault="009E313C" w:rsidP="002F7336">
      <w:r w:rsidRPr="00E81FD2">
        <w:t xml:space="preserve">Otherwise, supply chain actors can be involved through integration and collaboration, using a cooperative approach in reducing risk, sustaining costs and investments and sharing information and knowledge. A higher supply chain integration is generally associated with many benefits. The ability to work together with supply chain partners supports the development of inter-organisational resources with supply chain partners, which could bring to competitive advantage </w:t>
      </w:r>
      <w:r w:rsidRPr="00E81FD2">
        <w:fldChar w:fldCharType="begin" w:fldLock="1"/>
      </w:r>
      <w:r w:rsidRPr="00E81FD2">
        <w:instrText>ADDIN CSL_CITATION {"citationItems":[{"id":"ITEM-1","itemData":{"DOI":"10.1002/csr.207","ISSN":"15353958","abstract":"On the basis of a content analysis, this paper explores the role of sustainable supply chain management as a catalyst of generating valuable inter-organizational resources and thus possible sustained inter-firm competitive advantage through collaboration on environmental and social issues. Drawing on the resource-based view and its extension, the relational view, this paper highlights that partner-focused supply management capabilities evolve to corporate core competences as competition shifts from an inter-firm to an inter-supplychain level. The 'collaborative paradigm' in supply chain management regards strategic collaboration as a crucial source of competitive advantage. Collaboration is even more essential when supply chains aim at ensuring simultaneously economic, environmental and social performance on a product's total life-cycle basis. Inter-firm resources and capabilities emerging from supply-chain-wide collaboration are prone to become sources of sustained inter-firm competitive advantage, since they are socially complex, causally ambiguous and historically grown and hence particularly difficult to imitate by competitors. © 2009 John Wiley &amp; Sons, Ltd and ERP Environment.","author":[{"dropping-particle":"","family":"Gold","given":"Stefan","non-dropping-particle":"","parse-names":false,"suffix":""},{"dropping-particle":"","family":"Seuring","given":"Stefan","non-dropping-particle":"","parse-names":false,"suffix":""},{"dropping-particle":"","family":"Beske","given":"Philip","non-dropping-particle":"","parse-names":false,"suffix":""}],"container-title":"Corporate Social Responsibility and Environmental Management","id":"ITEM-1","issue":"4","issued":{"date-parts":[["2010"]]},"page":"230-245","title":"Sustainable supply chain management and inter-organizational resources: A literature review","type":"article-journal","volume":"17"},"uris":["http://www.mendeley.com/documents/?uuid=4ef60901-4c7c-4d17-bc83-9f00ea52041d"]}],"mendeley":{"formattedCitation":"(Gold et al., 2010)","plainTextFormattedCitation":"(Gold et al., 2010)","previouslyFormattedCitation":"(Gold et al., 2010)"},"properties":{"noteIndex":0},"schema":"https://github.com/citation-style-language/schema/raw/master/csl-citation.json"}</w:instrText>
      </w:r>
      <w:r w:rsidRPr="00E81FD2">
        <w:fldChar w:fldCharType="separate"/>
      </w:r>
      <w:r w:rsidRPr="00E81FD2">
        <w:rPr>
          <w:noProof/>
        </w:rPr>
        <w:t>(Gold et al., 2010)</w:t>
      </w:r>
      <w:r w:rsidRPr="00E81FD2">
        <w:fldChar w:fldCharType="end"/>
      </w:r>
      <w:r w:rsidRPr="00E81FD2">
        <w:t xml:space="preserve">; enables radical and incremental innovation </w:t>
      </w:r>
      <w:r w:rsidRPr="00E81FD2">
        <w:fldChar w:fldCharType="begin" w:fldLock="1"/>
      </w:r>
      <w:r w:rsidRPr="00E81FD2">
        <w:instrText>ADDIN CSL_CITATION {"citationItems":[{"id":"ITEM-1","itemData":{"DOI":"10.1108/13598540810860994","ISBN":"1359854081086","ISSN":"13598546","abstract":"Purpose - The purpose of this study is to investigate how collaborative relationships enhance continuous innovation in the supply chain using case studies. Design/methodology/approach - The data were collected from semi-structured interviews with 23 managers in ten case studies. The main intention was to comprehend how these firms engaged in collaborative relationships and their importance for successful innovation. The study adopted a qualitative approach to investigating these factors. Findings - The findings demonstrate how differing relationships can impact on the operation of firms and their capacities to innovate. The ability to work together with partners has enabled firms to integrate and link operations for increased effectiveness as well as embark on both radical and incremental innovation. Research limitations/implications - The research into the initiatives and strategies for collaboration was essentially exploratory. A qualitative approach using case studies acknowledged that the responses from managers were difficult to quantify or gauge the extent of these factors. Practical implications - The findings have shown various methods where firms integrated with customers and suppliers in the supply chain. This was evident in the views of managers across all the firms examined, supporting the importance of collaboration and efficient allocation of resources throughout the supply chain. They were able to set procedures in their dealings with partners, sharing knowledge and processes, and subsequently joint-planning and investing with them for better operations, systems and processes in the supply chain. Originality/value - The case studies serve as examples for managers in logistics organisation who are contemplating strategies and issues on collaborative relationships. The study provides important lessons on how such relationships can impact on the operation of firms and their capability to innovate. © Emerald Group Publishing Limited.","author":[{"dropping-particle":"","family":"Soosay","given":"Claudine A.","non-dropping-particle":"","parse-names":false,"suffix":""},{"dropping-particle":"","family":"Hyland","given":"Paul W.","non-dropping-particle":"","parse-names":false,"suffix":""},{"dropping-particle":"","family":"Ferrer","given":"Mario","non-dropping-particle":"","parse-names":false,"suffix":""}],"container-title":"Supply Chain Management","id":"ITEM-1","issue":"2","issued":{"date-parts":[["2008"]]},"page":"160-169","title":"Supply chain collaboration: Capabilities for continuous innovation","type":"article-journal","volume":"13"},"uris":["http://www.mendeley.com/documents/?uuid=e55c45ea-e129-4bfb-bb74-9262d6ff2d35"]}],"mendeley":{"formattedCitation":"(Soosay et al., 2008)","plainTextFormattedCitation":"(Soosay et al., 2008)","previouslyFormattedCitation":"(Soosay et al., 2008)"},"properties":{"noteIndex":0},"schema":"https://github.com/citation-style-language/schema/raw/master/csl-citation.json"}</w:instrText>
      </w:r>
      <w:r w:rsidRPr="00E81FD2">
        <w:fldChar w:fldCharType="separate"/>
      </w:r>
      <w:r w:rsidRPr="00E81FD2">
        <w:rPr>
          <w:noProof/>
        </w:rPr>
        <w:t>(Soosay et al., 2008)</w:t>
      </w:r>
      <w:r w:rsidRPr="00E81FD2">
        <w:fldChar w:fldCharType="end"/>
      </w:r>
      <w:r w:rsidRPr="00E81FD2">
        <w:t xml:space="preserve">; reduces uncertain outcomes of green product and process innovation </w:t>
      </w:r>
      <w:r w:rsidRPr="00E81FD2">
        <w:fldChar w:fldCharType="begin" w:fldLock="1"/>
      </w:r>
      <w:r w:rsidRPr="00E81FD2">
        <w:instrText>ADDIN CSL_CITATION {"citationItems":[{"id":"ITEM-1","itemData":{"DOI":"10.1080/00207543.2020.1756510","ISSN":"xxxx-xxxx","abstract":"This paper argues that mechanisms such as information sharing and collaboration used in green supply chain integration (GSCI) to improve information processing capacity can reduce uncertain outcomes of green product and process innovation. Based on data from a survey of Chinese (Hong Kong) firms, the paper tests whether the three dimensions of GSCI (green internal, customer and supplier integration) improve environmental performance and cost reduction by facilitating green product and process innovation. The results show that green customer integration improves cost and environmental performance through green process innovation (not green product innovation). Both green product and process innovations are facilitated by green customer integration (not green supplier integration), while both green customer and supplier integration significantly depend on green internal integration. These suggest that the distinctive information processing capacity created by green internal and customer integration can facilitate the green process innovation required to improve environmental and cost efficiency, while green product innovation and green supplier integration cannot create such efficiencies.","author":[{"dropping-particle":"","family":"Wong","given":"Chee Yew","non-dropping-particle":"","parse-names":false,"suffix":""},{"dropping-particle":"","family":"Wong","given":"Christina W.Y.","non-dropping-particle":"","parse-names":false,"suffix":""},{"dropping-particle":"","family":"Boon-itt","given":"Sakun","non-dropping-particle":"","parse-names":false,"suffix":""}],"container-title":"International Journal of Production Research","id":"ITEM-1","issue":"0","issued":{"date-parts":[["2020"]]},"page":"1-21","publisher":"Taylor &amp; Francis","title":"Effects of green supply chain integration and green innovation on environmental and cost performance","type":"article-journal","volume":"0"},"uris":["http://www.mendeley.com/documents/?uuid=fec488cc-8306-4952-9cbd-6b5433d87b9c"]}],"mendeley":{"formattedCitation":"(Wong et al., 2020)","plainTextFormattedCitation":"(Wong et al., 2020)","previouslyFormattedCitation":"(Wong et al., 2020)"},"properties":{"noteIndex":0},"schema":"https://github.com/citation-style-language/schema/raw/master/csl-citation.json"}</w:instrText>
      </w:r>
      <w:r w:rsidRPr="00E81FD2">
        <w:fldChar w:fldCharType="separate"/>
      </w:r>
      <w:r w:rsidRPr="00E81FD2">
        <w:rPr>
          <w:noProof/>
        </w:rPr>
        <w:t>(Wong et al., 2020)</w:t>
      </w:r>
      <w:r w:rsidRPr="00E81FD2">
        <w:fldChar w:fldCharType="end"/>
      </w:r>
      <w:r w:rsidRPr="00E81FD2">
        <w:t xml:space="preserve">. Technological integration with primary suppliers and with major customers is positively linked to GSCM adoption in the supply chain </w:t>
      </w:r>
      <w:r w:rsidRPr="00E81FD2">
        <w:fldChar w:fldCharType="begin" w:fldLock="1"/>
      </w:r>
      <w:r w:rsidRPr="00E81FD2">
        <w:instrText>ADDIN CSL_CITATION {"citationItems":[{"id":"ITEM-1","itemData":{"DOI":"10.1108/01443570610672248","ISSN":"01443577","abstract":"Purpose - This research aims to extend the \"collaborative paradigm\" proposed by others in prior research beyond a supply chain's core operations. To date, this paradigm has generated relatively little empirical research on peripheral, non-core areas such the natural environment. Antecedents (both plant-level and supply chain characteristics) of green supply chain practices (GSCP) are examined. Among possible antecedents, prior research pointed to supply chain integration - both logistical (tactical level) and technological (strategic level) - as a potentially important determinant of green practices. Design/methodology/approach - Green practices are defined along the two dimensions of environmental collaboration and monitoring. The empirical analysis used data from 84 plants in North America surveyed in 2002. Validity and reliability of scales for new and existing constructs were assessed through factor analysis. Hierarchical linear regression was used to test the hypotheses for the antecedents of GSCP. Findings - Technological integration with primary suppliers and major customers was positively linked to environmental monitoring and collaboration. For logistical integration, a linkage was found only with environmental monitoring of suppliers. Finally, as the supply base was reduced, the extent of environmental collaboration with primary suppliers increased. Research limitations/implications - Greater supply chain integration can benefit environment management in operations, and the collaborative paradigm can be extended to this domain. A limitation is that the empirical analysis focused on one industry representing a single echelon. Originality/value - This is one of the few studies that conceptualize and empirically test GSCP, and consider both and separately upstream and downstream interactions in the supply chain. © Emerald Group Publishing Limited.","author":[{"dropping-particle":"","family":"Vachon","given":"Stephan","non-dropping-particle":"","parse-names":false,"suffix":""},{"dropping-particle":"","family":"Klassen","given":"Robert D.","non-dropping-particle":"","parse-names":false,"suffix":""}],"container-title":"International Journal of Operations and Production Management","id":"ITEM-1","issue":"7","issued":{"date-parts":[["2006"]]},"page":"795-821","title":"Extending green practices across the supply chain: The impact of upstream and downstream integration","type":"article-journal","volume":"26"},"uris":["http://www.mendeley.com/documents/?uuid=bf5d75a1-73c3-4be8-aefe-2145b199155b"]}],"mendeley":{"formattedCitation":"(Vachon &amp; Klassen, 2006)","plainTextFormattedCitation":"(Vachon &amp; Klassen, 2006)","previouslyFormattedCitation":"(Vachon &amp; Klassen, 2006)"},"properties":{"noteIndex":0},"schema":"https://github.com/citation-style-language/schema/raw/master/csl-citation.json"}</w:instrText>
      </w:r>
      <w:r w:rsidRPr="00E81FD2">
        <w:fldChar w:fldCharType="separate"/>
      </w:r>
      <w:r w:rsidRPr="00E81FD2">
        <w:rPr>
          <w:noProof/>
        </w:rPr>
        <w:t>(Vachon &amp; Klassen, 2006)</w:t>
      </w:r>
      <w:r w:rsidRPr="00E81FD2">
        <w:fldChar w:fldCharType="end"/>
      </w:r>
      <w:r w:rsidRPr="00E81FD2">
        <w:t xml:space="preserve">, which translates in superior economic and environmental performance. Cooperating with first-tier or second-tier suppliers, can mitigate their difficulties in responding to environmental pressures and enable the diffusion of practices throughout the supply chain. </w:t>
      </w:r>
    </w:p>
    <w:p w14:paraId="0902878F" w14:textId="77777777" w:rsidR="009E313C" w:rsidRPr="00E81FD2" w:rsidRDefault="009E313C" w:rsidP="002F7336">
      <w:r w:rsidRPr="00E81FD2">
        <w:t xml:space="preserve">SCI has been considered an enabling factor in the transition of the construction and steel supply chains towards a closed-loop paradigm in the utilisation of resources </w:t>
      </w:r>
      <w:r w:rsidRPr="00E81FD2">
        <w:fldChar w:fldCharType="begin" w:fldLock="1"/>
      </w:r>
      <w:r w:rsidRPr="00E81FD2">
        <w:instrText>ADDIN CSL_CITATION {"citationItems":[{"id":"ITEM-1","itemData":{"DOI":"10.3390/su10103581","ISSN":"20711050","abstract":"Environmental burdens arise in the whole life cycle of construction. Waste and pollution are produced in the upstream and downstream of a construction project along the supply chains. The interdependency between on-site construction and off-site logistics also leads to an expansion effect of waste when a disturbance occurs. A related supply chain activated by construction activities should be taken into account to improve the sustainability in construction from a material and waste management perspective. However, it is unknown how the supply chain integration could contribute to the sustainable use of materials in construction. Therefore, an empirical investigation is conducted. A research model with eight latent-constructs is designed through a comprehensive literature review, and 70 completed survey questionnaires are received. Using PLS-SEM (partial least squares-structural equation modeling), sample data is analyzed and seven research hypotheses are examined. Results support the assumption that the construction supply chain integration had a positive correlation with the sustainable use of construction materials. Discussion and relevant suggestions are given for the future research.","author":[{"dropping-particle":"","family":"Zeng","given":"Ningshuang","non-dropping-particle":"","parse-names":false,"suffix":""},{"dropping-particle":"","family":"Liu","given":"Yan","non-dropping-particle":"","parse-names":false,"suffix":""},{"dropping-particle":"","family":"Mao","given":"Chao","non-dropping-particle":"","parse-names":false,"suffix":""},{"dropping-particle":"","family":"König","given":"Markus","non-dropping-particle":"","parse-names":false,"suffix":""}],"container-title":"Sustainability (Switzerland)","id":"ITEM-1","issue":"10","issued":{"date-parts":[["2018"]]},"title":"Investigating the relationship between construction supply chain integration and sustainable use of material: Evidence from China","type":"article-journal","volume":"10"},"uris":["http://www.mendeley.com/documents/?uuid=2177eabb-a048-467e-82b0-614296ca8333"]}],"mendeley":{"formattedCitation":"(N. Zeng et al., 2018)","manualFormatting":"( Zeng et al., 2018)","plainTextFormattedCitation":"(N. Zeng et al., 2018)","previouslyFormattedCitation":"(N. Zeng et al., 2018)"},"properties":{"noteIndex":0},"schema":"https://github.com/citation-style-language/schema/raw/master/csl-citation.json"}</w:instrText>
      </w:r>
      <w:r w:rsidRPr="00E81FD2">
        <w:fldChar w:fldCharType="separate"/>
      </w:r>
      <w:r w:rsidRPr="00E81FD2">
        <w:rPr>
          <w:noProof/>
        </w:rPr>
        <w:t>( Zeng et al., 2018)</w:t>
      </w:r>
      <w:r w:rsidRPr="00E81FD2">
        <w:fldChar w:fldCharType="end"/>
      </w:r>
      <w:r w:rsidRPr="00E81FD2">
        <w:t xml:space="preserve"> </w:t>
      </w:r>
      <w:r w:rsidRPr="00E81FD2">
        <w:fldChar w:fldCharType="begin" w:fldLock="1"/>
      </w:r>
      <w:r w:rsidRPr="00E81FD2">
        <w:instrText>ADDIN CSL_CITATION {"citationItems":[{"id":"ITEM-1","itemData":{"DOI":"10.1016/j.resconrec.2019.104517","ISSN":"18790658","abstract":"As the environmental mindset became increasingly present in the steel industry, so did the concerns with the developments of its market. In an attempt to address both sides of this challenge, this article aimed at identifying how the implementation of different Supply Chain Integration strategies oriented towards raw material self-sufficiency and resource ownership retention could affect circularity. The European steel industry was used as case study and the effects of closing material loops via Supply Chain Integration were tested by running simulations on an integrated Life Cycle Assessment and System Dynamics model. The results brought to light that different approaches can be environmentally and strategically promising, as well as able to drive improvements in raw material self-sufficiency and in resource ownership retention. Noteworthy were the adoption of vertical hedging strategies on the supply side, and of horizontal hedging strategies on end-of-life for either recycling, refurbishing or repair and maintenance services.","author":[{"dropping-particle":"","family":"Pinto","given":"Julian T.M.","non-dropping-particle":"","parse-names":false,"suffix":""},{"dropping-particle":"","family":"Diemer","given":"Arnaud","non-dropping-particle":"","parse-names":false,"suffix":""}],"container-title":"Resources, Conservation and Recycling","id":"ITEM-1","issue":"November 2018","issued":{"date-parts":[["2020"]]},"page":"104517","publisher":"Elsevier","title":"Supply chain integration strategies and circularity in the European steel industry","type":"article-journal","volume":"153"},"uris":["http://www.mendeley.com/documents/?uuid=852296ff-db39-4c0d-95d3-604405f2a1bc"]},{"id":"ITEM-2","itemData":{"author":[{"dropping-particle":"","family":"Berlin","given":"Daniel","non-dropping-particle":"","parse-names":false,"suffix":""},{"dropping-particle":"","family":"Feldmann","given":"Andreas","non-dropping-particle":"","parse-names":false,"suffix":""},{"dropping-particle":"","family":"Nuur","given":"Cali","non-dropping-particle":"","parse-names":false,"suffix":""},{"dropping-particle":"","family":"Tilliander","given":"Anders","non-dropping-particle":"","parse-names":false,"suffix":""}],"id":"ITEM-2","issued":{"date-parts":[["2019"]]},"page":"1657-1666","title":"Supply chain collaboration in circular supply chains : The example of Swedish steel recycling","type":"article-journal"},"uris":["http://www.mendeley.com/documents/?uuid=2af55034-663d-4fde-bbb9-a5e463dc7f58"]}],"mendeley":{"formattedCitation":"(Berlin et al., 2019; Pinto &amp; Diemer, 2020)","plainTextFormattedCitation":"(Berlin et al., 2019; Pinto &amp; Diemer, 2020)","previouslyFormattedCitation":"(Berlin et al., 2019; Pinto &amp; Diemer, 2020)"},"properties":{"noteIndex":0},"schema":"https://github.com/citation-style-language/schema/raw/master/csl-citation.json"}</w:instrText>
      </w:r>
      <w:r w:rsidRPr="00E81FD2">
        <w:fldChar w:fldCharType="separate"/>
      </w:r>
      <w:r w:rsidRPr="00E81FD2">
        <w:rPr>
          <w:noProof/>
        </w:rPr>
        <w:t>(Berlin et al., 2019; Pinto &amp; Diemer, 2020)</w:t>
      </w:r>
      <w:r w:rsidRPr="00E81FD2">
        <w:fldChar w:fldCharType="end"/>
      </w:r>
      <w:r w:rsidRPr="00E81FD2">
        <w:t xml:space="preserve">. Also in the context of eco-industrial parks, the presence of supply chain integration supports the adoption of industrial symbiosis practices – where waste streams are exchanged between organisations belonging also to different supply chains and utilised as resources </w:t>
      </w:r>
      <w:r w:rsidRPr="00E81FD2">
        <w:fldChar w:fldCharType="begin" w:fldLock="1"/>
      </w:r>
      <w:r w:rsidRPr="00E81FD2">
        <w:instrText>ADDIN CSL_CITATION {"citationItems":[{"id":"ITEM-1","itemData":{"DOI":"10.1016/j.jclepro.2017.10.046","ISSN":"09596526","abstract":"A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Production","id":"ITEM-1","issued":{"date-parts":[["2018"]]},"page":"1058-1067","title":"Supply chain collaboration in industrial symbiosis networks","type":"article-journal","volume":"171"},"uris":["http://www.mendeley.com/documents/?uuid=20a570de-bacf-423c-a7ed-fc4796e6dabf"]}],"mendeley":{"formattedCitation":"(Herczeg et al., 2018)","plainTextFormattedCitation":"(Herczeg et al., 2018)","previouslyFormattedCitation":"(Herczeg et al., 2018)"},"properties":{"noteIndex":0},"schema":"https://github.com/citation-style-language/schema/raw/master/csl-citation.json"}</w:instrText>
      </w:r>
      <w:r w:rsidRPr="00E81FD2">
        <w:fldChar w:fldCharType="separate"/>
      </w:r>
      <w:r w:rsidRPr="00E81FD2">
        <w:rPr>
          <w:noProof/>
        </w:rPr>
        <w:t>(Herczeg et al., 2018)</w:t>
      </w:r>
      <w:r w:rsidRPr="00E81FD2">
        <w:fldChar w:fldCharType="end"/>
      </w:r>
      <w:r w:rsidRPr="00E81FD2">
        <w:t xml:space="preserve">. </w:t>
      </w:r>
    </w:p>
    <w:p w14:paraId="47AE9BCD" w14:textId="61DF8646" w:rsidR="004164FF" w:rsidRDefault="009E313C" w:rsidP="002F7336">
      <w:r w:rsidRPr="00E81FD2">
        <w:t>Finally, SCI is considered as an enabling firm capability in global s</w:t>
      </w:r>
      <w:r w:rsidR="00444F93">
        <w:t>upply chains. In this context mi</w:t>
      </w:r>
      <w:r w:rsidRPr="00E81FD2">
        <w:t xml:space="preserve">metic isomorphism can explain MNEs adoption of sustainable practices </w:t>
      </w:r>
      <w:r w:rsidRPr="00E81FD2">
        <w:fldChar w:fldCharType="begin" w:fldLock="1"/>
      </w:r>
      <w:r w:rsidRPr="00E81FD2">
        <w:instrText>ADDIN CSL_CITATION {"citationItems":[{"id":"ITEM-1","itemData":{"DOI":"10.1007/s10551-010-0534-x","ISSN":"01674544","abstract":"Sustainable development is often framed as a social issue to which corporations should pay attention because it offers both opportunities and challenges. Through the use of institutional theory and the resource-based view of the firm, we shed some light on why, more than 20 years after sustainable development was first introduced, we see neither the adoption of this business model as dominant nor its converse, that is the total abandonment of the model as unworkable and unprofitable. We focus on multinational corporations (MNCs) because they were among the organizations first called to take action. In order to illustrate the institutional pressures MNCs face and their strategic response to these pressures, we analysed four major oil and gas multinationals subject to similar sustainable development pressures - climate change, biodiversity, renewable energy development and social investment. We argue that normative and coercive isomorphism does not occur at the global level because sustainable development is largely a stakeholder-driven rather than a broad social pressure. That is, host country interpretation of sustainable development pressures varies across an MNC's subsidiary network. Based on the analysis of the four major MNCs' annual reports from 2000 to 2005, we argue that mimetic isomorphism may occur, but since it implies the use of complex and intangible resources, mimetic processes are slow, rare and discretionary. © 2010 Springer Science+Business Media B.V.","author":[{"dropping-particle":"","family":"Escobar","given":"Luis Fernando","non-dropping-particle":"","parse-names":false,"suffix":""},{"dropping-particle":"","family":"Vredenburg","given":"Harrie","non-dropping-particle":"","parse-names":false,"suffix":""}],"container-title":"Journal of Business Ethics","id":"ITEM-1","issue":"1","issued":{"date-parts":[["2011"]]},"page":"39-65","title":"Multinational Oil Companies and the Adoption of Sustainable Development: A Resource-Based and Institutional Theory Interpretation of Adoption Heterogeneity","type":"article-journal","volume":"98"},"uris":["http://www.mendeley.com/documents/?uuid=6173ea6c-8b45-45b8-9102-6c1cab4a49ff"]}],"mendeley":{"formattedCitation":"(Escobar &amp; Vredenburg, 2011)","plainTextFormattedCitation":"(Escobar &amp; Vredenburg, 2011)","previouslyFormattedCitation":"(Escobar &amp; Vredenburg, 2011)"},"properties":{"noteIndex":0},"schema":"https://github.com/citation-style-language/schema/raw/master/csl-citation.json"}</w:instrText>
      </w:r>
      <w:r w:rsidRPr="00E81FD2">
        <w:fldChar w:fldCharType="separate"/>
      </w:r>
      <w:r w:rsidRPr="00E81FD2">
        <w:rPr>
          <w:noProof/>
        </w:rPr>
        <w:t>(Escobar &amp; Vredenburg, 2011)</w:t>
      </w:r>
      <w:r w:rsidRPr="00E81FD2">
        <w:fldChar w:fldCharType="end"/>
      </w:r>
      <w:r w:rsidRPr="00E81FD2">
        <w:t xml:space="preserve">, while coercive and normative pressures have no effect </w:t>
      </w:r>
      <w:r w:rsidRPr="00E81FD2">
        <w:fldChar w:fldCharType="begin" w:fldLock="1"/>
      </w:r>
      <w:r w:rsidRPr="00E81FD2">
        <w:instrText>ADDIN CSL_CITATION {"citationItems":[{"id":"ITEM-1","itemData":{"DOI":"10.1016/j.pursup.2014.12.004","ISSN":"14784092","abstract":"The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Management","id":"ITEM-1","issue":"2","issued":{"date-parts":[["2015"]]},"page":"95-102","publisher":"Elsevier","title":"Sustainable supplier development practices: Drivers and enablers in a global context","type":"article-journal","volume":"21"},"uris":["http://www.mendeley.com/documents/?uuid=121cabff-e9cf-4ff0-bbb3-eebcc9a65ad2"]}],"mendeley":{"formattedCitation":"(Sancha et al., 2015)","plainTextFormattedCitation":"(Sancha et al., 2015)","previouslyFormattedCitation":"(Sancha et al., 2015)"},"properties":{"noteIndex":0},"schema":"https://github.com/citation-style-language/schema/raw/master/csl-citation.json"}</w:instrText>
      </w:r>
      <w:r w:rsidRPr="00E81FD2">
        <w:fldChar w:fldCharType="separate"/>
      </w:r>
      <w:r w:rsidRPr="00E81FD2">
        <w:rPr>
          <w:noProof/>
        </w:rPr>
        <w:t>(Sancha et al., 2015)</w:t>
      </w:r>
      <w:r w:rsidRPr="00E81FD2">
        <w:fldChar w:fldCharType="end"/>
      </w:r>
      <w:r w:rsidRPr="00E81FD2">
        <w:t>. SCI posit</w:t>
      </w:r>
      <w:r w:rsidR="00444F93">
        <w:t>ively moderates the effect of mi</w:t>
      </w:r>
      <w:r w:rsidRPr="00E81FD2">
        <w:t xml:space="preserve">metic pressure on the adoption of sustainable supplier practices </w:t>
      </w:r>
      <w:r w:rsidRPr="00E81FD2">
        <w:fldChar w:fldCharType="begin" w:fldLock="1"/>
      </w:r>
      <w:r w:rsidRPr="00E81FD2">
        <w:instrText>ADDIN CSL_CITATION {"citationItems":[{"id":"ITEM-1","itemData":{"DOI":"10.1016/j.pursup.2014.12.004","ISSN":"14784092","abstract":"The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Management","id":"ITEM-1","issue":"2","issued":{"date-parts":[["2015"]]},"page":"95-102","publisher":"Elsevier","title":"Sustainable supplier development practices: Drivers and enablers in a global context","type":"article-journal","volume":"21"},"uris":["http://www.mendeley.com/documents/?uuid=121cabff-e9cf-4ff0-bbb3-eebcc9a65ad2"]}],"mendeley":{"formattedCitation":"(Sancha et al., 2015)","plainTextFormattedCitation":"(Sancha et al., 2015)","previouslyFormattedCitation":"(Sancha et al., 2015)"},"properties":{"noteIndex":0},"schema":"https://github.com/citation-style-language/schema/raw/master/csl-citation.json"}</w:instrText>
      </w:r>
      <w:r w:rsidRPr="00E81FD2">
        <w:fldChar w:fldCharType="separate"/>
      </w:r>
      <w:r w:rsidRPr="00E81FD2">
        <w:rPr>
          <w:noProof/>
        </w:rPr>
        <w:t>(Sancha et al., 2015)</w:t>
      </w:r>
      <w:r w:rsidRPr="00E81FD2">
        <w:fldChar w:fldCharType="end"/>
      </w:r>
      <w:r w:rsidRPr="00E81FD2">
        <w:t>.</w:t>
      </w:r>
    </w:p>
    <w:p w14:paraId="109BE91C" w14:textId="77777777" w:rsidR="004164FF" w:rsidRDefault="004164FF" w:rsidP="005035B4">
      <w:pPr>
        <w:pStyle w:val="Heading3"/>
      </w:pPr>
      <w:bookmarkStart w:id="118" w:name="_Toc49839832"/>
      <w:bookmarkStart w:id="119" w:name="_Toc157759513"/>
      <w:r>
        <w:t xml:space="preserve">Key findings </w:t>
      </w:r>
      <w:r w:rsidRPr="00904DA0">
        <w:t>from</w:t>
      </w:r>
      <w:r>
        <w:t xml:space="preserve"> the </w:t>
      </w:r>
      <w:r w:rsidRPr="006D6C08">
        <w:t>literature</w:t>
      </w:r>
      <w:r>
        <w:t xml:space="preserve"> review: research questions</w:t>
      </w:r>
      <w:bookmarkEnd w:id="118"/>
      <w:bookmarkEnd w:id="119"/>
    </w:p>
    <w:p w14:paraId="18103A47" w14:textId="57DAD461" w:rsidR="009E313C" w:rsidRPr="00E81FD2" w:rsidRDefault="009E313C" w:rsidP="002F7336">
      <w:pPr>
        <w:rPr>
          <w:lang w:val="en-US"/>
        </w:rPr>
      </w:pPr>
      <w:r w:rsidRPr="00E81FD2">
        <w:rPr>
          <w:lang w:val="en-US"/>
        </w:rPr>
        <w:t>Starting from the general propositions derived from the grey literature (Chapter 2), the critical literature review confirmed that institutional pressures and supply chain integration might have a relationship with the adoption of CE practices in supply chains. The recent literature on the CE did not explore from a theoretical point of view the process of adoption of CE practices in supply cha</w:t>
      </w:r>
      <w:r w:rsidR="00EA69AD">
        <w:rPr>
          <w:lang w:val="en-US"/>
        </w:rPr>
        <w:t xml:space="preserve">ins and did not try to </w:t>
      </w:r>
      <w:proofErr w:type="spellStart"/>
      <w:r w:rsidR="00EA69AD">
        <w:rPr>
          <w:lang w:val="en-US"/>
        </w:rPr>
        <w:t>generalis</w:t>
      </w:r>
      <w:r w:rsidRPr="00E81FD2">
        <w:rPr>
          <w:lang w:val="en-US"/>
        </w:rPr>
        <w:t>e</w:t>
      </w:r>
      <w:proofErr w:type="spellEnd"/>
      <w:r w:rsidRPr="00E81FD2">
        <w:rPr>
          <w:lang w:val="en-US"/>
        </w:rPr>
        <w:t xml:space="preserve"> findings (see sub-section 2.4). </w:t>
      </w:r>
    </w:p>
    <w:p w14:paraId="41987781" w14:textId="77777777" w:rsidR="009E313C" w:rsidRPr="00E81FD2" w:rsidRDefault="009E313C" w:rsidP="002F7336">
      <w:r w:rsidRPr="00E81FD2">
        <w:rPr>
          <w:lang w:val="en-US"/>
        </w:rPr>
        <w:lastRenderedPageBreak/>
        <w:t xml:space="preserve">However, the exploration of the </w:t>
      </w:r>
      <w:r w:rsidRPr="00E81FD2">
        <w:t>more traditional Supply Chain Management (SCM) literature gave theoretical relevance to the general propositions. SCM literature has already analysed the antecedents of ‘sustainable’ and ‘green’ practices</w:t>
      </w:r>
      <w:r>
        <w:t>,</w:t>
      </w:r>
      <w:r w:rsidRPr="00E81FD2">
        <w:t xml:space="preserve"> and also supply chain configurations that could best support their adoption. In that context, institutional pressures have been considered drivers of the adoption of ‘green’ and ‘sustainable’ practices; supply chain integration have been considered an enabler that in presence of institutional pressures support the adoption of these practices also in suppliers and customers. </w:t>
      </w:r>
    </w:p>
    <w:p w14:paraId="112D752B" w14:textId="298D1957" w:rsidR="009E313C" w:rsidRPr="00E81FD2" w:rsidRDefault="009E313C" w:rsidP="002F7336">
      <w:r w:rsidRPr="00E81FD2">
        <w:rPr>
          <w:lang w:val="en-US"/>
        </w:rPr>
        <w:t xml:space="preserve">As a result of the critical literature review, three research questions (RQs) can be derived: institutional pressures and SCI might have a relationship with the adoption of CE practices: institutional pressures might be an important driver also of the adoption of CE practices in supply </w:t>
      </w:r>
      <w:r w:rsidR="00B651D9" w:rsidRPr="00E81FD2">
        <w:rPr>
          <w:lang w:val="en-US"/>
        </w:rPr>
        <w:t>chains,</w:t>
      </w:r>
      <w:r w:rsidRPr="00E81FD2">
        <w:rPr>
          <w:lang w:val="en-US"/>
        </w:rPr>
        <w:t xml:space="preserve"> while SCI can be an enabling mechanism. </w:t>
      </w:r>
      <w:r w:rsidRPr="00E81FD2">
        <w:t xml:space="preserve">These factors might play a role in whether CE practices are adopted or not, in determining which type of CE practices is adopted and at what level of implementation. </w:t>
      </w:r>
    </w:p>
    <w:p w14:paraId="17F4BC47" w14:textId="77777777" w:rsidR="009E313C" w:rsidRPr="00E81FD2" w:rsidRDefault="009E313C" w:rsidP="002F7336">
      <w:pPr>
        <w:rPr>
          <w:lang w:val="en-US"/>
        </w:rPr>
      </w:pPr>
      <w:r w:rsidRPr="00E81FD2">
        <w:rPr>
          <w:lang w:val="en-US"/>
        </w:rPr>
        <w:t>Based on these findings, this research project is an attempt to give an answer to the following research questions:</w:t>
      </w:r>
    </w:p>
    <w:p w14:paraId="22E7B87A" w14:textId="77777777" w:rsidR="009E313C" w:rsidRPr="00E81FD2" w:rsidRDefault="009E313C" w:rsidP="002F7336">
      <w:pPr>
        <w:rPr>
          <w:lang w:val="en-US"/>
        </w:rPr>
      </w:pPr>
      <w:r w:rsidRPr="00BD0461">
        <w:rPr>
          <w:b/>
          <w:bCs/>
          <w:lang w:val="en-US"/>
        </w:rPr>
        <w:t>RQ1:</w:t>
      </w:r>
      <w:r w:rsidRPr="00E81FD2">
        <w:rPr>
          <w:lang w:val="en-US"/>
        </w:rPr>
        <w:t xml:space="preserve"> What relationship do institutional pressures have with the adoption of CE practices?</w:t>
      </w:r>
    </w:p>
    <w:p w14:paraId="2E9CDB24" w14:textId="77777777" w:rsidR="009E313C" w:rsidRPr="00E81FD2" w:rsidRDefault="009E313C" w:rsidP="002F7336">
      <w:pPr>
        <w:rPr>
          <w:lang w:val="en-US"/>
        </w:rPr>
      </w:pPr>
      <w:r w:rsidRPr="00BD0461">
        <w:rPr>
          <w:b/>
          <w:bCs/>
          <w:lang w:val="en-US"/>
        </w:rPr>
        <w:t>RQ2:</w:t>
      </w:r>
      <w:r w:rsidRPr="00E81FD2">
        <w:rPr>
          <w:lang w:val="en-US"/>
        </w:rPr>
        <w:t xml:space="preserve"> What relationship does SCI have with the adoption of CE practices?</w:t>
      </w:r>
    </w:p>
    <w:p w14:paraId="528FBE1B" w14:textId="77777777" w:rsidR="009E313C" w:rsidRPr="00E81FD2" w:rsidRDefault="009E313C" w:rsidP="002F7336">
      <w:pPr>
        <w:rPr>
          <w:lang w:val="en-US"/>
        </w:rPr>
      </w:pPr>
      <w:r w:rsidRPr="00BD0461">
        <w:rPr>
          <w:b/>
          <w:bCs/>
          <w:lang w:val="en-US"/>
        </w:rPr>
        <w:t>RQ3:</w:t>
      </w:r>
      <w:r w:rsidRPr="00E81FD2">
        <w:rPr>
          <w:lang w:val="en-US"/>
        </w:rPr>
        <w:t xml:space="preserve"> How does SCI interact with the relationship between institutional pressures and the adoption of CE practices?</w:t>
      </w:r>
    </w:p>
    <w:p w14:paraId="50BC52B6" w14:textId="6F7CFD54" w:rsidR="004164FF" w:rsidRDefault="009E313C" w:rsidP="002F7336">
      <w:pPr>
        <w:rPr>
          <w:lang w:val="en-US"/>
        </w:rPr>
      </w:pPr>
      <w:r w:rsidRPr="00E81FD2">
        <w:rPr>
          <w:lang w:val="en-US"/>
        </w:rPr>
        <w:t>These three research questions lead to the creation of a conceptual framework that is explained in the following sub-chapter and that will be tested during the research project.</w:t>
      </w:r>
    </w:p>
    <w:p w14:paraId="673604DD" w14:textId="7E025AA5" w:rsidR="00E73C3E" w:rsidRDefault="00F836EB" w:rsidP="005035B4">
      <w:pPr>
        <w:pStyle w:val="Heading2"/>
      </w:pPr>
      <w:bookmarkStart w:id="120" w:name="_Toc37289327"/>
      <w:bookmarkStart w:id="121" w:name="_Toc49839833"/>
      <w:bookmarkStart w:id="122" w:name="_Toc157759514"/>
      <w:bookmarkEnd w:id="56"/>
      <w:r>
        <w:t>Conceptual</w:t>
      </w:r>
      <w:r w:rsidR="00653B1B">
        <w:t xml:space="preserve"> Framework and Research Hypotheses</w:t>
      </w:r>
      <w:bookmarkEnd w:id="120"/>
      <w:bookmarkEnd w:id="121"/>
      <w:bookmarkEnd w:id="122"/>
    </w:p>
    <w:p w14:paraId="120C8DC2" w14:textId="77777777" w:rsidR="009E313C" w:rsidRPr="00E81FD2" w:rsidRDefault="009E313C" w:rsidP="002F7336">
      <w:r w:rsidRPr="00E81FD2">
        <w:t xml:space="preserve">This section summarises the findings of the review of the industrial practice (Chapter 2) and of the academic literature review (Chapter 3). Also, it offers some hypotheses that will be analysed, discussed, and tested through a coherent methodology in this thesis.  </w:t>
      </w:r>
    </w:p>
    <w:p w14:paraId="06A6F690" w14:textId="77777777" w:rsidR="009E313C" w:rsidRPr="00E81FD2" w:rsidRDefault="009E313C" w:rsidP="002F7336">
      <w:r w:rsidRPr="00E81FD2">
        <w:t xml:space="preserve">On the basis of the evidence provided, and the support in the analysed literature, we hypothesise that there is a causal link between institutional pressures and the adoption of CE practices: this finds foundation in papers mentioned in sub-sections Chapter 2, Section 2.4 </w:t>
      </w:r>
      <w:r w:rsidRPr="00E81FD2">
        <w:fldChar w:fldCharType="begin" w:fldLock="1"/>
      </w:r>
      <w:r w:rsidRPr="00E81FD2">
        <w:instrText>ADDIN CSL_CITATION {"citationItems":[{"id":"ITEM-1","itemData":{"DOI":"10.1016/j.resconrec.2017.08.017","ISSN":"18790658","abstract":"The Circular Economy (CE) has been identified as a sustainable alternative to the current linear economic model. Thus far, research on the circular economy has focused on methods for better conserving the value in material flows. As the CE is currently being adopted as a sustainable development strategy in, e.g., China and the EU, identifying and comparing the drivers of and barriers to CE implementation would be beneficial for the acceleration of the development path. To contribute toward this research area, we built on institutional theory via a multiple case study covering China, the US, and Europe. We analyzed each region as an institutional environment and considered manufacturer and integrator types of value chain actors due to their central role in CE implementation. As our key findings, we identified that the general drivers of the CE from each institutional environment support recycling as the primary CE action, while support for other CE types appears to be lacking. Regulatory measures have primarily driven increased recycling efforts on both the integrator and manufacturer sides. Similarly, identified normative indicators overwhelmingly point toward recycling, while increasing reuse faces cultural-cognitive barriers. Between regions, China differs due to its informal sector and strong regulative institutional support. We conclude that to improve institutional support for the CE and allow it to fulfill its potential as a sustainable growth model, diversified institutional support for reducing the products produced and materials used as well as increasing reuse are needed.","author":[{"dropping-particle":"","family":"Ranta","given":"Valtteri","non-dropping-particle":"","parse-names":false,"suffix":""},{"dropping-particle":"","family":"Aarikka-Stenroos","given":"Leena","non-dropping-particle":"","parse-names":false,"suffix":""},{"dropping-particle":"","family":"Ritala","given":"Paavo","non-dropping-particle":"","parse-names":false,"suffix":""},{"dropping-particle":"","family":"Mäkinen","given":"Saku J.","non-dropping-particle":"","parse-names":false,"suffix":""}],"container-title":"Resources, Conservation and Recycling","id":"ITEM-1","issue":"August 2017","issued":{"date-parts":[["2018"]]},"page":"70-82","publisher":"Elsevier","title":"Exploring institutional drivers and barriers of the circular economy: A cross-regional comparison of China, the US, and Europe","type":"article-journal","volume":"135"},"uris":["http://www.mendeley.com/documents/?uuid=9e3263bd-e8a0-4a47-9772-35fddaf67ff7"]},{"id":"ITEM-2","itemData":{"DOI":"10.1016/j.omega.2015.05.015","ISSN":"03050483","abstract":"In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Kingdom)","id":"ITEM-2","issued":{"date-parts":[["2017"]]},"page":"344-357","publisher":"Elsevier","title":"Sustainable supply chain management and the transition towards a circular economy: Evidence and some applications","type":"article-journal","volume":"66"},"uris":["http://www.mendeley.com/documents/?uuid=5dd8e2c4-fae0-4040-ae7c-ed96e73d9ca4"]},{"id":"ITEM-3","itemData":{"DOI":"10.1016/j.ecolecon.2018.04.028","ISSN":"09218009","abstract":"The circular economy concept is much discussed in the European Union (EU), but only limited progress has been accomplished so far regarding its implementation. Most scholarly studies blame this on various technological barriers. Our work rebuts these studies. We present the first large-N-study on circular economy barriers in the EU (208 survey respondents, 47 expert interviews). We find that cultural barriers, particularly a lack of consumer interest and awareness as well as a hesitant company culture, are considered the main circular economy barriers by businesses and policy-makers. These are driven by market barriers which, in turn, are induced by a lack of synergistic governmental interventions to accelerate the transition towards a circular economy. Meanwhile, not a single technological barrier is ranked among the most pressing circular economy barriers, according to our research. Overall, our work suggests that circular economy is a niche discussion among sustainable development professionals at this stage. Significant efforts need to be undertaken for the concept to maintain its momentum.","author":[{"dropping-particle":"","family":"Kirchherr","given":"Julian","non-dropping-particle":"","parse-names":false,"suffix":""},{"dropping-particle":"","family":"Piscicelli","given":"Laura","non-dropping-particle":"","parse-names":false,"suffix":""},{"dropping-particle":"","family":"Bour","given":"Ruben","non-dropping-particle":"","parse-names":false,"suffix":""},{"dropping-particle":"","family":"Kostense-Smit","given":"Erica","non-dropping-particle":"","parse-names":false,"suffix":""},{"dropping-particle":"","family":"Muller","given":"Jennifer","non-dropping-particle":"","parse-names":false,"suffix":""},{"dropping-particle":"","family":"Huibrechtse-Truijens","given":"Anne","non-dropping-particle":"","parse-names":false,"suffix":""},{"dropping-particle":"","family":"Hekkert","given":"Marko","non-dropping-particle":"","parse-names":false,"suffix":""}],"container-title":"Ecological Economics","id":"ITEM-3","issue":"December 2017","issued":{"date-parts":[["2018"]]},"page":"264-272","publisher":"Elsevier","title":"Barriers to the Circular Economy: Evidence From the European Union (EU)","type":"article-journal","volume":"150"},"uris":["http://www.mendeley.com/documents/?uuid=a9277404-ee50-4c75-b7b3-f338cd89b5bb"]},{"id":"ITEM-4","itemData":{"DOI":"10.1080/00207543.2018.1542176","ISSN":"1366588X","abstract":"Despite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Research","id":"ITEM-4","issue":"23","issued":{"date-parts":[["2019"]]},"page":"7395-7422","publisher":"Taylor &amp; Francis","title":"Challenges in supply chain redesign for the Circular Economy: a literature review and a multiple case study","type":"article-journal","volume":"57"},"uris":["http://www.mendeley.com/documents/?uuid=66ed4a77-74f5-4258-a3a6-d2c5ce0085d1"]}],"mendeley":{"formattedCitation":"(Genovese et al., 2017; Kirchherr et al., 2018; Ranta et al., 2018; Bressanelli et al., 2019)","plainTextFormattedCitation":"(Genovese et al., 2017; Kirchherr et al., 2018; Ranta et al., 2018; Bressanelli et al., 2019)","previouslyFormattedCitation":"(Genovese et al., 2017; Kirchherr et al., 2018; Ranta et al., 2018; Bressanelli et al., 2019)"},"properties":{"noteIndex":0},"schema":"https://github.com/citation-style-language/schema/raw/master/csl-citation.json"}</w:instrText>
      </w:r>
      <w:r w:rsidRPr="00E81FD2">
        <w:fldChar w:fldCharType="separate"/>
      </w:r>
      <w:r w:rsidRPr="00E81FD2">
        <w:rPr>
          <w:noProof/>
        </w:rPr>
        <w:t xml:space="preserve">(Sarkis et al., 2011; Lin &amp; Sheu, 2012; Zhu et al., 2013; Genovese et al., 2017; Liu et al., 2018; </w:t>
      </w:r>
      <w:r w:rsidRPr="00E81FD2">
        <w:rPr>
          <w:noProof/>
        </w:rPr>
        <w:lastRenderedPageBreak/>
        <w:t>Kirchherr et al., 2018; Ranta et al., 2018; Bressanelli et al., 2019</w:t>
      </w:r>
      <w:r w:rsidRPr="00E81FD2">
        <w:fldChar w:fldCharType="end"/>
      </w:r>
      <w:r w:rsidRPr="00E81FD2">
        <w:t xml:space="preserve">) according to which the institutional environment is a driver (or inhibitor) of CE practices adoption in firms. </w:t>
      </w:r>
    </w:p>
    <w:p w14:paraId="4E4DB6CC" w14:textId="77777777" w:rsidR="009E313C" w:rsidRPr="00E81FD2" w:rsidRDefault="009E313C" w:rsidP="002F7336">
      <w:pPr>
        <w:rPr>
          <w:lang w:val="en-US"/>
        </w:rPr>
      </w:pPr>
      <w:r w:rsidRPr="00BD0461">
        <w:rPr>
          <w:b/>
          <w:bCs/>
          <w:lang w:val="en-US"/>
        </w:rPr>
        <w:t>RQ1:</w:t>
      </w:r>
      <w:r w:rsidRPr="00E81FD2">
        <w:rPr>
          <w:lang w:val="en-US"/>
        </w:rPr>
        <w:t xml:space="preserve"> What relationship do institutional pressures have with the adoption of CE practices?</w:t>
      </w:r>
    </w:p>
    <w:p w14:paraId="166A8AB3" w14:textId="77777777" w:rsidR="009E313C" w:rsidRPr="00E81FD2" w:rsidRDefault="009E313C" w:rsidP="002F7336">
      <w:r w:rsidRPr="00BD0461">
        <w:rPr>
          <w:b/>
          <w:bCs/>
        </w:rPr>
        <w:t>Hp1:</w:t>
      </w:r>
      <w:r w:rsidRPr="00E81FD2">
        <w:t xml:space="preserve"> Institutional pressures drive the adoption of CE practices in firms;</w:t>
      </w:r>
    </w:p>
    <w:p w14:paraId="1057BFA9" w14:textId="77777777" w:rsidR="009E313C" w:rsidRPr="00E81FD2" w:rsidRDefault="009E313C" w:rsidP="00F64705">
      <w:pPr>
        <w:ind w:left="720"/>
      </w:pPr>
      <w:r w:rsidRPr="00BD0461">
        <w:rPr>
          <w:b/>
          <w:bCs/>
        </w:rPr>
        <w:t>Hp1a:</w:t>
      </w:r>
      <w:r w:rsidRPr="00E81FD2">
        <w:t xml:space="preserve"> Coercive pressure drives the adoption of CE practices in firms;</w:t>
      </w:r>
      <w:r w:rsidRPr="00E81FD2" w:rsidDel="003317E5">
        <w:t xml:space="preserve"> </w:t>
      </w:r>
    </w:p>
    <w:p w14:paraId="11606694" w14:textId="77777777" w:rsidR="009E313C" w:rsidRPr="00E81FD2" w:rsidRDefault="009E313C" w:rsidP="00F64705">
      <w:pPr>
        <w:ind w:left="720"/>
      </w:pPr>
      <w:r w:rsidRPr="00BD0461">
        <w:rPr>
          <w:b/>
          <w:bCs/>
        </w:rPr>
        <w:t>Hp1b:</w:t>
      </w:r>
      <w:r w:rsidRPr="00E81FD2">
        <w:t xml:space="preserve"> Normative pressure drives the adoption of CE practices in firms;</w:t>
      </w:r>
      <w:r w:rsidRPr="00E81FD2" w:rsidDel="003317E5">
        <w:t xml:space="preserve"> </w:t>
      </w:r>
    </w:p>
    <w:p w14:paraId="3A4BE760" w14:textId="77777777" w:rsidR="009E313C" w:rsidRPr="00E81FD2" w:rsidRDefault="009E313C" w:rsidP="00F64705">
      <w:pPr>
        <w:ind w:left="720"/>
      </w:pPr>
      <w:r w:rsidRPr="00BD0461">
        <w:rPr>
          <w:b/>
          <w:bCs/>
        </w:rPr>
        <w:t>Hp1c:</w:t>
      </w:r>
      <w:r w:rsidRPr="00E81FD2">
        <w:t xml:space="preserve"> Mimetic pressure drives the adoption of CE practices in firms;</w:t>
      </w:r>
      <w:r w:rsidRPr="00E81FD2" w:rsidDel="003317E5">
        <w:t xml:space="preserve"> </w:t>
      </w:r>
    </w:p>
    <w:p w14:paraId="0CF81CC7" w14:textId="77777777" w:rsidR="009E313C" w:rsidRPr="00E81FD2" w:rsidRDefault="009E313C" w:rsidP="002F7336">
      <w:r w:rsidRPr="00E81FD2">
        <w:t xml:space="preserve">We hypothesise also that SCI has a relationship with the adoption of CE practices and also that it positively moderates the hypothesised relationship between the institutional pressures and the adoption of CE practices in supply chains: this second proposition finds support in the studies of Wong et al. </w:t>
      </w:r>
      <w:r w:rsidRPr="00E81FD2">
        <w:rPr>
          <w:lang w:val="fr-FR"/>
        </w:rPr>
        <w:t xml:space="preserve">(2020), Bressanelli et al. (2019), Herczeg et al. (2018), </w:t>
      </w:r>
      <w:proofErr w:type="spellStart"/>
      <w:r w:rsidRPr="00E81FD2">
        <w:rPr>
          <w:lang w:val="fr-FR"/>
        </w:rPr>
        <w:t>Sancha</w:t>
      </w:r>
      <w:proofErr w:type="spellEnd"/>
      <w:r w:rsidRPr="00E81FD2">
        <w:rPr>
          <w:lang w:val="fr-FR"/>
        </w:rPr>
        <w:t xml:space="preserve"> et al. (2015) and Wu (2013). </w:t>
      </w:r>
      <w:r w:rsidRPr="00E81FD2">
        <w:t>Once the first organisation has adopted CE practices, having a high level of integration with its supply chain can support to spread those practices, thus enabling the transition towards circular, green and sustainable production and consumption systems.</w:t>
      </w:r>
    </w:p>
    <w:p w14:paraId="2574BC09" w14:textId="77777777" w:rsidR="009E313C" w:rsidRPr="00E81FD2" w:rsidRDefault="009E313C" w:rsidP="002F7336">
      <w:pPr>
        <w:rPr>
          <w:lang w:val="en-US"/>
        </w:rPr>
      </w:pPr>
      <w:r w:rsidRPr="00BD0461">
        <w:rPr>
          <w:b/>
          <w:bCs/>
          <w:lang w:val="en-US"/>
        </w:rPr>
        <w:t>RQ2:</w:t>
      </w:r>
      <w:r w:rsidRPr="00E81FD2">
        <w:rPr>
          <w:lang w:val="en-US"/>
        </w:rPr>
        <w:t xml:space="preserve"> What relationship does supply chain integration have with the adoption of CE practices?</w:t>
      </w:r>
    </w:p>
    <w:p w14:paraId="0A5E7286" w14:textId="77777777" w:rsidR="009E313C" w:rsidRPr="00E81FD2" w:rsidRDefault="009E313C" w:rsidP="002F7336">
      <w:r w:rsidRPr="00BD0461">
        <w:rPr>
          <w:b/>
          <w:bCs/>
        </w:rPr>
        <w:t>Hp2:</w:t>
      </w:r>
      <w:r w:rsidRPr="00E81FD2">
        <w:t xml:space="preserve"> SCI drives the adoption of CE practices in firms;</w:t>
      </w:r>
    </w:p>
    <w:p w14:paraId="645C3C92" w14:textId="60EB1EE9" w:rsidR="009E313C" w:rsidRPr="00E81FD2" w:rsidRDefault="00BD0461" w:rsidP="00F64705">
      <w:pPr>
        <w:ind w:left="720"/>
      </w:pPr>
      <w:r>
        <w:rPr>
          <w:b/>
          <w:bCs/>
        </w:rPr>
        <w:t>Hp2</w:t>
      </w:r>
      <w:r w:rsidR="009E313C" w:rsidRPr="00BD0461">
        <w:rPr>
          <w:b/>
          <w:bCs/>
        </w:rPr>
        <w:t>a:</w:t>
      </w:r>
      <w:r w:rsidR="009E313C" w:rsidRPr="00E81FD2">
        <w:t xml:space="preserve"> Customer integration drives the adoption of CE practices in firms;</w:t>
      </w:r>
      <w:r w:rsidR="009E313C" w:rsidRPr="00E81FD2" w:rsidDel="003317E5">
        <w:t xml:space="preserve"> </w:t>
      </w:r>
    </w:p>
    <w:p w14:paraId="418C883A" w14:textId="4F249F30" w:rsidR="009E313C" w:rsidRPr="00E81FD2" w:rsidRDefault="00BD0461" w:rsidP="00F64705">
      <w:pPr>
        <w:ind w:left="720"/>
      </w:pPr>
      <w:r>
        <w:rPr>
          <w:b/>
          <w:bCs/>
        </w:rPr>
        <w:t>Hp2</w:t>
      </w:r>
      <w:r w:rsidR="009E313C" w:rsidRPr="00BD0461">
        <w:rPr>
          <w:b/>
          <w:bCs/>
        </w:rPr>
        <w:t>b:</w:t>
      </w:r>
      <w:r w:rsidR="009E313C" w:rsidRPr="00E81FD2">
        <w:t xml:space="preserve"> Supplier integration drives the adoption of CE practices in firms;</w:t>
      </w:r>
      <w:r w:rsidR="009E313C" w:rsidRPr="00E81FD2" w:rsidDel="003317E5">
        <w:t xml:space="preserve"> </w:t>
      </w:r>
    </w:p>
    <w:p w14:paraId="4752F515" w14:textId="77777777" w:rsidR="009E313C" w:rsidRPr="00E81FD2" w:rsidRDefault="009E313C" w:rsidP="002F7336">
      <w:pPr>
        <w:rPr>
          <w:lang w:val="en-US"/>
        </w:rPr>
      </w:pPr>
      <w:r w:rsidRPr="00BD0461">
        <w:rPr>
          <w:b/>
          <w:bCs/>
          <w:lang w:val="en-US"/>
        </w:rPr>
        <w:t>RQ3:</w:t>
      </w:r>
      <w:r w:rsidRPr="00E81FD2">
        <w:rPr>
          <w:lang w:val="en-US"/>
        </w:rPr>
        <w:t xml:space="preserve"> How does supply chain integration interact with the relationship between institutional pressures and the adoption of CE practices?</w:t>
      </w:r>
    </w:p>
    <w:p w14:paraId="54910291" w14:textId="77777777" w:rsidR="009E313C" w:rsidRPr="00E81FD2" w:rsidRDefault="009E313C" w:rsidP="002F7336">
      <w:r w:rsidRPr="00BD0461">
        <w:rPr>
          <w:b/>
          <w:bCs/>
        </w:rPr>
        <w:t>Hp3:</w:t>
      </w:r>
      <w:r w:rsidRPr="00E81FD2">
        <w:t xml:space="preserve"> Supply chain integration moderates the relation between institutional pressures and the adoption of CE practices in the supply chain;</w:t>
      </w:r>
    </w:p>
    <w:p w14:paraId="5A1C49A5" w14:textId="3897392B" w:rsidR="009E313C" w:rsidRPr="00E81FD2" w:rsidRDefault="00BD0461" w:rsidP="00F64705">
      <w:pPr>
        <w:ind w:left="720"/>
      </w:pPr>
      <w:r>
        <w:rPr>
          <w:b/>
          <w:bCs/>
        </w:rPr>
        <w:t>Hp3</w:t>
      </w:r>
      <w:r w:rsidR="009E313C" w:rsidRPr="00BD0461">
        <w:rPr>
          <w:b/>
          <w:bCs/>
        </w:rPr>
        <w:t>a:</w:t>
      </w:r>
      <w:r w:rsidR="009E313C" w:rsidRPr="00E81FD2">
        <w:t xml:space="preserve"> Supply chain integration moderates the relation between coercive pressure and the adoption of CE practices in the supply chain;</w:t>
      </w:r>
    </w:p>
    <w:p w14:paraId="0A421809" w14:textId="25A5DBE8" w:rsidR="009E313C" w:rsidRPr="00E81FD2" w:rsidRDefault="00BD0461" w:rsidP="00F64705">
      <w:pPr>
        <w:ind w:left="720"/>
      </w:pPr>
      <w:r>
        <w:rPr>
          <w:b/>
          <w:bCs/>
        </w:rPr>
        <w:t>Hp3</w:t>
      </w:r>
      <w:r w:rsidR="009E313C" w:rsidRPr="00BD0461">
        <w:rPr>
          <w:b/>
          <w:bCs/>
        </w:rPr>
        <w:t>b:</w:t>
      </w:r>
      <w:r w:rsidR="009E313C" w:rsidRPr="00E81FD2">
        <w:t xml:space="preserve"> Supply chain integration moderates the relation between normative pressure and the adoption of CE practices in the supply chain;</w:t>
      </w:r>
    </w:p>
    <w:p w14:paraId="24A0C3A0" w14:textId="4EC72562" w:rsidR="009E313C" w:rsidRPr="00E81FD2" w:rsidRDefault="00BD0461" w:rsidP="00F64705">
      <w:pPr>
        <w:ind w:left="720"/>
      </w:pPr>
      <w:r>
        <w:rPr>
          <w:b/>
          <w:bCs/>
        </w:rPr>
        <w:lastRenderedPageBreak/>
        <w:t>Hp3</w:t>
      </w:r>
      <w:r w:rsidR="009E313C" w:rsidRPr="00BD0461">
        <w:rPr>
          <w:b/>
          <w:bCs/>
        </w:rPr>
        <w:t>c:</w:t>
      </w:r>
      <w:r w:rsidR="009E313C" w:rsidRPr="00E81FD2">
        <w:t xml:space="preserve"> Supply chain integration m</w:t>
      </w:r>
      <w:r w:rsidR="00444F93">
        <w:t>oderates the relation between mi</w:t>
      </w:r>
      <w:r w:rsidR="009E313C" w:rsidRPr="00E81FD2">
        <w:t>metic pressure and the adoption of CE practices in the supply chain;</w:t>
      </w:r>
    </w:p>
    <w:p w14:paraId="467D8700" w14:textId="77777777" w:rsidR="009E313C" w:rsidRPr="00E81FD2" w:rsidRDefault="009E313C" w:rsidP="002F7336">
      <w:r w:rsidRPr="00E81FD2">
        <w:t>We propose a conceptual framework (Figure 8), which will be tested in future studies. The three main building blocks of the framework have been identified: adoption of CE practices, SCI and institutional pressures.</w:t>
      </w:r>
    </w:p>
    <w:p w14:paraId="008E6928" w14:textId="77777777" w:rsidR="00E73C3E" w:rsidRDefault="00E73C3E" w:rsidP="00BD0461">
      <w:pPr>
        <w:jc w:val="center"/>
      </w:pPr>
      <w:r>
        <w:rPr>
          <w:noProof/>
          <w:lang w:eastAsia="zh-CN"/>
        </w:rPr>
        <w:drawing>
          <wp:inline distT="0" distB="0" distL="0" distR="0" wp14:anchorId="1101B372" wp14:editId="094DD3F1">
            <wp:extent cx="3746500" cy="2956449"/>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65531" cy="2971467"/>
                    </a:xfrm>
                    <a:prstGeom prst="rect">
                      <a:avLst/>
                    </a:prstGeom>
                    <a:noFill/>
                  </pic:spPr>
                </pic:pic>
              </a:graphicData>
            </a:graphic>
          </wp:inline>
        </w:drawing>
      </w:r>
    </w:p>
    <w:p w14:paraId="2F42CD5D" w14:textId="77777777" w:rsidR="009E313C" w:rsidRDefault="009E313C" w:rsidP="002F7336">
      <w:pPr>
        <w:pStyle w:val="Figurecaption"/>
      </w:pPr>
      <w:bookmarkStart w:id="123" w:name="_Toc48552040"/>
      <w:bookmarkStart w:id="124" w:name="_Toc48561459"/>
      <w:bookmarkStart w:id="125" w:name="_Toc49789736"/>
      <w:r>
        <w:t>Figure 8 – Hypothesised c</w:t>
      </w:r>
      <w:r w:rsidRPr="00CA0BA2">
        <w:t xml:space="preserve">onceptual model on the </w:t>
      </w:r>
      <w:r>
        <w:t>relationship among the variables</w:t>
      </w:r>
      <w:bookmarkEnd w:id="123"/>
      <w:bookmarkEnd w:id="124"/>
      <w:bookmarkEnd w:id="125"/>
    </w:p>
    <w:p w14:paraId="6355C92F" w14:textId="77777777" w:rsidR="009E313C" w:rsidRPr="00E81FD2" w:rsidRDefault="009E313C" w:rsidP="002F7336">
      <w:r w:rsidRPr="00E81FD2">
        <w:t xml:space="preserve">The same conceptual framework could be explained as a two-step process (Figure 9). The first step represents the adoption of CE practices by the first firm in the supply chain, as driven by institutional pressures. The second step represents the expansion of CE practices in suppliers and customers. SCI is hypothesised to moderate this process </w:t>
      </w:r>
      <w:r w:rsidRPr="00E81FD2">
        <w:fldChar w:fldCharType="begin" w:fldLock="1"/>
      </w:r>
      <w:r w:rsidRPr="00E81FD2">
        <w:instrText>ADDIN CSL_CITATION {"citationItems":[{"id":"ITEM-1","itemData":{"DOI":"10.1016/j.pursup.2014.12.004","ISSN":"14784092","abstract":"The objective of this paper is to study the impact of institutional pressures at the country level (i.e., coercive, regulatory, normative) on the adoption of sustainable supplier development practices. Globalization is allowing firms to expand in new markets and to leverage on localization advantages by establishing foreign plants and sourcing internationally. Plants located in different countries might be subject to different institutional pressures shaping their organizational response to sustainability within and outside their domain (e.g., in relation to their suppliers). The paper also aims to examine if firm specific capabilities (e.g., supply chain integration) play an enabling role in the adoption of sustainable supplier development practices. To analyse these relationships we relied on both primary and secondary data, and used hierarchical linear modelling to test our hypotheses. The results show that mimetic pressures have a positive effect on the adoption of sustainable supplier development and that this influence is positively moderated by the firm's level of supplier integration. Coercive and normative pressures have no effect on the adoption of sustainable supplier development practices. Overall our results suggest that sustainable supplier development is a proactive practice adopted for competitive reasons and enabled by firm specific capabilities.","author":[{"dropping-particle":"","family":"Sancha","given":"Cristina","non-dropping-particle":"","parse-names":false,"suffix":""},{"dropping-particle":"","family":"Longoni","given":"Annachiara","non-dropping-particle":"","parse-names":false,"suffix":""},{"dropping-particle":"","family":"Giménez","given":"Cristina","non-dropping-particle":"","parse-names":false,"suffix":""}],"container-title":"Journal of Purchasing and Supply Management","id":"ITEM-1","issue":"2","issued":{"date-parts":[["2015"]]},"page":"95-102","publisher":"Elsevier","title":"Sustainable supplier development practices: Drivers and enablers in a global context","type":"article-journal","volume":"21"},"uris":["http://www.mendeley.com/documents/?uuid=121cabff-e9cf-4ff0-bbb3-eebcc9a65ad2"]},{"id":"ITEM-2","itemData":{"DOI":"10.1016/j.ijpe.2016.08.033","ISSN":"09255273","abstract":"This paper aims to understand and analyze how different institutional pressures created by stakeholders tend to promote the green bullwhip effect and the consequent adoption of green supply chain management (GSCM) practices across a supply chain. It examines GSCM practices adopted in the supply chain as a result of pressures from primary stakeholders, and how they exert environmental/institutional pressures. A case study methodology has been adopted to study a focal company (an automotive battery company located in Brazil) and its stakeholders, including customers, its supplier, and the government. The results, synthesized through eight propositions, highlight the effect that the institutional environment exercises on generating the green bullwhip effect in the supply chain.","author":[{"dropping-particle":"","family":"Seles","given":"Bruno Michel Roman Pais","non-dropping-particle":"","parse-names":false,"suffix":""},{"dropping-particle":"","family":"Sousa Jabbour","given":"Ana Beatriz Lopes","non-dropping-particle":"de","parse-names":false,"suffix":""},{"dropping-particle":"","family":"Jabbour","given":"Charbel José Chiappetta","non-dropping-particle":"","parse-names":false,"suffix":""},{"dropping-particle":"","family":"Dangelico","given":"Rosa Maria","non-dropping-particle":"","parse-names":false,"suffix":""}],"container-title":"International Journal of Production Economics","id":"ITEM-2","issued":{"date-parts":[["2016"]]},"page":"342-355","publisher":"Elsevier","title":"The green bullwhip effect, the diffusion of green supply chain practices, and institutional pressures: Evidence from the automotive sector","type":"article-journal","volume":"182"},"uris":["http://www.mendeley.com/documents/?uuid=896d2c85-c766-4dd9-b178-612ea28d994f"]}],"mendeley":{"formattedCitation":"(Sancha et al., 2015; Seles et al., 2016)","plainTextFormattedCitation":"(Sancha et al., 2015; Seles et al., 2016)","previouslyFormattedCitation":"(Sancha et al., 2015)"},"properties":{"noteIndex":0},"schema":"https://github.com/citation-style-language/schema/raw/master/csl-citation.json"}</w:instrText>
      </w:r>
      <w:r w:rsidRPr="00E81FD2">
        <w:fldChar w:fldCharType="separate"/>
      </w:r>
      <w:r w:rsidRPr="00E81FD2">
        <w:rPr>
          <w:noProof/>
        </w:rPr>
        <w:t>(Sancha et al., 2015; Seles et al., 2016)</w:t>
      </w:r>
      <w:r w:rsidRPr="00E81FD2">
        <w:fldChar w:fldCharType="end"/>
      </w:r>
      <w:r w:rsidRPr="00E81FD2">
        <w:t xml:space="preserve">.  </w:t>
      </w:r>
    </w:p>
    <w:p w14:paraId="6D13FAD8" w14:textId="77777777" w:rsidR="009E313C" w:rsidRPr="00E81FD2" w:rsidRDefault="009E313C" w:rsidP="002F7336">
      <w:r w:rsidRPr="00E81FD2">
        <w:t xml:space="preserve">Further steps include the validation of the framework. The need to verify such potential causal relationship constitutes an interesting research gap that should be further investigated and proved by more articulated inferential studies. This will be discussed in Chapter 5. </w:t>
      </w:r>
    </w:p>
    <w:p w14:paraId="5154734B" w14:textId="4948F66C" w:rsidR="00E73C3E" w:rsidRDefault="00E73C3E" w:rsidP="002F7336">
      <w:r>
        <w:rPr>
          <w:noProof/>
          <w:lang w:eastAsia="zh-CN"/>
        </w:rPr>
        <w:lastRenderedPageBreak/>
        <w:drawing>
          <wp:inline distT="0" distB="0" distL="0" distR="0" wp14:anchorId="09C86885" wp14:editId="685E70FC">
            <wp:extent cx="5289550" cy="280221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07356" cy="2811649"/>
                    </a:xfrm>
                    <a:prstGeom prst="rect">
                      <a:avLst/>
                    </a:prstGeom>
                    <a:noFill/>
                  </pic:spPr>
                </pic:pic>
              </a:graphicData>
            </a:graphic>
          </wp:inline>
        </w:drawing>
      </w:r>
    </w:p>
    <w:p w14:paraId="3806BC7C" w14:textId="77777777" w:rsidR="009E313C" w:rsidRDefault="009E313C" w:rsidP="002F7336">
      <w:pPr>
        <w:pStyle w:val="Figurecaption"/>
      </w:pPr>
      <w:bookmarkStart w:id="126" w:name="_Toc48561460"/>
      <w:bookmarkStart w:id="127" w:name="_Toc49789737"/>
      <w:r>
        <w:t>Figure 9 –</w:t>
      </w:r>
      <w:r w:rsidRPr="00844850">
        <w:t xml:space="preserve"> Th</w:t>
      </w:r>
      <w:r>
        <w:t>e</w:t>
      </w:r>
      <w:r w:rsidRPr="00844850">
        <w:t xml:space="preserve"> two-step conceptual model derived from the literature review</w:t>
      </w:r>
      <w:bookmarkEnd w:id="126"/>
      <w:bookmarkEnd w:id="127"/>
    </w:p>
    <w:p w14:paraId="7584DC31" w14:textId="77777777" w:rsidR="00E73C3E" w:rsidRDefault="00E73C3E" w:rsidP="005035B4">
      <w:pPr>
        <w:pStyle w:val="Heading2"/>
      </w:pPr>
      <w:bookmarkStart w:id="128" w:name="_Toc49839834"/>
      <w:bookmarkStart w:id="129" w:name="_Toc157759515"/>
      <w:r w:rsidRPr="007D1EE7">
        <w:t>Chapter’s</w:t>
      </w:r>
      <w:r>
        <w:t xml:space="preserve"> </w:t>
      </w:r>
      <w:r w:rsidRPr="006D6C08">
        <w:t>conclusion</w:t>
      </w:r>
      <w:bookmarkEnd w:id="128"/>
      <w:bookmarkEnd w:id="129"/>
    </w:p>
    <w:p w14:paraId="67809600" w14:textId="77777777" w:rsidR="009E313C" w:rsidRPr="00E81FD2" w:rsidRDefault="009E313C" w:rsidP="002F7336">
      <w:r w:rsidRPr="00E81FD2">
        <w:t xml:space="preserve">This chapter has focused on the literature review behind the research problem. Two factors were identified </w:t>
      </w:r>
      <w:r>
        <w:t xml:space="preserve">through </w:t>
      </w:r>
      <w:r w:rsidRPr="00E81FD2">
        <w:t>reviewing Multi-National-Enterprises Sustainability reports (Chapter 2), which might play a role in driving and in enabling the transition towards the CE in supply chains. After having presented the key concepts and ideas, the results of the critical literature review were presented. A conceptual model derived from the literature describes the relationship among the variables.</w:t>
      </w:r>
    </w:p>
    <w:p w14:paraId="1444C2F8" w14:textId="77777777" w:rsidR="000F3CD8" w:rsidRDefault="000F3CD8" w:rsidP="002F7336">
      <w:r>
        <w:br w:type="page"/>
      </w:r>
    </w:p>
    <w:p w14:paraId="08BCB77F" w14:textId="77777777" w:rsidR="000F3CD8" w:rsidRPr="00EB38D8" w:rsidRDefault="000F3CD8" w:rsidP="00BD0461">
      <w:pPr>
        <w:pStyle w:val="Heading2"/>
        <w:numPr>
          <w:ilvl w:val="0"/>
          <w:numId w:val="0"/>
        </w:numPr>
        <w:ind w:left="357" w:hanging="357"/>
        <w:rPr>
          <w:lang w:val="it-IT"/>
        </w:rPr>
      </w:pPr>
      <w:bookmarkStart w:id="130" w:name="_Toc157759516"/>
      <w:r w:rsidRPr="00EB38D8">
        <w:rPr>
          <w:lang w:val="it-IT"/>
        </w:rPr>
        <w:lastRenderedPageBreak/>
        <w:t>References</w:t>
      </w:r>
      <w:bookmarkEnd w:id="130"/>
    </w:p>
    <w:p w14:paraId="44B9DA28" w14:textId="77777777" w:rsidR="00ED71BB" w:rsidRDefault="00ED71BB" w:rsidP="002F7336">
      <w:r w:rsidRPr="00ED71BB">
        <w:rPr>
          <w:lang w:val="it-IT"/>
        </w:rPr>
        <w:t xml:space="preserve">Ancarani, A., Di Mauro, C., Legenvre, H., &amp; Cardella, M. S. (2019). </w:t>
      </w:r>
      <w:r>
        <w:t>Internet of things adoption: a typology of projects. International Journal of Operations and Production Management. https://doi.org/10.1108/IJOPM-01-2019-0095</w:t>
      </w:r>
    </w:p>
    <w:p w14:paraId="28F2FFCF" w14:textId="77777777" w:rsidR="00ED71BB" w:rsidRDefault="00ED71BB" w:rsidP="002F7336">
      <w:r w:rsidRPr="00ED71BB">
        <w:rPr>
          <w:lang w:val="it-IT"/>
        </w:rPr>
        <w:t xml:space="preserve">Ancarani, A., Di Mauro, C., &amp; Mascali, F. (2019). </w:t>
      </w:r>
      <w:proofErr w:type="spellStart"/>
      <w:r>
        <w:t>Backshoring</w:t>
      </w:r>
      <w:proofErr w:type="spellEnd"/>
      <w:r>
        <w:t xml:space="preserve"> strategy and the adoption of Industry 4.0: Evidence from Europe. Journal of World Business. https://doi.org/10.1016/j.jwb.2019.04.003</w:t>
      </w:r>
    </w:p>
    <w:p w14:paraId="0D4C626C" w14:textId="77777777" w:rsidR="00ED71BB" w:rsidRDefault="00ED71BB" w:rsidP="002F7336">
      <w:r>
        <w:t>Andersen, M. S. (2007). An introductory note on the environmental economics of the circular economy. Sustainability Science, 2(1), 133–140. https://doi.org/10.1007/s11625-006-0013-6</w:t>
      </w:r>
    </w:p>
    <w:p w14:paraId="466881E1" w14:textId="77777777" w:rsidR="00ED71BB" w:rsidRDefault="00ED71BB" w:rsidP="002F7336">
      <w:proofErr w:type="spellStart"/>
      <w:r>
        <w:t>Arimura</w:t>
      </w:r>
      <w:proofErr w:type="spellEnd"/>
      <w:r>
        <w:t xml:space="preserve">, T. H., </w:t>
      </w:r>
      <w:proofErr w:type="spellStart"/>
      <w:r>
        <w:t>Darnall</w:t>
      </w:r>
      <w:proofErr w:type="spellEnd"/>
      <w:r>
        <w:t>, N., &amp; Katayama, H. (2011). Is ISO 14001 a gateway to more advanced voluntary action? The case of green supply chain management. Journal of Environmental Economics and Management, 61(2), 170–182. https://doi.org/10.1016/j.jeem.2010.11.003</w:t>
      </w:r>
    </w:p>
    <w:p w14:paraId="324B7ADE" w14:textId="77777777" w:rsidR="00ED71BB" w:rsidRDefault="00ED71BB" w:rsidP="002F7336">
      <w:r w:rsidRPr="00ED71BB">
        <w:rPr>
          <w:lang w:val="sv-SE"/>
        </w:rPr>
        <w:t xml:space="preserve">Batista, L., Bourlakis, M., Smart, P., &amp; Maull, R. (2018). </w:t>
      </w:r>
      <w:r>
        <w:t>In search of a circular supply chain archetype–a content-analysis-based literature review. Production Planning and Control, 29(6), 438–451. https://doi.org/10.1080/09537287.2017.1343502</w:t>
      </w:r>
    </w:p>
    <w:p w14:paraId="14B5603B" w14:textId="77777777" w:rsidR="00ED71BB" w:rsidRDefault="00ED71BB" w:rsidP="002F7336">
      <w:r>
        <w:t xml:space="preserve">Bell, E., </w:t>
      </w:r>
      <w:proofErr w:type="spellStart"/>
      <w:r>
        <w:t>Bryman</w:t>
      </w:r>
      <w:proofErr w:type="spellEnd"/>
      <w:r>
        <w:t>, A., &amp; Harley, B. (2018). Business research methods. Oxford university press.</w:t>
      </w:r>
    </w:p>
    <w:p w14:paraId="0D397926" w14:textId="72A24CD7" w:rsidR="00ED71BB" w:rsidRPr="003D2412" w:rsidRDefault="00ED71BB" w:rsidP="002F7336">
      <w:r w:rsidRPr="00ED71BB">
        <w:rPr>
          <w:lang w:val="de-DE"/>
        </w:rPr>
        <w:t xml:space="preserve">Berlin, D., Feldmann, A., Nuur, C., &amp; Tilliander, A. (2019). </w:t>
      </w:r>
      <w:r>
        <w:t xml:space="preserve">Supply chain collaboration in circular supply </w:t>
      </w:r>
      <w:r w:rsidR="00B651D9">
        <w:t>chains</w:t>
      </w:r>
      <w:r w:rsidR="00B651D9">
        <w:rPr>
          <w:rFonts w:ascii="Times New Roman" w:hAnsi="Times New Roman" w:cs="Times New Roman"/>
        </w:rPr>
        <w:t>:</w:t>
      </w:r>
      <w:r>
        <w:t xml:space="preserve"> The example of Swedish steel recycling. </w:t>
      </w:r>
      <w:r w:rsidRPr="003D2412">
        <w:t>1657</w:t>
      </w:r>
      <w:r w:rsidRPr="003D2412">
        <w:rPr>
          <w:rFonts w:cs="Garamond"/>
        </w:rPr>
        <w:t>–</w:t>
      </w:r>
      <w:r w:rsidRPr="003D2412">
        <w:t>1666.</w:t>
      </w:r>
    </w:p>
    <w:p w14:paraId="112EEE51" w14:textId="66185293" w:rsidR="005240F6" w:rsidRPr="005240F6" w:rsidRDefault="005240F6" w:rsidP="005240F6">
      <w:r w:rsidRPr="003D2412">
        <w:t xml:space="preserve">Bimpizas-Pinis, M., Calzolari, T., Genovese, A., Lowe, B., de Lima, F. A., MahmoumGonbadi, A., Seuring, S., </w:t>
      </w:r>
      <w:proofErr w:type="spellStart"/>
      <w:r w:rsidRPr="003D2412">
        <w:t>Sudusinghe</w:t>
      </w:r>
      <w:proofErr w:type="spellEnd"/>
      <w:r w:rsidRPr="003D2412">
        <w:t>, J. I. (2021</w:t>
      </w:r>
      <w:r w:rsidR="00B651D9" w:rsidRPr="003D2412">
        <w:t>).</w:t>
      </w:r>
      <w:r w:rsidRPr="003D2412">
        <w:t xml:space="preserve"> </w:t>
      </w:r>
      <w:r w:rsidRPr="005240F6">
        <w:t xml:space="preserve">ReTraCE Project, Realising the Transition towards the Circular Economy, D1.1, Measuring the transition towards circular supply chains: insights from academic literature and industrial practice. </w:t>
      </w:r>
      <w:r>
        <w:t xml:space="preserve">Available online at: </w:t>
      </w:r>
      <w:r w:rsidRPr="005240F6">
        <w:t>http://www.retrace-itn.eu/wp-content/uploads/2020/07/ReTraCE-D1.1.pdf</w:t>
      </w:r>
    </w:p>
    <w:p w14:paraId="70E965BE" w14:textId="03D15823" w:rsidR="00ED71BB" w:rsidRDefault="00ED71BB" w:rsidP="002F7336">
      <w:r w:rsidRPr="00ED71BB">
        <w:rPr>
          <w:lang w:val="nl-NL"/>
        </w:rPr>
        <w:t xml:space="preserve">Bocken, N. M. P., de Pauw, I., Bakker, C., &amp; van der Grinten, B. (2016). </w:t>
      </w:r>
      <w:r>
        <w:t>Product design and business model strategies for a circular economy. Journal of Industrial and Production Engineering, 33(5), 308–320. https://doi.org/10.1080/21681015.2016.1172124</w:t>
      </w:r>
    </w:p>
    <w:p w14:paraId="44F11A0B" w14:textId="18FFAC1D" w:rsidR="00ED71BB" w:rsidRPr="00ED71BB" w:rsidRDefault="00ED71BB" w:rsidP="002F7336">
      <w:pPr>
        <w:rPr>
          <w:lang w:val="it-IT"/>
        </w:rPr>
      </w:pPr>
      <w:proofErr w:type="spellStart"/>
      <w:r w:rsidRPr="00EA16DC">
        <w:lastRenderedPageBreak/>
        <w:t>Borrello</w:t>
      </w:r>
      <w:proofErr w:type="spellEnd"/>
      <w:r w:rsidRPr="00EA16DC">
        <w:t xml:space="preserve">, M., </w:t>
      </w:r>
      <w:proofErr w:type="spellStart"/>
      <w:r w:rsidRPr="00EA16DC">
        <w:t>Pascucci</w:t>
      </w:r>
      <w:proofErr w:type="spellEnd"/>
      <w:r w:rsidRPr="00EA16DC">
        <w:t xml:space="preserve">, S., &amp; Cembalo, L. (2020). </w:t>
      </w:r>
      <w:r>
        <w:t xml:space="preserve">Three Propositions to Unify Circular Economy </w:t>
      </w:r>
      <w:r w:rsidR="00B651D9">
        <w:t>Research</w:t>
      </w:r>
      <w:r w:rsidR="00B651D9">
        <w:rPr>
          <w:rFonts w:ascii="Times New Roman" w:hAnsi="Times New Roman" w:cs="Times New Roman"/>
        </w:rPr>
        <w:t>:</w:t>
      </w:r>
      <w:r>
        <w:t xml:space="preserve"> A Review. </w:t>
      </w:r>
      <w:r w:rsidRPr="00ED71BB">
        <w:rPr>
          <w:lang w:val="it-IT"/>
        </w:rPr>
        <w:t>1</w:t>
      </w:r>
      <w:r w:rsidRPr="00ED71BB">
        <w:rPr>
          <w:rFonts w:cs="Garamond"/>
          <w:lang w:val="it-IT"/>
        </w:rPr>
        <w:t>–</w:t>
      </w:r>
      <w:r w:rsidRPr="00ED71BB">
        <w:rPr>
          <w:lang w:val="it-IT"/>
        </w:rPr>
        <w:t>24. https://doi.org/10.3390/su12104069</w:t>
      </w:r>
    </w:p>
    <w:p w14:paraId="7080E0C0" w14:textId="77777777" w:rsidR="00ED71BB" w:rsidRDefault="00ED71BB" w:rsidP="002F7336">
      <w:r w:rsidRPr="00ED71BB">
        <w:rPr>
          <w:lang w:val="it-IT"/>
        </w:rPr>
        <w:t xml:space="preserve">Bressanelli, G., Perona, M., &amp; Saccani, N. (2019). </w:t>
      </w:r>
      <w:r>
        <w:t>Challenges in supply chain redesign for the Circular Economy: a literature review and a multiple case study. International Journal of Production Research, 57(23), 7395–7422. https://doi.org/10.1080/00207543.2018.1542176</w:t>
      </w:r>
    </w:p>
    <w:p w14:paraId="1B3B0DE7" w14:textId="77777777" w:rsidR="00ED71BB" w:rsidRDefault="00ED71BB" w:rsidP="002F7336">
      <w:proofErr w:type="spellStart"/>
      <w:r>
        <w:t>Busse</w:t>
      </w:r>
      <w:proofErr w:type="spellEnd"/>
      <w:r>
        <w:t xml:space="preserve">, C., </w:t>
      </w:r>
      <w:proofErr w:type="spellStart"/>
      <w:r>
        <w:t>Kach</w:t>
      </w:r>
      <w:proofErr w:type="spellEnd"/>
      <w:r>
        <w:t>, A. P., &amp; Bode, C. (2016). Sustainability and the False Sense of Legitimacy: How Institutional Distance Augments Risk in Global Supply Chains. Journal of Business Logistics, 37(4), 312–328. https://doi.org/10.1111/jbl.12143</w:t>
      </w:r>
    </w:p>
    <w:p w14:paraId="43911CFA" w14:textId="77777777" w:rsidR="00ED71BB" w:rsidRDefault="00ED71BB" w:rsidP="002F7336">
      <w:r>
        <w:t xml:space="preserve">Caldera, H. T. S., </w:t>
      </w:r>
      <w:proofErr w:type="spellStart"/>
      <w:r>
        <w:t>Desha</w:t>
      </w:r>
      <w:proofErr w:type="spellEnd"/>
      <w:r>
        <w:t>, C., &amp; Dawes, L. (2019). Evaluating the enablers and barriers for successful implementation of sustainable business practice in ‘lean’ SMEs. Journal of Cleaner Production, 218, 575–590. https://doi.org/10.1016/j.jclepro.2019.01.239</w:t>
      </w:r>
    </w:p>
    <w:p w14:paraId="08041F4F" w14:textId="77777777" w:rsidR="00ED71BB" w:rsidRDefault="00ED71BB" w:rsidP="002F7336">
      <w:r w:rsidRPr="00D068A1">
        <w:t xml:space="preserve">Chen, H., Daugherty, P. J., &amp; Landry, T. D. (2009). Supply chain process integration: a theoretical framework. Journal of business logistics, 30(2), 27-46. </w:t>
      </w:r>
      <w:hyperlink r:id="rId67" w:history="1">
        <w:r w:rsidRPr="00D01F4E">
          <w:rPr>
            <w:rStyle w:val="Hyperlink"/>
          </w:rPr>
          <w:t>https://doi.org/10.1002/j.2158-1592.2009.tb00110.x</w:t>
        </w:r>
      </w:hyperlink>
      <w:r w:rsidRPr="00D068A1">
        <w:t xml:space="preserve"> </w:t>
      </w:r>
    </w:p>
    <w:p w14:paraId="3111764B" w14:textId="25EC8904" w:rsidR="00ED71BB" w:rsidRDefault="00ED71BB" w:rsidP="002F7336">
      <w:proofErr w:type="spellStart"/>
      <w:r>
        <w:t>Chiappetta</w:t>
      </w:r>
      <w:proofErr w:type="spellEnd"/>
      <w:r>
        <w:t xml:space="preserve"> </w:t>
      </w:r>
      <w:proofErr w:type="spellStart"/>
      <w:r>
        <w:t>Jabbour</w:t>
      </w:r>
      <w:proofErr w:type="spellEnd"/>
      <w:r>
        <w:t xml:space="preserve">, C. J., Seuring, S., Lopes de Sousa </w:t>
      </w:r>
      <w:proofErr w:type="spellStart"/>
      <w:r>
        <w:t>Jabbour</w:t>
      </w:r>
      <w:proofErr w:type="spellEnd"/>
      <w:r>
        <w:t xml:space="preserve">, A. B., </w:t>
      </w:r>
      <w:proofErr w:type="spellStart"/>
      <w:r>
        <w:t>Jugend</w:t>
      </w:r>
      <w:proofErr w:type="spellEnd"/>
      <w:r>
        <w:t xml:space="preserve">, D., De Camargo </w:t>
      </w:r>
      <w:proofErr w:type="spellStart"/>
      <w:r>
        <w:t>Fiorini</w:t>
      </w:r>
      <w:proofErr w:type="spellEnd"/>
      <w:r>
        <w:t xml:space="preserve">, P., </w:t>
      </w:r>
      <w:proofErr w:type="spellStart"/>
      <w:r>
        <w:t>Latan</w:t>
      </w:r>
      <w:proofErr w:type="spellEnd"/>
      <w:r>
        <w:t xml:space="preserve">, H., &amp; </w:t>
      </w:r>
      <w:proofErr w:type="spellStart"/>
      <w:r>
        <w:t>Izeppi</w:t>
      </w:r>
      <w:proofErr w:type="spellEnd"/>
      <w:r>
        <w:t>, W. C. (2020). Stakeholders, innovative business models for the circular economy and sustainable performance of firms in an emerging economy facing institutional voids. Journal of Environmental Management, 264(March), 110416. https://doi.org/10.1016/j.jenvman.2020.110416</w:t>
      </w:r>
    </w:p>
    <w:p w14:paraId="05F3DC10" w14:textId="77777777" w:rsidR="00ED71BB" w:rsidRDefault="00ED71BB" w:rsidP="002F7336">
      <w:r>
        <w:t>Christopher, M. (2016). Logistics &amp; supply chain management. Pearson UK.</w:t>
      </w:r>
    </w:p>
    <w:p w14:paraId="774E09DB" w14:textId="77777777" w:rsidR="00ED71BB" w:rsidRDefault="00ED71BB" w:rsidP="002F7336">
      <w:r w:rsidRPr="00ED71BB">
        <w:rPr>
          <w:lang w:val="de-DE"/>
        </w:rPr>
        <w:t xml:space="preserve">Chu, S. H., Yang, H., Lee, M., &amp; Park, S. (2017). </w:t>
      </w:r>
      <w:r>
        <w:t>The impact of institutional pressures on green supply chain management and firm performance: Top management roles and social capital. Sustainability (Switzerland), 9(5). https://doi.org/10.3390/su9050764</w:t>
      </w:r>
    </w:p>
    <w:p w14:paraId="07DD11AB" w14:textId="77777777" w:rsidR="00ED71BB" w:rsidRDefault="00ED71BB" w:rsidP="002F7336">
      <w:r>
        <w:t>Creswell, J. W., &amp; Plano Clark, V. L. (2017). Designing and Conducting Mixed Methods Research. SAGE Publications.</w:t>
      </w:r>
    </w:p>
    <w:p w14:paraId="46FB9161" w14:textId="77777777" w:rsidR="00ED71BB" w:rsidRDefault="00ED71BB" w:rsidP="002F7336">
      <w:proofErr w:type="spellStart"/>
      <w:r>
        <w:t>Darnall</w:t>
      </w:r>
      <w:proofErr w:type="spellEnd"/>
      <w:r>
        <w:t>, N., Jolley, G. J., &amp; Handfield, R. (2008). Environmental management systems and green supply chain management: Complements for sustainability? Business Strategy and the Environment, 17(1), 30–45. https://doi.org/10.1002/bse.557</w:t>
      </w:r>
    </w:p>
    <w:p w14:paraId="3C052249" w14:textId="77777777" w:rsidR="00ED71BB" w:rsidRDefault="00ED71BB" w:rsidP="002F7336">
      <w:r>
        <w:lastRenderedPageBreak/>
        <w:t xml:space="preserve">De Angelis, R., &amp; </w:t>
      </w:r>
      <w:proofErr w:type="spellStart"/>
      <w:r>
        <w:t>Ianulardo</w:t>
      </w:r>
      <w:proofErr w:type="spellEnd"/>
      <w:r>
        <w:t>, G. (2020). Circular Economy as Fictional Expectation to Overcome Societal Addictions. Where Do We Stand? Philosophy of Management, 133–153. https://doi.org/10.1007/s40926-020-00128-y</w:t>
      </w:r>
    </w:p>
    <w:p w14:paraId="2C012183" w14:textId="77777777" w:rsidR="00ED71BB" w:rsidRDefault="00ED71BB" w:rsidP="002F7336">
      <w:proofErr w:type="gramStart"/>
      <w:r>
        <w:t>den</w:t>
      </w:r>
      <w:proofErr w:type="gramEnd"/>
      <w:r>
        <w:t xml:space="preserve"> Hollander, M. C., Bakker, C. A., &amp; </w:t>
      </w:r>
      <w:proofErr w:type="spellStart"/>
      <w:r>
        <w:t>Hultink</w:t>
      </w:r>
      <w:proofErr w:type="spellEnd"/>
      <w:r>
        <w:t>, E. J. (2017). Product Design in a Circular Economy: Development of a Typology of Key Concepts and Terms. Journal of Industrial Ecology, 21(3), 517–525. https://doi.org/10.1111/jiec.12610</w:t>
      </w:r>
    </w:p>
    <w:p w14:paraId="426F7402" w14:textId="0A845F50" w:rsidR="00ED71BB" w:rsidRPr="00ED71BB" w:rsidRDefault="00ED71BB" w:rsidP="002F7336">
      <w:pPr>
        <w:rPr>
          <w:lang w:val="es-ES_tradnl"/>
        </w:rPr>
      </w:pPr>
      <w:r w:rsidRPr="00DB35FC">
        <w:t xml:space="preserve">DiMaggio, P. J., &amp; Powell, W. W. (1983). </w:t>
      </w:r>
      <w:r>
        <w:t xml:space="preserve">The Iron Cage </w:t>
      </w:r>
      <w:r w:rsidR="00B651D9">
        <w:t>Revisited</w:t>
      </w:r>
      <w:r w:rsidR="00B651D9">
        <w:rPr>
          <w:rFonts w:ascii="Times New Roman" w:hAnsi="Times New Roman" w:cs="Times New Roman"/>
        </w:rPr>
        <w:t>:</w:t>
      </w:r>
      <w:r>
        <w:t xml:space="preserve"> Institutional Isomorphism and Collective Rationality in Organizational Fields Author </w:t>
      </w:r>
      <w:proofErr w:type="gramStart"/>
      <w:r>
        <w:t>( s</w:t>
      </w:r>
      <w:proofErr w:type="gramEnd"/>
      <w:r>
        <w:t xml:space="preserve"> ): Paul J . DiMaggio and Walter </w:t>
      </w:r>
      <w:r w:rsidR="00B651D9">
        <w:t>W.</w:t>
      </w:r>
      <w:r>
        <w:t xml:space="preserve"> Powell Published </w:t>
      </w:r>
      <w:r w:rsidR="00B651D9">
        <w:t>by</w:t>
      </w:r>
      <w:r w:rsidR="00B651D9">
        <w:rPr>
          <w:rFonts w:ascii="Times New Roman" w:hAnsi="Times New Roman" w:cs="Times New Roman"/>
        </w:rPr>
        <w:t>:</w:t>
      </w:r>
      <w:r>
        <w:t xml:space="preserve"> American Sociological Association Stable URL</w:t>
      </w:r>
      <w:r>
        <w:rPr>
          <w:rFonts w:ascii="Times New Roman" w:hAnsi="Times New Roman" w:cs="Times New Roman"/>
        </w:rPr>
        <w:t> </w:t>
      </w:r>
      <w:r>
        <w:t xml:space="preserve">: http://www.jstor.org/stable/2095101. </w:t>
      </w:r>
      <w:r w:rsidRPr="00ED71BB">
        <w:rPr>
          <w:lang w:val="es-ES_tradnl"/>
        </w:rPr>
        <w:t xml:space="preserve">American </w:t>
      </w:r>
      <w:proofErr w:type="spellStart"/>
      <w:r w:rsidRPr="00ED71BB">
        <w:rPr>
          <w:lang w:val="es-ES_tradnl"/>
        </w:rPr>
        <w:t>Sociological</w:t>
      </w:r>
      <w:proofErr w:type="spellEnd"/>
      <w:r w:rsidRPr="00ED71BB">
        <w:rPr>
          <w:lang w:val="es-ES_tradnl"/>
        </w:rPr>
        <w:t xml:space="preserve"> </w:t>
      </w:r>
      <w:proofErr w:type="spellStart"/>
      <w:r w:rsidRPr="00ED71BB">
        <w:rPr>
          <w:lang w:val="es-ES_tradnl"/>
        </w:rPr>
        <w:t>Review</w:t>
      </w:r>
      <w:proofErr w:type="spellEnd"/>
      <w:r w:rsidRPr="00ED71BB">
        <w:rPr>
          <w:lang w:val="es-ES_tradnl"/>
        </w:rPr>
        <w:t>, 48(2), 147</w:t>
      </w:r>
      <w:r w:rsidRPr="00ED71BB">
        <w:rPr>
          <w:rFonts w:cs="Garamond"/>
          <w:lang w:val="es-ES_tradnl"/>
        </w:rPr>
        <w:t>–</w:t>
      </w:r>
      <w:r w:rsidRPr="00ED71BB">
        <w:rPr>
          <w:lang w:val="es-ES_tradnl"/>
        </w:rPr>
        <w:t>160.</w:t>
      </w:r>
    </w:p>
    <w:p w14:paraId="48C24D43" w14:textId="77777777" w:rsidR="00ED71BB" w:rsidRDefault="00ED71BB" w:rsidP="002F7336">
      <w:proofErr w:type="spellStart"/>
      <w:r w:rsidRPr="00ED71BB">
        <w:rPr>
          <w:lang w:val="es-ES_tradnl"/>
        </w:rPr>
        <w:t>Dubey</w:t>
      </w:r>
      <w:proofErr w:type="spellEnd"/>
      <w:r w:rsidRPr="00ED71BB">
        <w:rPr>
          <w:lang w:val="es-ES_tradnl"/>
        </w:rPr>
        <w:t xml:space="preserve">, R., </w:t>
      </w:r>
      <w:proofErr w:type="spellStart"/>
      <w:r w:rsidRPr="00ED71BB">
        <w:rPr>
          <w:lang w:val="es-ES_tradnl"/>
        </w:rPr>
        <w:t>Gunasekaran</w:t>
      </w:r>
      <w:proofErr w:type="spellEnd"/>
      <w:r w:rsidRPr="00ED71BB">
        <w:rPr>
          <w:lang w:val="es-ES_tradnl"/>
        </w:rPr>
        <w:t xml:space="preserve">, A., </w:t>
      </w:r>
      <w:proofErr w:type="spellStart"/>
      <w:r w:rsidRPr="00ED71BB">
        <w:rPr>
          <w:lang w:val="es-ES_tradnl"/>
        </w:rPr>
        <w:t>Childe</w:t>
      </w:r>
      <w:proofErr w:type="spellEnd"/>
      <w:r w:rsidRPr="00ED71BB">
        <w:rPr>
          <w:lang w:val="es-ES_tradnl"/>
        </w:rPr>
        <w:t xml:space="preserve">, S. J., </w:t>
      </w:r>
      <w:proofErr w:type="spellStart"/>
      <w:r w:rsidRPr="00ED71BB">
        <w:rPr>
          <w:lang w:val="es-ES_tradnl"/>
        </w:rPr>
        <w:t>Papadopoulos</w:t>
      </w:r>
      <w:proofErr w:type="spellEnd"/>
      <w:r w:rsidRPr="00ED71BB">
        <w:rPr>
          <w:lang w:val="es-ES_tradnl"/>
        </w:rPr>
        <w:t xml:space="preserve">, T., &amp; Helo, P. (2019). </w:t>
      </w:r>
      <w:r>
        <w:t>Supplier relationship management for circular economy: Influence of external pressures and top management commitment. Management Decision, 57(4), 767–790. https://doi.org/10.1108/MD-04-2018-0396</w:t>
      </w:r>
    </w:p>
    <w:p w14:paraId="611AE9B1" w14:textId="77777777" w:rsidR="00ED71BB" w:rsidRDefault="00ED71BB" w:rsidP="002F7336">
      <w:proofErr w:type="spellStart"/>
      <w:r>
        <w:t>Eisenhardt</w:t>
      </w:r>
      <w:proofErr w:type="spellEnd"/>
      <w:r>
        <w:t>, K. M. (1989). Building Theories from Case Study Research. Academy of Management Review, 14(4), 532–550. https://doi.org/10.5465/amr.1989.4308385</w:t>
      </w:r>
    </w:p>
    <w:p w14:paraId="608409C9" w14:textId="77777777" w:rsidR="00ED71BB" w:rsidRDefault="00ED71BB" w:rsidP="002F7336">
      <w:r>
        <w:t>Ellram, L. M., &amp; Tate, W. L. (2016). The use of secondary data in purchasing and supply management (P/SM) research. Journal of Purchasing and Supply Management, 22(4), 250–254. https://doi.org/10.1016/j.pursup.2016.08.005</w:t>
      </w:r>
    </w:p>
    <w:p w14:paraId="44783FBB" w14:textId="77777777" w:rsidR="00ED71BB" w:rsidRDefault="00ED71BB" w:rsidP="002F7336">
      <w:r>
        <w:t xml:space="preserve">EMAF. (2015). Growth within: a circular economy vision for a competitive </w:t>
      </w:r>
      <w:proofErr w:type="spellStart"/>
      <w:proofErr w:type="gramStart"/>
      <w:r>
        <w:t>europe</w:t>
      </w:r>
      <w:proofErr w:type="spellEnd"/>
      <w:proofErr w:type="gramEnd"/>
      <w:r>
        <w:t>. Ellen MacArthur Foundation, 100. https://doi.org/Article</w:t>
      </w:r>
    </w:p>
    <w:p w14:paraId="5431CF5C" w14:textId="77777777" w:rsidR="00ED71BB" w:rsidRDefault="00ED71BB" w:rsidP="002F7336">
      <w:r>
        <w:t xml:space="preserve">Escobar, L. F., &amp; </w:t>
      </w:r>
      <w:proofErr w:type="spellStart"/>
      <w:r>
        <w:t>Vredenburg</w:t>
      </w:r>
      <w:proofErr w:type="spellEnd"/>
      <w:r>
        <w:t>, H. (2011). Multinational Oil Companies and the Adoption of Sustainable Development: A Resource-Based and Institutional Theory Interpretation of Adoption Heterogeneity. Journal of Business Ethics, 98(1), 39–65. https://doi.org/10.1007/s10551-010-0534-x</w:t>
      </w:r>
    </w:p>
    <w:p w14:paraId="15ECE1E1" w14:textId="77777777" w:rsidR="00ED71BB" w:rsidRDefault="00ED71BB" w:rsidP="002F7336">
      <w:r>
        <w:t>European Commission. (2008). Directive 2008/98/EC of the European Parliament and of the Council of 19 November 2008 on waste and repealing certain Directives. Available online at: https://eur-lex.europa.eu/legal-con. Last accessed: 11/06/2020.</w:t>
      </w:r>
    </w:p>
    <w:p w14:paraId="3BA225F7" w14:textId="77777777" w:rsidR="00ED71BB" w:rsidRDefault="00ED71BB" w:rsidP="002F7336">
      <w:r>
        <w:lastRenderedPageBreak/>
        <w:t xml:space="preserve">European Commission. (2015). Closing the loop </w:t>
      </w:r>
      <w:r>
        <w:rPr>
          <w:rFonts w:ascii="Times New Roman" w:hAnsi="Times New Roman" w:cs="Times New Roman"/>
        </w:rPr>
        <w:t>‐</w:t>
      </w:r>
      <w:r>
        <w:t xml:space="preserve"> An EU action plan for the Circular Economy. Available online at: https://eur-lex.europa.eu/legal-content/EN/TXT/?uri=CELEX%3A52015DC0614. Last accessed: 11/06/2020. https://eur-lex.europa.eu/legal-content/EN/TXT/?uri=CELEX%3A52015DC0614</w:t>
      </w:r>
    </w:p>
    <w:p w14:paraId="56975B88" w14:textId="77777777" w:rsidR="00ED71BB" w:rsidRDefault="00ED71BB" w:rsidP="002F7336">
      <w:r>
        <w:t>European Commission. (2020). A new Circular Economy Action Plan For a cleaner and more competitive Europe. Available online at: https://eur-lex.europa.eu/legal-content/EN/TXT/?qid=1583933814386&amp;uri=COM:2020:98:FIN. Last accessed: 11/06/2020.</w:t>
      </w:r>
    </w:p>
    <w:p w14:paraId="079F5257" w14:textId="77777777" w:rsidR="00ED71BB" w:rsidRDefault="00ED71BB" w:rsidP="002F7336">
      <w:r>
        <w:t>Flynn, B., Pagell, M., &amp; Fugate, B. (2018). Editorial: Survey Research Design in Supply Chain Management: The Need for Evolution in Our Expectations. Journal of Supply Chain Management, 54(1), 1–15. https://doi.org/10.1111/jscm.12161</w:t>
      </w:r>
    </w:p>
    <w:p w14:paraId="06269698" w14:textId="77777777" w:rsidR="00ED71BB" w:rsidRDefault="00ED71BB" w:rsidP="002F7336">
      <w:proofErr w:type="spellStart"/>
      <w:r w:rsidRPr="003D2412">
        <w:t>Frohlich</w:t>
      </w:r>
      <w:proofErr w:type="spellEnd"/>
      <w:r w:rsidRPr="003D2412">
        <w:t xml:space="preserve">, M. T., &amp; Westbrook, R. (2001). </w:t>
      </w:r>
      <w:r>
        <w:t>Arcs of integration: An international study of supply chain strategies. Journal of Operations Management, 19(2), 185–200. https://doi.org/10.1016/S0272-</w:t>
      </w:r>
      <w:proofErr w:type="gramStart"/>
      <w:r>
        <w:t>6963(</w:t>
      </w:r>
      <w:proofErr w:type="gramEnd"/>
      <w:r>
        <w:t>00)00055-3</w:t>
      </w:r>
    </w:p>
    <w:p w14:paraId="116C0789" w14:textId="77777777" w:rsidR="00ED71BB" w:rsidRPr="00ED71BB" w:rsidRDefault="00ED71BB" w:rsidP="002F7336">
      <w:pPr>
        <w:rPr>
          <w:lang w:val="sv-SE"/>
        </w:rPr>
      </w:pPr>
      <w:r>
        <w:t xml:space="preserve">Genovese, A., </w:t>
      </w:r>
      <w:proofErr w:type="spellStart"/>
      <w:r>
        <w:t>Acquaye</w:t>
      </w:r>
      <w:proofErr w:type="spellEnd"/>
      <w:r>
        <w:t xml:space="preserve">, A. A., Figueroa, A., &amp; </w:t>
      </w:r>
      <w:proofErr w:type="spellStart"/>
      <w:r>
        <w:t>Koh</w:t>
      </w:r>
      <w:proofErr w:type="spellEnd"/>
      <w:r>
        <w:t xml:space="preserve">, S. C. L. (2017). Sustainable supply chain management and the transition towards a circular economy: Evidence and some applications. </w:t>
      </w:r>
      <w:r w:rsidRPr="00ED71BB">
        <w:rPr>
          <w:lang w:val="sv-SE"/>
        </w:rPr>
        <w:t>Omega (United Kingdom), 66, 344–357. https://doi.org/10.1016/j.omega.2015.05.015</w:t>
      </w:r>
    </w:p>
    <w:p w14:paraId="7869BCBA" w14:textId="77777777" w:rsidR="00ED71BB" w:rsidRPr="00ED71BB" w:rsidRDefault="00ED71BB" w:rsidP="002F7336">
      <w:pPr>
        <w:rPr>
          <w:lang w:val="it-IT"/>
        </w:rPr>
      </w:pPr>
      <w:r w:rsidRPr="00ED71BB">
        <w:rPr>
          <w:lang w:val="sv-SE"/>
        </w:rPr>
        <w:t xml:space="preserve">Genovese, A., &amp; Pansera, M. (2020). </w:t>
      </w:r>
      <w:r>
        <w:t xml:space="preserve">The Circular Economy at a Crossroads: Technocratic Eco-Modernism or Convivial Technology for Social Revolution? </w:t>
      </w:r>
      <w:r w:rsidRPr="00ED71BB">
        <w:rPr>
          <w:lang w:val="it-IT"/>
        </w:rPr>
        <w:t>Capitalism, Nature, Socialism, 0(0), 1–19. https://doi.org/10.1080/10455752.2020.1763414</w:t>
      </w:r>
    </w:p>
    <w:p w14:paraId="0B7A20FD" w14:textId="77777777" w:rsidR="00ED71BB" w:rsidRDefault="00ED71BB" w:rsidP="002F7336">
      <w:r w:rsidRPr="00ED71BB">
        <w:rPr>
          <w:lang w:val="it-IT"/>
        </w:rPr>
        <w:t xml:space="preserve">Ghisellini, P., Cialani, C., &amp; Ulgiati, S. (2016). </w:t>
      </w:r>
      <w:r>
        <w:t>A review on circular economy: The expected transition to a balanced interplay of environmental and economic systems. Journal of Cleaner Production, 114, 11–32. https://doi.org/10.1016/j.jclepro.2015.09.007</w:t>
      </w:r>
    </w:p>
    <w:p w14:paraId="67502F4C" w14:textId="77777777" w:rsidR="00ED71BB" w:rsidRDefault="00ED71BB" w:rsidP="002F7336">
      <w:r>
        <w:t>Glover, J. L., Champion, D., Daniels, K. J., &amp; Dainty, A. J. D. (2014). An Institutional Theory perspective on sustainable practices across the dairy supply chain. International Journal of Production Economics, 152, 102–111. https://doi.org/10.1016/j.ijpe.2013.12.027</w:t>
      </w:r>
    </w:p>
    <w:p w14:paraId="0A3368F4" w14:textId="77777777" w:rsidR="00ED71BB" w:rsidRDefault="00ED71BB" w:rsidP="002F7336">
      <w:r>
        <w:t xml:space="preserve">Gold, S., Seuring, S., &amp; </w:t>
      </w:r>
      <w:proofErr w:type="spellStart"/>
      <w:r>
        <w:t>Beske</w:t>
      </w:r>
      <w:proofErr w:type="spellEnd"/>
      <w:r>
        <w:t>, P. (2010). Sustainable supply chain management and inter-organizational resources: A literature review. Corporate Social Responsibility and Environmental Management, 17(4), 230–245. https://doi.org/10.1002/csr.207</w:t>
      </w:r>
    </w:p>
    <w:p w14:paraId="714E1328" w14:textId="77777777" w:rsidR="00ED71BB" w:rsidRDefault="00ED71BB" w:rsidP="002F7336">
      <w:r>
        <w:lastRenderedPageBreak/>
        <w:t xml:space="preserve">Govindan, K., &amp; </w:t>
      </w:r>
      <w:proofErr w:type="spellStart"/>
      <w:r>
        <w:t>Hasanagic</w:t>
      </w:r>
      <w:proofErr w:type="spellEnd"/>
      <w:r>
        <w:t>, M. (2018). A systematic review on drivers, barriers, and practices towards circular economy: a supply chain perspective. International Journal of Production Research, 56(1–2), 278–311. https://doi.org/10.1080/00207543.2017.1402141</w:t>
      </w:r>
    </w:p>
    <w:p w14:paraId="5B41E06A" w14:textId="77777777" w:rsidR="00ED71BB" w:rsidRDefault="00ED71BB" w:rsidP="002F7336">
      <w:proofErr w:type="spellStart"/>
      <w:r>
        <w:t>Gusmerotti</w:t>
      </w:r>
      <w:proofErr w:type="spellEnd"/>
      <w:r>
        <w:t xml:space="preserve">, N. M., </w:t>
      </w:r>
      <w:proofErr w:type="spellStart"/>
      <w:r>
        <w:t>Testa</w:t>
      </w:r>
      <w:proofErr w:type="spellEnd"/>
      <w:r>
        <w:t xml:space="preserve">, F., </w:t>
      </w:r>
      <w:proofErr w:type="spellStart"/>
      <w:r>
        <w:t>Corsini</w:t>
      </w:r>
      <w:proofErr w:type="spellEnd"/>
      <w:r>
        <w:t xml:space="preserve">, F., </w:t>
      </w:r>
      <w:proofErr w:type="spellStart"/>
      <w:r>
        <w:t>Pretner</w:t>
      </w:r>
      <w:proofErr w:type="spellEnd"/>
      <w:r>
        <w:t xml:space="preserve">, G., &amp; </w:t>
      </w:r>
      <w:proofErr w:type="spellStart"/>
      <w:r>
        <w:t>Iraldo</w:t>
      </w:r>
      <w:proofErr w:type="spellEnd"/>
      <w:r>
        <w:t>, F. (2019). Drivers and approaches to the circular economy in manufacturing firms. Journal of Cleaner Production, 230, 314–327. https://doi.org/10.1016/j.jclepro.2019.05.044</w:t>
      </w:r>
    </w:p>
    <w:p w14:paraId="094B1828" w14:textId="77777777" w:rsidR="00ED71BB" w:rsidRDefault="00ED71BB" w:rsidP="002F7336">
      <w:r>
        <w:t xml:space="preserve">Hahn, R., &amp; </w:t>
      </w:r>
      <w:proofErr w:type="spellStart"/>
      <w:r>
        <w:t>Kühnen</w:t>
      </w:r>
      <w:proofErr w:type="spellEnd"/>
      <w:r>
        <w:t>, M. (2013). Determinants of sustainability reporting: A review of results, trends, theory, and opportunities in an expanding field of research. Journal of Cleaner Production, 59, 5–21. https://doi.org/10.1016/j.jclepro.2013.07.005</w:t>
      </w:r>
    </w:p>
    <w:p w14:paraId="20EA5B40" w14:textId="77777777" w:rsidR="00ED71BB" w:rsidRDefault="00ED71BB" w:rsidP="002F7336">
      <w:r>
        <w:t xml:space="preserve">Herczeg, G., </w:t>
      </w:r>
      <w:proofErr w:type="spellStart"/>
      <w:r>
        <w:t>Akkerman</w:t>
      </w:r>
      <w:proofErr w:type="spellEnd"/>
      <w:r>
        <w:t xml:space="preserve">, R., &amp; </w:t>
      </w:r>
      <w:proofErr w:type="spellStart"/>
      <w:r>
        <w:t>Hauschild</w:t>
      </w:r>
      <w:proofErr w:type="spellEnd"/>
      <w:r>
        <w:t>, M. Z. (2018). Supply chain collaboration in industrial symbiosis networks. Journal of Cleaner Production, 171, 1058–1067. https://doi.org/10.1016/j.jclepro.2017.10.046</w:t>
      </w:r>
    </w:p>
    <w:p w14:paraId="59BB59E0" w14:textId="77777777" w:rsidR="00ED71BB" w:rsidRDefault="00ED71BB" w:rsidP="002F7336">
      <w:r>
        <w:t>Hickel, J., &amp; Kallis, G. (2019). Is Green Growth Possible? New Political Economy, 3467. https://doi.org/10.1080/13563467.2019.1598964</w:t>
      </w:r>
    </w:p>
    <w:p w14:paraId="0373C5FD" w14:textId="77777777" w:rsidR="00ED71BB" w:rsidRDefault="00ED71BB" w:rsidP="002F7336">
      <w:proofErr w:type="spellStart"/>
      <w:r>
        <w:t>Hoejmose</w:t>
      </w:r>
      <w:proofErr w:type="spellEnd"/>
      <w:r>
        <w:t xml:space="preserve">, S. U., </w:t>
      </w:r>
      <w:proofErr w:type="spellStart"/>
      <w:r>
        <w:t>Grosvold</w:t>
      </w:r>
      <w:proofErr w:type="spellEnd"/>
      <w:r>
        <w:t>, J., &amp; Millington, A. (2014). The effect of institutional pressure on cooperative and coercive “green” supply chain practices. Journal of Purchasing and Supply Management, 20(4), 215–224. https://doi.org/10.1016/j.pursup.2014.07.002</w:t>
      </w:r>
    </w:p>
    <w:p w14:paraId="0B7F25B3" w14:textId="77777777" w:rsidR="00ED71BB" w:rsidRDefault="00ED71BB" w:rsidP="002F7336">
      <w:r w:rsidRPr="00ED71BB">
        <w:rPr>
          <w:lang w:val="pt-PT"/>
        </w:rPr>
        <w:t xml:space="preserve">Huq, F. A., &amp; Stevenson, M. (2020). </w:t>
      </w:r>
      <w:r>
        <w:t>Implementing Socially Sustainable Practices in Challenging Institutional Contexts: Building Theory from Seven Developing Country Supplier Cases. Journal of Business Ethics, 161(2), 415–442. https://doi.org/10.1007/s10551-018-3951-x</w:t>
      </w:r>
    </w:p>
    <w:p w14:paraId="27D5ECA4" w14:textId="3CB19DA5" w:rsidR="00ED71BB" w:rsidRDefault="00ED71BB" w:rsidP="002F7336">
      <w:r>
        <w:t xml:space="preserve">Jennings, P. D., &amp; </w:t>
      </w:r>
      <w:proofErr w:type="spellStart"/>
      <w:r>
        <w:t>Zandbergen</w:t>
      </w:r>
      <w:proofErr w:type="spellEnd"/>
      <w:r>
        <w:t xml:space="preserve">, P. A. (1995). Ecologically Sustainable </w:t>
      </w:r>
      <w:r w:rsidR="00B651D9">
        <w:t>Organizations</w:t>
      </w:r>
      <w:r w:rsidR="00B651D9">
        <w:rPr>
          <w:rFonts w:ascii="Times New Roman" w:hAnsi="Times New Roman" w:cs="Times New Roman"/>
        </w:rPr>
        <w:t>:</w:t>
      </w:r>
      <w:r>
        <w:t xml:space="preserve"> An Institutional Approach. The Academy of Management Review, 20(4), 1015</w:t>
      </w:r>
      <w:r>
        <w:rPr>
          <w:rFonts w:cs="Garamond"/>
        </w:rPr>
        <w:t>–</w:t>
      </w:r>
      <w:r>
        <w:t>1052.</w:t>
      </w:r>
    </w:p>
    <w:p w14:paraId="54E41449" w14:textId="77777777" w:rsidR="00ED71BB" w:rsidRDefault="00ED71BB" w:rsidP="002F7336">
      <w:proofErr w:type="spellStart"/>
      <w:r>
        <w:t>Ketchen</w:t>
      </w:r>
      <w:proofErr w:type="spellEnd"/>
      <w:r>
        <w:t xml:space="preserve">, D. J., &amp; </w:t>
      </w:r>
      <w:proofErr w:type="spellStart"/>
      <w:r>
        <w:t>Giunipero</w:t>
      </w:r>
      <w:proofErr w:type="spellEnd"/>
      <w:r>
        <w:t>, L. C. (2004). The intersection of strategic management and supply chain management. Industrial Marketing Management, 33(1), 51–56. https://doi.org/10.1016/j.indmarman.2003.08.010</w:t>
      </w:r>
    </w:p>
    <w:p w14:paraId="4CEB2403" w14:textId="77777777" w:rsidR="00ED71BB" w:rsidRPr="00ED71BB" w:rsidRDefault="00ED71BB" w:rsidP="002F7336">
      <w:pPr>
        <w:rPr>
          <w:lang w:val="nl-NL"/>
        </w:rPr>
      </w:pPr>
      <w:proofErr w:type="spellStart"/>
      <w:r>
        <w:t>Ketchen</w:t>
      </w:r>
      <w:proofErr w:type="spellEnd"/>
      <w:r>
        <w:t xml:space="preserve">, D. J., &amp; </w:t>
      </w:r>
      <w:proofErr w:type="spellStart"/>
      <w:r>
        <w:t>Hult</w:t>
      </w:r>
      <w:proofErr w:type="spellEnd"/>
      <w:r>
        <w:t xml:space="preserve">, G. T. M. (2007). Bridging organization theory and supply chain management: The case of best value supply chains. </w:t>
      </w:r>
      <w:r w:rsidRPr="00ED71BB">
        <w:rPr>
          <w:lang w:val="nl-NL"/>
        </w:rPr>
        <w:t>Journal of Operations Management, 25(2), 573–580. https://doi.org/10.1016/j.jom.2006.05.010</w:t>
      </w:r>
    </w:p>
    <w:p w14:paraId="73D16BB7" w14:textId="1B261996" w:rsidR="00ED71BB" w:rsidRDefault="00ED71BB" w:rsidP="002F7336">
      <w:r w:rsidRPr="00ED71BB">
        <w:rPr>
          <w:lang w:val="nl-NL"/>
        </w:rPr>
        <w:lastRenderedPageBreak/>
        <w:t xml:space="preserve">Kirchherr, J., Piscicelli, L., Bour, R., Kostense-Smit, E., Muller, J., Huibrechtse-Truijens, A., &amp; Hekkert, M. (2018). </w:t>
      </w:r>
      <w:r w:rsidRPr="00293FC1">
        <w:t xml:space="preserve">Barriers to the Circular Economy: Evidence </w:t>
      </w:r>
      <w:r w:rsidR="00B651D9" w:rsidRPr="00293FC1">
        <w:t>from</w:t>
      </w:r>
      <w:r w:rsidRPr="00293FC1">
        <w:t xml:space="preserve"> the European Union (EU). </w:t>
      </w:r>
      <w:r>
        <w:t>Ecological Economics, 150(December 2017), 264–272. https://doi.org/10.1016/j.ecolecon.2018.04.028</w:t>
      </w:r>
    </w:p>
    <w:p w14:paraId="441E4983" w14:textId="77777777" w:rsidR="00ED71BB" w:rsidRDefault="00ED71BB" w:rsidP="002F7336">
      <w:proofErr w:type="spellStart"/>
      <w:r>
        <w:t>Kirchherr</w:t>
      </w:r>
      <w:proofErr w:type="spellEnd"/>
      <w:r>
        <w:t xml:space="preserve">, J., </w:t>
      </w:r>
      <w:proofErr w:type="spellStart"/>
      <w:r>
        <w:t>Reike</w:t>
      </w:r>
      <w:proofErr w:type="spellEnd"/>
      <w:r>
        <w:t xml:space="preserve">, D., &amp; </w:t>
      </w:r>
      <w:proofErr w:type="spellStart"/>
      <w:r>
        <w:t>Hekkert</w:t>
      </w:r>
      <w:proofErr w:type="spellEnd"/>
      <w:r>
        <w:t>, M. (2017). Conceptualizing the circular economy: An analysis of 114 definitions. Resources, Conservation and Recycling, 127(April), 221–232. https://doi.org/10.1016/j.resconrec.2017.09.005</w:t>
      </w:r>
    </w:p>
    <w:p w14:paraId="58F6EE25" w14:textId="77777777" w:rsidR="00ED71BB" w:rsidRDefault="00ED71BB" w:rsidP="002F7336">
      <w:r w:rsidRPr="00ED71BB">
        <w:rPr>
          <w:lang w:val="de-DE"/>
        </w:rPr>
        <w:t xml:space="preserve">Korhonen, J., Nuur, C., Feldmann, A., &amp; Birkie, S. E. (2018). </w:t>
      </w:r>
      <w:r>
        <w:t>Circular economy as an essentially contested concept. Journal of Cleaner Production, 175, 544–552. https://doi.org/10.1016/j.jclepro.2017.12.111</w:t>
      </w:r>
    </w:p>
    <w:p w14:paraId="141AED31" w14:textId="77777777" w:rsidR="00ED71BB" w:rsidRDefault="00ED71BB" w:rsidP="002F7336">
      <w:proofErr w:type="spellStart"/>
      <w:r>
        <w:t>Lahane</w:t>
      </w:r>
      <w:proofErr w:type="spellEnd"/>
      <w:r>
        <w:t>, S., Kant, R., &amp; Shankar, R. (2020). Circular supply chain management: A state-of-art review and future opportunities. Journal of Cleaner Production, 258, 120859. https://doi.org/10.1016/j.jclepro.2020.120859</w:t>
      </w:r>
    </w:p>
    <w:p w14:paraId="680A2BEB" w14:textId="32F4A5D2" w:rsidR="00ED71BB" w:rsidRDefault="00ED71BB" w:rsidP="002F7336">
      <w:r>
        <w:t xml:space="preserve">Li, J., Zhang, Y., Hu, Y., Tao, X., Jiang, W., &amp; Qi, L. (2018). Developed market or developing </w:t>
      </w:r>
      <w:r w:rsidR="00B651D9">
        <w:t>market?</w:t>
      </w:r>
      <w:r>
        <w:t xml:space="preserve"> A perspective of institutional theory on multinational enterprises’ diversification and sustainable development with environmental protection. Business Strategy and the Environment, 27(7), 858–871. https://doi.org/10.1002/bse.2037</w:t>
      </w:r>
    </w:p>
    <w:p w14:paraId="6943BC45" w14:textId="66FAD5DC" w:rsidR="00ED71BB" w:rsidRDefault="00ED71BB" w:rsidP="002F7336">
      <w:r>
        <w:t xml:space="preserve">Lin, R., &amp; </w:t>
      </w:r>
      <w:proofErr w:type="spellStart"/>
      <w:r>
        <w:t>Sheu</w:t>
      </w:r>
      <w:proofErr w:type="spellEnd"/>
      <w:r>
        <w:t xml:space="preserve">, C. (2012). Why Do Firms Adopt/Implement Green </w:t>
      </w:r>
      <w:r w:rsidR="00B651D9">
        <w:t>Practices? –</w:t>
      </w:r>
      <w:r>
        <w:t xml:space="preserve">An Institutional Theory Perspective. Procedia - Social and </w:t>
      </w:r>
      <w:proofErr w:type="spellStart"/>
      <w:r>
        <w:t>Behavioral</w:t>
      </w:r>
      <w:proofErr w:type="spellEnd"/>
      <w:r>
        <w:t xml:space="preserve"> Sciences, 57, 533–540. https://doi.org/10.1016/j.sbspro.2012.09.1221</w:t>
      </w:r>
    </w:p>
    <w:p w14:paraId="669AA477" w14:textId="77777777" w:rsidR="00ED71BB" w:rsidRDefault="00ED71BB" w:rsidP="002F7336">
      <w:r>
        <w:t xml:space="preserve">Liu, J., Feng, Y., Zhu, Q., &amp; </w:t>
      </w:r>
      <w:proofErr w:type="spellStart"/>
      <w:r>
        <w:t>Sarkis</w:t>
      </w:r>
      <w:proofErr w:type="spellEnd"/>
      <w:r>
        <w:t>, J. (2018). Green supply chain management and the circular economy: Reviewing theory for advancement of both fields. International Journal of Physical Distribution and Logistics Management, 48(8), 794–817. https://doi.org/10.1108/IJPDLM-01-2017-0049</w:t>
      </w:r>
    </w:p>
    <w:p w14:paraId="55A45DAB" w14:textId="77777777" w:rsidR="00ED71BB" w:rsidRDefault="00ED71BB" w:rsidP="002F7336">
      <w:r w:rsidRPr="00ED71BB">
        <w:rPr>
          <w:lang w:val="it-IT"/>
        </w:rPr>
        <w:t xml:space="preserve">MacCarthy, B. L., Blome, C., Olhager, J., Srai, J. S., &amp; Zhao, X. (2016). </w:t>
      </w:r>
      <w:r>
        <w:t>Supply chain evolution – theory, concepts and science. International Journal of Operations and Production Management, 36(12), 1696–1718. https://doi.org/10.1108/IJOPM-02-2016-0080</w:t>
      </w:r>
    </w:p>
    <w:p w14:paraId="1DAA4D4D" w14:textId="77777777" w:rsidR="00ED71BB" w:rsidRDefault="00ED71BB" w:rsidP="002F7336">
      <w:r>
        <w:t xml:space="preserve">Masi, D., Day, S., &amp; </w:t>
      </w:r>
      <w:proofErr w:type="spellStart"/>
      <w:r>
        <w:t>Godsell</w:t>
      </w:r>
      <w:proofErr w:type="spellEnd"/>
      <w:r>
        <w:t>, J. (2017). Supply chain configurations in the circular economy: A systematic literature review. Sustainability (Switzerland), 9(9). https://doi.org/10.3390/su9091602</w:t>
      </w:r>
    </w:p>
    <w:p w14:paraId="29645732" w14:textId="77777777" w:rsidR="00ED71BB" w:rsidRDefault="00ED71BB" w:rsidP="002F7336">
      <w:r>
        <w:lastRenderedPageBreak/>
        <w:t xml:space="preserve">Masi, D., Kumar, V., Garza-Reyes, J. A., &amp; </w:t>
      </w:r>
      <w:proofErr w:type="spellStart"/>
      <w:r>
        <w:t>Godsell</w:t>
      </w:r>
      <w:proofErr w:type="spellEnd"/>
      <w:r>
        <w:t>, J. (2018). Towards a more circular economy: exploring the awareness, practices, and barriers from a focal firm perspective. Production Planning and Control, 29(6), 539–550. https://doi.org/10.1080/09537287.2018.1449246</w:t>
      </w:r>
    </w:p>
    <w:p w14:paraId="0971D2F0" w14:textId="77777777" w:rsidR="00ED71BB" w:rsidRDefault="00ED71BB" w:rsidP="002F7336">
      <w:proofErr w:type="spellStart"/>
      <w:r w:rsidRPr="00EA16DC">
        <w:t>Merli</w:t>
      </w:r>
      <w:proofErr w:type="spellEnd"/>
      <w:r w:rsidRPr="00EA16DC">
        <w:t xml:space="preserve">, R., </w:t>
      </w:r>
      <w:proofErr w:type="spellStart"/>
      <w:r w:rsidRPr="00EA16DC">
        <w:t>Preziosi</w:t>
      </w:r>
      <w:proofErr w:type="spellEnd"/>
      <w:r w:rsidRPr="00EA16DC">
        <w:t xml:space="preserve">, M., &amp; </w:t>
      </w:r>
      <w:proofErr w:type="spellStart"/>
      <w:r w:rsidRPr="00EA16DC">
        <w:t>Acampora</w:t>
      </w:r>
      <w:proofErr w:type="spellEnd"/>
      <w:r w:rsidRPr="00EA16DC">
        <w:t xml:space="preserve">, A. (2018). </w:t>
      </w:r>
      <w:r>
        <w:t>How do scholars approach the circular economy? A systematic literature review. Journal of Cleaner Production, 178, 703–722. https://doi.org/10.1016/j.jclepro.2017.12.112</w:t>
      </w:r>
    </w:p>
    <w:p w14:paraId="6EB5F662" w14:textId="77777777" w:rsidR="00ED71BB" w:rsidRDefault="00ED71BB" w:rsidP="002F7336">
      <w:r w:rsidRPr="00ED71BB">
        <w:rPr>
          <w:lang w:val="pt-PT"/>
        </w:rPr>
        <w:t xml:space="preserve">Mishra, J. L., Chiwenga, K. D., &amp; Ali, K. (2019). </w:t>
      </w:r>
      <w:r>
        <w:t>Collaboration as an enabler for circular economy: a case study of a developing country. Management Decision. https://doi.org/10.1108/MD-10-2018-1111</w:t>
      </w:r>
    </w:p>
    <w:p w14:paraId="55BA0C74" w14:textId="77777777" w:rsidR="00ED71BB" w:rsidRDefault="00ED71BB" w:rsidP="002F7336">
      <w:r>
        <w:t>Murray, A., Skene, K., &amp; Haynes, K. (2017). The Circular Economy: An Interdisciplinary Exploration of the Concept and Application in a Global Context. Journal of Business Ethics, 140(3), 369–380. https://doi.org/10.1007/s10551-015-2693-2</w:t>
      </w:r>
    </w:p>
    <w:p w14:paraId="5D7CABE9" w14:textId="77777777" w:rsidR="00ED71BB" w:rsidRDefault="00ED71BB" w:rsidP="002F7336">
      <w:r w:rsidRPr="00EB38D8">
        <w:t xml:space="preserve">Pinto, J. T. M., &amp; </w:t>
      </w:r>
      <w:proofErr w:type="spellStart"/>
      <w:r w:rsidRPr="00EB38D8">
        <w:t>Diemer</w:t>
      </w:r>
      <w:proofErr w:type="spellEnd"/>
      <w:r w:rsidRPr="00EB38D8">
        <w:t xml:space="preserve">, A. (2020). </w:t>
      </w:r>
      <w:r>
        <w:t>Supply chain integration strategies and circularity in the European steel industry. Resources, Conservation and Recycling, 153(November 2018), 104517. https://doi.org/10.1016/j.resconrec.2019.104517</w:t>
      </w:r>
    </w:p>
    <w:p w14:paraId="12DBE775" w14:textId="77777777" w:rsidR="00ED71BB" w:rsidRDefault="00ED71BB" w:rsidP="002F7336">
      <w:r>
        <w:t xml:space="preserve">Potting, J., </w:t>
      </w:r>
      <w:proofErr w:type="spellStart"/>
      <w:r>
        <w:t>Hekkert</w:t>
      </w:r>
      <w:proofErr w:type="spellEnd"/>
      <w:r>
        <w:t xml:space="preserve">, M., Worrell, E., &amp; </w:t>
      </w:r>
      <w:proofErr w:type="spellStart"/>
      <w:r>
        <w:t>Hanemaaijer</w:t>
      </w:r>
      <w:proofErr w:type="spellEnd"/>
      <w:r>
        <w:t>, A. (2017). Circular Economy: Measuring innovation in the product chain - Policy report. PBL Netherlands Environmental Assessment Agency, 2544, 42.</w:t>
      </w:r>
    </w:p>
    <w:p w14:paraId="194B36DE" w14:textId="77777777" w:rsidR="00ED71BB" w:rsidRDefault="00ED71BB" w:rsidP="002F7336">
      <w:proofErr w:type="spellStart"/>
      <w:r>
        <w:t>Ranta</w:t>
      </w:r>
      <w:proofErr w:type="spellEnd"/>
      <w:r>
        <w:t xml:space="preserve">, V., </w:t>
      </w:r>
      <w:proofErr w:type="spellStart"/>
      <w:r>
        <w:t>Aarikka-Stenroos</w:t>
      </w:r>
      <w:proofErr w:type="spellEnd"/>
      <w:r>
        <w:t xml:space="preserve">, L., </w:t>
      </w:r>
      <w:proofErr w:type="spellStart"/>
      <w:r>
        <w:t>Ritala</w:t>
      </w:r>
      <w:proofErr w:type="spellEnd"/>
      <w:r>
        <w:t xml:space="preserve">, P., &amp; </w:t>
      </w:r>
      <w:proofErr w:type="spellStart"/>
      <w:r>
        <w:t>Mäkinen</w:t>
      </w:r>
      <w:proofErr w:type="spellEnd"/>
      <w:r>
        <w:t>, S. J. (2018). Exploring institutional drivers and barriers of the circular economy: A cross-regional comparison of China, the US, and Europe. Resources, Conservation and Recycling, 135(August 2017), 70–82. https://doi.org/10.1016/j.resconrec.2017.08.017</w:t>
      </w:r>
    </w:p>
    <w:p w14:paraId="7584A16F" w14:textId="77777777" w:rsidR="00ED71BB" w:rsidRDefault="00ED71BB" w:rsidP="002F7336">
      <w:proofErr w:type="spellStart"/>
      <w:r>
        <w:t>Ruokonen</w:t>
      </w:r>
      <w:proofErr w:type="spellEnd"/>
      <w:r>
        <w:t xml:space="preserve">, E., &amp; </w:t>
      </w:r>
      <w:proofErr w:type="spellStart"/>
      <w:r>
        <w:t>Temmes</w:t>
      </w:r>
      <w:proofErr w:type="spellEnd"/>
      <w:r>
        <w:t>, A. (2019). The approaches of strategic environmental management used by mining companies in Finland. Journal of Cleaner Production, 210, 466–476. https://doi.org/10.1016/j.jclepro.2018.10.273</w:t>
      </w:r>
    </w:p>
    <w:p w14:paraId="7C3227C4" w14:textId="77777777" w:rsidR="00ED71BB" w:rsidRDefault="00ED71BB" w:rsidP="002F7336">
      <w:r>
        <w:t xml:space="preserve">Saeed, A., Jun, Y., </w:t>
      </w:r>
      <w:proofErr w:type="spellStart"/>
      <w:r>
        <w:t>Nubuor</w:t>
      </w:r>
      <w:proofErr w:type="spellEnd"/>
      <w:r>
        <w:t xml:space="preserve">, S. A., </w:t>
      </w:r>
      <w:proofErr w:type="spellStart"/>
      <w:r>
        <w:t>RasikaPriyankara</w:t>
      </w:r>
      <w:proofErr w:type="spellEnd"/>
      <w:r>
        <w:t xml:space="preserve">, H. P., &amp; </w:t>
      </w:r>
      <w:proofErr w:type="spellStart"/>
      <w:r>
        <w:t>Jayasuriya</w:t>
      </w:r>
      <w:proofErr w:type="spellEnd"/>
      <w:r>
        <w:t>, M. P. F. (2018). Institutional pressures, green supply chain management practices on environmental and economic performance: A two theory view. Sustainability (Switzerland), 10(5), 1–24. https://doi.org/10.3390/su10051517</w:t>
      </w:r>
    </w:p>
    <w:p w14:paraId="2B2C8191" w14:textId="77777777" w:rsidR="00ED71BB" w:rsidRDefault="00ED71BB" w:rsidP="002F7336">
      <w:proofErr w:type="spellStart"/>
      <w:r>
        <w:lastRenderedPageBreak/>
        <w:t>Saldanha</w:t>
      </w:r>
      <w:proofErr w:type="spellEnd"/>
      <w:r>
        <w:t xml:space="preserve">, J. P., Mello, J. E., </w:t>
      </w:r>
      <w:proofErr w:type="spellStart"/>
      <w:r>
        <w:t>Knemeyer</w:t>
      </w:r>
      <w:proofErr w:type="spellEnd"/>
      <w:r>
        <w:t xml:space="preserve">, A. M., &amp; </w:t>
      </w:r>
      <w:proofErr w:type="spellStart"/>
      <w:r>
        <w:t>Vijayaraghavan</w:t>
      </w:r>
      <w:proofErr w:type="spellEnd"/>
      <w:r>
        <w:t>, T. A. S. (2015). Implementing Supply Chain Technologies in Emerging Markets: An Institutional Theory Perspective. Journal of Supply Chain Management, 51(1), 5–26. https://doi.org/10.1111/jscm.12065</w:t>
      </w:r>
    </w:p>
    <w:p w14:paraId="657358C9" w14:textId="77777777" w:rsidR="00ED71BB" w:rsidRDefault="00ED71BB" w:rsidP="002F7336">
      <w:proofErr w:type="spellStart"/>
      <w:r>
        <w:t>Sancha</w:t>
      </w:r>
      <w:proofErr w:type="spellEnd"/>
      <w:r>
        <w:t xml:space="preserve">, C., Longoni, A., &amp; </w:t>
      </w:r>
      <w:proofErr w:type="spellStart"/>
      <w:r>
        <w:t>Giménez</w:t>
      </w:r>
      <w:proofErr w:type="spellEnd"/>
      <w:r>
        <w:t>, C. (2015). Sustainable supplier development practices: Drivers and enablers in a global context. Journal of Purchasing and Supply Management, 21(2), 95–102. https://doi.org/10.1016/j.pursup.2014.12.004</w:t>
      </w:r>
    </w:p>
    <w:p w14:paraId="1522114E" w14:textId="77777777" w:rsidR="00ED71BB" w:rsidRDefault="00ED71BB" w:rsidP="002F7336">
      <w:proofErr w:type="spellStart"/>
      <w:r>
        <w:t>Sarkis</w:t>
      </w:r>
      <w:proofErr w:type="spellEnd"/>
      <w:r>
        <w:t>, J., Zhu, Q., &amp; Lai, K. H. (2011). An organizational theoretic review of green supply chain management literature. International Journal of Production Economics, 130(1), 1–15. https://doi.org/10.1016/j.ijpe.2010.11.010</w:t>
      </w:r>
    </w:p>
    <w:p w14:paraId="56FEA198" w14:textId="77777777" w:rsidR="00ED71BB" w:rsidRDefault="00ED71BB" w:rsidP="002F7336">
      <w:r>
        <w:t xml:space="preserve">Saunders, M. N. K., &amp; </w:t>
      </w:r>
      <w:proofErr w:type="spellStart"/>
      <w:r>
        <w:t>Rojon</w:t>
      </w:r>
      <w:proofErr w:type="spellEnd"/>
      <w:r>
        <w:t>, C. (2011). On the attributes of a critical literature review. Coaching, 4(2), 156–162. https://doi.org/10.1080/17521882.2011.596485</w:t>
      </w:r>
    </w:p>
    <w:p w14:paraId="018A3045" w14:textId="77777777" w:rsidR="00ED71BB" w:rsidRDefault="00ED71BB" w:rsidP="002F7336">
      <w:proofErr w:type="spellStart"/>
      <w:r>
        <w:t>Schoenherr</w:t>
      </w:r>
      <w:proofErr w:type="spellEnd"/>
      <w:r>
        <w:t xml:space="preserve">, T., &amp; </w:t>
      </w:r>
      <w:proofErr w:type="spellStart"/>
      <w:r>
        <w:t>Swink</w:t>
      </w:r>
      <w:proofErr w:type="spellEnd"/>
      <w:r>
        <w:t>, M. (2012). Revisiting the arcs of integration: Cross-validations and extensions. Journal of Operations Management, 30(1–2), 99–115. https://doi.org/10.1016/j.jom.2011.09.001</w:t>
      </w:r>
    </w:p>
    <w:p w14:paraId="2D6A77B2" w14:textId="77777777" w:rsidR="00ED71BB" w:rsidRDefault="00ED71BB" w:rsidP="002F7336">
      <w:r>
        <w:t>Scott, W. R. (2003). Institutional carriers: reviewing modes of transporting ideas over time and space and considering their consequences. Industrial and Corporate Change, 12(4), 879–894. https://doi.org/10.1093/icc/12.4.879</w:t>
      </w:r>
    </w:p>
    <w:p w14:paraId="687EBD15" w14:textId="77777777" w:rsidR="00ED71BB" w:rsidRDefault="00ED71BB" w:rsidP="002F7336">
      <w:r>
        <w:t xml:space="preserve">Seles, B. M. R. P., de Sousa </w:t>
      </w:r>
      <w:proofErr w:type="spellStart"/>
      <w:r>
        <w:t>Jabbour</w:t>
      </w:r>
      <w:proofErr w:type="spellEnd"/>
      <w:r>
        <w:t xml:space="preserve">, A. B. L., </w:t>
      </w:r>
      <w:proofErr w:type="spellStart"/>
      <w:r>
        <w:t>Jabbour</w:t>
      </w:r>
      <w:proofErr w:type="spellEnd"/>
      <w:r>
        <w:t xml:space="preserve">, C. J. C., &amp; </w:t>
      </w:r>
      <w:proofErr w:type="spellStart"/>
      <w:r>
        <w:t>Dangelico</w:t>
      </w:r>
      <w:proofErr w:type="spellEnd"/>
      <w:r>
        <w:t>, R. M. (2016). The green bullwhip effect, the diffusion of green supply chain practices, and institutional pressures: Evidence from the automotive sector. International Journal of Production Economics, 182, 342–355. https://doi.org/10.1016/j.ijpe.2016.08.033</w:t>
      </w:r>
    </w:p>
    <w:p w14:paraId="6128B6AA" w14:textId="77777777" w:rsidR="00ED71BB" w:rsidRDefault="00ED71BB" w:rsidP="002F7336">
      <w:proofErr w:type="spellStart"/>
      <w:r>
        <w:t>Shibin</w:t>
      </w:r>
      <w:proofErr w:type="spellEnd"/>
      <w:r>
        <w:t xml:space="preserve">, K. T., Dubey, R., </w:t>
      </w:r>
      <w:proofErr w:type="spellStart"/>
      <w:r>
        <w:t>Gunasekaran</w:t>
      </w:r>
      <w:proofErr w:type="spellEnd"/>
      <w:r>
        <w:t xml:space="preserve">, A., Hazen, B., </w:t>
      </w:r>
      <w:proofErr w:type="spellStart"/>
      <w:r>
        <w:t>Roubaud</w:t>
      </w:r>
      <w:proofErr w:type="spellEnd"/>
      <w:r>
        <w:t xml:space="preserve">, D., Gupta, S., &amp; </w:t>
      </w:r>
      <w:proofErr w:type="spellStart"/>
      <w:r>
        <w:t>Foropon</w:t>
      </w:r>
      <w:proofErr w:type="spellEnd"/>
      <w:r>
        <w:t>, C. (2017). Examining sustainable supply chain management of SMEs using resource based view and institutional theory. Annals of Operations Research, 1–26. https://doi.org/10.1007/s10479-017-2706-x</w:t>
      </w:r>
    </w:p>
    <w:p w14:paraId="71F48CCB" w14:textId="77777777" w:rsidR="00ED71BB" w:rsidRDefault="00ED71BB" w:rsidP="002F7336">
      <w:proofErr w:type="spellStart"/>
      <w:r>
        <w:t>Sihvonen</w:t>
      </w:r>
      <w:proofErr w:type="spellEnd"/>
      <w:r>
        <w:t xml:space="preserve">, S., &amp; </w:t>
      </w:r>
      <w:proofErr w:type="spellStart"/>
      <w:r>
        <w:t>Partanen</w:t>
      </w:r>
      <w:proofErr w:type="spellEnd"/>
      <w:r>
        <w:t>, J. (2017). Eco-design practices with a focus on quantitative environmental targets: An exploratory content analysis within ICT sector. Journal of Cleaner Production, 143, 769–783. https://doi.org/10.1016/j.jclepro.2016.12.047</w:t>
      </w:r>
    </w:p>
    <w:p w14:paraId="4DCA3D4F" w14:textId="77777777" w:rsidR="00ED71BB" w:rsidRDefault="00ED71BB" w:rsidP="002F7336">
      <w:r>
        <w:lastRenderedPageBreak/>
        <w:t>Smith, A., &amp; Stewart, D. (1963). An Inquiry into the Nature and Causes of the Wealth of Nations. Homewood, Ill: Irwin, I.</w:t>
      </w:r>
    </w:p>
    <w:p w14:paraId="629ED963" w14:textId="77777777" w:rsidR="00ED71BB" w:rsidRDefault="00ED71BB" w:rsidP="002F7336">
      <w:proofErr w:type="spellStart"/>
      <w:r>
        <w:t>Soosay</w:t>
      </w:r>
      <w:proofErr w:type="spellEnd"/>
      <w:r>
        <w:t>, C. A., Hyland, P. W., &amp; Ferrer, M. (2008). Supply chain collaboration: Capabilities for continuous innovation. Supply Chain Management, 13(2), 160–169. https://doi.org/10.1108/13598540810860994</w:t>
      </w:r>
    </w:p>
    <w:p w14:paraId="03069511" w14:textId="77777777" w:rsidR="00ED71BB" w:rsidRDefault="00ED71BB" w:rsidP="002F7336">
      <w:r>
        <w:t>Stewart, R., &amp; Niero, M. (2018). Circular economy in corporate sustainability strategies: A review of corporate sustainability reports in the fast-moving consumer goods sector. Business Strategy and the Environment, 27(7), 1005–1022. https://doi.org/10.1002/bse.2048</w:t>
      </w:r>
    </w:p>
    <w:p w14:paraId="2E916872" w14:textId="77777777" w:rsidR="00ED71BB" w:rsidRDefault="00ED71BB" w:rsidP="002F7336">
      <w:r>
        <w:t xml:space="preserve">Tate, W. L., Ellram, L. M., &amp; </w:t>
      </w:r>
      <w:proofErr w:type="spellStart"/>
      <w:r>
        <w:t>Kirchoff</w:t>
      </w:r>
      <w:proofErr w:type="spellEnd"/>
      <w:r>
        <w:t>, J. F. (2010). Corporate social responsibility reports: A thematic analysis related to supply chain management. Journal of Supply Chain Management, 46(1), 19–44. https://doi.org/10.1111/j.1745-493X.2009.03184.x</w:t>
      </w:r>
    </w:p>
    <w:p w14:paraId="1B60AAE5" w14:textId="77777777" w:rsidR="00ED71BB" w:rsidRDefault="00ED71BB" w:rsidP="002F7336">
      <w:r w:rsidRPr="00ED71BB">
        <w:rPr>
          <w:lang w:val="it-IT"/>
        </w:rPr>
        <w:t xml:space="preserve">Testa, F., Boiral, O., &amp; Iraldo, F. (2018). </w:t>
      </w:r>
      <w:r>
        <w:t xml:space="preserve">Internalization of environmental practices and institutional complexity: Can </w:t>
      </w:r>
      <w:proofErr w:type="gramStart"/>
      <w:r>
        <w:t>stakeholders</w:t>
      </w:r>
      <w:proofErr w:type="gramEnd"/>
      <w:r>
        <w:t xml:space="preserve"> pressures encourage greenwashing? Journal of Business Ethics, 147(2), 287–307. https://doi.org/10.1007/s10551-015-2960-2</w:t>
      </w:r>
    </w:p>
    <w:p w14:paraId="6688D6A0" w14:textId="77777777" w:rsidR="00ED71BB" w:rsidRDefault="00ED71BB" w:rsidP="002F7336">
      <w:proofErr w:type="spellStart"/>
      <w:r>
        <w:t>Touboulic</w:t>
      </w:r>
      <w:proofErr w:type="spellEnd"/>
      <w:r>
        <w:t>, A., &amp; Walker, H. (2015). Theories in sustainable supply chain management: A structured literature review. In International Journal of Physical Distribution and Logistics Management (Vol. 45, pp. 16–42). Emerald Group Publishing Ltd. https://doi.org/10.1108/IJPDLM-05-2013-0106</w:t>
      </w:r>
    </w:p>
    <w:p w14:paraId="2A9EA440" w14:textId="77777777" w:rsidR="00ED71BB" w:rsidRDefault="00ED71BB" w:rsidP="002F7336">
      <w:proofErr w:type="spellStart"/>
      <w:r>
        <w:t>Vachon</w:t>
      </w:r>
      <w:proofErr w:type="spellEnd"/>
      <w:r>
        <w:t xml:space="preserve">, S., &amp; </w:t>
      </w:r>
      <w:proofErr w:type="spellStart"/>
      <w:r>
        <w:t>Klassen</w:t>
      </w:r>
      <w:proofErr w:type="spellEnd"/>
      <w:r>
        <w:t>, R. D. (2006). Extending green practices across the supply chain: The impact of upstream and downstream integration. International Journal of Operations and Production Management, 26(7), 795–821. https://doi.org/10.1108/01443570610672248</w:t>
      </w:r>
    </w:p>
    <w:p w14:paraId="230FE2D9" w14:textId="77777777" w:rsidR="00ED71BB" w:rsidRDefault="00ED71BB" w:rsidP="002F7336">
      <w:r>
        <w:t>Webster, K. (2017). The circular economy: A wealth of flows (E. M. F. Publishing (</w:t>
      </w:r>
      <w:proofErr w:type="gramStart"/>
      <w:r>
        <w:t>ed</w:t>
      </w:r>
      <w:proofErr w:type="gramEnd"/>
      <w:r>
        <w:t>.)).</w:t>
      </w:r>
    </w:p>
    <w:p w14:paraId="337E7021" w14:textId="77777777" w:rsidR="00ED71BB" w:rsidRDefault="00ED71BB" w:rsidP="002F7336">
      <w:proofErr w:type="spellStart"/>
      <w:r>
        <w:t>Widmer</w:t>
      </w:r>
      <w:proofErr w:type="spellEnd"/>
      <w:r>
        <w:t xml:space="preserve">, T., &amp; Prior, D. (2019). Institutional Isomorphism, Institutional Logics and Organisational Fields: An Institutionalist Perspective on Circular Economy. Proceedings of the Spring </w:t>
      </w:r>
      <w:proofErr w:type="spellStart"/>
      <w:r>
        <w:t>Servitization</w:t>
      </w:r>
      <w:proofErr w:type="spellEnd"/>
      <w:r>
        <w:t xml:space="preserve"> Conference 2019, May.</w:t>
      </w:r>
    </w:p>
    <w:p w14:paraId="14A07EE7" w14:textId="77777777" w:rsidR="00ED71BB" w:rsidRDefault="00ED71BB" w:rsidP="002F7336">
      <w:r w:rsidRPr="00ED71BB">
        <w:rPr>
          <w:lang w:val="sv-SE"/>
        </w:rPr>
        <w:t xml:space="preserve">Wiengarten, F., Li, H., Singh, P. J., &amp; Fynes, B. (2019). </w:t>
      </w:r>
      <w:r>
        <w:t>Re-evaluating supply chain integration and firm performance: linking operations strategy to supply chain strategy. Supply Chain Management, 24(4), 540–559. https://doi.org/10.1108/SCM-05-2018-0189</w:t>
      </w:r>
    </w:p>
    <w:p w14:paraId="6C312062" w14:textId="77777777" w:rsidR="00ED71BB" w:rsidRDefault="00ED71BB" w:rsidP="002F7336">
      <w:r>
        <w:lastRenderedPageBreak/>
        <w:t>Wiengarten, F., &amp; Longoni, A. (2015). A nuanced view on supply chain integration: A coordinative and collaborative approach to operational and sustainability performance improvement. Supply Chain Management, 20(2), 139–150. https://doi.org/10.1108/SCM-04-2014-0120</w:t>
      </w:r>
    </w:p>
    <w:p w14:paraId="33B43FD8" w14:textId="77777777" w:rsidR="00ED71BB" w:rsidRDefault="00ED71BB" w:rsidP="002F7336">
      <w:proofErr w:type="spellStart"/>
      <w:r>
        <w:t>Winterton</w:t>
      </w:r>
      <w:proofErr w:type="spellEnd"/>
      <w:r>
        <w:t>, J. (2008). Business Research Methods. In Oxford university press (Ed.), Management Learning (Vol. 39, Issue 5). https://doi.org/10.1177/13505076080390050804</w:t>
      </w:r>
    </w:p>
    <w:p w14:paraId="25021F35" w14:textId="77777777" w:rsidR="00ED71BB" w:rsidRDefault="00ED71BB" w:rsidP="002F7336">
      <w:r>
        <w:t>Wong, C. Y., Wong, C. W. Y., &amp; Boon-</w:t>
      </w:r>
      <w:proofErr w:type="spellStart"/>
      <w:r>
        <w:t>itt</w:t>
      </w:r>
      <w:proofErr w:type="spellEnd"/>
      <w:r>
        <w:t>, S. (2020). Effects of green supply chain integration and green innovation on environmental and cost performance. International Journal of Production Research, 0(0), 1–21. https://doi.org/10.1080/00207543.2020.1756510</w:t>
      </w:r>
    </w:p>
    <w:p w14:paraId="5D73F0A5" w14:textId="77777777" w:rsidR="00ED71BB" w:rsidRDefault="00ED71BB" w:rsidP="002F7336">
      <w:r>
        <w:t xml:space="preserve">Wright, R. E. (1994). Logistic regression Logistic regression Logistic regression. Reading and Understanding Multivariate </w:t>
      </w:r>
      <w:proofErr w:type="gramStart"/>
      <w:r>
        <w:t>Statistics.,</w:t>
      </w:r>
      <w:proofErr w:type="gramEnd"/>
      <w:r>
        <w:t xml:space="preserve"> 346–387.</w:t>
      </w:r>
    </w:p>
    <w:p w14:paraId="43E3D337" w14:textId="77777777" w:rsidR="00ED71BB" w:rsidRDefault="00ED71BB" w:rsidP="002F7336">
      <w:r>
        <w:t>Wu, G. C. (2013). The influence of green supply chain integration and environmental uncertainty on green innovation in Taiwan’s IT industry. Supply Chain Management, 18(5), 539–552. https://doi.org/10.1108/SCM-06-2012-0201</w:t>
      </w:r>
    </w:p>
    <w:p w14:paraId="162AC6B1" w14:textId="77777777" w:rsidR="00ED71BB" w:rsidRDefault="00ED71BB" w:rsidP="002F7336">
      <w:r>
        <w:t>Zeng, H., Chen, X., Xiao, X., &amp; Zhou, Z. (2017). Institutional pressures, sustainable supply chain management, and circular economy capability: Empirical evidence from Chinese eco-industrial park firms. Journal of Cleaner Production, 155(May 2014), 54–65. https://doi.org/10.1016/j.jclepro.2016.10.093</w:t>
      </w:r>
    </w:p>
    <w:p w14:paraId="02152263" w14:textId="77777777" w:rsidR="00ED71BB" w:rsidRDefault="00ED71BB" w:rsidP="002F7336">
      <w:r w:rsidRPr="00ED71BB">
        <w:rPr>
          <w:lang w:val="de-DE"/>
        </w:rPr>
        <w:t xml:space="preserve">Zeng, N., Liu, Y., Mao, C., &amp; König, M. (2018). </w:t>
      </w:r>
      <w:r>
        <w:t>Investigating the relationship between construction supply chain integration and sustainable use of material: Evidence from China. Sustainability (Switzerland), 10(10). https://doi.org/10.3390/su10103581</w:t>
      </w:r>
    </w:p>
    <w:p w14:paraId="7FD4D846" w14:textId="77777777" w:rsidR="00ED71BB" w:rsidRDefault="00ED71BB" w:rsidP="002F7336">
      <w:r>
        <w:t xml:space="preserve">Zhu, Q., &amp; </w:t>
      </w:r>
      <w:proofErr w:type="spellStart"/>
      <w:r>
        <w:t>Geng</w:t>
      </w:r>
      <w:proofErr w:type="spellEnd"/>
      <w:r>
        <w:t>, Y. (2013). Drivers and barriers of extended supply chain practices for energy saving and emission reduction among Chinese manufacturers. Journal of Cleaner Production, 40, 6–12. https://doi.org/10.1016/j.jclepro.2010.09.017</w:t>
      </w:r>
    </w:p>
    <w:p w14:paraId="2379EAFF" w14:textId="77777777" w:rsidR="00ED71BB" w:rsidRDefault="00ED71BB" w:rsidP="002F7336">
      <w:r>
        <w:t xml:space="preserve">Zhu, Q., </w:t>
      </w:r>
      <w:proofErr w:type="spellStart"/>
      <w:r>
        <w:t>Geng</w:t>
      </w:r>
      <w:proofErr w:type="spellEnd"/>
      <w:r>
        <w:t>, Y., &amp; Lai, K. hung. (2010). Circular economy practices among Chinese manufacturers varying in environmental-oriented supply chain cooperation and the performance implications. Journal of Environmental Management, 91(6), 1324–1331. https://doi.org/10.1016/j.jenvman.2010.02.013</w:t>
      </w:r>
    </w:p>
    <w:p w14:paraId="173902E5" w14:textId="77777777" w:rsidR="00ED71BB" w:rsidRDefault="00ED71BB" w:rsidP="002F7336">
      <w:r>
        <w:t xml:space="preserve">Zhu, Q., </w:t>
      </w:r>
      <w:proofErr w:type="spellStart"/>
      <w:r>
        <w:t>Geng</w:t>
      </w:r>
      <w:proofErr w:type="spellEnd"/>
      <w:r>
        <w:t xml:space="preserve">, Y., &amp; Lai, K. hung. (2011). Environmental supply chain cooperation and its effect on the circular economy practice-performance relationship among Chinese </w:t>
      </w:r>
      <w:r>
        <w:lastRenderedPageBreak/>
        <w:t>manufacturers. Journal of Industrial Ecology, 15(3), 405–419. https://doi.org/10.1111/j.1530-9290.2011.00329.x</w:t>
      </w:r>
    </w:p>
    <w:p w14:paraId="7600D7CB" w14:textId="77777777" w:rsidR="0062477F" w:rsidRDefault="00ED71BB" w:rsidP="0062477F">
      <w:r>
        <w:t xml:space="preserve">Zhu, Q., </w:t>
      </w:r>
      <w:proofErr w:type="spellStart"/>
      <w:r>
        <w:t>Sarkis</w:t>
      </w:r>
      <w:proofErr w:type="spellEnd"/>
      <w:r>
        <w:t>, J., &amp; Lai, K. hung. (2013). Institutional-based antecedents and performance outcomes of internal and external green supply chain management practices. Journal of Purchasing and Supply Management, 19(2), 106–117. https://doi.org/10.1016/j.pursup.2012.12.001</w:t>
      </w:r>
    </w:p>
    <w:p w14:paraId="4A2D7CCD" w14:textId="773E1345" w:rsidR="00E37590" w:rsidRPr="00E37590" w:rsidRDefault="00E73C3E" w:rsidP="0062477F">
      <w:r w:rsidRPr="0062477F">
        <w:br w:type="page"/>
      </w:r>
    </w:p>
    <w:p w14:paraId="21E68032" w14:textId="06B1E714" w:rsidR="00EF48DB" w:rsidRPr="002228F5" w:rsidRDefault="003A56CD" w:rsidP="00C528D7">
      <w:pPr>
        <w:pStyle w:val="Heading1"/>
      </w:pPr>
      <w:bookmarkStart w:id="131" w:name="_Toc157759517"/>
      <w:r>
        <w:lastRenderedPageBreak/>
        <w:t>Method</w:t>
      </w:r>
      <w:r w:rsidR="00F70C6A">
        <w:t>ology</w:t>
      </w:r>
      <w:bookmarkEnd w:id="131"/>
    </w:p>
    <w:p w14:paraId="48951029" w14:textId="77777777" w:rsidR="00842802" w:rsidRDefault="00842802" w:rsidP="002F7336">
      <w:r>
        <w:t xml:space="preserve">In the previous chapter, a conceptual model was presented, to connect the variables that are relevant to the research problem. This model is the result of the review of the state-of-the-practice in 50 Multinational Enterprises’ managed supply chains (Chapter 2) and of the critical literature review in Chapter 3. As a result of the whole review process a set of hypotheses was proposed. These hypotheses define what possible roles institutional pressures and Supply Chain Integration could have in driving the adoption of Circular Economy practices in supply chains. In this Chapter the research philosophy, the methodology approach and strategy adopted for this thesis are presented (Figure 1). An explanation is provided on the rationale behind the methodological choices made to validate and test the conceptual framework derived from the literature review, and to examine the effect of institutional pressures and Supply Chain Integration on the adoption of Circular Economy practices. </w:t>
      </w:r>
    </w:p>
    <w:p w14:paraId="3C9FB3D7" w14:textId="5010E096" w:rsidR="00842802" w:rsidRDefault="003753F4" w:rsidP="002F7336">
      <w:pPr>
        <w:rPr>
          <w:rFonts w:eastAsia="Calibri" w:cs="Arial"/>
        </w:rPr>
      </w:pPr>
      <w:r>
        <w:rPr>
          <w:rFonts w:eastAsia="Calibri" w:cs="Arial"/>
          <w:noProof/>
          <w:lang w:eastAsia="zh-CN"/>
        </w:rPr>
        <w:drawing>
          <wp:inline distT="0" distB="0" distL="0" distR="0" wp14:anchorId="177AC16B" wp14:editId="5B5D52E6">
            <wp:extent cx="5703570" cy="262689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24153" cy="2636377"/>
                    </a:xfrm>
                    <a:prstGeom prst="rect">
                      <a:avLst/>
                    </a:prstGeom>
                    <a:noFill/>
                  </pic:spPr>
                </pic:pic>
              </a:graphicData>
            </a:graphic>
          </wp:inline>
        </w:drawing>
      </w:r>
    </w:p>
    <w:p w14:paraId="7220D78A" w14:textId="77777777" w:rsidR="0062477F" w:rsidRDefault="0062477F" w:rsidP="0062477F">
      <w:pPr>
        <w:pStyle w:val="Figurecaption"/>
      </w:pPr>
      <w:bookmarkStart w:id="132" w:name="_Toc45932336"/>
      <w:bookmarkStart w:id="133" w:name="_Toc48552041"/>
      <w:bookmarkStart w:id="134" w:name="_Toc48561461"/>
      <w:bookmarkStart w:id="135" w:name="_Toc49789738"/>
      <w:r>
        <w:t xml:space="preserve">Figure </w:t>
      </w:r>
      <w:fldSimple w:instr=" STYLEREF 1 \s ">
        <w:r>
          <w:rPr>
            <w:rFonts w:hint="cs"/>
            <w:noProof/>
            <w:cs/>
          </w:rPr>
          <w:t>‎</w:t>
        </w:r>
      </w:fldSimple>
      <w:fldSimple w:instr=" SEQ Figure \* ARABIC \s 1 ">
        <w:r>
          <w:rPr>
            <w:noProof/>
          </w:rPr>
          <w:t>1</w:t>
        </w:r>
      </w:fldSimple>
      <w:r>
        <w:t xml:space="preserve"> - The representation of the research method (adapted from Saunders et al., 2009)</w:t>
      </w:r>
      <w:bookmarkEnd w:id="132"/>
      <w:bookmarkEnd w:id="133"/>
      <w:bookmarkEnd w:id="134"/>
      <w:bookmarkEnd w:id="135"/>
    </w:p>
    <w:p w14:paraId="37F1757A" w14:textId="77777777" w:rsidR="00842802" w:rsidRDefault="00842802" w:rsidP="005035B4">
      <w:pPr>
        <w:pStyle w:val="Heading2"/>
      </w:pPr>
      <w:bookmarkStart w:id="136" w:name="_Toc49839836"/>
      <w:bookmarkStart w:id="137" w:name="_Toc157759518"/>
      <w:r>
        <w:t>Research philosophy</w:t>
      </w:r>
      <w:bookmarkEnd w:id="136"/>
      <w:bookmarkEnd w:id="137"/>
      <w:r>
        <w:t xml:space="preserve"> </w:t>
      </w:r>
    </w:p>
    <w:p w14:paraId="4534918D" w14:textId="77777777" w:rsidR="00842802" w:rsidRDefault="00842802" w:rsidP="002F7336">
      <w:r>
        <w:t xml:space="preserve">All research has a philosophical foundation and assumptions about possible ways to study certain phenomena to develop knowledge, and these assumptions should be openly stated. The first objective of this chapter is to define philosophical elements and assumption that were incorporated in this thesis and how intertwined they are with, as well as how they have inspired a coherent and effective research approach and subsequent research design. These philosophical elements have to do with ontology and with epistemology. </w:t>
      </w:r>
    </w:p>
    <w:p w14:paraId="0CC0ABF6" w14:textId="77777777" w:rsidR="00842802" w:rsidRDefault="00842802" w:rsidP="005035B4">
      <w:pPr>
        <w:pStyle w:val="Heading3"/>
      </w:pPr>
      <w:bookmarkStart w:id="138" w:name="_Toc157759519"/>
      <w:r>
        <w:lastRenderedPageBreak/>
        <w:t>Ontology and Epistemology</w:t>
      </w:r>
      <w:bookmarkEnd w:id="138"/>
      <w:r>
        <w:t xml:space="preserve"> </w:t>
      </w:r>
    </w:p>
    <w:p w14:paraId="5691B8C2" w14:textId="77777777" w:rsidR="00842802" w:rsidRDefault="00842802" w:rsidP="002F7336">
      <w:r>
        <w:t>As a first step,</w:t>
      </w:r>
      <w:r>
        <w:rPr>
          <w:b/>
          <w:bCs/>
        </w:rPr>
        <w:t xml:space="preserve"> </w:t>
      </w:r>
      <w:r>
        <w:t>the philosophical assumptions that underpin the research project – in terms of ontology and epistemology – are established. This supports the definition and the design of a suitable research method. Ontology deals with the nature and relationship of the elements that constitute reality, and include answering the question “what kind of things are there in the world?” (</w:t>
      </w:r>
      <w:proofErr w:type="spellStart"/>
      <w:r>
        <w:t>Bryman</w:t>
      </w:r>
      <w:proofErr w:type="spellEnd"/>
      <w:r>
        <w:t xml:space="preserve"> and Bell, 2011). </w:t>
      </w:r>
    </w:p>
    <w:p w14:paraId="2F69D3C1" w14:textId="77777777" w:rsidR="00842802" w:rsidRDefault="00842802" w:rsidP="002F7336">
      <w:r>
        <w:t xml:space="preserve">This research project adopts a mix of </w:t>
      </w:r>
      <w:r>
        <w:rPr>
          <w:i/>
          <w:iCs/>
        </w:rPr>
        <w:t>objectivism</w:t>
      </w:r>
      <w:r>
        <w:t xml:space="preserve"> and </w:t>
      </w:r>
      <w:r>
        <w:rPr>
          <w:i/>
          <w:iCs/>
        </w:rPr>
        <w:t>subjectivism</w:t>
      </w:r>
      <w:r>
        <w:t xml:space="preserve"> as ontological approach. This means that the existence of both singular (</w:t>
      </w:r>
      <w:r>
        <w:rPr>
          <w:i/>
          <w:iCs/>
        </w:rPr>
        <w:t>objectivism</w:t>
      </w:r>
      <w:r>
        <w:t>) and multiple realities (</w:t>
      </w:r>
      <w:r>
        <w:rPr>
          <w:i/>
          <w:iCs/>
        </w:rPr>
        <w:t>subjectivism</w:t>
      </w:r>
      <w:r>
        <w:t xml:space="preserve">) is acknowledged. Depending on the phase of the thesis, a more objectivist or subjectivist stance was embraced. </w:t>
      </w:r>
    </w:p>
    <w:p w14:paraId="09ED4E76" w14:textId="77777777" w:rsidR="00842802" w:rsidRDefault="00842802" w:rsidP="002F7336">
      <w:r>
        <w:t xml:space="preserve">The main objective of the thesis is to verify and test a nexus of hypotheses – the conceptual model, whose three main building blocks – Institutional pressures, Supply Chain Integration and Circular Economy (CE) practices – were identified by looking at the supply chain management literature. Such an objective is mostly grounded in an </w:t>
      </w:r>
      <w:r>
        <w:rPr>
          <w:i/>
          <w:iCs/>
        </w:rPr>
        <w:t>objectivist</w:t>
      </w:r>
      <w:r>
        <w:t xml:space="preserve"> approach. The adoption of CE practices in an organisation and its supply chain, is seen as a tangible action which can be explained by some social factors, e.g., the presence of institutional pressures and the level of integration of the supply chain network of firms. </w:t>
      </w:r>
    </w:p>
    <w:p w14:paraId="6FE7B2F2" w14:textId="77777777" w:rsidR="00842802" w:rsidRDefault="00842802" w:rsidP="002F7336">
      <w:r>
        <w:t xml:space="preserve">However, this thesis acknowledges the importance of a </w:t>
      </w:r>
      <w:r>
        <w:rPr>
          <w:i/>
          <w:iCs/>
        </w:rPr>
        <w:t>subjectivist</w:t>
      </w:r>
      <w:r>
        <w:t xml:space="preserve"> approach and recognises the existence of multiple perspectives, embedding them into the research: firstly, during the exploratory analysis of the state-of-the-practice (see Chapter 2) the subjective complexity of the research problem (e.g., the adoption of CE practices) in different contexts and industrial sectors is analysed. Then, the subjective opinions and perceptions of practitioners – who face real challenges in operationalising the transition towards the CE in the industry and in facilitating it through policy-making process – was considered in a qualitative study. As it will be discussed in the following sub-chapters, the subjective perspectives of the participants in the Delphi-study were paramount in informing the quantitative phase of the thesis. </w:t>
      </w:r>
    </w:p>
    <w:p w14:paraId="26C8E2F4" w14:textId="77777777" w:rsidR="00842802" w:rsidRDefault="00842802" w:rsidP="002F7336">
      <w:r>
        <w:t xml:space="preserve">Epistemology is concerned with the question “how do we know what we know?” and deals with the approaches in which we can acquire knowledge and subsequently interpret it. This research project takes a </w:t>
      </w:r>
      <w:r>
        <w:rPr>
          <w:i/>
          <w:iCs/>
        </w:rPr>
        <w:t>pragmatic</w:t>
      </w:r>
      <w:r>
        <w:t xml:space="preserve"> position. This approach puts the research question at the centre to determine epistemological and ontological positions and draws mixed-methods approach as the most appropriate one. The research problem is described through a conceptual model, with the assumption – typical of positivist studies – that patterns of </w:t>
      </w:r>
      <w:r>
        <w:lastRenderedPageBreak/>
        <w:t xml:space="preserve">causality among variables can be investigated with a quantitative analysis. At the same time, a strictly positivist approach is considered limited: for this reason, it is supported and strengthened with a qualitative strand to challenge findings from the literature. </w:t>
      </w:r>
    </w:p>
    <w:p w14:paraId="03B779FE" w14:textId="77777777" w:rsidR="00842802" w:rsidRDefault="00842802" w:rsidP="005035B4">
      <w:pPr>
        <w:pStyle w:val="Heading3"/>
      </w:pPr>
      <w:bookmarkStart w:id="139" w:name="_Toc157759520"/>
      <w:r>
        <w:t>Research Approach</w:t>
      </w:r>
      <w:bookmarkEnd w:id="139"/>
      <w:r>
        <w:t xml:space="preserve"> </w:t>
      </w:r>
    </w:p>
    <w:p w14:paraId="30CFC676" w14:textId="77777777" w:rsidR="00842802" w:rsidRDefault="00842802" w:rsidP="002F7336">
      <w:r>
        <w:t>The research approach explains the nature of the relationship between theory and research (</w:t>
      </w:r>
      <w:proofErr w:type="spellStart"/>
      <w:r>
        <w:t>Bryman</w:t>
      </w:r>
      <w:proofErr w:type="spellEnd"/>
      <w:r>
        <w:t xml:space="preserve"> and Bell, 2011). It can be inductive, concerned with building a theory, or deductive, which aims at testing a theory. This study adopts a combination of </w:t>
      </w:r>
      <w:r>
        <w:rPr>
          <w:i/>
          <w:iCs/>
        </w:rPr>
        <w:t>inductive</w:t>
      </w:r>
      <w:r>
        <w:t xml:space="preserve"> and </w:t>
      </w:r>
      <w:r>
        <w:rPr>
          <w:i/>
          <w:iCs/>
        </w:rPr>
        <w:t>deductive</w:t>
      </w:r>
      <w:r>
        <w:t xml:space="preserve"> approach. The hypothesis on the causal relationships among the variables in the conceptual framework are deductively drawn from existing theories and literature. However, the theoretical discussion on the CE in supply chains is at an initial stage and the hypothesis have been drawn also from related research fields (SSCM, GSCM, and Industrial Ecology). For this reason, the hypotheses and the conceptual model itself are inductively validated with data collected from experts and researchers in the field, as well as from practitioners and policy makers engaged in the transition towards the CE. </w:t>
      </w:r>
    </w:p>
    <w:p w14:paraId="2DFD77C2" w14:textId="77777777" w:rsidR="00842802" w:rsidRDefault="00842802" w:rsidP="002F7336">
      <w:r>
        <w:t>The final phase involves the collection and the analysis of quantitative data, through an extensive activity of coding secondary data sources (as explained in the following Section 4). Data analysis has confirmed some of the hypotheses formulated and rejected some others. In the following Sections, more information is provided on both the qualitative and the quantitative strands of the analysis.</w:t>
      </w:r>
    </w:p>
    <w:p w14:paraId="6FE80D9D" w14:textId="77777777" w:rsidR="00842802" w:rsidRDefault="00842802" w:rsidP="005035B4">
      <w:pPr>
        <w:pStyle w:val="Heading2"/>
      </w:pPr>
      <w:bookmarkStart w:id="140" w:name="_Toc49839838"/>
      <w:bookmarkStart w:id="141" w:name="_Toc157759521"/>
      <w:r>
        <w:t>Research design: Mixed-method research</w:t>
      </w:r>
      <w:bookmarkEnd w:id="140"/>
      <w:bookmarkEnd w:id="141"/>
      <w:r>
        <w:t xml:space="preserve"> </w:t>
      </w:r>
    </w:p>
    <w:p w14:paraId="345F2C75" w14:textId="77777777" w:rsidR="00842802" w:rsidRDefault="00842802" w:rsidP="002F7336">
      <w:r>
        <w:t xml:space="preserve">Research design relates to how to collect and analyse data to answer the research questions and depends on the ontological and epistemological foundations. Adopting a </w:t>
      </w:r>
      <w:r>
        <w:rPr>
          <w:i/>
          <w:iCs/>
        </w:rPr>
        <w:t>pragmatic</w:t>
      </w:r>
      <w:r>
        <w:t xml:space="preserve"> approach, this research project embeds a mixed-method design. </w:t>
      </w:r>
    </w:p>
    <w:p w14:paraId="4239580D" w14:textId="77777777" w:rsidR="00842802" w:rsidRDefault="00842802" w:rsidP="002F7336">
      <w:r>
        <w:t xml:space="preserve">Mixed-method design is believed to best address complex topics and research problems because it overcomes the dichotomy between qualitative and quantitative approaches, and helps to build more corroborated and complete results </w:t>
      </w:r>
      <w:r>
        <w:fldChar w:fldCharType="begin" w:fldLock="1"/>
      </w:r>
      <w:r>
        <w:instrText>ADDIN CSL_CITATION {"citationItems":[{"id":"ITEM-1","itemData":{"author":[{"dropping-particle":"","family":"Creswell","given":"John W","non-dropping-particle":"","parse-names":false,"suffix":""},{"dropping-particle":"","family":"Plano Clark","given":"Vicki L","non-dropping-particle":"","parse-names":false,"suffix":""}],"id":"ITEM-1","issued":{"date-parts":[["2017"]]},"publisher":"SAGE Publications","title":"Designing and Conducting Mixed Methods Research","type":"book"},"uris":["http://www.mendeley.com/documents/?uuid=52fef595-8c94-40fd-966e-00eb1c46e4cd"]}],"mendeley":{"formattedCitation":"(Creswell &amp; Plano Clark, 2017)","plainTextFormattedCitation":"(Creswell &amp; Plano Clark, 2017)","previouslyFormattedCitation":"(Creswell &amp; Plano Clark, 2017)"},"properties":{"noteIndex":0},"schema":"https://github.com/citation-style-language/schema/raw/master/csl-citation.json"}</w:instrText>
      </w:r>
      <w:r>
        <w:fldChar w:fldCharType="separate"/>
      </w:r>
      <w:r>
        <w:t>(Creswell &amp; Plano Clark, 2017)</w:t>
      </w:r>
      <w:r>
        <w:rPr>
          <w:lang w:val="en-US"/>
        </w:rPr>
        <w:fldChar w:fldCharType="end"/>
      </w:r>
      <w:r>
        <w:t>. By combining qualitative and quantitative phases, mixed-methods research allows to answer to the research problem from different perspectives and angles.</w:t>
      </w:r>
    </w:p>
    <w:p w14:paraId="2CF3B281" w14:textId="77777777" w:rsidR="00842802" w:rsidRDefault="00842802" w:rsidP="002F7336">
      <w:r>
        <w:t xml:space="preserve">In the context of this thesis, a mixed-method research design has meant combining a first qualitative phase with a second quantitative research. This research design has allowed the reduction of the risk of providing an incomplete picture of a phenomena that would require a more articulated interpretation, by involving some stakeholders and experts in an initial </w:t>
      </w:r>
      <w:r>
        <w:lastRenderedPageBreak/>
        <w:t xml:space="preserve">part of the study. The large-scale quantitative study was performed only once the conceptual model was corroborated through the involvement of experts’ qualitative observations. In the next sub-chapters, the sequential exploratory mixed-method design is discussed, and both the qualitative and quantitative studies are introduced as well as how they relate to each other. </w:t>
      </w:r>
    </w:p>
    <w:p w14:paraId="1C13D928" w14:textId="77777777" w:rsidR="00842802" w:rsidRDefault="00842802" w:rsidP="005035B4">
      <w:pPr>
        <w:pStyle w:val="Heading3"/>
      </w:pPr>
      <w:bookmarkStart w:id="142" w:name="_Toc157759522"/>
      <w:r>
        <w:t>Exploratory Sequential Mixed-Methods Design</w:t>
      </w:r>
      <w:bookmarkEnd w:id="142"/>
    </w:p>
    <w:p w14:paraId="407E8249" w14:textId="77777777" w:rsidR="00842802" w:rsidRDefault="00842802" w:rsidP="00316568">
      <w:r>
        <w:t xml:space="preserve">This thesis adopts an exploratory sequential mixed-methods design. (Figure 2). Sequential mixed methods refer to a research design that collects and analyse data in sequential phases (Creswell and Clark, 2011). The term “exploratory” reflects the need to explore qualitatively the research problem before testing hypotheses. Accordingly, this mixed-method design starts with a qualitative strand (Figure 2, Step I). The qualitative phase was used to refine the hypotheses, to define the adequate measurement scales, and sample of organisations. The rationale of a preparatory qualitative data analysis is also justified by the choice of a research method, which will be based mainly on secondary data collection and coding, and not on questionnaires and interviews. As such, a preliminary pilot study – which is a common practice in the context of primary data collection and research – cannot be part of it.  </w:t>
      </w:r>
    </w:p>
    <w:p w14:paraId="00FDB1DE" w14:textId="35001268" w:rsidR="00842802" w:rsidRDefault="00842802" w:rsidP="00926096">
      <w:pPr>
        <w:jc w:val="center"/>
      </w:pPr>
      <w:r>
        <w:rPr>
          <w:noProof/>
          <w:lang w:eastAsia="zh-CN"/>
        </w:rPr>
        <w:drawing>
          <wp:inline distT="0" distB="0" distL="0" distR="0" wp14:anchorId="31C1D6E3" wp14:editId="48FDEE92">
            <wp:extent cx="4619625" cy="26384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9625" cy="2638425"/>
                    </a:xfrm>
                    <a:prstGeom prst="rect">
                      <a:avLst/>
                    </a:prstGeom>
                    <a:noFill/>
                    <a:ln>
                      <a:noFill/>
                    </a:ln>
                  </pic:spPr>
                </pic:pic>
              </a:graphicData>
            </a:graphic>
          </wp:inline>
        </w:drawing>
      </w:r>
    </w:p>
    <w:p w14:paraId="4EB4104E" w14:textId="77777777" w:rsidR="0062477F" w:rsidRDefault="0062477F" w:rsidP="0062477F">
      <w:pPr>
        <w:pStyle w:val="Figurecaption"/>
      </w:pPr>
      <w:r>
        <w:t xml:space="preserve">Figure </w:t>
      </w:r>
      <w:fldSimple w:instr=" STYLEREF 1 \s ">
        <w:r>
          <w:rPr>
            <w:rFonts w:hint="cs"/>
            <w:noProof/>
            <w:cs/>
          </w:rPr>
          <w:t>‎</w:t>
        </w:r>
      </w:fldSimple>
      <w:r>
        <w:t>2 – Steps of the exploratory sequential mixed method study</w:t>
      </w:r>
    </w:p>
    <w:p w14:paraId="1F161AC0" w14:textId="77777777" w:rsidR="0062477F" w:rsidRDefault="0062477F" w:rsidP="0062477F">
      <w:r>
        <w:t xml:space="preserve">That phase was followed by a development phase that aimed at translating the findings of the qualitative strand into the quantitative strand (Figure 2, Step II). In other words, the results of the first study supported the development of the quantitative study. The intent was to develop and apply quantitative measures and tools on variables that are grounded in the qualitative study. The first qualitative analysis was necessary to improve the theoretical </w:t>
      </w:r>
      <w:r>
        <w:lastRenderedPageBreak/>
        <w:t xml:space="preserve">significance of the conceptual framework and to fine-tune it. Finally, the quantitative strand was also implemented by testing quantitatively research hypotheses (Figure 2, Step III). </w:t>
      </w:r>
    </w:p>
    <w:p w14:paraId="71D5F2C0" w14:textId="77777777" w:rsidR="00842802" w:rsidRDefault="00842802" w:rsidP="005035B4">
      <w:pPr>
        <w:pStyle w:val="Heading3"/>
      </w:pPr>
      <w:bookmarkStart w:id="143" w:name="_Toc157759523"/>
      <w:r>
        <w:t>Research Process and Procedures</w:t>
      </w:r>
      <w:bookmarkEnd w:id="143"/>
    </w:p>
    <w:p w14:paraId="37CE9936" w14:textId="77777777" w:rsidR="00842802" w:rsidRDefault="00842802" w:rsidP="002F7336">
      <w:r>
        <w:t xml:space="preserve">The process followed to implement exploratory sequential mixed-method in this thesis is represented in Figure 3. In the first phase, the research topic was identified and narrowed down to research objectives (Chapter 1). During this phase the state of industrial practice was analysed (Chapter 2), and the literature was reviewed (Chapter 3). These phases’ output was the formulation of the research hypotheses and the definition of a conceptual framework. </w:t>
      </w:r>
    </w:p>
    <w:p w14:paraId="0BD88C9B" w14:textId="5A5B13AE" w:rsidR="00842802" w:rsidRDefault="00842802" w:rsidP="002F7336">
      <w:r>
        <w:t xml:space="preserve">In the second phase the first qualitative data was collected and analysed through a Delphi study (Chapter 5). The objective of this phase was to validate the conceptual framework. The Delphi-study was identified as a suitable research method because of its potential of eliciting knowledge from groups of experts. In this way some qualitative elements were added into the original framework. The results of this phase relate to the following one. The following phase includes the quantitative data collection and analysis (Chapter 6). Data was collected from secondary sources, using a coding procedure and stepwise approach. This phase has involved also adapting and modifying measurement scales to the purpose of the analysis and to the type of data used. The data was analysed by building variables and employing linear regression. The next two Sections are giving more details on the two main strands – defining how data was collected and analysed, introducing the following two thesis chapters. </w:t>
      </w:r>
    </w:p>
    <w:p w14:paraId="5898DCB9" w14:textId="77777777" w:rsidR="00E9586E" w:rsidRDefault="00E9586E" w:rsidP="00E9586E">
      <w:pPr>
        <w:pStyle w:val="Heading2"/>
        <w:rPr>
          <w:lang w:val="en-US"/>
        </w:rPr>
      </w:pPr>
      <w:bookmarkStart w:id="144" w:name="_Toc157759524"/>
      <w:r>
        <w:rPr>
          <w:lang w:val="en-US"/>
        </w:rPr>
        <w:t>Validating the conceptual framework through a Delphi-like study</w:t>
      </w:r>
      <w:bookmarkEnd w:id="144"/>
      <w:r>
        <w:rPr>
          <w:lang w:val="en-US"/>
        </w:rPr>
        <w:t xml:space="preserve"> </w:t>
      </w:r>
    </w:p>
    <w:p w14:paraId="7B5877B3" w14:textId="77777777" w:rsidR="00E9586E" w:rsidRDefault="00E9586E" w:rsidP="00E9586E">
      <w:r>
        <w:t xml:space="preserve">Before embarking on a huge activity of coding and quantitative data collection a round of semi-structured interviews was executed to fine-tune the theoretical framework. This qualitative phase aimed to challenge the hypothesis on the relation between institutional pressures and CE practices adoption, as well as the role of SCI in that relationship. </w:t>
      </w:r>
    </w:p>
    <w:p w14:paraId="1524A9D5" w14:textId="77777777" w:rsidR="00E9586E" w:rsidRDefault="00E9586E" w:rsidP="00E9586E">
      <w:r>
        <w:t xml:space="preserve">A </w:t>
      </w:r>
      <w:r>
        <w:rPr>
          <w:i/>
        </w:rPr>
        <w:t>Delphi-like</w:t>
      </w:r>
      <w:r>
        <w:t xml:space="preserve"> approach was employed to elicit knowledge from a panel of qualified experts. Delphi studies allow access to experts’ opinions in a structured manner and enable the ranking and prioritisation of key issues for management action (</w:t>
      </w:r>
      <w:proofErr w:type="spellStart"/>
      <w:r>
        <w:t>Okoli</w:t>
      </w:r>
      <w:proofErr w:type="spellEnd"/>
      <w:r>
        <w:t xml:space="preserve"> and </w:t>
      </w:r>
      <w:proofErr w:type="spellStart"/>
      <w:r>
        <w:t>Pawlowski</w:t>
      </w:r>
      <w:proofErr w:type="spellEnd"/>
      <w:r>
        <w:t xml:space="preserve">, 2004; Schmidt, 2001). Key characteristics and aspects of a Delphi study include the structured selection of experts, the multi-round nature with multiple interactions, and the final validation stage through a group discussions and workshops. </w:t>
      </w:r>
    </w:p>
    <w:p w14:paraId="6AF36AC5" w14:textId="2B4A2AF8" w:rsidR="00842802" w:rsidRDefault="00842802" w:rsidP="002F7336">
      <w:r>
        <w:rPr>
          <w:noProof/>
          <w:lang w:eastAsia="zh-CN"/>
        </w:rPr>
        <w:lastRenderedPageBreak/>
        <w:drawing>
          <wp:inline distT="0" distB="0" distL="0" distR="0" wp14:anchorId="745D9303" wp14:editId="2B515675">
            <wp:extent cx="5324475" cy="52387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4475" cy="5238750"/>
                    </a:xfrm>
                    <a:prstGeom prst="rect">
                      <a:avLst/>
                    </a:prstGeom>
                    <a:noFill/>
                    <a:ln>
                      <a:noFill/>
                    </a:ln>
                  </pic:spPr>
                </pic:pic>
              </a:graphicData>
            </a:graphic>
          </wp:inline>
        </w:drawing>
      </w:r>
    </w:p>
    <w:p w14:paraId="1EE87FDA" w14:textId="77777777" w:rsidR="00E9586E" w:rsidRDefault="00E9586E" w:rsidP="00E9586E">
      <w:pPr>
        <w:pStyle w:val="Figurecaption"/>
      </w:pPr>
      <w:r>
        <w:t xml:space="preserve">Figure </w:t>
      </w:r>
      <w:fldSimple w:instr=" STYLEREF 1 \s ">
        <w:r>
          <w:rPr>
            <w:rFonts w:hint="cs"/>
            <w:noProof/>
            <w:cs/>
          </w:rPr>
          <w:t>‎</w:t>
        </w:r>
      </w:fldSimple>
      <w:r>
        <w:t xml:space="preserve">3 – Research process and procedures </w:t>
      </w:r>
    </w:p>
    <w:p w14:paraId="21329A1F" w14:textId="77777777" w:rsidR="00842802" w:rsidRDefault="00842802" w:rsidP="002F7336">
      <w:r>
        <w:t xml:space="preserve">This study has involved both practitioners and academic experts. Participants were selected for their knowledge of the research problem, either theoretical or practical and managerial. Data collection focused on listening to the perception and opinions of experts and academics, which are involved in studying similar research problems. Practitioners, professionals and policy-makers were part of this round of interviews, to understand the practicalities, the challenges that this transitions presents and get feedback on the hypothesis derived from the literature. </w:t>
      </w:r>
    </w:p>
    <w:p w14:paraId="2D4F541B" w14:textId="77777777" w:rsidR="00842802" w:rsidRDefault="00842802" w:rsidP="002F7336">
      <w:r>
        <w:t xml:space="preserve">The study has involved multiple rounds (Figure 4). In the first round (R1), participants were invited to respond to some general statements regarding the relationships between existing variables using a 3-point Likert scale (support, partially support, reject). This initial phase allowed for the establishment of a first level of agreement on the relationships within the </w:t>
      </w:r>
      <w:r>
        <w:lastRenderedPageBreak/>
        <w:t xml:space="preserve">framework and generated a ranked list of the main criticisms. In the second round (R2), the same research problem was explored through semi-structured interviews in a qualitative way. The objective of this phase was to uncover the nature of the relationships in the model. Participants were asked to comment further on their agreement/disagreement points on R1 with anecdotal examples to demonstrate their points. All the raised ideas and points were narrowed down again through content analysis (as explained in detail in Chapter 5, section 3). In the third round (R3), the final categorisation resulting from R2 was improved and validated. A workshop was organised with a total of 8 experts to facilitate group-wide discussion and reach a final agreement. Experts helped evaluate the framework and suggested adding a third level of aggregation of concepts to link the different concepts that emerged to theory. A revised qualitative conceptual framework links the different points that emerged from R1 and R2. The results were also presented at two academic conferences, allowing for further validation. A more detailed description of the method can be found in Chapter 5, Section 3. </w:t>
      </w:r>
    </w:p>
    <w:p w14:paraId="3FA8789A" w14:textId="0690D5DD" w:rsidR="00842802" w:rsidRDefault="00842802" w:rsidP="002F7336">
      <w:r>
        <w:rPr>
          <w:noProof/>
          <w:lang w:eastAsia="zh-CN"/>
        </w:rPr>
        <w:drawing>
          <wp:inline distT="0" distB="0" distL="0" distR="0" wp14:anchorId="44DDBE0B" wp14:editId="29CE6316">
            <wp:extent cx="5400040" cy="23533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040" cy="2353310"/>
                    </a:xfrm>
                    <a:prstGeom prst="rect">
                      <a:avLst/>
                    </a:prstGeom>
                    <a:noFill/>
                    <a:ln>
                      <a:noFill/>
                    </a:ln>
                  </pic:spPr>
                </pic:pic>
              </a:graphicData>
            </a:graphic>
          </wp:inline>
        </w:drawing>
      </w:r>
    </w:p>
    <w:p w14:paraId="61372113" w14:textId="77777777" w:rsidR="001936EC" w:rsidRDefault="001936EC" w:rsidP="001936EC">
      <w:pPr>
        <w:pStyle w:val="Figurecaption"/>
      </w:pPr>
      <w:r>
        <w:t>Figure 4 – The Delphi-like study in its three rounds</w:t>
      </w:r>
    </w:p>
    <w:p w14:paraId="3D2782A3" w14:textId="77777777" w:rsidR="00842802" w:rsidRDefault="00842802" w:rsidP="005035B4">
      <w:pPr>
        <w:pStyle w:val="Heading3"/>
      </w:pPr>
      <w:bookmarkStart w:id="145" w:name="_Toc157759525"/>
      <w:r>
        <w:t>Translating qualitative findings into the quantitative study</w:t>
      </w:r>
      <w:bookmarkEnd w:id="145"/>
    </w:p>
    <w:p w14:paraId="2FCB8720" w14:textId="77777777" w:rsidR="00842802" w:rsidRDefault="00842802" w:rsidP="002F7336">
      <w:r>
        <w:t>The Delphi-study has delivered a series of results that will be extensively discussed in chapter 5, Section 4. In synthesis, such a study allowed the identification of potential problem areas in the conceptualisation of the research problem and deficiencies in the research instruments. The analysis confirms the main relationships in the framework and identifies the individual constructs, the most appropriate measurement scales. Missing details in the framework were identified: experts pointed at some control variables to be taken into account for their effect on the outcome variable.</w:t>
      </w:r>
    </w:p>
    <w:p w14:paraId="2E0B9D49" w14:textId="77777777" w:rsidR="00842802" w:rsidRDefault="00842802" w:rsidP="002F7336">
      <w:r>
        <w:lastRenderedPageBreak/>
        <w:t xml:space="preserve">On the role of SCI, the study has revealed some surprising findings. In detail, experts pointed at unexpected effects being more integrated with suppliers and customers in the linear supply chain might carry. Also, some experts, also through qualitative anecdotes, provided examples of how the institutional pressures might have a direct relationship with levels of SCI. As such, the Delphi-study has highlighted the importance to test both moderation and mediation role of SCI. </w:t>
      </w:r>
    </w:p>
    <w:p w14:paraId="0E9DB803" w14:textId="77777777" w:rsidR="00842802" w:rsidRDefault="00842802" w:rsidP="005035B4">
      <w:pPr>
        <w:pStyle w:val="Heading2"/>
        <w:rPr>
          <w:lang w:val="en-US"/>
        </w:rPr>
      </w:pPr>
      <w:bookmarkStart w:id="146" w:name="_Toc157759526"/>
      <w:r>
        <w:rPr>
          <w:lang w:val="en-US"/>
        </w:rPr>
        <w:t>Testing the hypotheses with quantitative data</w:t>
      </w:r>
      <w:bookmarkEnd w:id="146"/>
    </w:p>
    <w:p w14:paraId="53A9114C" w14:textId="77777777" w:rsidR="00842802" w:rsidRDefault="00842802" w:rsidP="002F7336">
      <w:r>
        <w:t xml:space="preserve">The quantitative phase of the thesis adopted a content analysis approach to collect data and test the hypothesis, by examining publicly available Corporate Sustainability (CS) Reports for a representative sample of MNEs. Relevant information was scrutinised and coded through an advanced procedure to measure the extent concepts of interest are disclosed within the text. The study used a whole sustainability report as a unit of analysis. The concepts are measured through very well established measurement scales in the literature (Table 1). </w:t>
      </w:r>
    </w:p>
    <w:p w14:paraId="18097205" w14:textId="77777777" w:rsidR="00842802" w:rsidRDefault="00842802" w:rsidP="002F7336">
      <w:r>
        <w:t>The final measurement is a cross-sectional sample of 150 MNEs. The measurement process does not focus on keywords searches, but on reading the whole report for each one of the MNEs, identifying the relevant content extracts and evaluating them in order to measure the identified concepts. We decided not to automatise the process, not to have overly strict matching criteria so as to achieve a higher degree of precision. In this way, we could manually identify all the parts of the reports that were relevant for the analysis. This choice also required that we undertook some counteractions to improve the reliability of different phases of data collection.</w:t>
      </w:r>
    </w:p>
    <w:p w14:paraId="3D67E263" w14:textId="1545EF8D" w:rsidR="00842802" w:rsidRDefault="00842802" w:rsidP="002F7336">
      <w:r>
        <w:t>The following steps were followed to codify content: first sampling and then categorisation (Figure 5), following similar analysis (</w:t>
      </w:r>
      <w:proofErr w:type="spellStart"/>
      <w:r>
        <w:t>Piecyk</w:t>
      </w:r>
      <w:proofErr w:type="spellEnd"/>
      <w:r>
        <w:t xml:space="preserve"> &amp; </w:t>
      </w:r>
      <w:proofErr w:type="spellStart"/>
      <w:r>
        <w:t>Björklund</w:t>
      </w:r>
      <w:proofErr w:type="spellEnd"/>
      <w:r>
        <w:t xml:space="preserve">, 2014). During the process, unstructured content was firstly assigned to themes in a predefined template, then coded and assigned to specific measurement items that measure those concepts. At the beginning of the analysis a database of MNEs was created based on the Global Fortune 500 list (year 2021); 150 MNEs were chosen by selecting the largest ones headquartered in Asia or Europe. The only inclusion criteria were related to the presence of a public sustainability report, or, at least, of an annual report that included sustainability information. Only reports published in English were considered, and if the report was in another language (2 cases) the company was not considered. After considering these exclusion criteria, the sample was reduced to 150 MNEs. The sample includes MNEs from different industry, which facilitates the </w:t>
      </w:r>
      <w:r>
        <w:lastRenderedPageBreak/>
        <w:t xml:space="preserve">generalisability of the results. The entire Sustainability report was used as the unit of analysis in this research. Additional information was collected for each MNE (type of property, headquarter location, industrial sector, type of property, type of sustainability report); annual reports and websites were used in order to gather this information. The full sample is available in Appendix </w:t>
      </w:r>
      <w:r w:rsidR="00602B25">
        <w:t>6</w:t>
      </w:r>
      <w:r>
        <w:t xml:space="preserve">A of Chapter 6. </w:t>
      </w:r>
    </w:p>
    <w:p w14:paraId="5564CF1F" w14:textId="77777777" w:rsidR="00842802" w:rsidRDefault="00842802" w:rsidP="002F7336">
      <w:r>
        <w:t>In the categorisation phase, the concepts identified in the literature review were used as pre-defined categories to identify textual content in each report for the purpose of our analysis. After that the extracted content was scrutinised to identify smaller units of code to measure the different aspects of the constructs, following the measurement scales chosen. We started by choosing the most appropriate measurement scales in the literature for the three concepts (Table 1), also considering the limitations highlighted in different papers, especially when measuring institutional pressures (</w:t>
      </w:r>
      <w:proofErr w:type="spellStart"/>
      <w:r>
        <w:t>Kauppi</w:t>
      </w:r>
      <w:proofErr w:type="spellEnd"/>
      <w:r>
        <w:t xml:space="preserve"> &amp; </w:t>
      </w:r>
      <w:proofErr w:type="spellStart"/>
      <w:r>
        <w:t>Luzzini</w:t>
      </w:r>
      <w:proofErr w:type="spellEnd"/>
      <w:r>
        <w:t>, 2022) and SCI (Wiengarten &amp; Longoni, 2015)</w:t>
      </w:r>
    </w:p>
    <w:p w14:paraId="176ACC54" w14:textId="67F92840" w:rsidR="00842802" w:rsidRDefault="00842802" w:rsidP="002F7336">
      <w:r>
        <w:t xml:space="preserve">Once defined the categories and the individual measurements, we read each MNE report in its entirety to identify all the content that was significant for the analysis, containing evidence on the existence of IPs in the MNE, as well as of SCI aspects and CE practices. The following stages will mostly refer to the text that was extracted in this preliminary phase. In the next stage we worked on the extracted content and categorised it further. We followed multiple waves of coding to make the amount of unstructured content fit for measuring the constructs in the theoretical model. All the text assigned to a macro-theme was scrutinised, to identify single units of code that were in some way giving evidence of more specific aspects of that macro-theme, referring to the level of detail of the measurement items. After this, single units of coding were assigned to measurement items of the three constructs. </w:t>
      </w:r>
    </w:p>
    <w:p w14:paraId="5C89FE42" w14:textId="414B8E69" w:rsidR="001936EC" w:rsidRDefault="001936EC" w:rsidP="001936EC">
      <w:r>
        <w:t>Finally, the qualitative content for each measurement item was evaluated and transformed in quantitative binary variables to measure single items and as a consequence the constructs of interest. The two phases are presented, and, in the end, how qualitative content was transformed into quantitative data (measurement) and how quantitative data was analysed (Statistical Analysis, Figure 5).</w:t>
      </w:r>
    </w:p>
    <w:p w14:paraId="25C25B06" w14:textId="2DA1518C" w:rsidR="00842802" w:rsidRDefault="00842802" w:rsidP="002F7336">
      <w:r>
        <w:rPr>
          <w:noProof/>
          <w:lang w:eastAsia="zh-CN"/>
        </w:rPr>
        <w:lastRenderedPageBreak/>
        <w:drawing>
          <wp:inline distT="0" distB="0" distL="0" distR="0" wp14:anchorId="09D091D4" wp14:editId="1FFFF338">
            <wp:extent cx="5400040" cy="2863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00040" cy="2863850"/>
                    </a:xfrm>
                    <a:prstGeom prst="rect">
                      <a:avLst/>
                    </a:prstGeom>
                    <a:noFill/>
                    <a:ln>
                      <a:noFill/>
                    </a:ln>
                  </pic:spPr>
                </pic:pic>
              </a:graphicData>
            </a:graphic>
          </wp:inline>
        </w:drawing>
      </w:r>
    </w:p>
    <w:p w14:paraId="7730FE57" w14:textId="77777777" w:rsidR="001936EC" w:rsidRDefault="001936EC" w:rsidP="001936EC">
      <w:pPr>
        <w:pStyle w:val="Figurecaption"/>
      </w:pPr>
      <w:r>
        <w:t>Figure 5 – The quantitative study. Characterisation of the four steps of the Method (5a); Detail of the data produced after each step of the analysis (5b).</w:t>
      </w:r>
    </w:p>
    <w:p w14:paraId="7C417EF1" w14:textId="77777777" w:rsidR="00842802" w:rsidRDefault="00842802" w:rsidP="002F7336">
      <w:pPr>
        <w:pStyle w:val="Figurecaption"/>
      </w:pPr>
      <w:r>
        <w:t>Table 1 – Adapting measurement items to the scope of the analysis</w:t>
      </w:r>
    </w:p>
    <w:tbl>
      <w:tblPr>
        <w:tblStyle w:val="TableGrid"/>
        <w:tblW w:w="0" w:type="auto"/>
        <w:tblLook w:val="04A0" w:firstRow="1" w:lastRow="0" w:firstColumn="1" w:lastColumn="0" w:noHBand="0" w:noVBand="1"/>
      </w:tblPr>
      <w:tblGrid>
        <w:gridCol w:w="1508"/>
        <w:gridCol w:w="5401"/>
        <w:gridCol w:w="1585"/>
      </w:tblGrid>
      <w:tr w:rsidR="00842802" w14:paraId="452670AF" w14:textId="77777777" w:rsidTr="00842802">
        <w:tc>
          <w:tcPr>
            <w:tcW w:w="0" w:type="auto"/>
            <w:tcBorders>
              <w:top w:val="single" w:sz="4" w:space="0" w:color="auto"/>
              <w:left w:val="single" w:sz="4" w:space="0" w:color="auto"/>
              <w:bottom w:val="single" w:sz="4" w:space="0" w:color="auto"/>
              <w:right w:val="single" w:sz="4" w:space="0" w:color="auto"/>
            </w:tcBorders>
            <w:hideMark/>
          </w:tcPr>
          <w:p w14:paraId="77AFD238" w14:textId="77777777" w:rsidR="00842802" w:rsidRDefault="00842802" w:rsidP="00926096">
            <w:pPr>
              <w:pStyle w:val="Tabletext"/>
              <w:rPr>
                <w:rFonts w:eastAsia="Calibri"/>
              </w:rPr>
            </w:pPr>
            <w:r>
              <w:t>Construct</w:t>
            </w:r>
          </w:p>
        </w:tc>
        <w:tc>
          <w:tcPr>
            <w:tcW w:w="0" w:type="auto"/>
            <w:tcBorders>
              <w:top w:val="single" w:sz="4" w:space="0" w:color="auto"/>
              <w:left w:val="single" w:sz="4" w:space="0" w:color="auto"/>
              <w:bottom w:val="single" w:sz="4" w:space="0" w:color="auto"/>
              <w:right w:val="single" w:sz="4" w:space="0" w:color="auto"/>
            </w:tcBorders>
            <w:hideMark/>
          </w:tcPr>
          <w:p w14:paraId="2F209320" w14:textId="77777777" w:rsidR="00842802" w:rsidRDefault="00842802" w:rsidP="00926096">
            <w:pPr>
              <w:pStyle w:val="Tabletext"/>
            </w:pPr>
            <w:r>
              <w:t>Measurement item</w:t>
            </w:r>
          </w:p>
        </w:tc>
        <w:tc>
          <w:tcPr>
            <w:tcW w:w="0" w:type="auto"/>
            <w:tcBorders>
              <w:top w:val="single" w:sz="4" w:space="0" w:color="auto"/>
              <w:left w:val="single" w:sz="4" w:space="0" w:color="auto"/>
              <w:bottom w:val="single" w:sz="4" w:space="0" w:color="auto"/>
              <w:right w:val="single" w:sz="4" w:space="0" w:color="auto"/>
            </w:tcBorders>
            <w:hideMark/>
          </w:tcPr>
          <w:p w14:paraId="0FB8F1F1" w14:textId="77777777" w:rsidR="00842802" w:rsidRDefault="00842802" w:rsidP="00926096">
            <w:pPr>
              <w:pStyle w:val="Tabletext"/>
            </w:pPr>
            <w:r>
              <w:t>Literature</w:t>
            </w:r>
          </w:p>
        </w:tc>
      </w:tr>
      <w:tr w:rsidR="00842802" w14:paraId="63531E09" w14:textId="77777777" w:rsidTr="00842802">
        <w:tc>
          <w:tcPr>
            <w:tcW w:w="0" w:type="auto"/>
            <w:vMerge w:val="restart"/>
            <w:tcBorders>
              <w:top w:val="single" w:sz="4" w:space="0" w:color="auto"/>
              <w:left w:val="single" w:sz="4" w:space="0" w:color="auto"/>
              <w:bottom w:val="single" w:sz="4" w:space="0" w:color="auto"/>
              <w:right w:val="single" w:sz="4" w:space="0" w:color="auto"/>
            </w:tcBorders>
            <w:hideMark/>
          </w:tcPr>
          <w:p w14:paraId="6EBDC403" w14:textId="77777777" w:rsidR="00842802" w:rsidRDefault="00842802" w:rsidP="00926096">
            <w:pPr>
              <w:pStyle w:val="Tabletext"/>
            </w:pPr>
            <w:r>
              <w:t>Coercive Market Pressure</w:t>
            </w:r>
          </w:p>
        </w:tc>
        <w:tc>
          <w:tcPr>
            <w:tcW w:w="0" w:type="auto"/>
            <w:tcBorders>
              <w:top w:val="single" w:sz="4" w:space="0" w:color="auto"/>
              <w:left w:val="single" w:sz="4" w:space="0" w:color="auto"/>
              <w:bottom w:val="single" w:sz="4" w:space="0" w:color="auto"/>
              <w:right w:val="single" w:sz="4" w:space="0" w:color="auto"/>
            </w:tcBorders>
            <w:vAlign w:val="bottom"/>
            <w:hideMark/>
          </w:tcPr>
          <w:p w14:paraId="01158A26" w14:textId="77777777" w:rsidR="00842802" w:rsidRDefault="00842802" w:rsidP="00926096">
            <w:pPr>
              <w:pStyle w:val="Tabletext"/>
            </w:pPr>
            <w:r>
              <w:t>CMP1. Comments about requests from customers to adopt certain environmental practices (or initiatives)</w:t>
            </w:r>
          </w:p>
        </w:tc>
        <w:tc>
          <w:tcPr>
            <w:tcW w:w="0" w:type="auto"/>
            <w:vMerge w:val="restart"/>
            <w:tcBorders>
              <w:top w:val="single" w:sz="4" w:space="0" w:color="auto"/>
              <w:left w:val="single" w:sz="4" w:space="0" w:color="auto"/>
              <w:bottom w:val="single" w:sz="4" w:space="0" w:color="auto"/>
              <w:right w:val="single" w:sz="4" w:space="0" w:color="auto"/>
            </w:tcBorders>
            <w:hideMark/>
          </w:tcPr>
          <w:p w14:paraId="32618C60" w14:textId="77777777" w:rsidR="00842802" w:rsidRDefault="00842802" w:rsidP="00926096">
            <w:pPr>
              <w:pStyle w:val="Tabletext"/>
            </w:pPr>
            <w:proofErr w:type="spellStart"/>
            <w:r>
              <w:t>Kauppi</w:t>
            </w:r>
            <w:proofErr w:type="spellEnd"/>
            <w:r>
              <w:t xml:space="preserve"> and </w:t>
            </w:r>
            <w:proofErr w:type="spellStart"/>
            <w:r>
              <w:t>Luzzini</w:t>
            </w:r>
            <w:proofErr w:type="spellEnd"/>
            <w:r>
              <w:t>, 2022</w:t>
            </w:r>
          </w:p>
        </w:tc>
      </w:tr>
      <w:tr w:rsidR="00842802" w14:paraId="087E245F" w14:textId="77777777" w:rsidTr="00842802">
        <w:trPr>
          <w:trHeight w:val="7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4187A"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vAlign w:val="bottom"/>
            <w:hideMark/>
          </w:tcPr>
          <w:p w14:paraId="461BA9FB" w14:textId="6E388DEA" w:rsidR="00842802" w:rsidRDefault="00842802" w:rsidP="008B6789">
            <w:pPr>
              <w:pStyle w:val="Tabletext"/>
            </w:pPr>
            <w:r>
              <w:t>CMP2. Comments about major customers withholding their contracts if the firm does not meet their requests to adopt certain environmental practices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4DBB9" w14:textId="77777777" w:rsidR="00842802" w:rsidRDefault="00842802" w:rsidP="00926096">
            <w:pPr>
              <w:pStyle w:val="Tabletext"/>
            </w:pPr>
          </w:p>
        </w:tc>
      </w:tr>
      <w:tr w:rsidR="00842802" w14:paraId="03FB02F0" w14:textId="77777777" w:rsidTr="0084280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61405"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vAlign w:val="bottom"/>
            <w:hideMark/>
          </w:tcPr>
          <w:p w14:paraId="1D7AF6E9" w14:textId="77777777" w:rsidR="00842802" w:rsidRDefault="00842802" w:rsidP="00926096">
            <w:pPr>
              <w:pStyle w:val="Tabletext"/>
            </w:pPr>
            <w:r>
              <w:t>CMP3. Comments about major suppliers withholding their contracts if the firm does not meet their requests to adopt certain environmental practices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EFC20" w14:textId="77777777" w:rsidR="00842802" w:rsidRDefault="00842802" w:rsidP="00926096">
            <w:pPr>
              <w:pStyle w:val="Tabletext"/>
            </w:pPr>
          </w:p>
        </w:tc>
      </w:tr>
      <w:tr w:rsidR="00842802" w14:paraId="6F8421B4" w14:textId="77777777" w:rsidTr="00842802">
        <w:tc>
          <w:tcPr>
            <w:tcW w:w="0" w:type="auto"/>
            <w:vMerge w:val="restart"/>
            <w:tcBorders>
              <w:top w:val="single" w:sz="4" w:space="0" w:color="auto"/>
              <w:left w:val="single" w:sz="4" w:space="0" w:color="auto"/>
              <w:bottom w:val="single" w:sz="4" w:space="0" w:color="auto"/>
              <w:right w:val="single" w:sz="4" w:space="0" w:color="auto"/>
            </w:tcBorders>
            <w:hideMark/>
          </w:tcPr>
          <w:p w14:paraId="4FAC6437" w14:textId="77777777" w:rsidR="00842802" w:rsidRDefault="00842802" w:rsidP="00926096">
            <w:pPr>
              <w:pStyle w:val="Tabletext"/>
            </w:pPr>
            <w:r>
              <w:t>Coercive Regulatory Pressure</w:t>
            </w:r>
          </w:p>
        </w:tc>
        <w:tc>
          <w:tcPr>
            <w:tcW w:w="0" w:type="auto"/>
            <w:tcBorders>
              <w:top w:val="single" w:sz="4" w:space="0" w:color="auto"/>
              <w:left w:val="single" w:sz="4" w:space="0" w:color="auto"/>
              <w:bottom w:val="single" w:sz="4" w:space="0" w:color="auto"/>
              <w:right w:val="single" w:sz="4" w:space="0" w:color="auto"/>
            </w:tcBorders>
            <w:vAlign w:val="bottom"/>
            <w:hideMark/>
          </w:tcPr>
          <w:p w14:paraId="238D6035" w14:textId="77777777" w:rsidR="00842802" w:rsidRDefault="00842802" w:rsidP="00926096">
            <w:pPr>
              <w:pStyle w:val="Tabletext"/>
            </w:pPr>
            <w:r>
              <w:t>CRP1. Comments about the presence of a large number of environmental regulations and restrictions imposed on my company’s industry that also impact our procedures/ decision making?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09D03" w14:textId="77777777" w:rsidR="00842802" w:rsidRDefault="00842802" w:rsidP="00926096">
            <w:pPr>
              <w:pStyle w:val="Tabletext"/>
            </w:pPr>
          </w:p>
        </w:tc>
      </w:tr>
      <w:tr w:rsidR="00842802" w14:paraId="2137D440"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3B0DD747"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vAlign w:val="bottom"/>
            <w:hideMark/>
          </w:tcPr>
          <w:p w14:paraId="1D0883F4" w14:textId="77777777" w:rsidR="00842802" w:rsidRDefault="00842802" w:rsidP="00926096">
            <w:pPr>
              <w:pStyle w:val="Tabletext"/>
            </w:pPr>
            <w:r>
              <w:t>CRP2. Comments about government environmental regulation impacting our decision making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BAF437" w14:textId="77777777" w:rsidR="00842802" w:rsidRDefault="00842802" w:rsidP="00926096">
            <w:pPr>
              <w:pStyle w:val="Tabletext"/>
            </w:pPr>
          </w:p>
        </w:tc>
      </w:tr>
      <w:tr w:rsidR="00842802" w14:paraId="2F7B454F"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75D64ECC"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vAlign w:val="bottom"/>
            <w:hideMark/>
          </w:tcPr>
          <w:p w14:paraId="3999E71D" w14:textId="77777777" w:rsidR="00842802" w:rsidRDefault="00842802" w:rsidP="00926096">
            <w:pPr>
              <w:pStyle w:val="Tabletext"/>
            </w:pPr>
            <w:r>
              <w:t>CRP3. Comments about (frequent) government inspections or audits on our company’s environmental practices to ensure we comply with laws and regulations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418E0" w14:textId="77777777" w:rsidR="00842802" w:rsidRDefault="00842802" w:rsidP="00926096">
            <w:pPr>
              <w:pStyle w:val="Tabletext"/>
            </w:pPr>
          </w:p>
        </w:tc>
      </w:tr>
      <w:tr w:rsidR="00842802" w14:paraId="6145F87E" w14:textId="77777777" w:rsidTr="00842802">
        <w:tc>
          <w:tcPr>
            <w:tcW w:w="0" w:type="auto"/>
            <w:vMerge w:val="restart"/>
            <w:tcBorders>
              <w:top w:val="single" w:sz="4" w:space="0" w:color="auto"/>
              <w:left w:val="single" w:sz="4" w:space="0" w:color="auto"/>
              <w:bottom w:val="single" w:sz="4" w:space="0" w:color="auto"/>
              <w:right w:val="single" w:sz="4" w:space="0" w:color="auto"/>
            </w:tcBorders>
            <w:hideMark/>
          </w:tcPr>
          <w:p w14:paraId="271EABD0" w14:textId="77777777" w:rsidR="00842802" w:rsidRDefault="00842802" w:rsidP="00926096">
            <w:pPr>
              <w:pStyle w:val="Tabletext"/>
            </w:pPr>
            <w:r>
              <w:t>Normative Pressure</w:t>
            </w:r>
          </w:p>
        </w:tc>
        <w:tc>
          <w:tcPr>
            <w:tcW w:w="0" w:type="auto"/>
            <w:tcBorders>
              <w:top w:val="single" w:sz="4" w:space="0" w:color="auto"/>
              <w:left w:val="single" w:sz="4" w:space="0" w:color="auto"/>
              <w:bottom w:val="single" w:sz="4" w:space="0" w:color="auto"/>
              <w:right w:val="single" w:sz="4" w:space="0" w:color="auto"/>
            </w:tcBorders>
            <w:hideMark/>
          </w:tcPr>
          <w:p w14:paraId="5EB2024F" w14:textId="77777777" w:rsidR="00842802" w:rsidRDefault="00842802" w:rsidP="00926096">
            <w:pPr>
              <w:pStyle w:val="Tabletext"/>
            </w:pPr>
            <w:r>
              <w:t>NP1. Comments about paying attention to the environmental practices and tools that appear to benefit our competitors and peers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F6FEE" w14:textId="77777777" w:rsidR="00842802" w:rsidRDefault="00842802" w:rsidP="00926096">
            <w:pPr>
              <w:pStyle w:val="Tabletext"/>
            </w:pPr>
          </w:p>
        </w:tc>
      </w:tr>
      <w:tr w:rsidR="00842802" w14:paraId="6B06606E"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545ADD81"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3CF06EA3" w14:textId="77777777" w:rsidR="00842802" w:rsidRDefault="00842802" w:rsidP="00926096">
            <w:pPr>
              <w:pStyle w:val="Tabletext"/>
            </w:pPr>
            <w:r>
              <w:t>NP2. Comments about actively benchmarking the environmental practices and performance of our main competitors and peers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135B5" w14:textId="77777777" w:rsidR="00842802" w:rsidRDefault="00842802" w:rsidP="00926096">
            <w:pPr>
              <w:pStyle w:val="Tabletext"/>
            </w:pPr>
          </w:p>
        </w:tc>
      </w:tr>
      <w:tr w:rsidR="00842802" w14:paraId="628F6FE5"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6EAE4994"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2F49A914" w14:textId="77777777" w:rsidR="00842802" w:rsidRDefault="00842802" w:rsidP="00926096">
            <w:pPr>
              <w:pStyle w:val="Tabletext"/>
            </w:pPr>
            <w:r>
              <w:t>NP3. Comments about paying attention to the environmental practices and tools used and adopted by our key competitors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836EA" w14:textId="77777777" w:rsidR="00842802" w:rsidRDefault="00842802" w:rsidP="00926096">
            <w:pPr>
              <w:pStyle w:val="Tabletext"/>
            </w:pPr>
          </w:p>
        </w:tc>
      </w:tr>
      <w:tr w:rsidR="00842802" w14:paraId="17FA30FC"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33C48992"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15DE76AA" w14:textId="77777777" w:rsidR="00842802" w:rsidRDefault="00842802" w:rsidP="00926096">
            <w:pPr>
              <w:pStyle w:val="Tabletext"/>
            </w:pPr>
            <w:r>
              <w:t>NP4. Comments about employees being influenced by the procedures and tools advocated by industry bodies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B1C52" w14:textId="77777777" w:rsidR="00842802" w:rsidRDefault="00842802" w:rsidP="00926096">
            <w:pPr>
              <w:pStyle w:val="Tabletext"/>
            </w:pPr>
          </w:p>
        </w:tc>
      </w:tr>
      <w:tr w:rsidR="00842802" w14:paraId="2F610239" w14:textId="77777777" w:rsidTr="00842802">
        <w:tc>
          <w:tcPr>
            <w:tcW w:w="0" w:type="auto"/>
            <w:vMerge w:val="restart"/>
            <w:tcBorders>
              <w:top w:val="single" w:sz="4" w:space="0" w:color="auto"/>
              <w:left w:val="single" w:sz="4" w:space="0" w:color="auto"/>
              <w:bottom w:val="single" w:sz="4" w:space="0" w:color="auto"/>
              <w:right w:val="single" w:sz="4" w:space="0" w:color="auto"/>
            </w:tcBorders>
            <w:hideMark/>
          </w:tcPr>
          <w:p w14:paraId="7435FA0D" w14:textId="77777777" w:rsidR="00842802" w:rsidRDefault="00842802" w:rsidP="00926096">
            <w:pPr>
              <w:pStyle w:val="Tabletext"/>
            </w:pPr>
            <w:r>
              <w:lastRenderedPageBreak/>
              <w:t>Mimetic Pressure</w:t>
            </w:r>
          </w:p>
        </w:tc>
        <w:tc>
          <w:tcPr>
            <w:tcW w:w="0" w:type="auto"/>
            <w:tcBorders>
              <w:top w:val="single" w:sz="4" w:space="0" w:color="auto"/>
              <w:left w:val="single" w:sz="4" w:space="0" w:color="auto"/>
              <w:bottom w:val="single" w:sz="4" w:space="0" w:color="auto"/>
              <w:right w:val="single" w:sz="4" w:space="0" w:color="auto"/>
            </w:tcBorders>
            <w:hideMark/>
          </w:tcPr>
          <w:p w14:paraId="55C6C200" w14:textId="77777777" w:rsidR="00842802" w:rsidRDefault="00842802" w:rsidP="00926096">
            <w:pPr>
              <w:pStyle w:val="Tabletext"/>
            </w:pPr>
            <w:r>
              <w:t>MP1. Comments about following academic research on environmental practices (management?) to learn about environmental procedures to implement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D6ED0" w14:textId="77777777" w:rsidR="00842802" w:rsidRDefault="00842802" w:rsidP="00926096">
            <w:pPr>
              <w:pStyle w:val="Tabletext"/>
            </w:pPr>
          </w:p>
        </w:tc>
      </w:tr>
      <w:tr w:rsidR="00842802" w14:paraId="77348D5D"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379F0452"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6A759FCB" w14:textId="77777777" w:rsidR="00842802" w:rsidRDefault="00842802" w:rsidP="00926096">
            <w:pPr>
              <w:pStyle w:val="Tabletext"/>
            </w:pPr>
            <w:r>
              <w:t>MP2. Comments about certain environmental procedures becoming a norm within our industry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801F10" w14:textId="77777777" w:rsidR="00842802" w:rsidRDefault="00842802" w:rsidP="00926096">
            <w:pPr>
              <w:pStyle w:val="Tabletext"/>
            </w:pPr>
          </w:p>
        </w:tc>
      </w:tr>
      <w:tr w:rsidR="00842802" w14:paraId="0542E1B3"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36201FD9"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09729370" w14:textId="77777777" w:rsidR="00842802" w:rsidRDefault="00842802" w:rsidP="00926096">
            <w:pPr>
              <w:pStyle w:val="Tabletext"/>
            </w:pPr>
            <w:r>
              <w:t>MP3. Comments about opinions of consulting companies and external auditors on the best practices influencing our environmental procedures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EEDBB" w14:textId="77777777" w:rsidR="00842802" w:rsidRDefault="00842802" w:rsidP="00926096">
            <w:pPr>
              <w:pStyle w:val="Tabletext"/>
            </w:pPr>
          </w:p>
        </w:tc>
      </w:tr>
      <w:tr w:rsidR="00842802" w14:paraId="1ADF9705" w14:textId="77777777" w:rsidTr="00842802">
        <w:tc>
          <w:tcPr>
            <w:tcW w:w="0" w:type="auto"/>
            <w:vMerge w:val="restart"/>
            <w:tcBorders>
              <w:top w:val="single" w:sz="4" w:space="0" w:color="auto"/>
              <w:left w:val="single" w:sz="4" w:space="0" w:color="auto"/>
              <w:bottom w:val="single" w:sz="4" w:space="0" w:color="auto"/>
              <w:right w:val="single" w:sz="4" w:space="0" w:color="auto"/>
            </w:tcBorders>
            <w:hideMark/>
          </w:tcPr>
          <w:p w14:paraId="71D93D6E" w14:textId="77777777" w:rsidR="00842802" w:rsidRDefault="00842802" w:rsidP="00926096">
            <w:pPr>
              <w:pStyle w:val="Tabletext"/>
            </w:pPr>
            <w:r>
              <w:t>Suppliers integration</w:t>
            </w:r>
          </w:p>
        </w:tc>
        <w:tc>
          <w:tcPr>
            <w:tcW w:w="0" w:type="auto"/>
            <w:tcBorders>
              <w:top w:val="single" w:sz="4" w:space="0" w:color="auto"/>
              <w:left w:val="single" w:sz="4" w:space="0" w:color="auto"/>
              <w:bottom w:val="single" w:sz="4" w:space="0" w:color="auto"/>
              <w:right w:val="single" w:sz="4" w:space="0" w:color="auto"/>
            </w:tcBorders>
            <w:hideMark/>
          </w:tcPr>
          <w:p w14:paraId="3616A803" w14:textId="77777777" w:rsidR="00842802" w:rsidRDefault="00842802" w:rsidP="00926096">
            <w:pPr>
              <w:pStyle w:val="Tabletext"/>
            </w:pPr>
            <w:r>
              <w:t>SI1. Comments about sharing information with key suppliers (about sales forecast, production plans, order tracking and tracing, delivery status, stock level)</w:t>
            </w:r>
          </w:p>
        </w:tc>
        <w:tc>
          <w:tcPr>
            <w:tcW w:w="0" w:type="auto"/>
            <w:vMerge w:val="restart"/>
            <w:tcBorders>
              <w:top w:val="single" w:sz="4" w:space="0" w:color="auto"/>
              <w:left w:val="single" w:sz="4" w:space="0" w:color="auto"/>
              <w:bottom w:val="single" w:sz="4" w:space="0" w:color="auto"/>
              <w:right w:val="single" w:sz="4" w:space="0" w:color="auto"/>
            </w:tcBorders>
            <w:hideMark/>
          </w:tcPr>
          <w:p w14:paraId="1E384918" w14:textId="77777777" w:rsidR="00842802" w:rsidRDefault="00842802" w:rsidP="00926096">
            <w:pPr>
              <w:pStyle w:val="Tabletext"/>
            </w:pPr>
            <w:bookmarkStart w:id="147" w:name="_Hlk128484003"/>
            <w:proofErr w:type="spellStart"/>
            <w:r>
              <w:t>Frohlich</w:t>
            </w:r>
            <w:proofErr w:type="spellEnd"/>
            <w:r>
              <w:t xml:space="preserve"> and Westbrook, 2001</w:t>
            </w:r>
            <w:bookmarkEnd w:id="147"/>
          </w:p>
          <w:p w14:paraId="7058D490" w14:textId="77777777" w:rsidR="00842802" w:rsidRDefault="00842802" w:rsidP="00926096">
            <w:pPr>
              <w:pStyle w:val="Tabletext"/>
            </w:pPr>
            <w:r>
              <w:t>IMSS</w:t>
            </w:r>
          </w:p>
        </w:tc>
      </w:tr>
      <w:tr w:rsidR="00842802" w14:paraId="38786B49"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0EB1544A"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43FB5A92" w14:textId="77777777" w:rsidR="00842802" w:rsidRDefault="00842802" w:rsidP="00926096">
            <w:pPr>
              <w:pStyle w:val="Tabletext"/>
            </w:pPr>
            <w:r>
              <w:t>SI2. Comments about developing collaborative approaches with key suppliers (e.g., supplier development, risk/ revenue sharing, long-term agreements)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E7C04" w14:textId="77777777" w:rsidR="00842802" w:rsidRDefault="00842802" w:rsidP="00926096">
            <w:pPr>
              <w:pStyle w:val="Tabletext"/>
            </w:pPr>
          </w:p>
        </w:tc>
      </w:tr>
      <w:tr w:rsidR="00842802" w14:paraId="63108825"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7EB8B472"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0EEF6CF5" w14:textId="77777777" w:rsidR="00842802" w:rsidRDefault="00842802" w:rsidP="00926096">
            <w:pPr>
              <w:pStyle w:val="Tabletext"/>
            </w:pPr>
            <w:r>
              <w:t>SI3. Comments about joint decision-making with key suppliers (about product design/modifications, process design/modifications, quality improvement and cost control)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3AA14" w14:textId="77777777" w:rsidR="00842802" w:rsidRDefault="00842802" w:rsidP="00926096">
            <w:pPr>
              <w:pStyle w:val="Tabletext"/>
            </w:pPr>
          </w:p>
        </w:tc>
      </w:tr>
      <w:tr w:rsidR="00842802" w14:paraId="1B35F463"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0C43ED34"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24EF9DBD" w14:textId="17E8D757" w:rsidR="00842802" w:rsidRDefault="00842802" w:rsidP="00926096">
            <w:pPr>
              <w:pStyle w:val="Tabletext"/>
            </w:pPr>
            <w:r>
              <w:t>SI4. Comments about system coupling with key suppliers (</w:t>
            </w:r>
            <w:r w:rsidR="00B651D9">
              <w:t>e.g.,</w:t>
            </w:r>
            <w:r>
              <w:t xml:space="preserve"> vendor managed inventory, just-in-time, Kanban, continuous replenishment)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317D5" w14:textId="77777777" w:rsidR="00842802" w:rsidRDefault="00842802" w:rsidP="00926096">
            <w:pPr>
              <w:pStyle w:val="Tabletext"/>
            </w:pPr>
          </w:p>
        </w:tc>
      </w:tr>
      <w:tr w:rsidR="00842802" w14:paraId="5BEEFD8D" w14:textId="77777777" w:rsidTr="00842802">
        <w:tc>
          <w:tcPr>
            <w:tcW w:w="0" w:type="auto"/>
            <w:vMerge w:val="restart"/>
            <w:tcBorders>
              <w:top w:val="single" w:sz="4" w:space="0" w:color="auto"/>
              <w:left w:val="single" w:sz="4" w:space="0" w:color="auto"/>
              <w:bottom w:val="single" w:sz="4" w:space="0" w:color="auto"/>
              <w:right w:val="single" w:sz="4" w:space="0" w:color="auto"/>
            </w:tcBorders>
            <w:hideMark/>
          </w:tcPr>
          <w:p w14:paraId="7FED41AB" w14:textId="77777777" w:rsidR="00842802" w:rsidRDefault="00842802" w:rsidP="00926096">
            <w:pPr>
              <w:pStyle w:val="Tabletext"/>
            </w:pPr>
            <w:r>
              <w:t>Customers integration</w:t>
            </w:r>
          </w:p>
        </w:tc>
        <w:tc>
          <w:tcPr>
            <w:tcW w:w="0" w:type="auto"/>
            <w:tcBorders>
              <w:top w:val="single" w:sz="4" w:space="0" w:color="auto"/>
              <w:left w:val="single" w:sz="4" w:space="0" w:color="auto"/>
              <w:bottom w:val="single" w:sz="4" w:space="0" w:color="auto"/>
              <w:right w:val="single" w:sz="4" w:space="0" w:color="auto"/>
            </w:tcBorders>
            <w:hideMark/>
          </w:tcPr>
          <w:p w14:paraId="4BFD36CE" w14:textId="77777777" w:rsidR="00842802" w:rsidRDefault="00842802" w:rsidP="00926096">
            <w:pPr>
              <w:pStyle w:val="Tabletext"/>
            </w:pPr>
            <w:r>
              <w:t>CI1. Comments about sharing information with key customers (about sales forecast, production plans, order tracking and tracing, delivery status, stock 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C5613" w14:textId="77777777" w:rsidR="00842802" w:rsidRDefault="00842802" w:rsidP="00926096">
            <w:pPr>
              <w:pStyle w:val="Tabletext"/>
            </w:pPr>
          </w:p>
        </w:tc>
      </w:tr>
      <w:tr w:rsidR="00842802" w14:paraId="057327EB"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7A820494"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68F6935B" w14:textId="77777777" w:rsidR="00842802" w:rsidRDefault="00842802" w:rsidP="00926096">
            <w:pPr>
              <w:pStyle w:val="Tabletext"/>
            </w:pPr>
            <w:r>
              <w:t>CI2. Comments about developing collaborative approaches with key customers (e.g., risk/revenue sharing, long-term agreements)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FF1FC" w14:textId="77777777" w:rsidR="00842802" w:rsidRDefault="00842802" w:rsidP="00926096">
            <w:pPr>
              <w:pStyle w:val="Tabletext"/>
            </w:pPr>
          </w:p>
        </w:tc>
      </w:tr>
      <w:tr w:rsidR="00842802" w14:paraId="548BFB6B"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2DCF0DE8"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7B554536" w14:textId="77777777" w:rsidR="00842802" w:rsidRDefault="00842802" w:rsidP="00926096">
            <w:pPr>
              <w:pStyle w:val="Tabletext"/>
            </w:pPr>
            <w:r>
              <w:t>CI3. Comments about joint decision-making with key customers (about product design/modifications, process design/modifications, quality improvement and cost control)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D10D8" w14:textId="77777777" w:rsidR="00842802" w:rsidRDefault="00842802" w:rsidP="00926096">
            <w:pPr>
              <w:pStyle w:val="Tabletext"/>
            </w:pPr>
          </w:p>
        </w:tc>
      </w:tr>
      <w:tr w:rsidR="00842802" w14:paraId="234E2CBB"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1939269E"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408B40B5" w14:textId="757DA89B" w:rsidR="00842802" w:rsidRDefault="00842802" w:rsidP="00926096">
            <w:pPr>
              <w:pStyle w:val="Tabletext"/>
            </w:pPr>
            <w:r>
              <w:t>CI4. Comments about system coupling with key customers (</w:t>
            </w:r>
            <w:r w:rsidR="00B651D9">
              <w:t>e.g.,</w:t>
            </w:r>
            <w:r>
              <w:t xml:space="preserve"> vendor managed inventory, just-in-time, Kanban, continuous replenishment)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E3A45" w14:textId="77777777" w:rsidR="00842802" w:rsidRDefault="00842802" w:rsidP="00926096">
            <w:pPr>
              <w:pStyle w:val="Tabletext"/>
            </w:pPr>
          </w:p>
        </w:tc>
      </w:tr>
      <w:tr w:rsidR="00842802" w14:paraId="572B40E1" w14:textId="77777777" w:rsidTr="00842802">
        <w:trPr>
          <w:trHeight w:val="249"/>
        </w:trPr>
        <w:tc>
          <w:tcPr>
            <w:tcW w:w="0" w:type="auto"/>
            <w:vMerge w:val="restart"/>
            <w:tcBorders>
              <w:top w:val="single" w:sz="4" w:space="0" w:color="auto"/>
              <w:left w:val="single" w:sz="4" w:space="0" w:color="auto"/>
              <w:bottom w:val="single" w:sz="4" w:space="0" w:color="auto"/>
              <w:right w:val="single" w:sz="4" w:space="0" w:color="auto"/>
            </w:tcBorders>
            <w:hideMark/>
          </w:tcPr>
          <w:p w14:paraId="0916B63D" w14:textId="77777777" w:rsidR="00842802" w:rsidRDefault="00842802" w:rsidP="00926096">
            <w:pPr>
              <w:pStyle w:val="Tabletext"/>
            </w:pPr>
            <w:r>
              <w:t>Adoption of CE practices</w:t>
            </w:r>
          </w:p>
        </w:tc>
        <w:tc>
          <w:tcPr>
            <w:tcW w:w="0" w:type="auto"/>
            <w:tcBorders>
              <w:top w:val="single" w:sz="4" w:space="0" w:color="auto"/>
              <w:left w:val="single" w:sz="4" w:space="0" w:color="auto"/>
              <w:bottom w:val="single" w:sz="4" w:space="0" w:color="auto"/>
              <w:right w:val="single" w:sz="4" w:space="0" w:color="auto"/>
            </w:tcBorders>
            <w:hideMark/>
          </w:tcPr>
          <w:p w14:paraId="4759ED65" w14:textId="77777777" w:rsidR="00842802" w:rsidRDefault="00842802" w:rsidP="00926096">
            <w:pPr>
              <w:pStyle w:val="Tabletext"/>
            </w:pPr>
            <w:r>
              <w:t>CE1. Comments on the adoption of “reduce” practices</w:t>
            </w:r>
          </w:p>
        </w:tc>
        <w:tc>
          <w:tcPr>
            <w:tcW w:w="0" w:type="auto"/>
            <w:vMerge w:val="restart"/>
            <w:tcBorders>
              <w:top w:val="single" w:sz="4" w:space="0" w:color="auto"/>
              <w:left w:val="single" w:sz="4" w:space="0" w:color="auto"/>
              <w:bottom w:val="single" w:sz="4" w:space="0" w:color="auto"/>
              <w:right w:val="single" w:sz="4" w:space="0" w:color="auto"/>
            </w:tcBorders>
            <w:hideMark/>
          </w:tcPr>
          <w:p w14:paraId="5FF50E1C" w14:textId="77777777" w:rsidR="00842802" w:rsidRDefault="00842802" w:rsidP="00926096">
            <w:pPr>
              <w:pStyle w:val="Tabletext"/>
            </w:pPr>
            <w:r>
              <w:t>Calzolari et al., 2021</w:t>
            </w:r>
          </w:p>
        </w:tc>
      </w:tr>
      <w:tr w:rsidR="00842802" w14:paraId="59F4E42C"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3164E97B"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075DE330" w14:textId="77777777" w:rsidR="00842802" w:rsidRDefault="00842802" w:rsidP="00926096">
            <w:pPr>
              <w:pStyle w:val="Tabletext"/>
            </w:pPr>
            <w:r>
              <w:t>CE2. Comments on the adoption of “reuse” practices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15133" w14:textId="77777777" w:rsidR="00842802" w:rsidRDefault="00842802" w:rsidP="00926096">
            <w:pPr>
              <w:pStyle w:val="Tabletext"/>
            </w:pPr>
          </w:p>
        </w:tc>
      </w:tr>
      <w:tr w:rsidR="00842802" w14:paraId="0A6A8505"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22E2533D"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5FA00A2C" w14:textId="77777777" w:rsidR="00842802" w:rsidRDefault="00842802" w:rsidP="00926096">
            <w:pPr>
              <w:pStyle w:val="Tabletext"/>
            </w:pPr>
            <w:r>
              <w:t>CE3. Comments on the adoption of “recycle” practices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330F9" w14:textId="77777777" w:rsidR="00842802" w:rsidRDefault="00842802" w:rsidP="00926096">
            <w:pPr>
              <w:pStyle w:val="Tabletext"/>
            </w:pPr>
          </w:p>
        </w:tc>
      </w:tr>
      <w:tr w:rsidR="00842802" w14:paraId="3A81EDF3"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337DCC03"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7C085598" w14:textId="77777777" w:rsidR="00842802" w:rsidRDefault="00842802" w:rsidP="00926096">
            <w:pPr>
              <w:pStyle w:val="Tabletext"/>
            </w:pPr>
            <w:r>
              <w:t>CE4. Comments on the adoption of “renewable energy and energy efficiency” practices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8A57F" w14:textId="77777777" w:rsidR="00842802" w:rsidRDefault="00842802" w:rsidP="00926096">
            <w:pPr>
              <w:pStyle w:val="Tabletext"/>
            </w:pPr>
          </w:p>
        </w:tc>
      </w:tr>
      <w:tr w:rsidR="00842802" w14:paraId="3EA2FFA3" w14:textId="77777777" w:rsidTr="00842802">
        <w:tc>
          <w:tcPr>
            <w:tcW w:w="0" w:type="auto"/>
            <w:vMerge/>
            <w:tcBorders>
              <w:top w:val="single" w:sz="4" w:space="0" w:color="auto"/>
              <w:left w:val="single" w:sz="4" w:space="0" w:color="auto"/>
              <w:bottom w:val="single" w:sz="4" w:space="0" w:color="auto"/>
              <w:right w:val="single" w:sz="4" w:space="0" w:color="auto"/>
            </w:tcBorders>
            <w:vAlign w:val="center"/>
            <w:hideMark/>
          </w:tcPr>
          <w:p w14:paraId="259263F0" w14:textId="77777777" w:rsidR="00842802" w:rsidRDefault="00842802" w:rsidP="00926096">
            <w:pPr>
              <w:pStyle w:val="Tabletext"/>
            </w:pPr>
          </w:p>
        </w:tc>
        <w:tc>
          <w:tcPr>
            <w:tcW w:w="0" w:type="auto"/>
            <w:tcBorders>
              <w:top w:val="single" w:sz="4" w:space="0" w:color="auto"/>
              <w:left w:val="single" w:sz="4" w:space="0" w:color="auto"/>
              <w:bottom w:val="single" w:sz="4" w:space="0" w:color="auto"/>
              <w:right w:val="single" w:sz="4" w:space="0" w:color="auto"/>
            </w:tcBorders>
            <w:hideMark/>
          </w:tcPr>
          <w:p w14:paraId="7C10ADCC" w14:textId="77777777" w:rsidR="00842802" w:rsidRDefault="00842802" w:rsidP="00926096">
            <w:pPr>
              <w:pStyle w:val="Tabletext"/>
            </w:pPr>
            <w:r>
              <w:t>CE5. Comments on the adoption of “recover” practices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E8737B" w14:textId="77777777" w:rsidR="00842802" w:rsidRDefault="00842802" w:rsidP="00926096">
            <w:pPr>
              <w:pStyle w:val="Tabletext"/>
            </w:pPr>
          </w:p>
        </w:tc>
      </w:tr>
    </w:tbl>
    <w:p w14:paraId="0E35F4C6" w14:textId="77777777" w:rsidR="00842802" w:rsidRDefault="00842802" w:rsidP="002F7336"/>
    <w:p w14:paraId="46FBFA44" w14:textId="77777777" w:rsidR="00842802" w:rsidRDefault="00842802" w:rsidP="002F7336">
      <w:r>
        <w:t xml:space="preserve">The detailed description of the method can be found in chapter 6, Section 3. Sampling, categorisation, measurement, and statistical analysis. Next sub-chapter provides some detail of the statistical analysis phase. </w:t>
      </w:r>
    </w:p>
    <w:p w14:paraId="4BBCCE3B" w14:textId="77777777" w:rsidR="00842802" w:rsidRDefault="00842802" w:rsidP="005035B4">
      <w:pPr>
        <w:pStyle w:val="Heading3"/>
        <w:rPr>
          <w:lang w:val="en-US"/>
        </w:rPr>
      </w:pPr>
      <w:bookmarkStart w:id="148" w:name="_Toc157759527"/>
      <w:bookmarkStart w:id="149" w:name="_Toc49839841"/>
      <w:r>
        <w:rPr>
          <w:lang w:val="en-US"/>
        </w:rPr>
        <w:t>Quantitative Data Analysis</w:t>
      </w:r>
      <w:bookmarkEnd w:id="148"/>
      <w:r>
        <w:rPr>
          <w:lang w:val="en-US"/>
        </w:rPr>
        <w:t xml:space="preserve"> </w:t>
      </w:r>
      <w:bookmarkEnd w:id="149"/>
    </w:p>
    <w:p w14:paraId="25408ADF" w14:textId="77777777" w:rsidR="00842802" w:rsidRDefault="00842802" w:rsidP="002F7336">
      <w:r>
        <w:t xml:space="preserve">The analysis employs linear regression considering construct level scores. The procedure followed is articulated in Figure 6. The relationship between IP and CE was firstly tested. After this, the direct relationship of SCI on CE. As a last thing the indirect effects of SCI on the relationship between IPs and CE. Indirect effects were measured through a linear </w:t>
      </w:r>
      <w:r>
        <w:lastRenderedPageBreak/>
        <w:t>regression using the PROCESS macro on SPSS (in order to test mediation)</w:t>
      </w:r>
      <w:r>
        <w:rPr>
          <w:vertAlign w:val="superscript"/>
        </w:rPr>
        <w:footnoteReference w:id="12"/>
      </w:r>
      <w:r>
        <w:t xml:space="preserve">. Regressions included some control variables. The literature and some interactions with experts have identified some factors that are likely to influence the outcome variable. Control variables are both industry-specific and firm-specific. Specifically, industry-specific variables were captured by two dummy variables. The first one isolates manufacturing companies from all the others, as these companies are more frequently involved in CE actions; the second one isolates service companies, which are typically late-adopters. Firm-specific variables include the type of ownership (e.g., state-owned vs privately-owned), the geographical location of the headquarters, and the presence of a Sustainability report. The detailed description of the method can be found in Chapter 6, Section 3. </w:t>
      </w:r>
    </w:p>
    <w:p w14:paraId="31CB4B96" w14:textId="0C436C13" w:rsidR="00842802" w:rsidRDefault="00842802" w:rsidP="00926096">
      <w:pPr>
        <w:jc w:val="center"/>
      </w:pPr>
      <w:r>
        <w:rPr>
          <w:noProof/>
          <w:lang w:eastAsia="zh-CN"/>
        </w:rPr>
        <w:drawing>
          <wp:inline distT="0" distB="0" distL="0" distR="0" wp14:anchorId="21771FB9" wp14:editId="5919EEB7">
            <wp:extent cx="1733550" cy="23336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3550" cy="2333625"/>
                    </a:xfrm>
                    <a:prstGeom prst="rect">
                      <a:avLst/>
                    </a:prstGeom>
                    <a:noFill/>
                    <a:ln>
                      <a:noFill/>
                    </a:ln>
                  </pic:spPr>
                </pic:pic>
              </a:graphicData>
            </a:graphic>
          </wp:inline>
        </w:drawing>
      </w:r>
    </w:p>
    <w:p w14:paraId="76E50B82" w14:textId="77777777" w:rsidR="001936EC" w:rsidRDefault="001936EC" w:rsidP="001936EC">
      <w:pPr>
        <w:pStyle w:val="Figurecaption"/>
      </w:pPr>
      <w:r>
        <w:t>Figure 6 – Data analysis description</w:t>
      </w:r>
    </w:p>
    <w:p w14:paraId="08312452" w14:textId="7DFCF4DD" w:rsidR="00842802" w:rsidRDefault="00842802" w:rsidP="002F7336">
      <w:pPr>
        <w:rPr>
          <w:bCs/>
        </w:rPr>
      </w:pPr>
      <w:r>
        <w:t>Critical issues concerning integrity and ethics issues were analysed. A research ethics application was sent online to the Sheffield University Management School ethics committee (on 25 July 2019) and approved (on the 26</w:t>
      </w:r>
      <w:r>
        <w:rPr>
          <w:vertAlign w:val="superscript"/>
        </w:rPr>
        <w:t>th</w:t>
      </w:r>
      <w:r>
        <w:t xml:space="preserve"> of August 2019, see </w:t>
      </w:r>
      <w:r w:rsidRPr="00D7511D">
        <w:t>Appendix</w:t>
      </w:r>
      <w:r>
        <w:t xml:space="preserve"> </w:t>
      </w:r>
      <w:r w:rsidR="00600E9C">
        <w:t>3</w:t>
      </w:r>
      <w:r>
        <w:t xml:space="preserve">). In addition, this research project is part of a </w:t>
      </w:r>
      <w:r>
        <w:rPr>
          <w:bCs/>
        </w:rPr>
        <w:t xml:space="preserve">European Union’s Horizon 2020 research and innovation programme under the Marie Skłodowska-Curie Innovative Training Networks (H2020-MSCA-ITN-2018) scheme (ReTraCE project, grant agreement number 814247). An Ethics application has been approved on behalf of the project to have primary data collection among the partners, which include both universities and industrial organisations. </w:t>
      </w:r>
    </w:p>
    <w:p w14:paraId="604B257E" w14:textId="77777777" w:rsidR="00842802" w:rsidRDefault="00842802" w:rsidP="00BB3475">
      <w:pPr>
        <w:pStyle w:val="Heading2"/>
      </w:pPr>
      <w:bookmarkStart w:id="150" w:name="_Toc157759528"/>
      <w:r>
        <w:t>Chapter’s conclusion</w:t>
      </w:r>
      <w:bookmarkEnd w:id="150"/>
    </w:p>
    <w:p w14:paraId="7A66E3CF" w14:textId="4D089755" w:rsidR="006E6436" w:rsidRPr="00880A63" w:rsidRDefault="00842802" w:rsidP="00880A63">
      <w:r w:rsidRPr="00880A63">
        <w:lastRenderedPageBreak/>
        <w:t xml:space="preserve">In this Chapter, the </w:t>
      </w:r>
      <w:r w:rsidR="005E1F3B" w:rsidRPr="00880A63">
        <w:t xml:space="preserve">research design </w:t>
      </w:r>
      <w:r w:rsidRPr="00880A63">
        <w:t xml:space="preserve">to answer the research questions </w:t>
      </w:r>
      <w:r w:rsidR="005E1F3B" w:rsidRPr="00880A63">
        <w:t xml:space="preserve">is </w:t>
      </w:r>
      <w:r w:rsidRPr="00880A63">
        <w:t>explained</w:t>
      </w:r>
      <w:r w:rsidR="005E1F3B" w:rsidRPr="00880A63">
        <w:t xml:space="preserve"> and unpacked, starting from the research philosophy assumptions of the thesis</w:t>
      </w:r>
      <w:r w:rsidR="00BC08BF" w:rsidRPr="00880A63">
        <w:t>, and then linking</w:t>
      </w:r>
      <w:r w:rsidR="0014281C" w:rsidRPr="00880A63">
        <w:t xml:space="preserve"> this decision with the research design choices</w:t>
      </w:r>
      <w:r w:rsidR="00BC08BF" w:rsidRPr="00880A63">
        <w:t xml:space="preserve">. </w:t>
      </w:r>
      <w:r w:rsidR="00C21BD2" w:rsidRPr="00880A63">
        <w:t xml:space="preserve">The thesis embeds a prevailing </w:t>
      </w:r>
      <w:r w:rsidR="00C21BD2" w:rsidRPr="00880A63">
        <w:rPr>
          <w:i/>
          <w:iCs/>
        </w:rPr>
        <w:t>objectivist</w:t>
      </w:r>
      <w:r w:rsidR="00C21BD2" w:rsidRPr="00880A63">
        <w:t xml:space="preserve"> research philosophy, but also </w:t>
      </w:r>
      <w:r w:rsidR="006F24FA" w:rsidRPr="00880A63">
        <w:t xml:space="preserve">strongly </w:t>
      </w:r>
      <w:r w:rsidR="00C21BD2" w:rsidRPr="00880A63">
        <w:t xml:space="preserve">acknowledges the importance of </w:t>
      </w:r>
      <w:r w:rsidR="00C21BD2" w:rsidRPr="00880A63">
        <w:rPr>
          <w:i/>
          <w:iCs/>
        </w:rPr>
        <w:t>subjective</w:t>
      </w:r>
      <w:r w:rsidR="00C21BD2" w:rsidRPr="00880A63">
        <w:t xml:space="preserve"> realities. Epistemologically, the thesis adopts a </w:t>
      </w:r>
      <w:r w:rsidR="00C21BD2" w:rsidRPr="00880A63">
        <w:rPr>
          <w:i/>
          <w:iCs/>
        </w:rPr>
        <w:t>pragmatic</w:t>
      </w:r>
      <w:r w:rsidR="00C21BD2" w:rsidRPr="00880A63">
        <w:t xml:space="preserve"> position and puts the research question at the centre, draws </w:t>
      </w:r>
      <w:r w:rsidR="00880A63" w:rsidRPr="00880A63">
        <w:t xml:space="preserve">a </w:t>
      </w:r>
      <w:r w:rsidR="00C21BD2" w:rsidRPr="00880A63">
        <w:t>mixed-methods approach</w:t>
      </w:r>
      <w:r w:rsidR="006E6436" w:rsidRPr="00880A63">
        <w:t xml:space="preserve"> (exploratory sequential mixed-methods design)</w:t>
      </w:r>
      <w:r w:rsidR="00C21BD2" w:rsidRPr="00880A63">
        <w:t xml:space="preserve">. Coherently, the research also combines </w:t>
      </w:r>
      <w:r w:rsidR="00C21BD2" w:rsidRPr="00880A63">
        <w:rPr>
          <w:i/>
          <w:iCs/>
        </w:rPr>
        <w:t xml:space="preserve">deductive </w:t>
      </w:r>
      <w:r w:rsidR="00C21BD2" w:rsidRPr="00880A63">
        <w:t xml:space="preserve">and </w:t>
      </w:r>
      <w:r w:rsidR="00C21BD2" w:rsidRPr="00880A63">
        <w:rPr>
          <w:i/>
          <w:iCs/>
        </w:rPr>
        <w:t>inductive</w:t>
      </w:r>
      <w:r w:rsidR="00C21BD2" w:rsidRPr="00880A63">
        <w:t xml:space="preserve"> approaches.</w:t>
      </w:r>
      <w:r w:rsidR="006F24FA" w:rsidRPr="00880A63">
        <w:t xml:space="preserve"> </w:t>
      </w:r>
      <w:r w:rsidR="006E6436" w:rsidRPr="00880A63">
        <w:t>Firstly, the thesis explores qualitatively the research problem before testing hypotheses. A Delphi-like study is used to fine-tune the conceptual framework and the following quantitative phase of the thesis uses a content analysis approach to collect data</w:t>
      </w:r>
      <w:r w:rsidR="00880A63" w:rsidRPr="00880A63">
        <w:t xml:space="preserve"> by examining publicly available Corporate Sustainability Reports for a representative sample of companies. By doing so it measures the constructs</w:t>
      </w:r>
      <w:r w:rsidR="006E6436" w:rsidRPr="00880A63">
        <w:t xml:space="preserve"> </w:t>
      </w:r>
      <w:r w:rsidR="00880A63" w:rsidRPr="00880A63">
        <w:t>of interest and tests the hypothesis.</w:t>
      </w:r>
    </w:p>
    <w:p w14:paraId="6083FDBE" w14:textId="77777777" w:rsidR="00842802" w:rsidRDefault="00842802" w:rsidP="002F7336"/>
    <w:p w14:paraId="42AA48AD" w14:textId="77777777" w:rsidR="00842802" w:rsidRDefault="00842802" w:rsidP="002F7336"/>
    <w:p w14:paraId="19B2E8D8" w14:textId="77777777" w:rsidR="00842802" w:rsidRDefault="00842802" w:rsidP="002F7336"/>
    <w:p w14:paraId="7F9B71B1" w14:textId="77777777" w:rsidR="00842802" w:rsidRDefault="00842802" w:rsidP="002F7336">
      <w:pPr>
        <w:rPr>
          <w:rFonts w:eastAsia="Arial"/>
          <w:sz w:val="28"/>
          <w:szCs w:val="28"/>
        </w:rPr>
      </w:pPr>
      <w:r>
        <w:br w:type="page"/>
      </w:r>
    </w:p>
    <w:p w14:paraId="0965A198" w14:textId="77777777" w:rsidR="00842802" w:rsidRDefault="00842802" w:rsidP="00B81916">
      <w:pPr>
        <w:pStyle w:val="Heading2"/>
        <w:numPr>
          <w:ilvl w:val="0"/>
          <w:numId w:val="0"/>
        </w:numPr>
        <w:ind w:left="357" w:hanging="357"/>
      </w:pPr>
      <w:bookmarkStart w:id="151" w:name="_Toc157759529"/>
      <w:r>
        <w:lastRenderedPageBreak/>
        <w:t>References</w:t>
      </w:r>
      <w:bookmarkEnd w:id="151"/>
    </w:p>
    <w:p w14:paraId="1AF4F54D" w14:textId="77777777" w:rsidR="00842802" w:rsidRDefault="00842802" w:rsidP="002F7336">
      <w:proofErr w:type="spellStart"/>
      <w:r>
        <w:t>Bryman</w:t>
      </w:r>
      <w:proofErr w:type="spellEnd"/>
      <w:r>
        <w:t xml:space="preserve">, A. &amp; Bell, E. (2015). Business Research Methods. Oxford: Oxford University Press. </w:t>
      </w:r>
    </w:p>
    <w:p w14:paraId="42733D79" w14:textId="77777777" w:rsidR="00842802" w:rsidRDefault="00842802" w:rsidP="002F7336">
      <w:r>
        <w:t>Creswell, J. &amp; Clark, V. (2011). Designing and Conducting Mixed-Methods Research. California: Sage Publications Inc.</w:t>
      </w:r>
    </w:p>
    <w:p w14:paraId="5A0A3521" w14:textId="77777777" w:rsidR="00842802" w:rsidRDefault="00842802" w:rsidP="002F7336">
      <w:proofErr w:type="spellStart"/>
      <w:r>
        <w:t>Okoli</w:t>
      </w:r>
      <w:proofErr w:type="spellEnd"/>
      <w:r>
        <w:t xml:space="preserve">, C., &amp; </w:t>
      </w:r>
      <w:proofErr w:type="spellStart"/>
      <w:r>
        <w:t>Pawlowski</w:t>
      </w:r>
      <w:proofErr w:type="spellEnd"/>
      <w:r>
        <w:t xml:space="preserve">, S. D. (2004). The Delphi method as a research tool: an example, design considerations and applications. Information &amp; management, 42(1), 15-29. </w:t>
      </w:r>
      <w:hyperlink r:id="rId74" w:history="1">
        <w:r>
          <w:rPr>
            <w:rStyle w:val="Hyperlink"/>
            <w:rFonts w:eastAsia="Calibri" w:cs="Arial"/>
            <w:color w:val="0563C1"/>
          </w:rPr>
          <w:t>https://doi.org/10.1016/j.im.2003.11.002</w:t>
        </w:r>
      </w:hyperlink>
    </w:p>
    <w:p w14:paraId="54A51B96" w14:textId="77777777" w:rsidR="00842802" w:rsidRDefault="00842802" w:rsidP="002F7336">
      <w:proofErr w:type="spellStart"/>
      <w:r>
        <w:t>Piecyk</w:t>
      </w:r>
      <w:proofErr w:type="spellEnd"/>
      <w:r>
        <w:t xml:space="preserve">, M. I., &amp; </w:t>
      </w:r>
      <w:proofErr w:type="spellStart"/>
      <w:r>
        <w:t>Björklund</w:t>
      </w:r>
      <w:proofErr w:type="spellEnd"/>
      <w:r>
        <w:t>, M. (2015). Logistics service providers and corporate social responsibility: sustainability reporting in the logistics industry. International Journal of Physical Distribution &amp; Logistics Management, 45(5), 459-485.</w:t>
      </w:r>
    </w:p>
    <w:p w14:paraId="5D203935" w14:textId="77777777" w:rsidR="00842802" w:rsidRDefault="00842802" w:rsidP="002F7336">
      <w:r w:rsidRPr="00842802">
        <w:t xml:space="preserve">Schmidt, R., </w:t>
      </w:r>
      <w:proofErr w:type="spellStart"/>
      <w:r w:rsidRPr="00842802">
        <w:t>Lyytinen</w:t>
      </w:r>
      <w:proofErr w:type="spellEnd"/>
      <w:r w:rsidRPr="00842802">
        <w:t xml:space="preserve">, K., </w:t>
      </w:r>
      <w:proofErr w:type="spellStart"/>
      <w:r w:rsidRPr="00842802">
        <w:t>Keil</w:t>
      </w:r>
      <w:proofErr w:type="spellEnd"/>
      <w:r w:rsidRPr="00842802">
        <w:t xml:space="preserve">, M., &amp; </w:t>
      </w:r>
      <w:proofErr w:type="spellStart"/>
      <w:r w:rsidRPr="00842802">
        <w:t>Cule</w:t>
      </w:r>
      <w:proofErr w:type="spellEnd"/>
      <w:r w:rsidRPr="00842802">
        <w:t xml:space="preserve">, P. (2001). </w:t>
      </w:r>
      <w:r>
        <w:t xml:space="preserve">Identifying software project risks: An international Delphi study. Journal of management information systems, 17(4), 5-36. </w:t>
      </w:r>
      <w:hyperlink r:id="rId75" w:history="1">
        <w:r>
          <w:rPr>
            <w:rStyle w:val="Hyperlink"/>
            <w:rFonts w:eastAsia="Calibri" w:cs="Arial"/>
            <w:color w:val="0563C1"/>
          </w:rPr>
          <w:t>https://doi.org/10.1080/07421222.2001.11045662</w:t>
        </w:r>
      </w:hyperlink>
    </w:p>
    <w:p w14:paraId="0F23DD07" w14:textId="674B55B6" w:rsidR="003917ED" w:rsidRPr="00EF48DB" w:rsidRDefault="003917ED" w:rsidP="002F7336">
      <w:r w:rsidRPr="00EF48DB">
        <w:br w:type="page"/>
      </w:r>
    </w:p>
    <w:p w14:paraId="6DE2FDED" w14:textId="06AFE5B9" w:rsidR="003917ED" w:rsidRPr="002228F5" w:rsidRDefault="00355E73" w:rsidP="00355E73">
      <w:pPr>
        <w:pStyle w:val="Heading1"/>
      </w:pPr>
      <w:bookmarkStart w:id="152" w:name="_Toc157759530"/>
      <w:r w:rsidRPr="00FE5231">
        <w:lastRenderedPageBreak/>
        <w:t>Understanding the relationship between institutional pressures, supply chain integration and the adoption of circular economy practices</w:t>
      </w:r>
      <w:bookmarkEnd w:id="152"/>
    </w:p>
    <w:p w14:paraId="1DAEB26F" w14:textId="33818588" w:rsidR="003917ED" w:rsidRPr="00F93608" w:rsidRDefault="005E7631" w:rsidP="002F7336">
      <w:pPr>
        <w:rPr>
          <w:b/>
          <w:bCs/>
        </w:rPr>
      </w:pPr>
      <w:r w:rsidRPr="00F93608">
        <w:rPr>
          <w:b/>
          <w:bCs/>
        </w:rPr>
        <w:t>Abstract</w:t>
      </w:r>
      <w:r w:rsidR="00D97341" w:rsidRPr="00F93608">
        <w:rPr>
          <w:b/>
          <w:bCs/>
        </w:rPr>
        <w:t xml:space="preserve">: </w:t>
      </w:r>
    </w:p>
    <w:p w14:paraId="28F8144D" w14:textId="77777777" w:rsidR="00ED1759" w:rsidRDefault="00ED1759" w:rsidP="002F7336">
      <w:r w:rsidRPr="00ED1759">
        <w:t>This paper explores the role of institutional pressures and supply chain integration in the adoption of Circular Economy practices. Using a Delphi-like approach and leveraging on a panel of 30 experts in the field of Circular Economy, this study aims to gain additional insights into how coercive, normative, and mimetic pressures can drive the implementation of circular supply chains. The findings reveal a hierarchy of institutional pressures, with coercive market and regulatory pressures having a greater impact compared to normative and mimetic pressures. Additionally, the study identifies various responses to these pressures, illustrating different trajectories towards the implementation of Circular Economy practices. Furthermore, the research investigates the role of supply chain integration. Generally, a higher level of supply chain integration can amplify the effect of institutional pressures, promoting the adoption of incremental Circular Economy practices. However, it is noteworthy to mention that supply chain integration may also hinder the adoption of more radical Circular Economy approaches, favouring the retention of linear supply chains.</w:t>
      </w:r>
    </w:p>
    <w:p w14:paraId="181DC3C4" w14:textId="5D733D00" w:rsidR="003B4A23" w:rsidRPr="0058064F" w:rsidRDefault="00A957F8" w:rsidP="002F7336">
      <w:r>
        <w:rPr>
          <w:b/>
        </w:rPr>
        <w:t xml:space="preserve">Keywords: </w:t>
      </w:r>
      <w:r w:rsidR="0058064F">
        <w:t>Circular Economy, Institutional Theory, Supply Chain Integration, Sustainable Supply Chains</w:t>
      </w:r>
    </w:p>
    <w:p w14:paraId="51FFFFF3" w14:textId="7C73E7E2" w:rsidR="00D97341" w:rsidRDefault="00D97341" w:rsidP="002F7336">
      <w:r>
        <w:br w:type="page"/>
      </w:r>
    </w:p>
    <w:p w14:paraId="650AECE2" w14:textId="4E55C08E" w:rsidR="009E3CB4" w:rsidRPr="004B35C6" w:rsidRDefault="009E3CB4" w:rsidP="005035B4">
      <w:pPr>
        <w:pStyle w:val="Heading2"/>
      </w:pPr>
      <w:bookmarkStart w:id="153" w:name="_Toc157759531"/>
      <w:r w:rsidRPr="004B35C6">
        <w:lastRenderedPageBreak/>
        <w:t>Introduction</w:t>
      </w:r>
      <w:bookmarkEnd w:id="153"/>
    </w:p>
    <w:p w14:paraId="26E9EAA2" w14:textId="77777777" w:rsidR="002754D8" w:rsidRPr="002754D8" w:rsidRDefault="002754D8" w:rsidP="002F7336">
      <w:r w:rsidRPr="002754D8">
        <w:t>The Circular Economy (CE) paradigm has emerged as an alternative to the linear production-consumption model aiming to provide the stimulus for the development of a new economic system characterised by cyclical and regenerative material and energy flows (</w:t>
      </w:r>
      <w:proofErr w:type="spellStart"/>
      <w:r w:rsidRPr="002754D8">
        <w:t>Geissdoerfer</w:t>
      </w:r>
      <w:proofErr w:type="spellEnd"/>
      <w:r w:rsidRPr="002754D8">
        <w:t xml:space="preserve"> et al., 2017). Such an industrial model is expected to contribute to positive environmental, social, and economic transformations for achieving sustainable development (Korhonen et al., 2018).</w:t>
      </w:r>
    </w:p>
    <w:p w14:paraId="76DB01A5" w14:textId="77777777" w:rsidR="002754D8" w:rsidRPr="002754D8" w:rsidRDefault="002754D8" w:rsidP="002F7336">
      <w:r w:rsidRPr="002754D8">
        <w:t xml:space="preserve">The growing attention that the CE concept has been drawing over the last decade has also generated efforts aimed at exploring the role of factors that could foster this transition. An increasing number of relevant publications in these recent years have been concerned with the identification and classification of existing circular business models (Rosa et  al., 2019; Henry et al., 2020; </w:t>
      </w:r>
      <w:proofErr w:type="spellStart"/>
      <w:r w:rsidRPr="002754D8">
        <w:t>Vegter</w:t>
      </w:r>
      <w:proofErr w:type="spellEnd"/>
      <w:r w:rsidRPr="002754D8">
        <w:t xml:space="preserve"> et al., 2020), the effectiveness of current policies (</w:t>
      </w:r>
      <w:proofErr w:type="spellStart"/>
      <w:r w:rsidRPr="002754D8">
        <w:t>Domenech</w:t>
      </w:r>
      <w:proofErr w:type="spellEnd"/>
      <w:r w:rsidRPr="002754D8">
        <w:t xml:space="preserve"> and </w:t>
      </w:r>
      <w:proofErr w:type="spellStart"/>
      <w:r w:rsidRPr="002754D8">
        <w:t>Bahn-Walkowiak</w:t>
      </w:r>
      <w:proofErr w:type="spellEnd"/>
      <w:r w:rsidRPr="002754D8">
        <w:t xml:space="preserve">, 2019; </w:t>
      </w:r>
      <w:proofErr w:type="spellStart"/>
      <w:r w:rsidRPr="002754D8">
        <w:t>Vanhamäki</w:t>
      </w:r>
      <w:proofErr w:type="spellEnd"/>
      <w:r w:rsidRPr="002754D8">
        <w:t xml:space="preserve"> et al., 2020; </w:t>
      </w:r>
      <w:proofErr w:type="spellStart"/>
      <w:r w:rsidRPr="002754D8">
        <w:t>Arsova</w:t>
      </w:r>
      <w:proofErr w:type="spellEnd"/>
      <w:r w:rsidRPr="002754D8">
        <w:t xml:space="preserve"> et al., 2022) as well as potential barriers, including cultural, political, market and technological constraints (de Jesus and </w:t>
      </w:r>
      <w:proofErr w:type="spellStart"/>
      <w:r w:rsidRPr="002754D8">
        <w:t>Mendonça</w:t>
      </w:r>
      <w:proofErr w:type="spellEnd"/>
      <w:r w:rsidRPr="002754D8">
        <w:t xml:space="preserve">, 2018; </w:t>
      </w:r>
      <w:proofErr w:type="spellStart"/>
      <w:r w:rsidRPr="002754D8">
        <w:t>Kirchherr</w:t>
      </w:r>
      <w:proofErr w:type="spellEnd"/>
      <w:r w:rsidRPr="002754D8">
        <w:t xml:space="preserve"> et al., 2018). The implementation of CE principles in practical applications heavily relies on the development of circular supply chains (CSCs), which extend beyond the traditional linear supplier-manufacturer-customer networks to include new actors (e.g., collection and sorting contractors; re-processors; remanufacturers) as well as facilitate horizontal collaboration across different sectors (Genovese et al., 2017; De Angelis et al., 2018).</w:t>
      </w:r>
    </w:p>
    <w:p w14:paraId="4ADB0B01" w14:textId="77777777" w:rsidR="002754D8" w:rsidRPr="002754D8" w:rsidRDefault="002754D8" w:rsidP="002F7336">
      <w:r w:rsidRPr="002754D8">
        <w:t>Also given their general relevance to the transition towards more sustainable futures (</w:t>
      </w:r>
      <w:proofErr w:type="spellStart"/>
      <w:r w:rsidRPr="002754D8">
        <w:t>Kauppi</w:t>
      </w:r>
      <w:proofErr w:type="spellEnd"/>
      <w:r w:rsidRPr="002754D8">
        <w:t xml:space="preserve"> and Hannibal, 2017; </w:t>
      </w:r>
      <w:proofErr w:type="spellStart"/>
      <w:r w:rsidRPr="002754D8">
        <w:t>Venkatesh</w:t>
      </w:r>
      <w:proofErr w:type="spellEnd"/>
      <w:r w:rsidRPr="002754D8">
        <w:t xml:space="preserve"> et al., 2020), institutional pressures (in the following, also IPs) have been identified as a key driver to the development of CE approaches (Zeng et al., 2017; </w:t>
      </w:r>
      <w:proofErr w:type="spellStart"/>
      <w:r w:rsidRPr="002754D8">
        <w:t>Ranta</w:t>
      </w:r>
      <w:proofErr w:type="spellEnd"/>
      <w:r w:rsidRPr="002754D8">
        <w:t xml:space="preserve"> et al., 2018; Calzolari et al., 2021; Do et al., 2022); specifically, coercive, normative, and mimetic pressures can significantly influence the decision of firms to pursue a CE strategy. Nonetheless, in order to realise a shift towards CSCs, it is necessary to increase the capacity of involved companies to share information and knowledge with their partners to reduce uncertainty and resource dependency (Herczeg et al., 2018; Berardi and de Brito, 2021). Given its relevance to the development of such capabilities, the enhancement of supply chain integration (SCI) has been highlighted as a key strategy for fostering collaboration across circular supply chain networks (Elia et al., 2020; Pinto and </w:t>
      </w:r>
      <w:proofErr w:type="spellStart"/>
      <w:r w:rsidRPr="002754D8">
        <w:t>Diemer</w:t>
      </w:r>
      <w:proofErr w:type="spellEnd"/>
      <w:r w:rsidRPr="002754D8">
        <w:t>, 2020; Di Maria et al., 2022).</w:t>
      </w:r>
    </w:p>
    <w:p w14:paraId="50420D23" w14:textId="77777777" w:rsidR="002754D8" w:rsidRPr="002754D8" w:rsidRDefault="002754D8" w:rsidP="002F7336">
      <w:r w:rsidRPr="002754D8">
        <w:lastRenderedPageBreak/>
        <w:t>In this study, the aim is to challenge and enhance the conceptual framework proposed by Calzolari et al. (2021) which describes the adoption of CE practices as a supply chain process, highlighting the role of institutional pressures and SCI. This framework emerged from a literature review and an analysis of corporate sustainability reports from the top 50 European Multi-National Enterprises (MNEs) of the Global Fortune 500. It is argued that higher integration with suppliers and customers amplifies the effect of IPs on the supply chain adoption of CE practices. Utilising a Delphi-like approach, this paper aims to validate and enhance the framework through interaction with a panel of experts. According to the findings, SCI has a conflicting role in the relationship between IPs and the implementation of CE strategies, as it can facilitate the adoption of some practices, and inhibit others. Additionally, reactions to IPs have been identified.</w:t>
      </w:r>
    </w:p>
    <w:p w14:paraId="41AC5106" w14:textId="10FEE783" w:rsidR="007A580F" w:rsidRPr="007A580F" w:rsidRDefault="002754D8" w:rsidP="002F7336">
      <w:r w:rsidRPr="002754D8">
        <w:t>The remainder of the document is arranged as follows. Section 2 provides a review of the literature focusing on the role of IPs and SCI on the adoption of CE practices. Section 3 provides an overview of the research method employed, while Section 4 illustrates the findings. In Section 5, a revised framework is presented, followed by the study’s conclusions in Section 6.</w:t>
      </w:r>
    </w:p>
    <w:p w14:paraId="476C7C8A" w14:textId="77777777" w:rsidR="002754D8" w:rsidRPr="00637F0A" w:rsidRDefault="002754D8" w:rsidP="005035B4">
      <w:pPr>
        <w:pStyle w:val="Heading2"/>
      </w:pPr>
      <w:bookmarkStart w:id="154" w:name="_Toc157759532"/>
      <w:r w:rsidRPr="00637F0A">
        <w:t>Literature</w:t>
      </w:r>
      <w:r>
        <w:t xml:space="preserve"> Review</w:t>
      </w:r>
      <w:bookmarkEnd w:id="154"/>
      <w:r>
        <w:t xml:space="preserve"> </w:t>
      </w:r>
    </w:p>
    <w:p w14:paraId="27F29612" w14:textId="77777777" w:rsidR="002754D8" w:rsidRPr="007B435F" w:rsidRDefault="002754D8" w:rsidP="002F7336">
      <w:r w:rsidRPr="007B435F">
        <w:t xml:space="preserve">Institutional pressures </w:t>
      </w:r>
      <w:r>
        <w:t>appear to be a factor to consider</w:t>
      </w:r>
      <w:r w:rsidRPr="007B435F">
        <w:t xml:space="preserve"> when </w:t>
      </w:r>
      <w:r>
        <w:t>examining</w:t>
      </w:r>
      <w:r w:rsidRPr="007B435F">
        <w:t xml:space="preserve"> the adoption of CE practices from a supply chain management (SCM) perspective (De Angelis et al., 2018; Liu et al., 2018). In today</w:t>
      </w:r>
      <w:r>
        <w:t>’</w:t>
      </w:r>
      <w:r w:rsidRPr="007B435F">
        <w:t xml:space="preserve">s globalised production systems, these pressures </w:t>
      </w:r>
      <w:r>
        <w:t>occur</w:t>
      </w:r>
      <w:r w:rsidRPr="007B435F">
        <w:t xml:space="preserve"> at </w:t>
      </w:r>
      <w:r>
        <w:t>the</w:t>
      </w:r>
      <w:r w:rsidRPr="007B435F">
        <w:t xml:space="preserve"> supply chain level rather than </w:t>
      </w:r>
      <w:r>
        <w:t>within the boundaries of individual firms</w:t>
      </w:r>
      <w:r w:rsidRPr="007B435F">
        <w:t xml:space="preserve"> (</w:t>
      </w:r>
      <w:proofErr w:type="spellStart"/>
      <w:r w:rsidRPr="007B435F">
        <w:t>Ketchen</w:t>
      </w:r>
      <w:proofErr w:type="spellEnd"/>
      <w:r w:rsidRPr="007B435F">
        <w:t xml:space="preserve"> and </w:t>
      </w:r>
      <w:proofErr w:type="spellStart"/>
      <w:r w:rsidRPr="007B435F">
        <w:t>Hult</w:t>
      </w:r>
      <w:proofErr w:type="spellEnd"/>
      <w:r w:rsidRPr="007B435F">
        <w:t xml:space="preserve">, 2007; </w:t>
      </w:r>
      <w:proofErr w:type="spellStart"/>
      <w:r w:rsidRPr="007B435F">
        <w:t>Hofstetter</w:t>
      </w:r>
      <w:proofErr w:type="spellEnd"/>
      <w:r w:rsidRPr="007B435F">
        <w:t xml:space="preserve"> et al., 2021). In addition, since the misalignment of supply chain incentives </w:t>
      </w:r>
      <w:r>
        <w:t>is</w:t>
      </w:r>
      <w:r w:rsidRPr="007B435F">
        <w:t xml:space="preserve"> a key obstacle to CE adoption (</w:t>
      </w:r>
      <w:proofErr w:type="spellStart"/>
      <w:r w:rsidRPr="007B435F">
        <w:t>Rizos</w:t>
      </w:r>
      <w:proofErr w:type="spellEnd"/>
      <w:r w:rsidRPr="007B435F">
        <w:t xml:space="preserve"> et al., 2016), the way a supply chain is organised can influence </w:t>
      </w:r>
      <w:r>
        <w:t>the diffusion of</w:t>
      </w:r>
      <w:r w:rsidRPr="007B435F">
        <w:t xml:space="preserve"> CE practices across production networks (Bressanelli et al., 2019). SCI is crucial in achieving a high level of coordinated planning </w:t>
      </w:r>
      <w:r>
        <w:t>allowing firms to</w:t>
      </w:r>
      <w:r w:rsidRPr="007B435F">
        <w:t xml:space="preserve"> combine the technical knowledge and skills </w:t>
      </w:r>
      <w:r>
        <w:t xml:space="preserve">necessary </w:t>
      </w:r>
      <w:r w:rsidRPr="007B435F">
        <w:t xml:space="preserve">for developing circular capabilities (De Angelis et al., 2018). The </w:t>
      </w:r>
      <w:r>
        <w:t>following</w:t>
      </w:r>
      <w:r w:rsidRPr="007B435F">
        <w:t xml:space="preserve"> sub-sections critically examine the </w:t>
      </w:r>
      <w:r>
        <w:t>literature streams</w:t>
      </w:r>
      <w:r w:rsidRPr="007B435F">
        <w:t xml:space="preserve"> looking at the influences of </w:t>
      </w:r>
      <w:r>
        <w:t>IPs</w:t>
      </w:r>
      <w:r w:rsidRPr="007B435F">
        <w:t xml:space="preserve"> and SCI on the transition towards CSCs.</w:t>
      </w:r>
    </w:p>
    <w:p w14:paraId="1E042552" w14:textId="2470AB66" w:rsidR="002754D8" w:rsidRPr="005A59E2" w:rsidRDefault="002754D8" w:rsidP="005035B4">
      <w:pPr>
        <w:pStyle w:val="Heading3"/>
      </w:pPr>
      <w:bookmarkStart w:id="155" w:name="_Toc157759533"/>
      <w:r>
        <w:t>I</w:t>
      </w:r>
      <w:r w:rsidRPr="005A59E2">
        <w:t xml:space="preserve">nstitutional pressures </w:t>
      </w:r>
      <w:r>
        <w:t>and</w:t>
      </w:r>
      <w:r w:rsidRPr="005A59E2">
        <w:t xml:space="preserve"> the adoption of Circular Economy practices</w:t>
      </w:r>
      <w:bookmarkEnd w:id="155"/>
    </w:p>
    <w:p w14:paraId="709A26D7" w14:textId="77777777" w:rsidR="00021785" w:rsidRDefault="002754D8" w:rsidP="00021785">
      <w:r>
        <w:t>In order to establish and maintain legitimacy with different</w:t>
      </w:r>
      <w:r w:rsidRPr="00A9068C">
        <w:t xml:space="preserve"> groups of stakeholders, </w:t>
      </w:r>
      <w:r>
        <w:t xml:space="preserve">organisations </w:t>
      </w:r>
      <w:r w:rsidRPr="00A9068C">
        <w:t xml:space="preserve">tend to </w:t>
      </w:r>
      <w:r>
        <w:t>respond to pressures exerted by</w:t>
      </w:r>
      <w:r w:rsidRPr="00A9068C">
        <w:t xml:space="preserve"> other entities operating </w:t>
      </w:r>
      <w:r>
        <w:t>within</w:t>
      </w:r>
      <w:r w:rsidRPr="00A9068C">
        <w:t xml:space="preserve"> the same institutional field (DiMaggio and Powell, 1983).</w:t>
      </w:r>
      <w:r>
        <w:t xml:space="preserve"> </w:t>
      </w:r>
      <w:r w:rsidRPr="00A9068C">
        <w:t xml:space="preserve">This process is described as </w:t>
      </w:r>
      <w:r w:rsidRPr="00A9068C">
        <w:lastRenderedPageBreak/>
        <w:t xml:space="preserve">institutional isomorphism and </w:t>
      </w:r>
      <w:r>
        <w:t>operates</w:t>
      </w:r>
      <w:r w:rsidRPr="00A9068C">
        <w:t xml:space="preserve"> through three </w:t>
      </w:r>
      <w:r>
        <w:t>distinct</w:t>
      </w:r>
      <w:r w:rsidRPr="00A9068C">
        <w:t xml:space="preserve"> mechanisms, namely coercive, mimetic, and normative</w:t>
      </w:r>
      <w:r>
        <w:t xml:space="preserve"> pressures</w:t>
      </w:r>
      <w:r w:rsidRPr="00A9068C">
        <w:t xml:space="preserve">. Coercive pressures can </w:t>
      </w:r>
      <w:r>
        <w:t>stem</w:t>
      </w:r>
      <w:r w:rsidRPr="00A9068C">
        <w:t xml:space="preserve"> from regulatory bodies </w:t>
      </w:r>
      <w:r>
        <w:t>as well as</w:t>
      </w:r>
      <w:r w:rsidRPr="00A9068C">
        <w:t xml:space="preserve"> from other organisations </w:t>
      </w:r>
      <w:r>
        <w:t xml:space="preserve">upon which </w:t>
      </w:r>
      <w:r w:rsidRPr="00A9068C">
        <w:t>the firm is dependent on</w:t>
      </w:r>
      <w:r>
        <w:t xml:space="preserve"> (such as</w:t>
      </w:r>
      <w:r w:rsidRPr="00A9068C">
        <w:t xml:space="preserve"> resource-dominant organisations, suppliers, customers, and investors). Thus, organisations make decisions </w:t>
      </w:r>
      <w:r>
        <w:t>in accordance with</w:t>
      </w:r>
      <w:r w:rsidRPr="00A9068C">
        <w:t xml:space="preserve"> laws and </w:t>
      </w:r>
      <w:r>
        <w:t>regulations</w:t>
      </w:r>
      <w:r w:rsidRPr="00A9068C">
        <w:t xml:space="preserve"> to avoid sanctions (coercive regulatory pressures) and </w:t>
      </w:r>
      <w:r>
        <w:t>comply with</w:t>
      </w:r>
      <w:r w:rsidRPr="00A9068C">
        <w:t xml:space="preserve"> demands and requests imposed by </w:t>
      </w:r>
      <w:r>
        <w:t>actors</w:t>
      </w:r>
      <w:r w:rsidRPr="00A9068C">
        <w:t xml:space="preserve"> in the supply chain (coercive market pressures) (</w:t>
      </w:r>
      <w:proofErr w:type="spellStart"/>
      <w:r w:rsidRPr="00A9068C">
        <w:t>Kauppi</w:t>
      </w:r>
      <w:proofErr w:type="spellEnd"/>
      <w:r w:rsidRPr="00A9068C">
        <w:t xml:space="preserve"> and </w:t>
      </w:r>
      <w:proofErr w:type="spellStart"/>
      <w:r w:rsidRPr="00A9068C">
        <w:t>Luzzini</w:t>
      </w:r>
      <w:proofErr w:type="spellEnd"/>
      <w:r w:rsidRPr="00A9068C">
        <w:t xml:space="preserve">, 2022). </w:t>
      </w:r>
      <w:r w:rsidR="00021785">
        <w:t>In the context of the transition towards a CE, such pressures can also be linked to active and passive behaviours on the part of companies, referring to their ability to adopt CE-oriented practices. While in the first scenario a company proactively adopts CE practices and integrates them into its core business practices, a passive behaviour involves merely complying with external pressures without actively seeking additional CE initiatives.</w:t>
      </w:r>
    </w:p>
    <w:p w14:paraId="64D0F79F" w14:textId="77777777" w:rsidR="00021785" w:rsidRDefault="00021785" w:rsidP="00021785">
      <w:r>
        <w:t xml:space="preserve">Normative pressures arise from shared values among organisations and employees within an industry or professional association, where organisations are influenced not only by formal rules but also by what is deemed appropriate and socially accepted due to norms and standards. </w:t>
      </w:r>
    </w:p>
    <w:p w14:paraId="3FB86FCB" w14:textId="77777777" w:rsidR="00021785" w:rsidRDefault="00021785" w:rsidP="00021785">
      <w:r>
        <w:t>Finally, mimetic pressures involve the adoption of shared conceptions and beliefs, as organisations mimic successful social actors that have established themselves through taken-for-granted dynamics and best practices (DiMaggio and Powell, 1983; Scott, 2003). For instance, the action of a leading company adopting sustainable practices might prompt other companies in the same supply chain or in the wider industry to embrace similar approaches in order to maintain market competitiveness. The adoption of environmental assessment tools, which have been successfully employed by other enterprises in the same sector, is an example of mimetic isomorphism (</w:t>
      </w:r>
      <w:proofErr w:type="spellStart"/>
      <w:r>
        <w:t>Kauppi</w:t>
      </w:r>
      <w:proofErr w:type="spellEnd"/>
      <w:r>
        <w:t xml:space="preserve"> and </w:t>
      </w:r>
      <w:proofErr w:type="spellStart"/>
      <w:r>
        <w:t>Luzzini</w:t>
      </w:r>
      <w:proofErr w:type="spellEnd"/>
      <w:r>
        <w:t>, 2022).</w:t>
      </w:r>
    </w:p>
    <w:p w14:paraId="21A5A134" w14:textId="77777777" w:rsidR="00021785" w:rsidRDefault="00021785" w:rsidP="00021785">
      <w:r>
        <w:t xml:space="preserve">Institutional theory has been extensively used in SCM research to explain the adoption of practices, organisational structures, or technologies (Zhu and </w:t>
      </w:r>
      <w:proofErr w:type="spellStart"/>
      <w:r>
        <w:t>Geng</w:t>
      </w:r>
      <w:proofErr w:type="spellEnd"/>
      <w:r>
        <w:t xml:space="preserve">, 2013; </w:t>
      </w:r>
      <w:proofErr w:type="spellStart"/>
      <w:r>
        <w:t>Touboulic</w:t>
      </w:r>
      <w:proofErr w:type="spellEnd"/>
      <w:r>
        <w:t xml:space="preserve"> and Walker, 2015; </w:t>
      </w:r>
      <w:proofErr w:type="spellStart"/>
      <w:r>
        <w:t>Kauppi</w:t>
      </w:r>
      <w:proofErr w:type="spellEnd"/>
      <w:r>
        <w:t xml:space="preserve"> and </w:t>
      </w:r>
      <w:proofErr w:type="spellStart"/>
      <w:r>
        <w:t>Luzzini</w:t>
      </w:r>
      <w:proofErr w:type="spellEnd"/>
      <w:r>
        <w:t xml:space="preserve">, 2022). Looking at specific types of practices, research has shown that organisations approach sustainability mainly as a means of complying with legislation requirements and improving their brand image, rather than as profit-seekers (Brønn and Vidaver-Cohen, 2009). As such, IPs represent one of the main drivers for the adoption of sustainable practices in organisations and their supply chains, reflecting corporations’ alignment with triple-bottom-line strategies (Ellram and Tate, 2016). </w:t>
      </w:r>
    </w:p>
    <w:p w14:paraId="6A26154A" w14:textId="77777777" w:rsidR="00021785" w:rsidRDefault="00021785" w:rsidP="00021785">
      <w:r>
        <w:lastRenderedPageBreak/>
        <w:t>Recent empirical studies have tried to explain why and how supply chains adopt CE practices, looking at which specific pressures are most important in inducing organisations to take action. Initially, stricter environmental regulations were identified as a key factor (</w:t>
      </w:r>
      <w:proofErr w:type="spellStart"/>
      <w:r>
        <w:t>Geng</w:t>
      </w:r>
      <w:proofErr w:type="spellEnd"/>
      <w:r>
        <w:t xml:space="preserve"> et al., 2009; Mathews and Tan, 2011; Herczeg et al., 2018) in steering production and consumption systems towards a cleaner pathway, especially in contexts where economic planning plays a more prominent role.</w:t>
      </w:r>
    </w:p>
    <w:p w14:paraId="520BAA13" w14:textId="77777777" w:rsidR="00021785" w:rsidRDefault="00021785" w:rsidP="00021785">
      <w:r>
        <w:t>However, research argues that legislation alone is insufficient to enforce a systemic change within global supply chains (</w:t>
      </w:r>
      <w:proofErr w:type="spellStart"/>
      <w:r>
        <w:t>Ranta</w:t>
      </w:r>
      <w:proofErr w:type="spellEnd"/>
      <w:r>
        <w:t xml:space="preserve"> et al., 2018; Jain et al., 2020). Instead, a combination of institutional pressures is needed to drive the adoption of CE initiatives (</w:t>
      </w:r>
      <w:proofErr w:type="spellStart"/>
      <w:r>
        <w:t>Ranta</w:t>
      </w:r>
      <w:proofErr w:type="spellEnd"/>
      <w:r>
        <w:t xml:space="preserve"> et al., 2018). Along with legislation, normative and mimetic factors play an important role in driving isomorphic actions and the adoption of CE practices. Organisations may use CE approaches in their reporting to legitimise their position, attaching greater importance to standards, certifications, and industry best practices than to legislation (</w:t>
      </w:r>
      <w:proofErr w:type="spellStart"/>
      <w:r>
        <w:t>Dagiliene</w:t>
      </w:r>
      <w:proofErr w:type="spellEnd"/>
      <w:r>
        <w:t xml:space="preserve"> et al., 2020).</w:t>
      </w:r>
    </w:p>
    <w:p w14:paraId="0FB711AF" w14:textId="24886DDA" w:rsidR="002754D8" w:rsidRPr="00A9068C" w:rsidRDefault="00021785" w:rsidP="00021785">
      <w:r>
        <w:t>In addition to legitimacy reasons, organisations also adopt CE practices to increase their efficiency. The most important pressures depend on the level of market uncertainty and the presence of barriers. In detail, when uncertainty is high, the adoption of CE practices is expected to be driven more by legislative and mimetic factors, whereas when uncertainty is low, companies adopt CE practices to increase their efficiency (Do et al., 2022).</w:t>
      </w:r>
    </w:p>
    <w:p w14:paraId="6AE9CA91" w14:textId="2CD0ACE2" w:rsidR="002754D8" w:rsidRDefault="002754D8" w:rsidP="005035B4">
      <w:pPr>
        <w:pStyle w:val="Heading3"/>
      </w:pPr>
      <w:bookmarkStart w:id="156" w:name="_Toc157759534"/>
      <w:r w:rsidRPr="005A59E2">
        <w:t>The relationship between SCI and the adoption of CE practices</w:t>
      </w:r>
      <w:bookmarkEnd w:id="156"/>
    </w:p>
    <w:p w14:paraId="260D134A" w14:textId="77777777" w:rsidR="002754D8" w:rsidRPr="007B435F" w:rsidRDefault="002754D8" w:rsidP="002F7336">
      <w:r w:rsidRPr="007B435F">
        <w:t xml:space="preserve">In order to explain how supply chains are organised, </w:t>
      </w:r>
      <w:r>
        <w:t xml:space="preserve">the </w:t>
      </w:r>
      <w:r w:rsidRPr="007B435F">
        <w:t>SCM literature has widely employed the SCI concept. SCI involves a set of constructs including information exchange, the presence of collaborative activities, and the alignment of strategic interests with key suppliers and customers (</w:t>
      </w:r>
      <w:proofErr w:type="spellStart"/>
      <w:r w:rsidRPr="007B435F">
        <w:t>Frohlich</w:t>
      </w:r>
      <w:proofErr w:type="spellEnd"/>
      <w:r w:rsidRPr="007B435F">
        <w:t xml:space="preserve"> and Westbrook, 2001; </w:t>
      </w:r>
      <w:proofErr w:type="spellStart"/>
      <w:r w:rsidRPr="007B435F">
        <w:t>Leuschner</w:t>
      </w:r>
      <w:proofErr w:type="spellEnd"/>
      <w:r w:rsidRPr="007B435F">
        <w:t xml:space="preserve"> et al., 2013).</w:t>
      </w:r>
    </w:p>
    <w:p w14:paraId="5EA9C60A" w14:textId="77777777" w:rsidR="002754D8" w:rsidRPr="007B435F" w:rsidRDefault="002754D8" w:rsidP="002F7336">
      <w:r w:rsidRPr="007B435F">
        <w:t>Consider</w:t>
      </w:r>
      <w:r>
        <w:t xml:space="preserve">ing it </w:t>
      </w:r>
      <w:r w:rsidRPr="007B435F">
        <w:t xml:space="preserve">as a specific capability of firms, studies have highlighted SCI as an enabling factor </w:t>
      </w:r>
      <w:r>
        <w:t>in facilitating</w:t>
      </w:r>
      <w:r w:rsidRPr="007B435F">
        <w:t xml:space="preserve"> the adoption of sustainable practices, which can also interact with institutional pressures (</w:t>
      </w:r>
      <w:proofErr w:type="spellStart"/>
      <w:r w:rsidRPr="007B435F">
        <w:t>Sancha</w:t>
      </w:r>
      <w:proofErr w:type="spellEnd"/>
      <w:r w:rsidRPr="007B435F">
        <w:t xml:space="preserve"> et al., 2015). In the context of the transition to</w:t>
      </w:r>
      <w:r>
        <w:t xml:space="preserve">wards </w:t>
      </w:r>
      <w:r w:rsidRPr="007B435F">
        <w:t xml:space="preserve">a CE, the </w:t>
      </w:r>
      <w:r>
        <w:t>configuration of a supply chain</w:t>
      </w:r>
      <w:r w:rsidRPr="007B435F">
        <w:t xml:space="preserve"> plays a</w:t>
      </w:r>
      <w:r>
        <w:t xml:space="preserve"> critical </w:t>
      </w:r>
      <w:r w:rsidRPr="007B435F">
        <w:t xml:space="preserve">role in determining </w:t>
      </w:r>
      <w:r>
        <w:t>the ease with which</w:t>
      </w:r>
      <w:r w:rsidRPr="007B435F">
        <w:t xml:space="preserve"> CE practices can be diffused across it (Zhu et al., 2011). CE literature </w:t>
      </w:r>
      <w:r>
        <w:t>indicates</w:t>
      </w:r>
      <w:r w:rsidRPr="007B435F">
        <w:t xml:space="preserve"> that major obstacles to the transition to a CE can arise when companies have little influence </w:t>
      </w:r>
      <w:r>
        <w:t>over</w:t>
      </w:r>
      <w:r w:rsidRPr="007B435F">
        <w:t xml:space="preserve"> their fragmented and global supply chains (Berardi and de Brito, 2021), due to the misalignment of incentives and limited visibility beyond the first tier (Dou et al., 2018; </w:t>
      </w:r>
      <w:proofErr w:type="spellStart"/>
      <w:r w:rsidRPr="007B435F">
        <w:t>Mejías</w:t>
      </w:r>
      <w:proofErr w:type="spellEnd"/>
      <w:r w:rsidRPr="007B435F">
        <w:t xml:space="preserve"> et al., 2019). </w:t>
      </w:r>
      <w:r>
        <w:t>Addressing</w:t>
      </w:r>
      <w:r w:rsidRPr="007B435F">
        <w:t xml:space="preserve"> these barriers and improving ties between companies can support the adoption </w:t>
      </w:r>
      <w:r w:rsidRPr="007B435F">
        <w:lastRenderedPageBreak/>
        <w:t xml:space="preserve">of CE practices, </w:t>
      </w:r>
      <w:r>
        <w:t>as in</w:t>
      </w:r>
      <w:r w:rsidRPr="007B435F">
        <w:t xml:space="preserve"> the case of industrial symbiosis networks (Herczeg et al., 2018) or industrial districts (Bressanelli et al., 2022). In these contexts, participating organisations can significantly improve the level of coordinated planning</w:t>
      </w:r>
      <w:r>
        <w:t xml:space="preserve">; this can enable </w:t>
      </w:r>
      <w:r w:rsidRPr="007B435F">
        <w:t xml:space="preserve">them to identify and </w:t>
      </w:r>
      <w:r>
        <w:t>evaluate</w:t>
      </w:r>
      <w:r w:rsidRPr="007B435F">
        <w:t xml:space="preserve"> innovative ways </w:t>
      </w:r>
      <w:r>
        <w:t>of</w:t>
      </w:r>
      <w:r w:rsidRPr="007B435F">
        <w:t xml:space="preserve"> utilising their by-products while </w:t>
      </w:r>
      <w:r>
        <w:t>minimising</w:t>
      </w:r>
      <w:r w:rsidRPr="007B435F">
        <w:t xml:space="preserve"> uncertainty regarding the quality and quantity of waste (de Abreu and Ceglia, 2018; Herczeg et al., 2018).</w:t>
      </w:r>
    </w:p>
    <w:p w14:paraId="748FE3EE" w14:textId="4925A1E3" w:rsidR="002754D8" w:rsidRPr="002754D8" w:rsidRDefault="002754D8" w:rsidP="002F7336">
      <w:r>
        <w:t>Consequently</w:t>
      </w:r>
      <w:r w:rsidRPr="007B435F">
        <w:t xml:space="preserve">, inter-organisational collaboration in the supply chain is expected to </w:t>
      </w:r>
      <w:r>
        <w:t>facilitate</w:t>
      </w:r>
      <w:r w:rsidRPr="007B435F">
        <w:t xml:space="preserve"> the adoption of CE practices (</w:t>
      </w:r>
      <w:proofErr w:type="spellStart"/>
      <w:r w:rsidRPr="007B435F">
        <w:t>Cricelli</w:t>
      </w:r>
      <w:proofErr w:type="spellEnd"/>
      <w:r w:rsidRPr="007B435F">
        <w:t xml:space="preserve"> et al., 2021) and </w:t>
      </w:r>
      <w:r>
        <w:t>lead to</w:t>
      </w:r>
      <w:r w:rsidRPr="007B435F">
        <w:t xml:space="preserve"> a subsequent improvement in sustainability performance (</w:t>
      </w:r>
      <w:proofErr w:type="spellStart"/>
      <w:r w:rsidRPr="007B435F">
        <w:t>Sudusinghe</w:t>
      </w:r>
      <w:proofErr w:type="spellEnd"/>
      <w:r w:rsidRPr="007B435F">
        <w:t xml:space="preserve"> and Seuring, 2021). SCI can also mediate the </w:t>
      </w:r>
      <w:r>
        <w:t>impact</w:t>
      </w:r>
      <w:r w:rsidRPr="007B435F">
        <w:t xml:space="preserve"> of Industry 4.0 technologies on the improvement of CE performance (Di Maria </w:t>
      </w:r>
      <w:r>
        <w:t>and</w:t>
      </w:r>
      <w:r w:rsidRPr="007B435F">
        <w:t xml:space="preserve"> De </w:t>
      </w:r>
      <w:proofErr w:type="spellStart"/>
      <w:r w:rsidRPr="007B435F">
        <w:t>Marchi</w:t>
      </w:r>
      <w:proofErr w:type="spellEnd"/>
      <w:r w:rsidRPr="007B435F">
        <w:t>, 2022). Recent empirical studies have explored the influence of informati</w:t>
      </w:r>
      <w:r w:rsidRPr="00C1370F">
        <w:t>on sharing and knowledge transfer on the implementation of CE practices in supply chains</w:t>
      </w:r>
      <w:r>
        <w:t xml:space="preserve">, highlighting </w:t>
      </w:r>
      <w:r w:rsidRPr="00C1370F">
        <w:t xml:space="preserve">the </w:t>
      </w:r>
      <w:r>
        <w:t xml:space="preserve">potential role of </w:t>
      </w:r>
      <w:r w:rsidRPr="00C1370F">
        <w:t>establish</w:t>
      </w:r>
      <w:r>
        <w:t>ing</w:t>
      </w:r>
      <w:r w:rsidRPr="00C1370F">
        <w:t xml:space="preserve"> long-term oriented relationships and joint decision-making structures (Elia et al., 2020; Calzolari et al., 2021).</w:t>
      </w:r>
    </w:p>
    <w:p w14:paraId="4F280A5C" w14:textId="7CD028BC" w:rsidR="002754D8" w:rsidRPr="00947422" w:rsidRDefault="002754D8" w:rsidP="005035B4">
      <w:pPr>
        <w:pStyle w:val="Heading3"/>
      </w:pPr>
      <w:bookmarkStart w:id="157" w:name="_Toc157759535"/>
      <w:r w:rsidRPr="00947422">
        <w:t>A look at the state of the practice</w:t>
      </w:r>
      <w:bookmarkEnd w:id="157"/>
    </w:p>
    <w:p w14:paraId="4E2250A6" w14:textId="77777777" w:rsidR="002754D8" w:rsidRPr="00A9068C" w:rsidRDefault="002754D8" w:rsidP="002F7336">
      <w:r>
        <w:rPr>
          <w:lang w:val="en-US"/>
        </w:rPr>
        <w:t xml:space="preserve">Empirical research has recently sought to address the gap identified </w:t>
      </w:r>
      <w:r w:rsidRPr="00A9068C">
        <w:rPr>
          <w:lang w:val="en-US"/>
        </w:rPr>
        <w:t xml:space="preserve">by </w:t>
      </w:r>
      <w:r w:rsidRPr="00A9068C">
        <w:fldChar w:fldCharType="begin" w:fldLock="1"/>
      </w:r>
      <w:r w:rsidRPr="00A9068C">
        <w:instrText>ADDIN CSL_CITATION {"citationItems":[{"id":"ITEM-1","itemData":{"DOI":"10.1016/j.resconrec.2019.104480","ISSN":"18790658","author":[{"dropping-particle":"","family":"Kirchherr","given":"Julian","non-dropping-particle":"","parse-names":false,"suffix":""},{"dropping-particle":"","family":"Santen","given":"Ralf","non-dropping-particle":"van","parse-names":false,"suffix":""}],"container-title":"Resources, Conservation and Recycling","id":"ITEM-1","issue":"September","issued":{"date-parts":[["2019"]]},"page":"4-5","title":"Research on the circular economy: A critique of the field","type":"article-journal","volume":"151"},"uris":["http://www.mendeley.com/documents/?uuid=881ea84a-383a-4207-9955-c43276497161"]}],"mendeley":{"formattedCitation":"(Kirchherr &amp; van Santen, 2019)","manualFormatting":"Kirchherr &amp; van Santen (2019)","plainTextFormattedCitation":"(Kirchherr &amp; van Santen, 2019)","previouslyFormattedCitation":"(Kirchherr &amp; van Santen, 2019)"},"properties":{"noteIndex":0},"schema":"https://github.com/citation-style-language/schema/raw/master/csl-citation.json"}</w:instrText>
      </w:r>
      <w:r w:rsidRPr="00A9068C">
        <w:fldChar w:fldCharType="separate"/>
      </w:r>
      <w:r w:rsidRPr="00A9068C">
        <w:t xml:space="preserve">Kirchherr </w:t>
      </w:r>
      <w:r>
        <w:t>and</w:t>
      </w:r>
      <w:r w:rsidRPr="00A9068C">
        <w:t xml:space="preserve"> van Santen (2019)</w:t>
      </w:r>
      <w:r w:rsidRPr="00A9068C">
        <w:rPr>
          <w:lang w:val="en-US"/>
        </w:rPr>
        <w:fldChar w:fldCharType="end"/>
      </w:r>
      <w:r w:rsidRPr="00A9068C">
        <w:t xml:space="preserve"> </w:t>
      </w:r>
      <w:r>
        <w:t>by investigating</w:t>
      </w:r>
      <w:r w:rsidRPr="00A9068C">
        <w:t xml:space="preserve"> the adoption of CE practices in larger samples of companies </w:t>
      </w:r>
      <w:r w:rsidRPr="00A9068C">
        <w:fldChar w:fldCharType="begin" w:fldLock="1"/>
      </w:r>
      <w:r w:rsidRPr="00A9068C">
        <w:instrText>ADDIN CSL_CITATION {"citationItems":[{"id":"ITEM-1","itemData":{"DOI":"10.1016/j.jclepro.2019.05.044","ISSN":"09596526","abstract":"Much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adopt more circular business models. On the other hand, no significant evidence was found of any influence exerted by the drivers related to regulatory pressure, resource exploitation risks, and the pursuit of environmental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Production","id":"ITEM-1","issued":{"date-parts":[["2019"]]},"page":"314-327","publisher":"Elsevier Ltd","title":"Drivers and approaches to the circular economy in manufacturing firms","type":"article-journal","volume":"230"},"uris":["http://www.mendeley.com/documents/?uuid=dba2b38b-10ca-4ca4-9ac5-fec8ed7d491b"]},{"id":"ITEM-2","itemData":{"DOI":"10.1016/j.jclepro.2020.121968","ISSN":"09596526","abstract":"Today, economic activity is predominantly characterized by a linear transformation of natural resources to production, consumption, and (ultimately) to waste. The Circular Economy (CE) seeks to overcome this by promoting reduction, reuse, recycling, and recovery, but its reflection in the environmental reporting of manufacturing companies remains unclear. By applying neo-institutional theory, we seek to explain how institutional pressures affect environmental reporting from CE perspective. Qualitative content analysis and statistical methods (ANOVA and PCA) were employed to provide original empirical evidence from 226 large manufacturing companies from different industries in the European Union. We found that manufacturing companies, as might be not expected, seek to legitimate their own position and actions by reflecting institutional logics that are centered on normative factors and best practices rather than legislative requirements. We believe this is an important observation particularly for the standard settlers and professional bodies as sustainability reporting guidelines and third-parties assurances may act as facilitators of translating circular business practices into companies‘ reports. The results obtained can also be applied to corporate decision-making processes regarding creating or redesign of environmental performance measurement and the improvement of external reporting. Practitioners can compare the prevailing profiles of CE environmental reporting in the analyzed companies with the disclosure strategies they are applying. By improving reporting on CE, manufacturing companies can gain more legitimacy among others, shareholders, employees and society as a whole.","author":[{"dropping-particle":"","family":"Dagiliene","given":"Lina","non-dropping-particle":"","parse-names":false,"suffix":""},{"dropping-particle":"","family":"Frendzel","given":"Maciej","non-dropping-particle":"","parse-names":false,"suffix":""},{"dropping-particle":"","family":"Sutiene","given":"Kristina","non-dropping-particle":"","parse-names":false,"suffix":""},{"dropping-particle":"","family":"Wnuk-Pel","given":"Tomasz","non-dropping-particle":"","parse-names":false,"suffix":""}],"container-title":"Journal of Cleaner Production","id":"ITEM-2","issued":{"date-parts":[["2020"]]},"note":"very good limitations\nperiod of interest","page":"121968","publisher":"Elsevier Ltd","title":"Wise managers think about circular economy, wiser report and analyze it. Research of environmental reporting practices in EU manufacturing companies","type":"article-journal","volume":"274"},"uris":["http://www.mendeley.com/documents/?uuid=a642ba05-078a-48cc-8b09-9d9ea935e3d0"]},{"id":"ITEM-3","itemData":{"DOI":"10.1016/j.ijpe.2021.108216","ISSN":"09255273","author":[{"dropping-particle":"","family":"Cricelli","given":"Livio","non-dropping-particle":"","parse-names":false,"suffix":""},{"dropping-particle":"","family":"Greco","given":"Marco","non-dropping-particle":"","parse-names":false,"suffix":""},{"dropping-particle":"","family":"Grimaldi","given":"Michele","non-dropping-particle":"","parse-names":false,"suffix":""}],"container-title":"International Journal of Production Economics","id":"ITEM-3","issue":"June","issued":{"date-parts":[["2021"]]},"page":"108216","publisher":"Elsevier B.V.","title":"An investigation on the effect of inter-organizational collaboration on reverse logistics","type":"article-journal","volume":"240"},"uris":["http://www.mendeley.com/documents/?uuid=dffbf793-b04f-44c1-9bc5-7636913eaa3d"]}],"mendeley":{"formattedCitation":"(Gusmerotti et al., 2019; Dagiliene et al., 2020; Cricelli et al., 2021)","plainTextFormattedCitation":"(Gusmerotti et al., 2019; Dagiliene et al., 2020; Cricelli et al., 2021)","previouslyFormattedCitation":"(Gusmerotti et al., 2019; Dagiliene et al., 2020; Cricelli et al., 2021)"},"properties":{"noteIndex":0},"schema":"https://github.com/citation-style-language/schema/raw/master/csl-citation.json"}</w:instrText>
      </w:r>
      <w:r w:rsidRPr="00A9068C">
        <w:fldChar w:fldCharType="separate"/>
      </w:r>
      <w:r w:rsidRPr="00A9068C">
        <w:t>(Gusmerotti et al., 2019; Dagiliene et al., 2020; Cricelli et al., 2021)</w:t>
      </w:r>
      <w:r w:rsidRPr="00A9068C">
        <w:rPr>
          <w:lang w:val="en-US"/>
        </w:rPr>
        <w:fldChar w:fldCharType="end"/>
      </w:r>
      <w:r w:rsidRPr="00A9068C">
        <w:t xml:space="preserve">. Two papers have </w:t>
      </w:r>
      <w:r>
        <w:t>examined</w:t>
      </w:r>
      <w:r w:rsidRPr="00A9068C">
        <w:t xml:space="preserve"> </w:t>
      </w:r>
      <w:r>
        <w:t>the</w:t>
      </w:r>
      <w:r w:rsidRPr="00A9068C">
        <w:t xml:space="preserve"> role </w:t>
      </w:r>
      <w:r>
        <w:t xml:space="preserve">of </w:t>
      </w:r>
      <w:r w:rsidRPr="00A9068C">
        <w:t xml:space="preserve">SCI in the adoption of CE practices by </w:t>
      </w:r>
      <w:r>
        <w:t>analysing large datasets</w:t>
      </w:r>
      <w:r w:rsidRPr="00A9068C">
        <w:t xml:space="preserve"> of secondary data</w:t>
      </w:r>
      <w:r>
        <w:t xml:space="preserve"> </w:t>
      </w:r>
      <w:r w:rsidRPr="00A9068C">
        <w:t xml:space="preserve">to assess the </w:t>
      </w:r>
      <w:r>
        <w:t xml:space="preserve">current </w:t>
      </w:r>
      <w:r w:rsidRPr="00A9068C">
        <w:t xml:space="preserve">state of the practice </w:t>
      </w:r>
      <w:r w:rsidRPr="00A9068C">
        <w:fldChar w:fldCharType="begin" w:fldLock="1"/>
      </w:r>
      <w:r w:rsidRPr="00A9068C">
        <w:instrText>ADDIN CSL_CITATION {"citationItems":[{"id":"ITEM-1","itemData":{"DOI":"10.1016/j.jclepro.2021.127616","ISSN":"09596526","author":[{"dropping-particle":"","family":"Calzolari","given":"Tommaso","non-dropping-particle":"","parse-names":false,"suffix":""},{"dropping-particle":"","family":"Genovese","given":"Andrea","non-dropping-particle":"","parse-names":false,"suffix":""},{"dropping-particle":"","family":"Brint","given":"Andrew","non-dropping-particle":"","parse-names":false,"suffix":""}],"container-title":"Journal of Cleaner Production","id":"ITEM-1","issue":"November 2020","issued":{"date-parts":[["2021"]]},"page":"127616","publisher":"Elsevier Ltd","title":"The adoption of circular economy practices in supply chains – An assessment of European Multi-National Enterprises","type":"article-journal","volume":"312"},"uris":["http://www.mendeley.com/documents/?uuid=838718f9-19a1-4ef2-9bec-c6c091ab7ca0"]},{"id":"ITEM-2","itemData":{"DOI":"10.1016/j.jclepro.2020.122966","ISSN":"09596526","abstract":"The Circular Economy (CE) paradigm is gaining increasing attention from both researchers and practitioners in the manufacturing industry, as a way to realize a more sustainable use of natural resources. Academics are still trying to build theoretical foundation, working on a shared CE definition and investigating drivers, barriers and challenges. However, a specific analysis about how Supply Chains (SCs) are adopting CE strategies is still missing. This work is an attempt to fill this gap through an empirical analysis of a sample of 98 companies that declare to have started CE initiatives. The aim is to analyze the relationship between the level of SC integration and the adopted CE strategies (e.g. the number of objectives pursued, the life cycle phases impacted by CE). A sample of companies, which have declared to adopt CE strategies in their organizations, has been analyzed in order to extract knowledge from the industrial field. Although the sample in analysis is limited, some feedbacks can be outlined. The developed statistical analysis shows that: (i) there is a strict correlation between the level of external integration applied by the company and the number of CE objectives pursued; (ii) a higher SC integration might lead to a higher number of product/service LC phases impacted; (iii) the integration level has also an influence on the presence of impacts in the LC phases. This output could suggest that an effective CE adoption requires involving more value-added activities, usually controlled by different actors in the SC. A final discussion outlines the main highlights of this research.","author":[{"dropping-particle":"","family":"Elia","given":"Valerio","non-dropping-particle":"","parse-names":false,"suffix":""},{"dropping-particle":"","family":"Gnoni","given":"Maria Grazia","non-dropping-particle":"","parse-names":false,"suffix":""},{"dropping-particle":"","family":"Tornese","given":"Fabiana","non-dropping-particle":"","parse-names":false,"suffix":""}],"container-title":"Journal of Cleaner Production","id":"ITEM-2","issued":{"date-parts":[["2020"]]},"page":"122966","publisher":"Elsevier Ltd","title":"Evaluating the adoption of circular economy practices in industrial supply chains: An empirical analysis","type":"article-journal","volume":"273"},"uris":["http://www.mendeley.com/documents/?uuid=c75b7866-c407-48fe-8680-474353cd1bc6"]}],"mendeley":{"formattedCitation":"(Elia et al., 2020; Calzolari et al., 2021)","plainTextFormattedCitation":"(Elia et al., 2020; Calzolari et al., 2021)","previouslyFormattedCitation":"(Elia et al., 2020; Calzolari et al., 2021)"},"properties":{"noteIndex":0},"schema":"https://github.com/citation-style-language/schema/raw/master/csl-citation.json"}</w:instrText>
      </w:r>
      <w:r w:rsidRPr="00A9068C">
        <w:fldChar w:fldCharType="separate"/>
      </w:r>
      <w:r w:rsidRPr="00A9068C">
        <w:t>(Elia et al., 2020; Calzolari et al., 2021)</w:t>
      </w:r>
      <w:r w:rsidRPr="00A9068C">
        <w:rPr>
          <w:lang w:val="en-US"/>
        </w:rPr>
        <w:fldChar w:fldCharType="end"/>
      </w:r>
      <w:r w:rsidRPr="00A9068C">
        <w:t xml:space="preserve">, reaching similar conclusions. </w:t>
      </w:r>
    </w:p>
    <w:p w14:paraId="157CD95B" w14:textId="02DBBD6D" w:rsidR="002754D8" w:rsidRPr="00A9068C" w:rsidRDefault="002754D8" w:rsidP="00021785">
      <w:r w:rsidRPr="00A9068C">
        <w:t xml:space="preserve">The first analysis </w:t>
      </w:r>
      <w:r>
        <w:t>focuses</w:t>
      </w:r>
      <w:r w:rsidRPr="00A9068C">
        <w:t xml:space="preserve"> on 98 </w:t>
      </w:r>
      <w:r>
        <w:t>companies participating in</w:t>
      </w:r>
      <w:r w:rsidRPr="00A9068C">
        <w:t xml:space="preserve"> the CE100 program</w:t>
      </w:r>
      <w:r w:rsidRPr="00A9068C">
        <w:rPr>
          <w:vertAlign w:val="superscript"/>
        </w:rPr>
        <w:footnoteReference w:id="13"/>
      </w:r>
      <w:r w:rsidRPr="00A9068C">
        <w:t xml:space="preserve"> </w:t>
      </w:r>
      <w:r w:rsidRPr="00A9068C">
        <w:fldChar w:fldCharType="begin" w:fldLock="1"/>
      </w:r>
      <w:r w:rsidRPr="00A9068C">
        <w:instrText>ADDIN CSL_CITATION {"citationItems":[{"id":"ITEM-1","itemData":{"DOI":"10.1016/j.jclepro.2020.122966","ISSN":"09596526","abstract":"The Circular Economy (CE) paradigm is gaining increasing attention from both researchers and practitioners in the manufacturing industry, as a way to realize a more sustainable use of natural resources. Academics are still trying to build theoretical foundation, working on a shared CE definition and investigating drivers, barriers and challenges. However, a specific analysis about how Supply Chains (SCs) are adopting CE strategies is still missing. This work is an attempt to fill this gap through an empirical analysis of a sample of 98 companies that declare to have started CE initiatives. The aim is to analyze the relationship between the level of SC integration and the adopted CE strategies (e.g. the number of objectives pursued, the life cycle phases impacted by CE). A sample of companies, which have declared to adopt CE strategies in their organizations, has been analyzed in order to extract knowledge from the industrial field. Although the sample in analysis is limited, some feedbacks can be outlined. The developed statistical analysis shows that: (i) there is a strict correlation between the level of external integration applied by the company and the number of CE objectives pursued; (ii) a higher SC integration might lead to a higher number of product/service LC phases impacted; (iii) the integration level has also an influence on the presence of impacts in the LC phases. This output could suggest that an effective CE adoption requires involving more value-added activities, usually controlled by different actors in the SC. A final discussion outlines the main highlights of this research.","author":[{"dropping-particle":"","family":"Elia","given":"Valerio","non-dropping-particle":"","parse-names":false,"suffix":""},{"dropping-particle":"","family":"Gnoni","given":"Maria Grazia","non-dropping-particle":"","parse-names":false,"suffix":""},{"dropping-particle":"","family":"Tornese","given":"Fabiana","non-dropping-particle":"","parse-names":false,"suffix":""}],"container-title":"Journal of Cleaner Production","id":"ITEM-1","issued":{"date-parts":[["2020"]]},"page":"122966","publisher":"Elsevier Ltd","title":"Evaluating the adoption of circular economy practices in industrial supply chains: An empirical analysis","type":"article-journal","volume":"273"},"uris":["http://www.mendeley.com/documents/?uuid=c75b7866-c407-48fe-8680-474353cd1bc6"]}],"mendeley":{"formattedCitation":"(Elia et al., 2020)","plainTextFormattedCitation":"(Elia et al., 2020)","previouslyFormattedCitation":"(Elia et al., 2020)"},"properties":{"noteIndex":0},"schema":"https://github.com/citation-style-language/schema/raw/master/csl-citation.json"}</w:instrText>
      </w:r>
      <w:r w:rsidRPr="00A9068C">
        <w:fldChar w:fldCharType="separate"/>
      </w:r>
      <w:r w:rsidRPr="00A9068C">
        <w:t>(Elia et al., 2020)</w:t>
      </w:r>
      <w:r w:rsidRPr="00A9068C">
        <w:rPr>
          <w:lang w:val="en-US"/>
        </w:rPr>
        <w:fldChar w:fldCharType="end"/>
      </w:r>
      <w:r w:rsidRPr="00A9068C">
        <w:t xml:space="preserve">. These organisations are </w:t>
      </w:r>
      <w:r>
        <w:t>considered leading</w:t>
      </w:r>
      <w:r w:rsidRPr="00A9068C">
        <w:t xml:space="preserve"> first movers</w:t>
      </w:r>
      <w:r>
        <w:t xml:space="preserve"> in the adoption of </w:t>
      </w:r>
      <w:r w:rsidRPr="00A9068C">
        <w:t xml:space="preserve">CE-driven innovation. </w:t>
      </w:r>
      <w:r>
        <w:t xml:space="preserve">The companies are classified based on the </w:t>
      </w:r>
      <w:r w:rsidRPr="00A9068C">
        <w:t xml:space="preserve">CE objectives </w:t>
      </w:r>
      <w:r>
        <w:t>they pursue</w:t>
      </w:r>
      <w:r w:rsidRPr="00A9068C">
        <w:t xml:space="preserve"> (</w:t>
      </w:r>
      <w:r>
        <w:t>such as</w:t>
      </w:r>
      <w:r w:rsidRPr="00A9068C">
        <w:t xml:space="preserve"> reducing inputs and </w:t>
      </w:r>
      <w:r>
        <w:t xml:space="preserve">the </w:t>
      </w:r>
      <w:r w:rsidRPr="00A9068C">
        <w:t xml:space="preserve">use of natural resources, </w:t>
      </w:r>
      <w:r>
        <w:t>and lowering</w:t>
      </w:r>
      <w:r w:rsidRPr="00A9068C">
        <w:t xml:space="preserve"> emission levels), </w:t>
      </w:r>
      <w:r>
        <w:t xml:space="preserve">the </w:t>
      </w:r>
      <w:r w:rsidRPr="00A9068C">
        <w:t xml:space="preserve">life cycle phases </w:t>
      </w:r>
      <w:r>
        <w:t>they affect</w:t>
      </w:r>
      <w:r w:rsidRPr="00A9068C">
        <w:t xml:space="preserve"> (e.g., material input, design, production, consumption, end-of-life)</w:t>
      </w:r>
      <w:r>
        <w:t>,</w:t>
      </w:r>
      <w:r w:rsidRPr="00A9068C">
        <w:t xml:space="preserve"> and </w:t>
      </w:r>
      <w:r>
        <w:t>the</w:t>
      </w:r>
      <w:r w:rsidRPr="00A9068C">
        <w:t xml:space="preserve"> practices </w:t>
      </w:r>
      <w:r>
        <w:t xml:space="preserve">they implement </w:t>
      </w:r>
      <w:r w:rsidRPr="00A9068C">
        <w:t>(e.g., circular product design and production, business models, cascade/reverse cycle skills, cross</w:t>
      </w:r>
      <w:r>
        <w:t>-</w:t>
      </w:r>
      <w:r w:rsidRPr="00A9068C">
        <w:t>cycle, and cross</w:t>
      </w:r>
      <w:r>
        <w:t>-</w:t>
      </w:r>
      <w:r w:rsidRPr="00A9068C">
        <w:t xml:space="preserve">sector collaboration). </w:t>
      </w:r>
      <w:r>
        <w:t xml:space="preserve">The authors examine the extent to which </w:t>
      </w:r>
      <w:r w:rsidRPr="00A9068C">
        <w:t>the level of SCI is correlated to the adoption of CE practices and objectives, defining clusters of organisations characterised by similar levels of integration (single</w:t>
      </w:r>
      <w:r>
        <w:t>-</w:t>
      </w:r>
      <w:r w:rsidRPr="00A9068C">
        <w:t xml:space="preserve">tier integration, multi-tier integration, full integration). A higher level of SCI is </w:t>
      </w:r>
      <w:r w:rsidRPr="00A9068C">
        <w:lastRenderedPageBreak/>
        <w:t xml:space="preserve">positively </w:t>
      </w:r>
      <w:r>
        <w:t xml:space="preserve">associated with </w:t>
      </w:r>
      <w:r w:rsidRPr="00A9068C">
        <w:t xml:space="preserve">the number of CE objectives pursued, the number of product/services </w:t>
      </w:r>
      <w:r w:rsidR="00021785" w:rsidRPr="00021785">
        <w:t>life-cycle analysis (LCA)</w:t>
      </w:r>
      <w:r w:rsidRPr="00A9068C">
        <w:t xml:space="preserve"> phases impacted,</w:t>
      </w:r>
      <w:r>
        <w:t xml:space="preserve"> and </w:t>
      </w:r>
      <w:r w:rsidRPr="00A9068C">
        <w:t xml:space="preserve">the impact of </w:t>
      </w:r>
      <w:r>
        <w:t xml:space="preserve">the organisations’ </w:t>
      </w:r>
      <w:r w:rsidRPr="00A9068C">
        <w:t xml:space="preserve">actions. </w:t>
      </w:r>
    </w:p>
    <w:p w14:paraId="1909AE63" w14:textId="110F1851" w:rsidR="007A6AFA" w:rsidRDefault="007A6AFA" w:rsidP="007A6AFA">
      <w:r>
        <w:t>The conceptual framework proposed by Calzolari et al. (2021) (Figure 1) was based on the development and analysis of a database from a sample of 50 European MNEs. The CE practices were categorised according to the level of implementation (identifying five incremental implementation stages), and the involvement of supply chain partners (distinguishing between internal CE practices and Circular Supply Chain practices). Also, CE practices were distinguished according to their types, referring to different R-imperatives, referring to recent classifications introduced by the European Commission (2020):</w:t>
      </w:r>
    </w:p>
    <w:p w14:paraId="34B0B48D" w14:textId="0390B4A6" w:rsidR="007A6AFA" w:rsidRPr="007A6AFA" w:rsidRDefault="007A6AFA" w:rsidP="007A6AFA">
      <w:pPr>
        <w:pStyle w:val="Bulletedlist"/>
        <w:rPr>
          <w:rFonts w:ascii="Garamond" w:hAnsi="Garamond"/>
        </w:rPr>
      </w:pPr>
      <w:r w:rsidRPr="007A6AFA">
        <w:rPr>
          <w:rFonts w:ascii="Garamond" w:hAnsi="Garamond"/>
        </w:rPr>
        <w:t xml:space="preserve">Reduce: products are innovated in order to decrease overall resource consumption, also rethinking and redefining their functions </w:t>
      </w:r>
    </w:p>
    <w:p w14:paraId="3C33FCD0" w14:textId="3987CD92" w:rsidR="007A6AFA" w:rsidRPr="007A6AFA" w:rsidRDefault="007A6AFA" w:rsidP="007A6AFA">
      <w:pPr>
        <w:pStyle w:val="Bulletedlist"/>
        <w:rPr>
          <w:rFonts w:ascii="Garamond" w:hAnsi="Garamond"/>
        </w:rPr>
      </w:pPr>
      <w:r w:rsidRPr="007A6AFA">
        <w:rPr>
          <w:rFonts w:ascii="Garamond" w:hAnsi="Garamond"/>
        </w:rPr>
        <w:t xml:space="preserve">Reuse: products’ lifecycles are extended through repairing, preventive maintenance, and refurbishing actions; products and components can then be reutilised according to their original functions. </w:t>
      </w:r>
    </w:p>
    <w:p w14:paraId="3176936D" w14:textId="0F576FD0" w:rsidR="007A6AFA" w:rsidRPr="007A6AFA" w:rsidRDefault="007A6AFA" w:rsidP="007A6AFA">
      <w:pPr>
        <w:pStyle w:val="Bulletedlist"/>
        <w:rPr>
          <w:rFonts w:ascii="Garamond" w:hAnsi="Garamond"/>
        </w:rPr>
      </w:pPr>
      <w:r w:rsidRPr="007A6AFA">
        <w:rPr>
          <w:rFonts w:ascii="Garamond" w:hAnsi="Garamond"/>
        </w:rPr>
        <w:t xml:space="preserve">Recycle: end-of-life products, parts, components, and materials are reprocessed in order to manufacture new products, parts, components, and materials. </w:t>
      </w:r>
    </w:p>
    <w:p w14:paraId="2D028A99" w14:textId="0221BCDD" w:rsidR="007A6AFA" w:rsidRPr="007A6AFA" w:rsidRDefault="007A6AFA" w:rsidP="007A6AFA">
      <w:pPr>
        <w:pStyle w:val="Bulletedlist"/>
        <w:rPr>
          <w:rFonts w:ascii="Garamond" w:hAnsi="Garamond"/>
        </w:rPr>
      </w:pPr>
      <w:r w:rsidRPr="007A6AFA">
        <w:rPr>
          <w:rFonts w:ascii="Garamond" w:hAnsi="Garamond"/>
        </w:rPr>
        <w:t xml:space="preserve">Recover: energy is recovered from by-products or waste, either directly or through the production of alternative fuels. </w:t>
      </w:r>
    </w:p>
    <w:p w14:paraId="558BECCB" w14:textId="2F9B13F0" w:rsidR="007A6AFA" w:rsidRPr="007A6AFA" w:rsidRDefault="007A6AFA" w:rsidP="007A6AFA">
      <w:pPr>
        <w:pStyle w:val="Bulletedlist"/>
        <w:rPr>
          <w:rFonts w:ascii="Garamond" w:hAnsi="Garamond"/>
        </w:rPr>
      </w:pPr>
      <w:r w:rsidRPr="007A6AFA">
        <w:rPr>
          <w:rFonts w:ascii="Garamond" w:hAnsi="Garamond"/>
        </w:rPr>
        <w:t>Renewable energy &amp; Resource efficiency: incremental efficiency improvements of production or logistics processes are sought, or renewables as a source of energy are adopted. In any case, linear flows of materials are not challenged.</w:t>
      </w:r>
    </w:p>
    <w:p w14:paraId="71F82BBF" w14:textId="77777777" w:rsidR="007A6AFA" w:rsidRDefault="007A6AFA" w:rsidP="007A6AFA">
      <w:r>
        <w:t>SCI was measured using the International Manufacturing Strategy Survey (IMSS) measurement items (i.e., sharing information with key suppliers/customers, joint decision-making, collaborative approaches, and system coupling) (Wiengarten and Longoni, 2015). According to the findings, the level of adoption of CE practices is aligned with the level of integration with supply chain partners. Thus, supply chains that exhibit higher levels of SCI demonstrate greater adoption of both internal CE practices and Circular Supply Chain practices compared to less integrated supply chains.</w:t>
      </w:r>
    </w:p>
    <w:p w14:paraId="58B343FC" w14:textId="77777777" w:rsidR="007A6AFA" w:rsidRDefault="007A6AFA" w:rsidP="007A6AFA">
      <w:r>
        <w:t xml:space="preserve">To summarise, both existing studies that have examined the relationship between SCI and the adoption of CE practices suggest a more systematic adoption of CE practices in MNEs’ </w:t>
      </w:r>
      <w:r>
        <w:lastRenderedPageBreak/>
        <w:t>supply chains. High levels of SCI appear to be a key characteristic of organisations that have adopted more practices at higher levels of implementation, as well as companies that have planned to take more actions and have more objectives (Bressanelli et al., 2020; Elia et al., 2020). Considering the need to redesign business operations to accommodate the adoption of CE practices, a higher level of supply chain integration has a direct impact on the number of product life-cycle phases impacted (Elia et al., 2020)</w:t>
      </w:r>
      <w:proofErr w:type="gramStart"/>
      <w:r>
        <w:t>.</w:t>
      </w:r>
      <w:proofErr w:type="gramEnd"/>
      <w:r>
        <w:t xml:space="preserve"> This level of integration allows to tackle challenges throughout the entire lifespan of a product as well as to open avenues for identifying opportunities and exploring innovative ways for material recovery and reuse, repair and maintenance services, and developing circular business models.</w:t>
      </w:r>
    </w:p>
    <w:p w14:paraId="358CAF7C" w14:textId="7043EF4A" w:rsidR="002754D8" w:rsidRDefault="007A6AFA" w:rsidP="007A6AFA">
      <w:r>
        <w:t>These analyses also align with the literature that criticises the limitations of incumbent organisations’ CE approach, which often adopts a reductionist interpretation (</w:t>
      </w:r>
      <w:proofErr w:type="spellStart"/>
      <w:r>
        <w:t>Ranta</w:t>
      </w:r>
      <w:proofErr w:type="spellEnd"/>
      <w:r>
        <w:t xml:space="preserve"> et al., 2018; Calzolari et al., 2021). Such a reductionist perspective corresponds to the deliberate oversight of reduce and reuse practices, due to need for deeper re-design of current business models, which could have a direct effect on the sales of new products (e.g., the reduction in future sales due to the manufacturing of products that are easier to repair) and overall growth objectives of organisations (Calzolari et al., 2021). Most of the actions focus on end-of-life material recovery and recycling, with less attention given to product reuse or truly circular business models.</w:t>
      </w:r>
    </w:p>
    <w:p w14:paraId="19935345" w14:textId="77777777" w:rsidR="002754D8" w:rsidRDefault="002754D8" w:rsidP="00B81916">
      <w:pPr>
        <w:jc w:val="center"/>
      </w:pPr>
      <w:r>
        <w:rPr>
          <w:noProof/>
          <w:lang w:eastAsia="zh-CN"/>
        </w:rPr>
        <w:drawing>
          <wp:inline distT="0" distB="0" distL="0" distR="0" wp14:anchorId="72C2B757" wp14:editId="33006EDB">
            <wp:extent cx="5297805" cy="293351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5441" cy="2943276"/>
                    </a:xfrm>
                    <a:prstGeom prst="rect">
                      <a:avLst/>
                    </a:prstGeom>
                    <a:noFill/>
                  </pic:spPr>
                </pic:pic>
              </a:graphicData>
            </a:graphic>
          </wp:inline>
        </w:drawing>
      </w:r>
    </w:p>
    <w:p w14:paraId="247F2CB4" w14:textId="77777777" w:rsidR="002754D8" w:rsidRDefault="002754D8" w:rsidP="002F7336">
      <w:pPr>
        <w:pStyle w:val="Figurecaption"/>
      </w:pPr>
      <w:r w:rsidRPr="007B435F">
        <w:t>Figure 1 – The initial framework that facilitated discussions in the interviews</w:t>
      </w:r>
    </w:p>
    <w:p w14:paraId="3DE2C08B" w14:textId="698E1029" w:rsidR="002754D8" w:rsidRDefault="002754D8" w:rsidP="005035B4">
      <w:pPr>
        <w:pStyle w:val="Heading3"/>
      </w:pPr>
      <w:bookmarkStart w:id="158" w:name="_heading=h.pv1ux0n95ou" w:colFirst="0" w:colLast="0"/>
      <w:bookmarkStart w:id="159" w:name="_Toc157759536"/>
      <w:bookmarkEnd w:id="158"/>
      <w:r>
        <w:lastRenderedPageBreak/>
        <w:t>Development of research questions</w:t>
      </w:r>
      <w:bookmarkEnd w:id="159"/>
    </w:p>
    <w:p w14:paraId="5786911A" w14:textId="77777777" w:rsidR="00E35123" w:rsidRPr="00E35123" w:rsidRDefault="00E35123" w:rsidP="00E35123">
      <w:r w:rsidRPr="00E35123">
        <w:t>While some studies are starting to examine the relationship between institutional pressures and the adoption of CE practices, little is known regarding how these pressures are exemplified in the context of firms’ operations (</w:t>
      </w:r>
      <w:proofErr w:type="spellStart"/>
      <w:r w:rsidRPr="00E35123">
        <w:t>Arranz</w:t>
      </w:r>
      <w:proofErr w:type="spellEnd"/>
      <w:r w:rsidRPr="00E35123">
        <w:t xml:space="preserve"> et al., 2022). While some publications have included Circular Economy (CE) and institutional pressures (IPs) in the same conceptual framework, they have not directly explored their relationship (Bag and Pretorius, 2022; Bag et al., 2022). Other studies have conceptualised CE as a performance construct that does not reflect any intention to implement specific CE practices (Jain et al., 2020). The first research gap this paper aims to address is getting an understanding of how IPs affect the adoption of CE practices by companies, also aiming at clarifying the various roles played by different categories of pressures.</w:t>
      </w:r>
    </w:p>
    <w:p w14:paraId="607979FF" w14:textId="77777777" w:rsidR="00E35123" w:rsidRPr="00E35123" w:rsidRDefault="00E35123" w:rsidP="00E35123">
      <w:r w:rsidRPr="00E35123">
        <w:t>On the other hand, the SCI concept was developed according to the traditional linear thinking of SCM around inputs (suppliers) and outputs (customers), which entails a forward physical flow of deliveries from suppliers to customers and a backward flow of information in the form of orders (</w:t>
      </w:r>
      <w:proofErr w:type="spellStart"/>
      <w:r w:rsidRPr="00E35123">
        <w:t>Frohlich</w:t>
      </w:r>
      <w:proofErr w:type="spellEnd"/>
      <w:r w:rsidRPr="00E35123">
        <w:t xml:space="preserve"> and Westbrook, 2001). The introduction of new actors such as waste collectors and remanufacturers in circular supply networks has added a layer of complexity as the direction and type of these flows significantly differ (</w:t>
      </w:r>
      <w:proofErr w:type="spellStart"/>
      <w:r w:rsidRPr="00E35123">
        <w:t>Braz</w:t>
      </w:r>
      <w:proofErr w:type="spellEnd"/>
      <w:r w:rsidRPr="00E35123">
        <w:t xml:space="preserve"> and de Mello, 2022). This controversy highlights the need for further exploratory research, rather than delving immediately into some hypothesis testing. Given also that the link between SCI with performance improvement is becoming unclear (</w:t>
      </w:r>
      <w:proofErr w:type="spellStart"/>
      <w:r w:rsidRPr="00E35123">
        <w:t>Braz</w:t>
      </w:r>
      <w:proofErr w:type="spellEnd"/>
      <w:r w:rsidRPr="00E35123">
        <w:t xml:space="preserve"> and de Mello, 2022), the initial evidence about the link to CE practices adoption deserves further investigation. In detail, this study will attempt to provide some insights into the ways that SCI can drive the adoption of CE practices, highlighting the need for supply chain visibility and transparency, as well as the important role of key suppliers and customers.</w:t>
      </w:r>
    </w:p>
    <w:p w14:paraId="45E9292E" w14:textId="003168CE" w:rsidR="00E35123" w:rsidRPr="00E35123" w:rsidRDefault="00E35123" w:rsidP="00E35123">
      <w:r w:rsidRPr="00E35123">
        <w:t xml:space="preserve">     The conceptual framework proposed by Calzolari et al. (2021) was centred around the idea that institutional pressures are driving the adoption of CE practices, while higher levels of integration with suppliers and customers can magnify the effect of IPs on supply chains. However, this framework was developed using a mainly deductive process applied to the analysis of secondary data. Therefore, this paper aims to deepen and enhance the initial work of Calzolari et al. (2021) through the analysis of primary data, in order to address the following research questions:</w:t>
      </w:r>
    </w:p>
    <w:p w14:paraId="1CDDB622" w14:textId="77777777" w:rsidR="00E35123" w:rsidRPr="00E35123" w:rsidRDefault="00E35123" w:rsidP="00E35123">
      <w:pPr>
        <w:pStyle w:val="ListParagraph"/>
        <w:numPr>
          <w:ilvl w:val="0"/>
          <w:numId w:val="15"/>
        </w:numPr>
        <w:rPr>
          <w:rFonts w:eastAsiaTheme="minorHAnsi" w:cstheme="minorBidi"/>
        </w:rPr>
      </w:pPr>
      <w:r w:rsidRPr="00E35123">
        <w:rPr>
          <w:rFonts w:eastAsiaTheme="minorHAnsi" w:cstheme="minorBidi"/>
        </w:rPr>
        <w:lastRenderedPageBreak/>
        <w:t>RQ1: How can institutional pressures drive the adoption of CE practices, and to what extent? Are certain types of pressures more relevant than others?</w:t>
      </w:r>
    </w:p>
    <w:p w14:paraId="711D16BB" w14:textId="00A109D3" w:rsidR="002754D8" w:rsidRDefault="00E35123" w:rsidP="00E35123">
      <w:pPr>
        <w:pStyle w:val="ListParagraph"/>
        <w:numPr>
          <w:ilvl w:val="0"/>
          <w:numId w:val="15"/>
        </w:numPr>
      </w:pPr>
      <w:r w:rsidRPr="00E35123">
        <w:rPr>
          <w:rFonts w:eastAsiaTheme="minorHAnsi" w:cstheme="minorBidi"/>
        </w:rPr>
        <w:t>RQ2: What role, if any, does supply chain integration play in the relationship between institutional pressures and the adoption of CE practices?</w:t>
      </w:r>
    </w:p>
    <w:p w14:paraId="41EBF028" w14:textId="77777777" w:rsidR="002754D8" w:rsidRDefault="002754D8" w:rsidP="005035B4">
      <w:pPr>
        <w:pStyle w:val="Heading2"/>
      </w:pPr>
      <w:bookmarkStart w:id="160" w:name="_Toc157759537"/>
      <w:r>
        <w:t>Method</w:t>
      </w:r>
      <w:bookmarkEnd w:id="160"/>
    </w:p>
    <w:p w14:paraId="1368FF4F" w14:textId="77777777" w:rsidR="002754D8" w:rsidRDefault="002754D8" w:rsidP="002F7336">
      <w:pPr>
        <w:rPr>
          <w:color w:val="FF0000"/>
        </w:rPr>
      </w:pPr>
      <w:r w:rsidRPr="00A9068C">
        <w:t xml:space="preserve">In order to address the research questions, a qualitative approach was adopted (Figure 2). This choice was related to the need for direct involvement of stakeholders in the investigation, given that </w:t>
      </w:r>
      <w:r>
        <w:t xml:space="preserve">the </w:t>
      </w:r>
      <w:r w:rsidRPr="00A9068C">
        <w:t>previous relevant studies have been mainly based on secondary data. Also, a qualitative approach is particularly suitable to the exploratory nature of the research questions</w:t>
      </w:r>
      <w:r>
        <w:t xml:space="preserve"> as it </w:t>
      </w:r>
      <w:r w:rsidRPr="00A9068C">
        <w:t>can provide new knowledge on the relationship among these concepts</w:t>
      </w:r>
      <w:r w:rsidRPr="00E253F5">
        <w:rPr>
          <w:color w:val="FF0000"/>
        </w:rPr>
        <w:t xml:space="preserve">. </w:t>
      </w:r>
    </w:p>
    <w:p w14:paraId="3E1725D5" w14:textId="77777777" w:rsidR="002754D8" w:rsidRPr="00951859" w:rsidRDefault="002754D8" w:rsidP="002F7336">
      <w:r w:rsidRPr="00951859">
        <w:t xml:space="preserve">In particular, a </w:t>
      </w:r>
      <w:r w:rsidRPr="00951859">
        <w:rPr>
          <w:i/>
        </w:rPr>
        <w:t>Delphi-like</w:t>
      </w:r>
      <w:r w:rsidRPr="00951859">
        <w:t xml:space="preserve"> approach was employed, in order to elicit knowledge from a panel of qualified experts. Delphi studies allow access to experts’ opinions in a structured manner and </w:t>
      </w:r>
      <w:r>
        <w:t>enable the</w:t>
      </w:r>
      <w:r w:rsidRPr="00951859">
        <w:t xml:space="preserve"> rank</w:t>
      </w:r>
      <w:r>
        <w:t>ing</w:t>
      </w:r>
      <w:r w:rsidRPr="00951859">
        <w:t xml:space="preserve"> and prioritis</w:t>
      </w:r>
      <w:r>
        <w:t>ation of</w:t>
      </w:r>
      <w:r w:rsidRPr="00951859">
        <w:t xml:space="preserve"> key issues for management action (</w:t>
      </w:r>
      <w:proofErr w:type="spellStart"/>
      <w:r w:rsidRPr="00951859">
        <w:t>Okoli</w:t>
      </w:r>
      <w:proofErr w:type="spellEnd"/>
      <w:r w:rsidRPr="00951859">
        <w:t xml:space="preserve"> and </w:t>
      </w:r>
      <w:proofErr w:type="spellStart"/>
      <w:r w:rsidRPr="00951859">
        <w:t>Pawlowski</w:t>
      </w:r>
      <w:proofErr w:type="spellEnd"/>
      <w:r w:rsidRPr="00951859">
        <w:t xml:space="preserve">, 2004; Schmidt, 2001). This study incorporates the key characteristics and aspects of a Delphi study, such as the structured selection of experts, the multi-round nature with </w:t>
      </w:r>
      <w:r>
        <w:t>multiple</w:t>
      </w:r>
      <w:r w:rsidRPr="00951859">
        <w:t xml:space="preserve"> interaction</w:t>
      </w:r>
      <w:r>
        <w:t>s</w:t>
      </w:r>
      <w:r w:rsidRPr="00951859">
        <w:t>, and the final validation stage through</w:t>
      </w:r>
      <w:r>
        <w:t xml:space="preserve"> a</w:t>
      </w:r>
      <w:r w:rsidRPr="00951859">
        <w:t xml:space="preserve"> workshop. Its objective is to gather and prioritise experts</w:t>
      </w:r>
      <w:r>
        <w:t>’</w:t>
      </w:r>
      <w:r w:rsidRPr="00951859">
        <w:t xml:space="preserve"> opinions in order to fine-tune a conceptual framework (</w:t>
      </w:r>
      <w:proofErr w:type="spellStart"/>
      <w:r w:rsidRPr="00951859">
        <w:t>Okoli</w:t>
      </w:r>
      <w:proofErr w:type="spellEnd"/>
      <w:r w:rsidRPr="00951859">
        <w:t xml:space="preserve"> and </w:t>
      </w:r>
      <w:proofErr w:type="spellStart"/>
      <w:r w:rsidRPr="00951859">
        <w:t>Pawlowski</w:t>
      </w:r>
      <w:proofErr w:type="spellEnd"/>
      <w:r w:rsidRPr="00951859">
        <w:t xml:space="preserve">, 2004). Group-wide discussions were organised where experts could </w:t>
      </w:r>
      <w:r>
        <w:t>provide feedback</w:t>
      </w:r>
      <w:r w:rsidRPr="00951859">
        <w:t xml:space="preserve"> on the most common codes and emerging issues.</w:t>
      </w:r>
    </w:p>
    <w:p w14:paraId="191335B2" w14:textId="77777777" w:rsidR="002754D8" w:rsidRPr="006B156C" w:rsidRDefault="002754D8" w:rsidP="002F7336">
      <w:pPr>
        <w:rPr>
          <w:color w:val="FF0000"/>
        </w:rPr>
      </w:pPr>
      <w:r w:rsidRPr="00A9068C">
        <w:t>In the first subsection, we describe how</w:t>
      </w:r>
      <w:r>
        <w:t xml:space="preserve"> </w:t>
      </w:r>
      <w:r w:rsidRPr="00A9068C">
        <w:t xml:space="preserve">data was collected </w:t>
      </w:r>
      <w:r>
        <w:t>through the different rounds of the Delphi-like study,</w:t>
      </w:r>
      <w:r w:rsidRPr="00A9068C">
        <w:t xml:space="preserve"> and in the second one, the analysis process.</w:t>
      </w:r>
    </w:p>
    <w:p w14:paraId="3CCC919C" w14:textId="62AA3014" w:rsidR="002754D8" w:rsidRDefault="002754D8" w:rsidP="005035B4">
      <w:pPr>
        <w:pStyle w:val="Heading3"/>
      </w:pPr>
      <w:bookmarkStart w:id="161" w:name="_Toc157759538"/>
      <w:r>
        <w:t>Design of the Delphi-like study</w:t>
      </w:r>
      <w:bookmarkEnd w:id="161"/>
    </w:p>
    <w:p w14:paraId="0EFAD947" w14:textId="3734BE13" w:rsidR="002754D8" w:rsidRDefault="002754D8" w:rsidP="002F7336">
      <w:r w:rsidRPr="007B435F">
        <w:t xml:space="preserve">We selected participants for their knowledge of the research problem, either theoretical or practical/managerial. All </w:t>
      </w:r>
      <w:r>
        <w:t xml:space="preserve">rounds of </w:t>
      </w:r>
      <w:r w:rsidRPr="007B435F">
        <w:t xml:space="preserve">interviews were completed between February 2021 and February 2022. Most of the interviews were held online using the Google Meet platform, with only four taking place in person. The duration ranged from 30 minutes to 1 hour and 30 minutes, with </w:t>
      </w:r>
      <w:r w:rsidRPr="00EB3A48">
        <w:rPr>
          <w:color w:val="000000" w:themeColor="text1"/>
        </w:rPr>
        <w:t xml:space="preserve">at least one interaction </w:t>
      </w:r>
      <w:r w:rsidRPr="007B435F">
        <w:t>with each interviewee.</w:t>
      </w:r>
      <w:r w:rsidRPr="001254EF">
        <w:t xml:space="preserve"> </w:t>
      </w:r>
      <w:r>
        <w:t xml:space="preserve">In total, 30 international experts were interviewed in the study (see Appendix </w:t>
      </w:r>
      <w:r w:rsidR="00602B25">
        <w:t>5</w:t>
      </w:r>
      <w:r>
        <w:t xml:space="preserve">A for the full list). </w:t>
      </w:r>
      <w:r w:rsidRPr="007B435F">
        <w:t>Where participants agreed, the interviews were recorded and were subsequently transcribed and analysed</w:t>
      </w:r>
      <w:r>
        <w:t>.</w:t>
      </w:r>
      <w:r w:rsidRPr="007B435F">
        <w:t xml:space="preserve"> </w:t>
      </w:r>
      <w:r>
        <w:t>O</w:t>
      </w:r>
      <w:r w:rsidRPr="007B435F">
        <w:t xml:space="preserve">therwise, notes were taken during the interview. An executive summary of the transcription </w:t>
      </w:r>
      <w:r w:rsidRPr="007B435F">
        <w:lastRenderedPageBreak/>
        <w:t xml:space="preserve">was sent to each participant in order to validate our interpretation of the answers (Saunders, 2019). </w:t>
      </w:r>
    </w:p>
    <w:p w14:paraId="486E36D5" w14:textId="7BA2FCE6" w:rsidR="002754D8" w:rsidRPr="007B435F" w:rsidRDefault="002754D8" w:rsidP="006E014C">
      <w:r>
        <w:t>We used p</w:t>
      </w:r>
      <w:r w:rsidRPr="007B435F">
        <w:t>urposive sampling, adding a new interviewee until no new themes were emerging (Saunders, 2019). Participants from different backgrounds were chosen</w:t>
      </w:r>
      <w:r>
        <w:t xml:space="preserve"> to avoid</w:t>
      </w:r>
      <w:r w:rsidRPr="007B435F">
        <w:t xml:space="preserve"> </w:t>
      </w:r>
      <w:r>
        <w:t>reaching</w:t>
      </w:r>
      <w:r w:rsidRPr="007B435F">
        <w:t xml:space="preserve"> saturation too early. </w:t>
      </w:r>
      <w:r w:rsidR="006E014C" w:rsidRPr="006E014C">
        <w:t xml:space="preserve">In total, 12 participants from academia and 18 from industry were interviewed across the rounds in the Delphi-like study; detailed information about the participants’ profiles is provided in Appendix A. As CE is a multi-disciplinary concept, academics had a wide range of expertise, with most having a SCM background, given the clear link of the phenomenon under investigation to CSCs. However, scholars from Strategic Management, Corporate Social Responsibility, Economics and Innovation were also involved. Practitioners came from diverse contexts, with representatives from both MNEs and SMEs invited, across many sectors such as manufacturing, agri-food, logistics, and services; for industrial participants, the level of engagement with CE principles of their organisation is also provided in Appendix </w:t>
      </w:r>
      <w:r w:rsidR="006E014C">
        <w:t>5</w:t>
      </w:r>
      <w:r w:rsidR="006E014C" w:rsidRPr="006E014C">
        <w:t>A.</w:t>
      </w:r>
    </w:p>
    <w:p w14:paraId="473A7281" w14:textId="77777777" w:rsidR="002754D8" w:rsidRPr="00EB3A48" w:rsidRDefault="002754D8" w:rsidP="002F7336">
      <w:r w:rsidRPr="00EB3A48">
        <w:t>The research background and the variables involved were introduced to the participants before the interview</w:t>
      </w:r>
      <w:r>
        <w:t>s</w:t>
      </w:r>
      <w:r w:rsidRPr="00EB3A48">
        <w:t xml:space="preserve"> began. In the first round (R1), participants were invited to respond to some general statements regarding the relationships between existing variables. Responses to statements were measured using a 3-point Likert scale (support, partially support, reject). Participants were also encouraged to briefly mention any other important aspects missing in the framework, provide criticisms, and suggest improvement points for the model. This initial phase allowed for the establishment of a first level of agreement on the relationships within the framework and generated a ranked list of the main criticisms. </w:t>
      </w:r>
    </w:p>
    <w:p w14:paraId="284792A3" w14:textId="0CE098CB" w:rsidR="002754D8" w:rsidRPr="00EB3A48" w:rsidRDefault="002754D8" w:rsidP="006E014C">
      <w:r w:rsidRPr="00EB3A48">
        <w:t xml:space="preserve">In the second round (R2), the same research problem was explored through semi-structured interviews in a qualitative way. The objective of this phase was to uncover the nature of the relationships in the </w:t>
      </w:r>
      <w:r w:rsidR="006E014C">
        <w:t>framework</w:t>
      </w:r>
      <w:r w:rsidRPr="00EB3A48">
        <w:t>. Participants were asked to comment further on their agreement/disagreement points on R1 with anecdotal examples to demonstrate their points. Questions had a pre-established order and were open-ended, and participants were allowed to offer additional insights, altering the pre-determined flow of the questions</w:t>
      </w:r>
      <w:r w:rsidR="006E014C">
        <w:t xml:space="preserve"> (see Appendix 5B)</w:t>
      </w:r>
      <w:r w:rsidRPr="00EB3A48">
        <w:t xml:space="preserve">. New ideas were welcomed, and practical examples were incentivised. All the raised ideas and points were narrowed down again through content analysis, as explained in sub-section 3.2. </w:t>
      </w:r>
    </w:p>
    <w:p w14:paraId="501676B1" w14:textId="77777777" w:rsidR="002754D8" w:rsidRDefault="002754D8" w:rsidP="00B81916">
      <w:pPr>
        <w:jc w:val="center"/>
      </w:pPr>
      <w:r>
        <w:rPr>
          <w:noProof/>
          <w:lang w:eastAsia="zh-CN"/>
        </w:rPr>
        <w:lastRenderedPageBreak/>
        <w:drawing>
          <wp:inline distT="0" distB="0" distL="0" distR="0" wp14:anchorId="32A990EA" wp14:editId="2E29342E">
            <wp:extent cx="5448935" cy="255182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61341" cy="2557638"/>
                    </a:xfrm>
                    <a:prstGeom prst="rect">
                      <a:avLst/>
                    </a:prstGeom>
                    <a:noFill/>
                  </pic:spPr>
                </pic:pic>
              </a:graphicData>
            </a:graphic>
          </wp:inline>
        </w:drawing>
      </w:r>
    </w:p>
    <w:p w14:paraId="08D440C4" w14:textId="784049BD" w:rsidR="002754D8" w:rsidRDefault="002754D8" w:rsidP="00B81916">
      <w:pPr>
        <w:pStyle w:val="Figurecaption"/>
      </w:pPr>
      <w:r>
        <w:t>Figure 2 – Research method stages (adapted from De Lima et al., 2022)</w:t>
      </w:r>
    </w:p>
    <w:p w14:paraId="22EBCAB3" w14:textId="07EFB789" w:rsidR="00BA28AC" w:rsidRPr="00EB3A48" w:rsidRDefault="00BA28AC" w:rsidP="00BA28AC">
      <w:r w:rsidRPr="00EB3A48">
        <w:t>In the third round (R3), the final categorisation resulting from R2 was improved and validated. A workshop was organised with a total of 8 experts</w:t>
      </w:r>
      <w:r>
        <w:t xml:space="preserve"> (3 practitioners and 5 academics, see Appendix </w:t>
      </w:r>
      <w:r w:rsidR="00602B25">
        <w:t>5</w:t>
      </w:r>
      <w:r>
        <w:t>A)</w:t>
      </w:r>
      <w:r w:rsidRPr="00EB3A48">
        <w:t xml:space="preserve"> to facilitate group-wide discussion and reach a final agreement. Experts helped evaluate the framework and suggested adding a third level of aggregation of concepts to link the different concepts that emerged to theory. A revised qualitative conceptual framework links the different points that emerged from R1 and R2. The results were also presented at two academic conferences, allowing for further validation.</w:t>
      </w:r>
    </w:p>
    <w:p w14:paraId="51C55839" w14:textId="052CB9EC" w:rsidR="002754D8" w:rsidRDefault="002754D8" w:rsidP="005035B4">
      <w:pPr>
        <w:pStyle w:val="Heading3"/>
      </w:pPr>
      <w:bookmarkStart w:id="162" w:name="_Toc157759539"/>
      <w:r>
        <w:t>Interview data analysis</w:t>
      </w:r>
      <w:bookmarkEnd w:id="162"/>
    </w:p>
    <w:p w14:paraId="6FB30B17" w14:textId="77777777" w:rsidR="00F57376" w:rsidRDefault="00F57376" w:rsidP="00F57376">
      <w:r>
        <w:t>A template analysis approach was employed (King and Brooks, 2018) to analyse transcribed interview data from the different rounds. A six-step approach (Figure 3) was adopted, in line with previous qualitative studies (</w:t>
      </w:r>
      <w:proofErr w:type="spellStart"/>
      <w:r>
        <w:t>Rindova</w:t>
      </w:r>
      <w:proofErr w:type="spellEnd"/>
      <w:r>
        <w:t xml:space="preserve"> et al., 2011; Bressanelli et al., 2022; Wang et al., 2022). Interviews were first transcribed into textual data, and codes were then developed from such textual data using NVivo. As per template analysis guidelines, the approach was not entirely inductive, as some pre-defined themes were also used. Codes were initially assigned to existing general themes in the initial template (institutional pressures, supply chain integration and Circular Economy practices). This initial template was used as a starting point, with the objective of organising text, better visualising Empirical Observations (EO) associated with each of the general themes, and capturing the complexity of the qualitative information obtained from the interviews.  </w:t>
      </w:r>
    </w:p>
    <w:p w14:paraId="2DF98967" w14:textId="42BD5FF3" w:rsidR="002754D8" w:rsidRDefault="00F57376" w:rsidP="00F57376">
      <w:r>
        <w:t xml:space="preserve">Through a clustering process, themes were further developed into more complex Conceptual Categories (CC, second-order themes) emerging from the Empirical Observations (EO). </w:t>
      </w:r>
      <w:r>
        <w:lastRenderedPageBreak/>
        <w:t>Initial themes and associated codes were grouped according to their similarity through an inductive process and assigned to one or more second-order themes. Second-order themes were then refined to avoid repetition. Finally, second-order themes were grouped into Aggregated Dimensions (AD, third-order themes), which highlighted how groups of Conceptual Categories are linked and relevant for the theory.</w:t>
      </w:r>
    </w:p>
    <w:p w14:paraId="5918F801" w14:textId="77777777" w:rsidR="002754D8" w:rsidRDefault="002754D8" w:rsidP="00B81916">
      <w:pPr>
        <w:jc w:val="center"/>
      </w:pPr>
      <w:r>
        <w:rPr>
          <w:noProof/>
          <w:lang w:eastAsia="zh-CN"/>
        </w:rPr>
        <w:drawing>
          <wp:inline distT="0" distB="0" distL="0" distR="0" wp14:anchorId="7DC39403" wp14:editId="531225FC">
            <wp:extent cx="2260600" cy="170406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6755" cy="1708704"/>
                    </a:xfrm>
                    <a:prstGeom prst="rect">
                      <a:avLst/>
                    </a:prstGeom>
                    <a:noFill/>
                  </pic:spPr>
                </pic:pic>
              </a:graphicData>
            </a:graphic>
          </wp:inline>
        </w:drawing>
      </w:r>
    </w:p>
    <w:p w14:paraId="2DEF120F" w14:textId="77777777" w:rsidR="002754D8" w:rsidRPr="00653244" w:rsidRDefault="002754D8" w:rsidP="00B81916">
      <w:pPr>
        <w:pStyle w:val="Figurecaption"/>
        <w:rPr>
          <w:lang w:val="fr-FR"/>
        </w:rPr>
      </w:pPr>
      <w:r w:rsidRPr="00653244">
        <w:rPr>
          <w:lang w:val="fr-FR"/>
        </w:rPr>
        <w:t xml:space="preserve">Figure 3 – Content </w:t>
      </w:r>
      <w:r w:rsidRPr="00EA6F7E">
        <w:t>analysis</w:t>
      </w:r>
      <w:r>
        <w:rPr>
          <w:lang w:val="fr-FR"/>
        </w:rPr>
        <w:t xml:space="preserve"> </w:t>
      </w:r>
      <w:r w:rsidRPr="00653244">
        <w:rPr>
          <w:lang w:val="fr-FR"/>
        </w:rPr>
        <w:t>stages</w:t>
      </w:r>
    </w:p>
    <w:p w14:paraId="47949F2B" w14:textId="48AA783F" w:rsidR="002754D8" w:rsidRPr="00653244" w:rsidRDefault="002754D8" w:rsidP="005035B4">
      <w:pPr>
        <w:pStyle w:val="Heading3"/>
        <w:rPr>
          <w:lang w:val="fr-FR"/>
        </w:rPr>
      </w:pPr>
      <w:bookmarkStart w:id="163" w:name="_Toc157759540"/>
      <w:r w:rsidRPr="00653244">
        <w:rPr>
          <w:lang w:val="fr-FR"/>
        </w:rPr>
        <w:t>Final validation</w:t>
      </w:r>
      <w:bookmarkEnd w:id="163"/>
    </w:p>
    <w:p w14:paraId="2BAB06AB" w14:textId="77777777" w:rsidR="002754D8" w:rsidRDefault="002754D8" w:rsidP="002F7336">
      <w:r w:rsidRPr="00FD1808">
        <w:t>Finally, the results of the content analysis were presented</w:t>
      </w:r>
      <w:r>
        <w:t xml:space="preserve"> in a workshop in front of a panel of eight experts who provided feedback and helped improve the categorisation process and connect it with theory. In this phase, third-order themes were improved. </w:t>
      </w:r>
    </w:p>
    <w:p w14:paraId="343F00E5" w14:textId="77777777" w:rsidR="002754D8" w:rsidRDefault="002754D8" w:rsidP="005035B4">
      <w:pPr>
        <w:pStyle w:val="Heading2"/>
      </w:pPr>
      <w:bookmarkStart w:id="164" w:name="_Toc157759541"/>
      <w:r>
        <w:t>Findings</w:t>
      </w:r>
      <w:bookmarkEnd w:id="164"/>
    </w:p>
    <w:p w14:paraId="023518AA" w14:textId="253C8DC7" w:rsidR="002754D8" w:rsidRDefault="002754D8" w:rsidP="005035B4">
      <w:pPr>
        <w:pStyle w:val="Heading3"/>
      </w:pPr>
      <w:bookmarkStart w:id="165" w:name="_Toc157759542"/>
      <w:r>
        <w:t>Preliminary Observations: Round 1</w:t>
      </w:r>
      <w:bookmarkEnd w:id="165"/>
    </w:p>
    <w:p w14:paraId="49FFD20D" w14:textId="77777777" w:rsidR="002754D8" w:rsidRPr="00AF3C7E" w:rsidRDefault="002754D8" w:rsidP="002F7336">
      <w:r w:rsidRPr="00AF3C7E">
        <w:t xml:space="preserve">In the initial phase of the Delphi-like </w:t>
      </w:r>
      <w:r>
        <w:t>study</w:t>
      </w:r>
      <w:r w:rsidRPr="00AF3C7E">
        <w:t xml:space="preserve">, experts were asked some preliminary questions concerning the relationship among the identified constructs. </w:t>
      </w:r>
      <w:r>
        <w:t>The results</w:t>
      </w:r>
      <w:r w:rsidRPr="00AF3C7E">
        <w:t xml:space="preserve"> of this process are reporte</w:t>
      </w:r>
      <w:r>
        <w:t>d in Figure 4. In particular, 22</w:t>
      </w:r>
      <w:r w:rsidRPr="00AF3C7E">
        <w:t xml:space="preserve"> experts supported the idea that IPs are a major driver and include most of the motivations behind the adoption of CE practices. Six of them partially supported this view, stating that there might be some other internal or external drivers to be considered. The remaining two expressed doubts </w:t>
      </w:r>
      <w:r>
        <w:t>about</w:t>
      </w:r>
      <w:r w:rsidRPr="00AF3C7E">
        <w:t xml:space="preserve"> the assumption that there is a relationship between institutional pressures and CE practices. </w:t>
      </w:r>
    </w:p>
    <w:p w14:paraId="2AD9DA2A" w14:textId="77777777" w:rsidR="002754D8" w:rsidRDefault="002754D8" w:rsidP="00B81916">
      <w:pPr>
        <w:jc w:val="center"/>
      </w:pPr>
      <w:r>
        <w:rPr>
          <w:noProof/>
          <w:lang w:eastAsia="zh-CN"/>
        </w:rPr>
        <w:lastRenderedPageBreak/>
        <w:drawing>
          <wp:inline distT="0" distB="0" distL="0" distR="0" wp14:anchorId="7A4807CA" wp14:editId="385FC905">
            <wp:extent cx="5280352" cy="3200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0392" cy="3206485"/>
                    </a:xfrm>
                    <a:prstGeom prst="rect">
                      <a:avLst/>
                    </a:prstGeom>
                    <a:noFill/>
                  </pic:spPr>
                </pic:pic>
              </a:graphicData>
            </a:graphic>
          </wp:inline>
        </w:drawing>
      </w:r>
    </w:p>
    <w:p w14:paraId="029336A8" w14:textId="3ABE06AC" w:rsidR="002754D8" w:rsidRDefault="002754D8" w:rsidP="002F7336">
      <w:pPr>
        <w:pStyle w:val="Figurecaption"/>
      </w:pPr>
      <w:r>
        <w:t xml:space="preserve">Figure 4 – Overview of the results </w:t>
      </w:r>
    </w:p>
    <w:p w14:paraId="345411A5" w14:textId="77777777" w:rsidR="00F64705" w:rsidRPr="00AF3C7E" w:rsidRDefault="00F64705" w:rsidP="00F64705">
      <w:r>
        <w:t>24</w:t>
      </w:r>
      <w:r w:rsidRPr="00AF3C7E">
        <w:t xml:space="preserve"> experts agreed that SCI should be viewed independently from pressures and that it has the capacity </w:t>
      </w:r>
      <w:r>
        <w:t>to influence</w:t>
      </w:r>
      <w:r w:rsidRPr="00AF3C7E">
        <w:t xml:space="preserve"> the ability of a company to adopt CE practices</w:t>
      </w:r>
      <w:r>
        <w:t>. Six of them had a different view. Despite agreeing that SCI plays a key role, they claimed that there might be a relationship between IPs and SCI.</w:t>
      </w:r>
      <w:r w:rsidRPr="00AF3C7E">
        <w:t xml:space="preserve"> Experts also identified further important aspects to be considered (Table </w:t>
      </w:r>
      <w:r>
        <w:t>1</w:t>
      </w:r>
      <w:r w:rsidRPr="00AF3C7E">
        <w:t xml:space="preserve">). </w:t>
      </w:r>
    </w:p>
    <w:p w14:paraId="64A483C0" w14:textId="77777777" w:rsidR="002754D8" w:rsidRDefault="002754D8" w:rsidP="002F7336">
      <w:pPr>
        <w:pStyle w:val="Figurecaption"/>
      </w:pPr>
      <w:r>
        <w:t>Table 1 – Main critiques to the initial framework</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3"/>
        <w:gridCol w:w="4301"/>
        <w:gridCol w:w="1458"/>
      </w:tblGrid>
      <w:tr w:rsidR="006E4625" w:rsidRPr="006E4625" w14:paraId="7C3573F3" w14:textId="77777777" w:rsidTr="00116B90">
        <w:trPr>
          <w:trHeight w:val="274"/>
        </w:trPr>
        <w:tc>
          <w:tcPr>
            <w:tcW w:w="2883" w:type="dxa"/>
            <w:tcBorders>
              <w:top w:val="single" w:sz="4" w:space="0" w:color="000000"/>
              <w:left w:val="single" w:sz="4" w:space="0" w:color="000000"/>
              <w:bottom w:val="single" w:sz="4" w:space="0" w:color="000000"/>
              <w:right w:val="single" w:sz="4" w:space="0" w:color="000000"/>
            </w:tcBorders>
            <w:shd w:val="clear" w:color="auto" w:fill="auto"/>
          </w:tcPr>
          <w:p w14:paraId="1956B675" w14:textId="77777777" w:rsidR="006E4625" w:rsidRPr="006E4625" w:rsidRDefault="006E4625" w:rsidP="00B81916">
            <w:pPr>
              <w:pStyle w:val="Tabletext"/>
            </w:pPr>
            <w:r w:rsidRPr="006E4625">
              <w:t>Proposition</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2EA26392" w14:textId="77777777" w:rsidR="006E4625" w:rsidRPr="006E4625" w:rsidRDefault="006E4625" w:rsidP="00B81916">
            <w:pPr>
              <w:pStyle w:val="Tabletext"/>
            </w:pPr>
            <w:r w:rsidRPr="006E4625">
              <w:t>Critique</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26D2B34E" w14:textId="77777777" w:rsidR="006E4625" w:rsidRPr="006E4625" w:rsidRDefault="006E4625" w:rsidP="00B81916">
            <w:pPr>
              <w:pStyle w:val="Tabletext"/>
            </w:pPr>
            <w:r w:rsidRPr="006E4625">
              <w:t>Frequency</w:t>
            </w:r>
          </w:p>
        </w:tc>
      </w:tr>
      <w:tr w:rsidR="006E4625" w:rsidRPr="006E4625" w14:paraId="7090D586" w14:textId="77777777" w:rsidTr="00116B90">
        <w:trPr>
          <w:trHeight w:val="274"/>
        </w:trPr>
        <w:tc>
          <w:tcPr>
            <w:tcW w:w="2883" w:type="dxa"/>
            <w:vMerge w:val="restart"/>
            <w:tcBorders>
              <w:top w:val="single" w:sz="4" w:space="0" w:color="000000"/>
              <w:left w:val="single" w:sz="4" w:space="0" w:color="000000"/>
              <w:right w:val="single" w:sz="4" w:space="0" w:color="000000"/>
            </w:tcBorders>
            <w:shd w:val="clear" w:color="auto" w:fill="auto"/>
          </w:tcPr>
          <w:p w14:paraId="29AE2F75" w14:textId="77777777" w:rsidR="006E4625" w:rsidRPr="006E4625" w:rsidRDefault="006E4625" w:rsidP="00B81916">
            <w:pPr>
              <w:pStyle w:val="Tabletext"/>
            </w:pPr>
            <w:r w:rsidRPr="006E4625">
              <w:t>IPs drive the adoption of CE practices</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1A5F70DA" w14:textId="77777777" w:rsidR="006E4625" w:rsidRPr="006E4625" w:rsidRDefault="006E4625" w:rsidP="00B81916">
            <w:pPr>
              <w:pStyle w:val="Tabletext"/>
            </w:pPr>
            <w:r w:rsidRPr="006E4625">
              <w:t>There are other internal drivers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5A790A66" w14:textId="77777777" w:rsidR="006E4625" w:rsidRPr="006E4625" w:rsidRDefault="006E4625" w:rsidP="00B81916">
            <w:pPr>
              <w:pStyle w:val="Tabletext"/>
            </w:pPr>
            <w:r w:rsidRPr="006E4625">
              <w:t>6/30</w:t>
            </w:r>
          </w:p>
        </w:tc>
      </w:tr>
      <w:tr w:rsidR="006E4625" w:rsidRPr="006E4625" w14:paraId="0C5AD472" w14:textId="77777777" w:rsidTr="00116B90">
        <w:trPr>
          <w:trHeight w:val="274"/>
        </w:trPr>
        <w:tc>
          <w:tcPr>
            <w:tcW w:w="2883" w:type="dxa"/>
            <w:vMerge/>
            <w:tcBorders>
              <w:top w:val="single" w:sz="4" w:space="0" w:color="000000"/>
              <w:left w:val="single" w:sz="4" w:space="0" w:color="000000"/>
              <w:right w:val="single" w:sz="4" w:space="0" w:color="000000"/>
            </w:tcBorders>
            <w:shd w:val="clear" w:color="auto" w:fill="auto"/>
          </w:tcPr>
          <w:p w14:paraId="7F5C7A26" w14:textId="77777777" w:rsidR="006E4625" w:rsidRPr="006E4625" w:rsidRDefault="006E4625" w:rsidP="00B81916">
            <w:pPr>
              <w:pStyle w:val="Tabletext"/>
            </w:pP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19C70968" w14:textId="77777777" w:rsidR="006E4625" w:rsidRPr="006E4625" w:rsidRDefault="006E4625" w:rsidP="00B81916">
            <w:pPr>
              <w:pStyle w:val="Tabletext"/>
            </w:pPr>
            <w:r w:rsidRPr="006E4625">
              <w:t>There are other external drivers</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03C0892A" w14:textId="77777777" w:rsidR="006E4625" w:rsidRPr="006E4625" w:rsidRDefault="006E4625" w:rsidP="00B81916">
            <w:pPr>
              <w:pStyle w:val="Tabletext"/>
            </w:pPr>
            <w:r w:rsidRPr="006E4625">
              <w:t>6/30</w:t>
            </w:r>
          </w:p>
        </w:tc>
      </w:tr>
      <w:tr w:rsidR="006E4625" w:rsidRPr="006E4625" w14:paraId="76CA5A77" w14:textId="77777777" w:rsidTr="00116B90">
        <w:trPr>
          <w:trHeight w:val="274"/>
        </w:trPr>
        <w:tc>
          <w:tcPr>
            <w:tcW w:w="2883" w:type="dxa"/>
            <w:vMerge/>
            <w:tcBorders>
              <w:top w:val="single" w:sz="4" w:space="0" w:color="000000"/>
              <w:left w:val="single" w:sz="4" w:space="0" w:color="000000"/>
              <w:right w:val="single" w:sz="4" w:space="0" w:color="000000"/>
            </w:tcBorders>
            <w:shd w:val="clear" w:color="auto" w:fill="auto"/>
          </w:tcPr>
          <w:p w14:paraId="1394D822" w14:textId="77777777" w:rsidR="006E4625" w:rsidRPr="006E4625" w:rsidRDefault="006E4625" w:rsidP="00B81916">
            <w:pPr>
              <w:pStyle w:val="Tabletext"/>
            </w:pP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5034451A" w14:textId="77777777" w:rsidR="006E4625" w:rsidRPr="006E4625" w:rsidRDefault="006E4625" w:rsidP="00B81916">
            <w:pPr>
              <w:pStyle w:val="Tabletext"/>
            </w:pPr>
            <w:r w:rsidRPr="006E4625">
              <w:t>There is no influence of institutional pressures on CE adoption</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004BCB7E" w14:textId="77777777" w:rsidR="006E4625" w:rsidRPr="006E4625" w:rsidRDefault="006E4625" w:rsidP="00B81916">
            <w:pPr>
              <w:pStyle w:val="Tabletext"/>
            </w:pPr>
            <w:r w:rsidRPr="006E4625">
              <w:t>2/30</w:t>
            </w:r>
          </w:p>
        </w:tc>
      </w:tr>
      <w:tr w:rsidR="006E4625" w:rsidRPr="006E4625" w14:paraId="74A47F78" w14:textId="77777777" w:rsidTr="00116B90">
        <w:trPr>
          <w:trHeight w:val="274"/>
        </w:trPr>
        <w:tc>
          <w:tcPr>
            <w:tcW w:w="2883" w:type="dxa"/>
            <w:vMerge w:val="restart"/>
            <w:tcBorders>
              <w:top w:val="single" w:sz="4" w:space="0" w:color="000000"/>
              <w:left w:val="single" w:sz="4" w:space="0" w:color="000000"/>
              <w:right w:val="single" w:sz="4" w:space="0" w:color="000000"/>
            </w:tcBorders>
            <w:shd w:val="clear" w:color="auto" w:fill="auto"/>
          </w:tcPr>
          <w:p w14:paraId="4BFD8230" w14:textId="77777777" w:rsidR="006E4625" w:rsidRPr="006E4625" w:rsidRDefault="006E4625" w:rsidP="00B81916">
            <w:pPr>
              <w:pStyle w:val="Tabletext"/>
            </w:pPr>
            <w:r w:rsidRPr="006E4625">
              <w:t>SCI is a moderator in that relationship</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57785682" w14:textId="77777777" w:rsidR="006E4625" w:rsidRPr="006E4625" w:rsidRDefault="006E4625" w:rsidP="00B81916">
            <w:pPr>
              <w:pStyle w:val="Tabletext"/>
            </w:pPr>
            <w:r w:rsidRPr="006E4625">
              <w:t>There is a relationship between IPs and SCI</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3E9BA8B8" w14:textId="77777777" w:rsidR="006E4625" w:rsidRPr="006E4625" w:rsidRDefault="006E4625" w:rsidP="00B81916">
            <w:pPr>
              <w:pStyle w:val="Tabletext"/>
            </w:pPr>
            <w:r w:rsidRPr="006E4625">
              <w:t>2/30</w:t>
            </w:r>
          </w:p>
        </w:tc>
      </w:tr>
      <w:tr w:rsidR="006E4625" w:rsidRPr="006E4625" w14:paraId="71EFF37C" w14:textId="77777777" w:rsidTr="00116B90">
        <w:trPr>
          <w:trHeight w:val="274"/>
        </w:trPr>
        <w:tc>
          <w:tcPr>
            <w:tcW w:w="2883" w:type="dxa"/>
            <w:vMerge/>
            <w:tcBorders>
              <w:top w:val="single" w:sz="4" w:space="0" w:color="000000"/>
              <w:left w:val="single" w:sz="4" w:space="0" w:color="000000"/>
              <w:right w:val="single" w:sz="4" w:space="0" w:color="000000"/>
            </w:tcBorders>
            <w:shd w:val="clear" w:color="auto" w:fill="auto"/>
          </w:tcPr>
          <w:p w14:paraId="65BB1C9F" w14:textId="77777777" w:rsidR="006E4625" w:rsidRPr="006E4625" w:rsidRDefault="006E4625" w:rsidP="00B81916">
            <w:pPr>
              <w:pStyle w:val="Tabletext"/>
            </w:pP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5645EDAE" w14:textId="77777777" w:rsidR="006E4625" w:rsidRPr="006E4625" w:rsidRDefault="006E4625" w:rsidP="00B81916">
            <w:pPr>
              <w:pStyle w:val="Tabletext"/>
            </w:pPr>
            <w:r w:rsidRPr="006E4625">
              <w:t xml:space="preserve">Adoption of CE has a feedback effect on SCI </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53BC17F5" w14:textId="77777777" w:rsidR="006E4625" w:rsidRPr="006E4625" w:rsidRDefault="006E4625" w:rsidP="00B81916">
            <w:pPr>
              <w:pStyle w:val="Tabletext"/>
            </w:pPr>
            <w:r w:rsidRPr="006E4625">
              <w:t>2/30</w:t>
            </w:r>
          </w:p>
        </w:tc>
      </w:tr>
      <w:tr w:rsidR="006E4625" w:rsidRPr="006E4625" w14:paraId="782D91AD" w14:textId="77777777" w:rsidTr="00116B90">
        <w:trPr>
          <w:trHeight w:val="274"/>
        </w:trPr>
        <w:tc>
          <w:tcPr>
            <w:tcW w:w="2883" w:type="dxa"/>
            <w:vMerge w:val="restart"/>
            <w:tcBorders>
              <w:top w:val="single" w:sz="4" w:space="0" w:color="000000"/>
              <w:left w:val="single" w:sz="4" w:space="0" w:color="000000"/>
              <w:right w:val="single" w:sz="4" w:space="0" w:color="000000"/>
            </w:tcBorders>
            <w:shd w:val="clear" w:color="auto" w:fill="auto"/>
          </w:tcPr>
          <w:p w14:paraId="1D5CC1F4" w14:textId="77777777" w:rsidR="006E4625" w:rsidRPr="006E4625" w:rsidRDefault="006E4625" w:rsidP="00B81916">
            <w:pPr>
              <w:pStyle w:val="Tabletext"/>
            </w:pPr>
            <w:r w:rsidRPr="006E4625">
              <w:t>Others</w:t>
            </w: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0A896252" w14:textId="77777777" w:rsidR="006E4625" w:rsidRPr="006E4625" w:rsidRDefault="006E4625" w:rsidP="00B81916">
            <w:pPr>
              <w:pStyle w:val="Tabletext"/>
            </w:pPr>
            <w:r w:rsidRPr="006E4625">
              <w:t>Focus on CE performance rather than adoption</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538D8B80" w14:textId="77777777" w:rsidR="006E4625" w:rsidRPr="006E4625" w:rsidRDefault="006E4625" w:rsidP="00B81916">
            <w:pPr>
              <w:pStyle w:val="Tabletext"/>
            </w:pPr>
            <w:r w:rsidRPr="006E4625">
              <w:t>2/30</w:t>
            </w:r>
          </w:p>
        </w:tc>
      </w:tr>
      <w:tr w:rsidR="006E4625" w:rsidRPr="006E4625" w14:paraId="6007E6CB" w14:textId="77777777" w:rsidTr="00116B90">
        <w:trPr>
          <w:trHeight w:val="274"/>
        </w:trPr>
        <w:tc>
          <w:tcPr>
            <w:tcW w:w="2883" w:type="dxa"/>
            <w:vMerge/>
            <w:tcBorders>
              <w:top w:val="single" w:sz="4" w:space="0" w:color="000000"/>
              <w:left w:val="single" w:sz="4" w:space="0" w:color="000000"/>
              <w:right w:val="single" w:sz="4" w:space="0" w:color="000000"/>
            </w:tcBorders>
            <w:shd w:val="clear" w:color="auto" w:fill="auto"/>
          </w:tcPr>
          <w:p w14:paraId="073A946F" w14:textId="77777777" w:rsidR="006E4625" w:rsidRPr="006E4625" w:rsidRDefault="006E4625" w:rsidP="00B81916">
            <w:pPr>
              <w:pStyle w:val="Tabletext"/>
            </w:pP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6D5D2017" w14:textId="77777777" w:rsidR="006E4625" w:rsidRPr="006E4625" w:rsidRDefault="006E4625" w:rsidP="00B81916">
            <w:pPr>
              <w:pStyle w:val="Tabletext"/>
            </w:pPr>
            <w:r w:rsidRPr="006E4625">
              <w:t>Need to distinguish between Disruptive vs Incremental CE</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28A51448" w14:textId="77777777" w:rsidR="006E4625" w:rsidRPr="006E4625" w:rsidRDefault="006E4625" w:rsidP="00B81916">
            <w:pPr>
              <w:pStyle w:val="Tabletext"/>
            </w:pPr>
            <w:r w:rsidRPr="006E4625">
              <w:t>4/30</w:t>
            </w:r>
          </w:p>
        </w:tc>
      </w:tr>
      <w:tr w:rsidR="006E4625" w:rsidRPr="006E4625" w14:paraId="3272D8FB" w14:textId="77777777" w:rsidTr="00116B90">
        <w:trPr>
          <w:trHeight w:val="274"/>
        </w:trPr>
        <w:tc>
          <w:tcPr>
            <w:tcW w:w="2883" w:type="dxa"/>
            <w:vMerge/>
            <w:tcBorders>
              <w:top w:val="single" w:sz="4" w:space="0" w:color="000000"/>
              <w:left w:val="single" w:sz="4" w:space="0" w:color="000000"/>
              <w:right w:val="single" w:sz="4" w:space="0" w:color="000000"/>
            </w:tcBorders>
            <w:shd w:val="clear" w:color="auto" w:fill="auto"/>
          </w:tcPr>
          <w:p w14:paraId="2A2DF561" w14:textId="77777777" w:rsidR="006E4625" w:rsidRPr="006E4625" w:rsidRDefault="006E4625" w:rsidP="00B81916">
            <w:pPr>
              <w:pStyle w:val="Tabletext"/>
            </w:pPr>
          </w:p>
        </w:tc>
        <w:tc>
          <w:tcPr>
            <w:tcW w:w="4301" w:type="dxa"/>
            <w:tcBorders>
              <w:top w:val="single" w:sz="4" w:space="0" w:color="000000"/>
              <w:left w:val="single" w:sz="4" w:space="0" w:color="000000"/>
              <w:bottom w:val="single" w:sz="4" w:space="0" w:color="000000"/>
              <w:right w:val="single" w:sz="4" w:space="0" w:color="000000"/>
            </w:tcBorders>
            <w:shd w:val="clear" w:color="auto" w:fill="auto"/>
          </w:tcPr>
          <w:p w14:paraId="402B58D7" w14:textId="77777777" w:rsidR="006E4625" w:rsidRPr="006E4625" w:rsidRDefault="006E4625" w:rsidP="00B81916">
            <w:pPr>
              <w:pStyle w:val="Tabletext"/>
            </w:pPr>
            <w:r w:rsidRPr="006E4625">
              <w:t>Need to be aware of CE practices used for greenwashing</w:t>
            </w:r>
          </w:p>
        </w:tc>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59FBF856" w14:textId="77777777" w:rsidR="006E4625" w:rsidRPr="006E4625" w:rsidRDefault="006E4625" w:rsidP="00B81916">
            <w:pPr>
              <w:pStyle w:val="Tabletext"/>
            </w:pPr>
            <w:r w:rsidRPr="006E4625">
              <w:t>4/30</w:t>
            </w:r>
          </w:p>
        </w:tc>
      </w:tr>
    </w:tbl>
    <w:p w14:paraId="63041249" w14:textId="77777777" w:rsidR="002754D8" w:rsidRDefault="002754D8" w:rsidP="002F7336"/>
    <w:p w14:paraId="2E3E70FC" w14:textId="7FE958E8" w:rsidR="002754D8" w:rsidRDefault="002754D8" w:rsidP="005035B4">
      <w:pPr>
        <w:pStyle w:val="Heading3"/>
      </w:pPr>
      <w:bookmarkStart w:id="166" w:name="_Toc157759543"/>
      <w:r>
        <w:t>Qualitative exploration: Rounds 2 and 3</w:t>
      </w:r>
      <w:bookmarkEnd w:id="166"/>
    </w:p>
    <w:p w14:paraId="1E168988" w14:textId="565F773B" w:rsidR="006E4625" w:rsidRDefault="002754D8" w:rsidP="002F7336">
      <w:pPr>
        <w:rPr>
          <w:lang w:val="en-US"/>
        </w:rPr>
      </w:pPr>
      <w:r>
        <w:t>The results from the content analysis (R2) and of the following validation phase through workshops and conferences (R3) are presented together in this sub-section. R2 identified</w:t>
      </w:r>
      <w:r w:rsidRPr="00AF3C7E">
        <w:t xml:space="preserve"> a </w:t>
      </w:r>
      <w:r w:rsidRPr="00AF3C7E">
        <w:lastRenderedPageBreak/>
        <w:t>hierarchy of pressures and four different ways through which pressures influence firms</w:t>
      </w:r>
      <w:r>
        <w:t>’</w:t>
      </w:r>
      <w:r w:rsidRPr="00AF3C7E">
        <w:t xml:space="preserve"> behaviour, also shedding light on the complexities of the role of SCI in the relationship between pressures and adop</w:t>
      </w:r>
      <w:r>
        <w:t xml:space="preserve">tion of CE practices (Table 2). </w:t>
      </w:r>
      <w:r>
        <w:rPr>
          <w:lang w:val="en-US"/>
        </w:rPr>
        <w:t>During R</w:t>
      </w:r>
      <w:r w:rsidRPr="00600360">
        <w:rPr>
          <w:lang w:val="en-US"/>
        </w:rPr>
        <w:t>3</w:t>
      </w:r>
      <w:r>
        <w:rPr>
          <w:lang w:val="en-US"/>
        </w:rPr>
        <w:t>, group discussions with</w:t>
      </w:r>
      <w:r w:rsidRPr="00600360">
        <w:rPr>
          <w:lang w:val="en-US"/>
        </w:rPr>
        <w:t xml:space="preserve"> experts</w:t>
      </w:r>
      <w:r>
        <w:rPr>
          <w:lang w:val="en-US"/>
        </w:rPr>
        <w:t xml:space="preserve"> validated the themes that emerged in R2, improving</w:t>
      </w:r>
      <w:r w:rsidRPr="00600360">
        <w:rPr>
          <w:lang w:val="en-US"/>
        </w:rPr>
        <w:t xml:space="preserve"> individual experts</w:t>
      </w:r>
      <w:r>
        <w:rPr>
          <w:lang w:val="en-US"/>
        </w:rPr>
        <w:t>’</w:t>
      </w:r>
      <w:r w:rsidRPr="00600360">
        <w:rPr>
          <w:lang w:val="en-US"/>
        </w:rPr>
        <w:t xml:space="preserve"> response quality</w:t>
      </w:r>
      <w:r>
        <w:rPr>
          <w:lang w:val="en-US"/>
        </w:rPr>
        <w:t>, and identifying further points that will be discussed in the implications section</w:t>
      </w:r>
      <w:r w:rsidR="006E4625">
        <w:rPr>
          <w:lang w:val="en-US"/>
        </w:rPr>
        <w:t xml:space="preserve">. </w:t>
      </w:r>
    </w:p>
    <w:p w14:paraId="276DE53B" w14:textId="3F12B367" w:rsidR="00364EF8" w:rsidRDefault="00364EF8" w:rsidP="002F7336">
      <w:pPr>
        <w:rPr>
          <w:lang w:val="en-US"/>
        </w:rPr>
      </w:pPr>
      <w:r>
        <w:rPr>
          <w:lang w:val="en-US"/>
        </w:rPr>
        <w:br w:type="page"/>
      </w:r>
    </w:p>
    <w:p w14:paraId="077ECBDC" w14:textId="77777777" w:rsidR="00364EF8" w:rsidRDefault="00364EF8" w:rsidP="002F7336">
      <w:pPr>
        <w:rPr>
          <w:lang w:val="en-US"/>
        </w:rPr>
        <w:sectPr w:rsidR="00364EF8" w:rsidSect="00116B90">
          <w:headerReference w:type="even" r:id="rId80"/>
          <w:headerReference w:type="default" r:id="rId81"/>
          <w:footerReference w:type="default" r:id="rId82"/>
          <w:type w:val="continuous"/>
          <w:pgSz w:w="11906" w:h="16838"/>
          <w:pgMar w:top="1701" w:right="1701" w:bottom="1134" w:left="1701" w:header="709" w:footer="709" w:gutter="0"/>
          <w:cols w:space="720"/>
        </w:sectPr>
      </w:pPr>
    </w:p>
    <w:p w14:paraId="64EED615" w14:textId="77777777" w:rsidR="00364EF8" w:rsidRDefault="00364EF8" w:rsidP="002F7336">
      <w:pPr>
        <w:pStyle w:val="Figurecaption"/>
      </w:pPr>
      <w:r>
        <w:lastRenderedPageBreak/>
        <w:t>Table 2 – Data structure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7"/>
        <w:gridCol w:w="8606"/>
        <w:gridCol w:w="2119"/>
        <w:gridCol w:w="2281"/>
      </w:tblGrid>
      <w:tr w:rsidR="00364EF8" w:rsidRPr="00364EF8" w14:paraId="08538928" w14:textId="77777777" w:rsidTr="00116B90">
        <w:trPr>
          <w:trHeight w:val="274"/>
        </w:trPr>
        <w:tc>
          <w:tcPr>
            <w:tcW w:w="353" w:type="pct"/>
          </w:tcPr>
          <w:p w14:paraId="5BCCF8A2" w14:textId="77777777" w:rsidR="00364EF8" w:rsidRPr="00364EF8" w:rsidRDefault="00364EF8" w:rsidP="00B81916">
            <w:pPr>
              <w:pStyle w:val="Tabletext"/>
            </w:pPr>
            <w:r w:rsidRPr="00364EF8">
              <w:t>Code EO</w:t>
            </w:r>
          </w:p>
        </w:tc>
        <w:tc>
          <w:tcPr>
            <w:tcW w:w="3075" w:type="pct"/>
          </w:tcPr>
          <w:p w14:paraId="616B394A" w14:textId="77777777" w:rsidR="00364EF8" w:rsidRPr="00364EF8" w:rsidRDefault="00364EF8" w:rsidP="00B81916">
            <w:pPr>
              <w:pStyle w:val="Tabletext"/>
            </w:pPr>
            <w:r w:rsidRPr="00364EF8">
              <w:t>Empirical observation (code)</w:t>
            </w:r>
          </w:p>
        </w:tc>
        <w:tc>
          <w:tcPr>
            <w:tcW w:w="757" w:type="pct"/>
          </w:tcPr>
          <w:p w14:paraId="6981AEF0" w14:textId="77777777" w:rsidR="00364EF8" w:rsidRPr="00364EF8" w:rsidRDefault="00364EF8" w:rsidP="00B81916">
            <w:pPr>
              <w:pStyle w:val="Tabletext"/>
            </w:pPr>
            <w:r w:rsidRPr="00364EF8">
              <w:t>Conceptual Categories</w:t>
            </w:r>
          </w:p>
          <w:p w14:paraId="2F210BF9" w14:textId="77777777" w:rsidR="00364EF8" w:rsidRPr="00364EF8" w:rsidRDefault="00364EF8" w:rsidP="00B81916">
            <w:pPr>
              <w:pStyle w:val="Tabletext"/>
            </w:pPr>
            <w:r w:rsidRPr="00364EF8">
              <w:t>(2nd order themes code CC#)</w:t>
            </w:r>
          </w:p>
        </w:tc>
        <w:tc>
          <w:tcPr>
            <w:tcW w:w="815" w:type="pct"/>
          </w:tcPr>
          <w:p w14:paraId="21D520AE" w14:textId="77777777" w:rsidR="00364EF8" w:rsidRPr="00364EF8" w:rsidRDefault="00364EF8" w:rsidP="00B81916">
            <w:pPr>
              <w:pStyle w:val="Tabletext"/>
            </w:pPr>
            <w:r w:rsidRPr="00364EF8">
              <w:t>Aggregate dimensions</w:t>
            </w:r>
            <w:r w:rsidRPr="00364EF8">
              <w:br/>
              <w:t>(3</w:t>
            </w:r>
            <w:r w:rsidRPr="00364EF8">
              <w:rPr>
                <w:vertAlign w:val="superscript"/>
              </w:rPr>
              <w:t>rd</w:t>
            </w:r>
            <w:r w:rsidRPr="00364EF8">
              <w:t xml:space="preserve"> order themes code AD#)</w:t>
            </w:r>
          </w:p>
        </w:tc>
      </w:tr>
      <w:tr w:rsidR="00364EF8" w:rsidRPr="00364EF8" w14:paraId="655B7EFA" w14:textId="77777777" w:rsidTr="00116B90">
        <w:trPr>
          <w:trHeight w:val="274"/>
        </w:trPr>
        <w:tc>
          <w:tcPr>
            <w:tcW w:w="353" w:type="pct"/>
          </w:tcPr>
          <w:p w14:paraId="07C18420" w14:textId="77777777" w:rsidR="00364EF8" w:rsidRPr="00364EF8" w:rsidRDefault="00364EF8" w:rsidP="00B81916">
            <w:pPr>
              <w:pStyle w:val="Tabletext"/>
            </w:pPr>
            <w:r w:rsidRPr="00364EF8">
              <w:t>EO1</w:t>
            </w:r>
          </w:p>
        </w:tc>
        <w:tc>
          <w:tcPr>
            <w:tcW w:w="3075" w:type="pct"/>
          </w:tcPr>
          <w:p w14:paraId="25F662C5" w14:textId="69CF67CA" w:rsidR="00364EF8" w:rsidRPr="00364EF8" w:rsidRDefault="00364EF8" w:rsidP="00B81916">
            <w:pPr>
              <w:pStyle w:val="Tabletext"/>
              <w:rPr>
                <w:color w:val="000000"/>
              </w:rPr>
            </w:pPr>
            <w:r w:rsidRPr="00364EF8">
              <w:t xml:space="preserve">- Firms are starting to use environmental assessment tools (like LCA) to evaluate </w:t>
            </w:r>
            <w:r w:rsidR="007B6D4D" w:rsidRPr="007B6D4D">
              <w:t xml:space="preserve">circular business models (CBMs) </w:t>
            </w:r>
            <w:r w:rsidRPr="00364EF8">
              <w:t xml:space="preserve">as a reaction to environmental research and consulting companies’ advice </w:t>
            </w:r>
          </w:p>
        </w:tc>
        <w:tc>
          <w:tcPr>
            <w:tcW w:w="757" w:type="pct"/>
            <w:vMerge w:val="restart"/>
          </w:tcPr>
          <w:p w14:paraId="7837DA4F" w14:textId="77777777" w:rsidR="00364EF8" w:rsidRPr="00364EF8" w:rsidRDefault="00364EF8" w:rsidP="00B81916">
            <w:pPr>
              <w:pStyle w:val="Tabletext"/>
            </w:pPr>
            <w:r w:rsidRPr="00364EF8">
              <w:t>Re-adjusting existing environmental monitoring systems</w:t>
            </w:r>
            <w:r w:rsidRPr="00364EF8" w:rsidDel="00FF72AD">
              <w:t xml:space="preserve"> </w:t>
            </w:r>
            <w:r w:rsidRPr="00364EF8">
              <w:t>for the CE (CC1)</w:t>
            </w:r>
          </w:p>
        </w:tc>
        <w:tc>
          <w:tcPr>
            <w:tcW w:w="815" w:type="pct"/>
            <w:vMerge w:val="restart"/>
          </w:tcPr>
          <w:p w14:paraId="11BEF220" w14:textId="77777777" w:rsidR="00364EF8" w:rsidRPr="00364EF8" w:rsidRDefault="00364EF8" w:rsidP="00B81916">
            <w:pPr>
              <w:pStyle w:val="Tabletext"/>
            </w:pPr>
            <w:r w:rsidRPr="00364EF8">
              <w:t>Efficiency oriented step-by-step approach to the CE (AD1)</w:t>
            </w:r>
          </w:p>
        </w:tc>
      </w:tr>
      <w:tr w:rsidR="00364EF8" w:rsidRPr="00364EF8" w14:paraId="75EE230D" w14:textId="77777777" w:rsidTr="00116B90">
        <w:trPr>
          <w:trHeight w:val="274"/>
        </w:trPr>
        <w:tc>
          <w:tcPr>
            <w:tcW w:w="353" w:type="pct"/>
          </w:tcPr>
          <w:p w14:paraId="0223365C" w14:textId="77777777" w:rsidR="00364EF8" w:rsidRPr="00364EF8" w:rsidRDefault="00364EF8" w:rsidP="00B81916">
            <w:pPr>
              <w:pStyle w:val="Tabletext"/>
            </w:pPr>
            <w:r w:rsidRPr="00364EF8">
              <w:t>EO2</w:t>
            </w:r>
          </w:p>
        </w:tc>
        <w:tc>
          <w:tcPr>
            <w:tcW w:w="3075" w:type="pct"/>
          </w:tcPr>
          <w:p w14:paraId="1BE90C5D" w14:textId="77777777" w:rsidR="00364EF8" w:rsidRPr="00364EF8" w:rsidRDefault="00364EF8" w:rsidP="00B81916">
            <w:pPr>
              <w:pStyle w:val="Tabletext"/>
              <w:rPr>
                <w:color w:val="000000"/>
              </w:rPr>
            </w:pPr>
            <w:r w:rsidRPr="00364EF8">
              <w:t>- Firms are stressing CE principles in their Environmental Management Systems and in their Corporate Sustainability reporting as a reaction to consulting companies’ advice and customers pressures</w:t>
            </w:r>
          </w:p>
        </w:tc>
        <w:tc>
          <w:tcPr>
            <w:tcW w:w="757" w:type="pct"/>
            <w:vMerge/>
          </w:tcPr>
          <w:p w14:paraId="568C1451" w14:textId="77777777" w:rsidR="00364EF8" w:rsidRPr="00364EF8" w:rsidRDefault="00364EF8" w:rsidP="00B81916">
            <w:pPr>
              <w:pStyle w:val="Tabletext"/>
            </w:pPr>
          </w:p>
        </w:tc>
        <w:tc>
          <w:tcPr>
            <w:tcW w:w="815" w:type="pct"/>
            <w:vMerge/>
          </w:tcPr>
          <w:p w14:paraId="56F451AC" w14:textId="77777777" w:rsidR="00364EF8" w:rsidRPr="00364EF8" w:rsidRDefault="00364EF8" w:rsidP="00B81916">
            <w:pPr>
              <w:pStyle w:val="Tabletext"/>
            </w:pPr>
          </w:p>
        </w:tc>
      </w:tr>
      <w:tr w:rsidR="00364EF8" w:rsidRPr="00364EF8" w14:paraId="01C909B7" w14:textId="77777777" w:rsidTr="00116B90">
        <w:trPr>
          <w:trHeight w:val="274"/>
        </w:trPr>
        <w:tc>
          <w:tcPr>
            <w:tcW w:w="353" w:type="pct"/>
          </w:tcPr>
          <w:p w14:paraId="4BC39552" w14:textId="77777777" w:rsidR="00364EF8" w:rsidRPr="00364EF8" w:rsidRDefault="00364EF8" w:rsidP="00B81916">
            <w:pPr>
              <w:pStyle w:val="Tabletext"/>
            </w:pPr>
            <w:r w:rsidRPr="00364EF8">
              <w:t>EO3</w:t>
            </w:r>
          </w:p>
        </w:tc>
        <w:tc>
          <w:tcPr>
            <w:tcW w:w="3075" w:type="pct"/>
          </w:tcPr>
          <w:p w14:paraId="29443E56" w14:textId="77777777" w:rsidR="00364EF8" w:rsidRPr="00364EF8" w:rsidRDefault="00364EF8" w:rsidP="00B81916">
            <w:pPr>
              <w:pStyle w:val="Tabletext"/>
              <w:rPr>
                <w:color w:val="000000"/>
              </w:rPr>
            </w:pPr>
            <w:r w:rsidRPr="00364EF8">
              <w:t>- Publicly listed firms are using ESG measures and reporting on SDGs, sometimes including the contribution of CE practices</w:t>
            </w:r>
          </w:p>
        </w:tc>
        <w:tc>
          <w:tcPr>
            <w:tcW w:w="757" w:type="pct"/>
            <w:vMerge/>
          </w:tcPr>
          <w:p w14:paraId="3A183106" w14:textId="77777777" w:rsidR="00364EF8" w:rsidRPr="00364EF8" w:rsidRDefault="00364EF8" w:rsidP="00B81916">
            <w:pPr>
              <w:pStyle w:val="Tabletext"/>
            </w:pPr>
          </w:p>
        </w:tc>
        <w:tc>
          <w:tcPr>
            <w:tcW w:w="815" w:type="pct"/>
            <w:vMerge/>
          </w:tcPr>
          <w:p w14:paraId="4D1D8D78" w14:textId="77777777" w:rsidR="00364EF8" w:rsidRPr="00364EF8" w:rsidRDefault="00364EF8" w:rsidP="00B81916">
            <w:pPr>
              <w:pStyle w:val="Tabletext"/>
            </w:pPr>
          </w:p>
        </w:tc>
      </w:tr>
      <w:tr w:rsidR="00364EF8" w:rsidRPr="00364EF8" w14:paraId="16D05B19" w14:textId="77777777" w:rsidTr="00116B90">
        <w:trPr>
          <w:trHeight w:val="274"/>
        </w:trPr>
        <w:tc>
          <w:tcPr>
            <w:tcW w:w="353" w:type="pct"/>
          </w:tcPr>
          <w:p w14:paraId="18867225" w14:textId="77777777" w:rsidR="00364EF8" w:rsidRPr="00364EF8" w:rsidRDefault="00364EF8" w:rsidP="00B81916">
            <w:pPr>
              <w:pStyle w:val="Tabletext"/>
            </w:pPr>
            <w:r w:rsidRPr="00364EF8">
              <w:t>EO4</w:t>
            </w:r>
          </w:p>
        </w:tc>
        <w:tc>
          <w:tcPr>
            <w:tcW w:w="3075" w:type="pct"/>
          </w:tcPr>
          <w:p w14:paraId="78D5C5EA" w14:textId="77777777" w:rsidR="00364EF8" w:rsidRPr="00364EF8" w:rsidRDefault="00364EF8" w:rsidP="00B81916">
            <w:pPr>
              <w:pStyle w:val="Tabletext"/>
              <w:rPr>
                <w:color w:val="000000"/>
              </w:rPr>
            </w:pPr>
            <w:r w:rsidRPr="00364EF8">
              <w:t xml:space="preserve">- Professional categories are promoting new ideas/concepts/strategies/tools within their organisations (e.g., architects, managers…) </w:t>
            </w:r>
          </w:p>
        </w:tc>
        <w:tc>
          <w:tcPr>
            <w:tcW w:w="757" w:type="pct"/>
            <w:vMerge/>
          </w:tcPr>
          <w:p w14:paraId="3C1695FF" w14:textId="77777777" w:rsidR="00364EF8" w:rsidRPr="00364EF8" w:rsidRDefault="00364EF8" w:rsidP="00B81916">
            <w:pPr>
              <w:pStyle w:val="Tabletext"/>
            </w:pPr>
          </w:p>
        </w:tc>
        <w:tc>
          <w:tcPr>
            <w:tcW w:w="815" w:type="pct"/>
            <w:vMerge/>
          </w:tcPr>
          <w:p w14:paraId="4985385E" w14:textId="77777777" w:rsidR="00364EF8" w:rsidRPr="00364EF8" w:rsidRDefault="00364EF8" w:rsidP="00B81916">
            <w:pPr>
              <w:pStyle w:val="Tabletext"/>
            </w:pPr>
          </w:p>
        </w:tc>
      </w:tr>
      <w:tr w:rsidR="00364EF8" w:rsidRPr="00364EF8" w14:paraId="39DF0B85" w14:textId="77777777" w:rsidTr="00116B90">
        <w:trPr>
          <w:trHeight w:val="274"/>
        </w:trPr>
        <w:tc>
          <w:tcPr>
            <w:tcW w:w="353" w:type="pct"/>
          </w:tcPr>
          <w:p w14:paraId="5243859A" w14:textId="77777777" w:rsidR="00364EF8" w:rsidRPr="00364EF8" w:rsidRDefault="00364EF8" w:rsidP="00B81916">
            <w:pPr>
              <w:pStyle w:val="Tabletext"/>
            </w:pPr>
            <w:r w:rsidRPr="00364EF8">
              <w:t>EO5</w:t>
            </w:r>
          </w:p>
        </w:tc>
        <w:tc>
          <w:tcPr>
            <w:tcW w:w="3075" w:type="pct"/>
          </w:tcPr>
          <w:p w14:paraId="036955A4" w14:textId="77777777" w:rsidR="00364EF8" w:rsidRPr="00364EF8" w:rsidRDefault="00364EF8" w:rsidP="00B81916">
            <w:pPr>
              <w:pStyle w:val="Tabletext"/>
            </w:pPr>
            <w:r w:rsidRPr="00364EF8">
              <w:t xml:space="preserve">- Top Management of the most influential organisations have an influence on industry bodies guidelines that become widely accepted </w:t>
            </w:r>
          </w:p>
        </w:tc>
        <w:tc>
          <w:tcPr>
            <w:tcW w:w="757" w:type="pct"/>
            <w:vMerge/>
          </w:tcPr>
          <w:p w14:paraId="7B072F3E" w14:textId="77777777" w:rsidR="00364EF8" w:rsidRPr="00364EF8" w:rsidRDefault="00364EF8" w:rsidP="00B81916">
            <w:pPr>
              <w:pStyle w:val="Tabletext"/>
            </w:pPr>
          </w:p>
        </w:tc>
        <w:tc>
          <w:tcPr>
            <w:tcW w:w="815" w:type="pct"/>
            <w:vMerge/>
          </w:tcPr>
          <w:p w14:paraId="5DAC6657" w14:textId="77777777" w:rsidR="00364EF8" w:rsidRPr="00364EF8" w:rsidRDefault="00364EF8" w:rsidP="00B81916">
            <w:pPr>
              <w:pStyle w:val="Tabletext"/>
            </w:pPr>
          </w:p>
        </w:tc>
      </w:tr>
      <w:tr w:rsidR="00364EF8" w:rsidRPr="00364EF8" w14:paraId="22902710" w14:textId="77777777" w:rsidTr="00116B90">
        <w:trPr>
          <w:trHeight w:val="274"/>
        </w:trPr>
        <w:tc>
          <w:tcPr>
            <w:tcW w:w="353" w:type="pct"/>
          </w:tcPr>
          <w:p w14:paraId="3CC9C715" w14:textId="77777777" w:rsidR="00364EF8" w:rsidRPr="00364EF8" w:rsidRDefault="00364EF8" w:rsidP="00B81916">
            <w:pPr>
              <w:pStyle w:val="Tabletext"/>
            </w:pPr>
            <w:r w:rsidRPr="00364EF8">
              <w:t>EO13</w:t>
            </w:r>
          </w:p>
        </w:tc>
        <w:tc>
          <w:tcPr>
            <w:tcW w:w="3075" w:type="pct"/>
          </w:tcPr>
          <w:p w14:paraId="23E73B56" w14:textId="77777777" w:rsidR="00364EF8" w:rsidRPr="00364EF8" w:rsidRDefault="00364EF8" w:rsidP="00B81916">
            <w:pPr>
              <w:pStyle w:val="Tabletext"/>
            </w:pPr>
            <w:r w:rsidRPr="00364EF8">
              <w:t>- CE used as a marketing strategy to reach new markets</w:t>
            </w:r>
          </w:p>
        </w:tc>
        <w:tc>
          <w:tcPr>
            <w:tcW w:w="757" w:type="pct"/>
            <w:vMerge w:val="restart"/>
          </w:tcPr>
          <w:p w14:paraId="78DC0963" w14:textId="42DD072B" w:rsidR="00364EF8" w:rsidRPr="00364EF8" w:rsidRDefault="00364EF8" w:rsidP="00B81916">
            <w:pPr>
              <w:pStyle w:val="Tabletext"/>
            </w:pPr>
            <w:r w:rsidRPr="00364EF8">
              <w:t xml:space="preserve">Driving opportunistic behaviours and </w:t>
            </w:r>
            <w:r w:rsidR="007B6D4D" w:rsidRPr="007B6D4D">
              <w:t xml:space="preserve">tokenistic </w:t>
            </w:r>
            <w:r w:rsidRPr="00364EF8">
              <w:t>action (CC4)</w:t>
            </w:r>
          </w:p>
        </w:tc>
        <w:tc>
          <w:tcPr>
            <w:tcW w:w="815" w:type="pct"/>
            <w:vMerge/>
          </w:tcPr>
          <w:p w14:paraId="2C610F2E" w14:textId="77777777" w:rsidR="00364EF8" w:rsidRPr="00364EF8" w:rsidRDefault="00364EF8" w:rsidP="00B81916">
            <w:pPr>
              <w:pStyle w:val="Tabletext"/>
            </w:pPr>
          </w:p>
        </w:tc>
      </w:tr>
      <w:tr w:rsidR="00364EF8" w:rsidRPr="00364EF8" w14:paraId="2426C9A4" w14:textId="77777777" w:rsidTr="00116B90">
        <w:trPr>
          <w:trHeight w:val="274"/>
        </w:trPr>
        <w:tc>
          <w:tcPr>
            <w:tcW w:w="353" w:type="pct"/>
          </w:tcPr>
          <w:p w14:paraId="0F375201" w14:textId="77777777" w:rsidR="00364EF8" w:rsidRPr="00364EF8" w:rsidRDefault="00364EF8" w:rsidP="00B81916">
            <w:pPr>
              <w:pStyle w:val="Tabletext"/>
            </w:pPr>
            <w:r w:rsidRPr="00364EF8">
              <w:t>EO14</w:t>
            </w:r>
          </w:p>
        </w:tc>
        <w:tc>
          <w:tcPr>
            <w:tcW w:w="3075" w:type="pct"/>
          </w:tcPr>
          <w:p w14:paraId="5851A4E3" w14:textId="77777777" w:rsidR="00364EF8" w:rsidRPr="00364EF8" w:rsidRDefault="00364EF8" w:rsidP="00B81916">
            <w:pPr>
              <w:pStyle w:val="Tabletext"/>
            </w:pPr>
            <w:r w:rsidRPr="00364EF8">
              <w:t>- CE is used to hide inaction reporting easy CE practices</w:t>
            </w:r>
          </w:p>
        </w:tc>
        <w:tc>
          <w:tcPr>
            <w:tcW w:w="757" w:type="pct"/>
            <w:vMerge/>
          </w:tcPr>
          <w:p w14:paraId="4F2F7EF7" w14:textId="77777777" w:rsidR="00364EF8" w:rsidRPr="00364EF8" w:rsidRDefault="00364EF8" w:rsidP="00B81916">
            <w:pPr>
              <w:pStyle w:val="Tabletext"/>
            </w:pPr>
          </w:p>
        </w:tc>
        <w:tc>
          <w:tcPr>
            <w:tcW w:w="815" w:type="pct"/>
            <w:vMerge/>
          </w:tcPr>
          <w:p w14:paraId="6C26B626" w14:textId="77777777" w:rsidR="00364EF8" w:rsidRPr="00364EF8" w:rsidRDefault="00364EF8" w:rsidP="00B81916">
            <w:pPr>
              <w:pStyle w:val="Tabletext"/>
            </w:pPr>
          </w:p>
        </w:tc>
      </w:tr>
      <w:tr w:rsidR="00364EF8" w:rsidRPr="00364EF8" w14:paraId="19452A34" w14:textId="77777777" w:rsidTr="00116B90">
        <w:trPr>
          <w:trHeight w:val="274"/>
        </w:trPr>
        <w:tc>
          <w:tcPr>
            <w:tcW w:w="353" w:type="pct"/>
          </w:tcPr>
          <w:p w14:paraId="7F12598A" w14:textId="77777777" w:rsidR="00364EF8" w:rsidRPr="00364EF8" w:rsidRDefault="00364EF8" w:rsidP="00B81916">
            <w:pPr>
              <w:pStyle w:val="Tabletext"/>
            </w:pPr>
            <w:r w:rsidRPr="00364EF8">
              <w:t>EO15</w:t>
            </w:r>
          </w:p>
        </w:tc>
        <w:tc>
          <w:tcPr>
            <w:tcW w:w="3075" w:type="pct"/>
          </w:tcPr>
          <w:p w14:paraId="7E01EF7A" w14:textId="77777777" w:rsidR="00364EF8" w:rsidRPr="00364EF8" w:rsidRDefault="00364EF8" w:rsidP="00B81916">
            <w:pPr>
              <w:pStyle w:val="Tabletext"/>
            </w:pPr>
            <w:r w:rsidRPr="00364EF8">
              <w:t>- Existing practices are rebranded as CE practices</w:t>
            </w:r>
          </w:p>
        </w:tc>
        <w:tc>
          <w:tcPr>
            <w:tcW w:w="757" w:type="pct"/>
            <w:vMerge/>
          </w:tcPr>
          <w:p w14:paraId="2B4D0E56" w14:textId="77777777" w:rsidR="00364EF8" w:rsidRPr="00364EF8" w:rsidRDefault="00364EF8" w:rsidP="00B81916">
            <w:pPr>
              <w:pStyle w:val="Tabletext"/>
            </w:pPr>
          </w:p>
        </w:tc>
        <w:tc>
          <w:tcPr>
            <w:tcW w:w="815" w:type="pct"/>
            <w:vMerge/>
          </w:tcPr>
          <w:p w14:paraId="462BCC30" w14:textId="77777777" w:rsidR="00364EF8" w:rsidRPr="00364EF8" w:rsidRDefault="00364EF8" w:rsidP="00B81916">
            <w:pPr>
              <w:pStyle w:val="Tabletext"/>
            </w:pPr>
          </w:p>
        </w:tc>
      </w:tr>
      <w:tr w:rsidR="00364EF8" w:rsidRPr="00364EF8" w14:paraId="4C0FA716" w14:textId="77777777" w:rsidTr="00116B90">
        <w:trPr>
          <w:trHeight w:val="274"/>
        </w:trPr>
        <w:tc>
          <w:tcPr>
            <w:tcW w:w="353" w:type="pct"/>
          </w:tcPr>
          <w:p w14:paraId="0D70BB6D" w14:textId="77777777" w:rsidR="00364EF8" w:rsidRPr="00364EF8" w:rsidRDefault="00364EF8" w:rsidP="00B81916">
            <w:pPr>
              <w:pStyle w:val="Tabletext"/>
            </w:pPr>
            <w:r w:rsidRPr="00364EF8">
              <w:t>EO16</w:t>
            </w:r>
          </w:p>
        </w:tc>
        <w:tc>
          <w:tcPr>
            <w:tcW w:w="3075" w:type="pct"/>
          </w:tcPr>
          <w:p w14:paraId="38D2F05B" w14:textId="77777777" w:rsidR="00364EF8" w:rsidRPr="00364EF8" w:rsidRDefault="00364EF8" w:rsidP="00B81916">
            <w:pPr>
              <w:pStyle w:val="Tabletext"/>
            </w:pPr>
            <w:r w:rsidRPr="00364EF8">
              <w:t>- Lobbying activities of leading companies are de-potentiating the CE concept at the policy level</w:t>
            </w:r>
          </w:p>
        </w:tc>
        <w:tc>
          <w:tcPr>
            <w:tcW w:w="757" w:type="pct"/>
            <w:vMerge/>
          </w:tcPr>
          <w:p w14:paraId="0F5BAFE6" w14:textId="77777777" w:rsidR="00364EF8" w:rsidRPr="00364EF8" w:rsidRDefault="00364EF8" w:rsidP="00B81916">
            <w:pPr>
              <w:pStyle w:val="Tabletext"/>
            </w:pPr>
          </w:p>
        </w:tc>
        <w:tc>
          <w:tcPr>
            <w:tcW w:w="815" w:type="pct"/>
            <w:vMerge/>
          </w:tcPr>
          <w:p w14:paraId="4B77C00E" w14:textId="77777777" w:rsidR="00364EF8" w:rsidRPr="00364EF8" w:rsidRDefault="00364EF8" w:rsidP="00B81916">
            <w:pPr>
              <w:pStyle w:val="Tabletext"/>
            </w:pPr>
          </w:p>
        </w:tc>
      </w:tr>
      <w:tr w:rsidR="00364EF8" w:rsidRPr="00364EF8" w14:paraId="6A435B32" w14:textId="77777777" w:rsidTr="00116B90">
        <w:trPr>
          <w:trHeight w:val="274"/>
        </w:trPr>
        <w:tc>
          <w:tcPr>
            <w:tcW w:w="353" w:type="pct"/>
          </w:tcPr>
          <w:p w14:paraId="0F89D435" w14:textId="77777777" w:rsidR="00364EF8" w:rsidRPr="00364EF8" w:rsidRDefault="00364EF8" w:rsidP="00B81916">
            <w:pPr>
              <w:pStyle w:val="Tabletext"/>
            </w:pPr>
            <w:r w:rsidRPr="00364EF8">
              <w:t>EO9</w:t>
            </w:r>
          </w:p>
        </w:tc>
        <w:tc>
          <w:tcPr>
            <w:tcW w:w="3075" w:type="pct"/>
          </w:tcPr>
          <w:p w14:paraId="359EA73B" w14:textId="77777777" w:rsidR="00364EF8" w:rsidRPr="00364EF8" w:rsidRDefault="00364EF8" w:rsidP="00B81916">
            <w:pPr>
              <w:pStyle w:val="Tabletext"/>
              <w:rPr>
                <w:color w:val="000000"/>
              </w:rPr>
            </w:pPr>
            <w:r w:rsidRPr="00364EF8">
              <w:t>- New supply chain actors and intermediaries are emerging, which have the interest to disrupt business as usual</w:t>
            </w:r>
          </w:p>
        </w:tc>
        <w:tc>
          <w:tcPr>
            <w:tcW w:w="757" w:type="pct"/>
            <w:vMerge w:val="restart"/>
          </w:tcPr>
          <w:p w14:paraId="22826232" w14:textId="77777777" w:rsidR="00364EF8" w:rsidRPr="00364EF8" w:rsidRDefault="00364EF8" w:rsidP="00B81916">
            <w:pPr>
              <w:pStyle w:val="Tabletext"/>
            </w:pPr>
            <w:r w:rsidRPr="00364EF8">
              <w:t>Re-organising operations and supply chain management (CC3)</w:t>
            </w:r>
          </w:p>
        </w:tc>
        <w:tc>
          <w:tcPr>
            <w:tcW w:w="815" w:type="pct"/>
            <w:vMerge w:val="restart"/>
          </w:tcPr>
          <w:p w14:paraId="7EFDD0E2" w14:textId="77777777" w:rsidR="00364EF8" w:rsidRPr="00364EF8" w:rsidRDefault="00364EF8" w:rsidP="00B81916">
            <w:pPr>
              <w:pStyle w:val="Tabletext"/>
            </w:pPr>
            <w:r w:rsidRPr="00364EF8">
              <w:t>Disruptive first-mover innovators approach to the CE (AD2)</w:t>
            </w:r>
          </w:p>
        </w:tc>
      </w:tr>
      <w:tr w:rsidR="00364EF8" w:rsidRPr="00364EF8" w14:paraId="6BF1B612" w14:textId="77777777" w:rsidTr="00116B90">
        <w:trPr>
          <w:trHeight w:val="274"/>
        </w:trPr>
        <w:tc>
          <w:tcPr>
            <w:tcW w:w="353" w:type="pct"/>
          </w:tcPr>
          <w:p w14:paraId="350E78FD" w14:textId="77777777" w:rsidR="00364EF8" w:rsidRPr="00364EF8" w:rsidRDefault="00364EF8" w:rsidP="00B81916">
            <w:pPr>
              <w:pStyle w:val="Tabletext"/>
            </w:pPr>
            <w:r w:rsidRPr="00364EF8">
              <w:t>EO10</w:t>
            </w:r>
          </w:p>
        </w:tc>
        <w:tc>
          <w:tcPr>
            <w:tcW w:w="3075" w:type="pct"/>
          </w:tcPr>
          <w:p w14:paraId="07444400" w14:textId="77777777" w:rsidR="00364EF8" w:rsidRPr="00364EF8" w:rsidRDefault="00364EF8" w:rsidP="00B81916">
            <w:pPr>
              <w:pStyle w:val="Tabletext"/>
              <w:rPr>
                <w:color w:val="000000"/>
              </w:rPr>
            </w:pPr>
            <w:r w:rsidRPr="00364EF8">
              <w:t>- CSCs are expected to deliver other purposes (from delivering as fast as you can but closing the loop, create resiliency, depending less on primary resources)</w:t>
            </w:r>
          </w:p>
        </w:tc>
        <w:tc>
          <w:tcPr>
            <w:tcW w:w="757" w:type="pct"/>
            <w:vMerge/>
          </w:tcPr>
          <w:p w14:paraId="60F16F6B" w14:textId="77777777" w:rsidR="00364EF8" w:rsidRPr="00364EF8" w:rsidRDefault="00364EF8" w:rsidP="00B81916">
            <w:pPr>
              <w:pStyle w:val="Tabletext"/>
            </w:pPr>
          </w:p>
        </w:tc>
        <w:tc>
          <w:tcPr>
            <w:tcW w:w="815" w:type="pct"/>
            <w:vMerge/>
          </w:tcPr>
          <w:p w14:paraId="294C3749" w14:textId="77777777" w:rsidR="00364EF8" w:rsidRPr="00364EF8" w:rsidRDefault="00364EF8" w:rsidP="00B81916">
            <w:pPr>
              <w:pStyle w:val="Tabletext"/>
            </w:pPr>
          </w:p>
        </w:tc>
      </w:tr>
      <w:tr w:rsidR="00364EF8" w:rsidRPr="00364EF8" w14:paraId="2EC28AAB" w14:textId="77777777" w:rsidTr="00116B90">
        <w:trPr>
          <w:trHeight w:val="274"/>
        </w:trPr>
        <w:tc>
          <w:tcPr>
            <w:tcW w:w="353" w:type="pct"/>
          </w:tcPr>
          <w:p w14:paraId="32E2C67A" w14:textId="77777777" w:rsidR="00364EF8" w:rsidRPr="00364EF8" w:rsidRDefault="00364EF8" w:rsidP="00B81916">
            <w:pPr>
              <w:pStyle w:val="Tabletext"/>
            </w:pPr>
            <w:r w:rsidRPr="00364EF8">
              <w:t>EO11</w:t>
            </w:r>
          </w:p>
        </w:tc>
        <w:tc>
          <w:tcPr>
            <w:tcW w:w="3075" w:type="pct"/>
          </w:tcPr>
          <w:p w14:paraId="40E50C90" w14:textId="77777777" w:rsidR="00364EF8" w:rsidRPr="00364EF8" w:rsidRDefault="00364EF8" w:rsidP="00B81916">
            <w:pPr>
              <w:pStyle w:val="Tabletext"/>
              <w:rPr>
                <w:color w:val="000000"/>
              </w:rPr>
            </w:pPr>
            <w:r w:rsidRPr="00364EF8">
              <w:t xml:space="preserve">- European Commission is increasingly considering CE as a tool against resource scarcity - to keep resources in the system, and decrease the dependence from geographically (or geopolitically?) distant countries </w:t>
            </w:r>
          </w:p>
        </w:tc>
        <w:tc>
          <w:tcPr>
            <w:tcW w:w="757" w:type="pct"/>
            <w:vMerge/>
          </w:tcPr>
          <w:p w14:paraId="2E1FCCC7" w14:textId="77777777" w:rsidR="00364EF8" w:rsidRPr="00364EF8" w:rsidRDefault="00364EF8" w:rsidP="00B81916">
            <w:pPr>
              <w:pStyle w:val="Tabletext"/>
            </w:pPr>
          </w:p>
        </w:tc>
        <w:tc>
          <w:tcPr>
            <w:tcW w:w="815" w:type="pct"/>
            <w:vMerge/>
          </w:tcPr>
          <w:p w14:paraId="14FFA751" w14:textId="77777777" w:rsidR="00364EF8" w:rsidRPr="00364EF8" w:rsidRDefault="00364EF8" w:rsidP="00B81916">
            <w:pPr>
              <w:pStyle w:val="Tabletext"/>
            </w:pPr>
          </w:p>
        </w:tc>
      </w:tr>
      <w:tr w:rsidR="00364EF8" w:rsidRPr="00364EF8" w14:paraId="64222390" w14:textId="77777777" w:rsidTr="00116B90">
        <w:trPr>
          <w:trHeight w:val="274"/>
        </w:trPr>
        <w:tc>
          <w:tcPr>
            <w:tcW w:w="353" w:type="pct"/>
          </w:tcPr>
          <w:p w14:paraId="784E9D75" w14:textId="77777777" w:rsidR="00364EF8" w:rsidRPr="00364EF8" w:rsidRDefault="00364EF8" w:rsidP="00B81916">
            <w:pPr>
              <w:pStyle w:val="Tabletext"/>
            </w:pPr>
            <w:r w:rsidRPr="00364EF8">
              <w:t>EO12</w:t>
            </w:r>
          </w:p>
        </w:tc>
        <w:tc>
          <w:tcPr>
            <w:tcW w:w="3075" w:type="pct"/>
          </w:tcPr>
          <w:p w14:paraId="7AFB7B73" w14:textId="77777777" w:rsidR="00364EF8" w:rsidRPr="00364EF8" w:rsidRDefault="00364EF8" w:rsidP="00B81916">
            <w:pPr>
              <w:pStyle w:val="Tabletext"/>
              <w:rPr>
                <w:color w:val="000000"/>
              </w:rPr>
            </w:pPr>
            <w:r w:rsidRPr="00364EF8">
              <w:t xml:space="preserve">- Social norms influence employment making environmentally engaged organisations more attractive </w:t>
            </w:r>
          </w:p>
        </w:tc>
        <w:tc>
          <w:tcPr>
            <w:tcW w:w="757" w:type="pct"/>
            <w:vMerge/>
          </w:tcPr>
          <w:p w14:paraId="1CBBE4FD" w14:textId="77777777" w:rsidR="00364EF8" w:rsidRPr="00364EF8" w:rsidRDefault="00364EF8" w:rsidP="00B81916">
            <w:pPr>
              <w:pStyle w:val="Tabletext"/>
            </w:pPr>
          </w:p>
        </w:tc>
        <w:tc>
          <w:tcPr>
            <w:tcW w:w="815" w:type="pct"/>
            <w:vMerge/>
          </w:tcPr>
          <w:p w14:paraId="6F4C7B46" w14:textId="77777777" w:rsidR="00364EF8" w:rsidRPr="00364EF8" w:rsidRDefault="00364EF8" w:rsidP="00B81916">
            <w:pPr>
              <w:pStyle w:val="Tabletext"/>
            </w:pPr>
          </w:p>
        </w:tc>
      </w:tr>
      <w:tr w:rsidR="00364EF8" w:rsidRPr="00364EF8" w14:paraId="76CE4E09" w14:textId="77777777" w:rsidTr="00116B90">
        <w:trPr>
          <w:trHeight w:val="274"/>
        </w:trPr>
        <w:tc>
          <w:tcPr>
            <w:tcW w:w="353" w:type="pct"/>
          </w:tcPr>
          <w:p w14:paraId="0CBB4453" w14:textId="77777777" w:rsidR="00364EF8" w:rsidRPr="00364EF8" w:rsidRDefault="00364EF8" w:rsidP="00B81916">
            <w:pPr>
              <w:pStyle w:val="Tabletext"/>
            </w:pPr>
            <w:r w:rsidRPr="00364EF8">
              <w:t>EO6</w:t>
            </w:r>
          </w:p>
        </w:tc>
        <w:tc>
          <w:tcPr>
            <w:tcW w:w="3075" w:type="pct"/>
          </w:tcPr>
          <w:p w14:paraId="0738E50B" w14:textId="77777777" w:rsidR="00364EF8" w:rsidRPr="00364EF8" w:rsidRDefault="00364EF8" w:rsidP="00B81916">
            <w:pPr>
              <w:pStyle w:val="Tabletext"/>
              <w:rPr>
                <w:color w:val="000000"/>
              </w:rPr>
            </w:pPr>
            <w:r w:rsidRPr="00364EF8">
              <w:t>- Policies are slowly shifting from recycling to “right-to-repair”</w:t>
            </w:r>
          </w:p>
        </w:tc>
        <w:tc>
          <w:tcPr>
            <w:tcW w:w="757" w:type="pct"/>
            <w:vMerge w:val="restart"/>
          </w:tcPr>
          <w:p w14:paraId="2CB79603" w14:textId="77777777" w:rsidR="00364EF8" w:rsidRPr="00364EF8" w:rsidRDefault="00364EF8" w:rsidP="00B81916">
            <w:pPr>
              <w:pStyle w:val="Tabletext"/>
            </w:pPr>
            <w:r w:rsidRPr="00364EF8">
              <w:t>New products development (CC2)</w:t>
            </w:r>
          </w:p>
        </w:tc>
        <w:tc>
          <w:tcPr>
            <w:tcW w:w="815" w:type="pct"/>
            <w:vMerge/>
          </w:tcPr>
          <w:p w14:paraId="1A02C1B7" w14:textId="77777777" w:rsidR="00364EF8" w:rsidRPr="00364EF8" w:rsidRDefault="00364EF8" w:rsidP="00B81916">
            <w:pPr>
              <w:pStyle w:val="Tabletext"/>
            </w:pPr>
          </w:p>
        </w:tc>
      </w:tr>
      <w:tr w:rsidR="00364EF8" w:rsidRPr="00364EF8" w14:paraId="744086F8" w14:textId="77777777" w:rsidTr="00116B90">
        <w:trPr>
          <w:trHeight w:val="274"/>
        </w:trPr>
        <w:tc>
          <w:tcPr>
            <w:tcW w:w="353" w:type="pct"/>
          </w:tcPr>
          <w:p w14:paraId="6394B730" w14:textId="77777777" w:rsidR="00364EF8" w:rsidRPr="00364EF8" w:rsidRDefault="00364EF8" w:rsidP="00B81916">
            <w:pPr>
              <w:pStyle w:val="Tabletext"/>
            </w:pPr>
            <w:r w:rsidRPr="00364EF8">
              <w:t>EO7</w:t>
            </w:r>
          </w:p>
        </w:tc>
        <w:tc>
          <w:tcPr>
            <w:tcW w:w="3075" w:type="pct"/>
          </w:tcPr>
          <w:p w14:paraId="5B449975" w14:textId="77777777" w:rsidR="00364EF8" w:rsidRPr="00364EF8" w:rsidRDefault="00364EF8" w:rsidP="00B81916">
            <w:pPr>
              <w:pStyle w:val="Tabletext"/>
              <w:rPr>
                <w:color w:val="000000"/>
              </w:rPr>
            </w:pPr>
            <w:r w:rsidRPr="00364EF8">
              <w:t xml:space="preserve">- Firms are learning from influential think-tanks that work on the CE (WBCSD, EMF) </w:t>
            </w:r>
          </w:p>
        </w:tc>
        <w:tc>
          <w:tcPr>
            <w:tcW w:w="757" w:type="pct"/>
            <w:vMerge/>
          </w:tcPr>
          <w:p w14:paraId="71C0025B" w14:textId="77777777" w:rsidR="00364EF8" w:rsidRPr="00364EF8" w:rsidRDefault="00364EF8" w:rsidP="00B81916">
            <w:pPr>
              <w:pStyle w:val="Tabletext"/>
            </w:pPr>
          </w:p>
        </w:tc>
        <w:tc>
          <w:tcPr>
            <w:tcW w:w="815" w:type="pct"/>
            <w:vMerge/>
          </w:tcPr>
          <w:p w14:paraId="6E2749A1" w14:textId="77777777" w:rsidR="00364EF8" w:rsidRPr="00364EF8" w:rsidRDefault="00364EF8" w:rsidP="00B81916">
            <w:pPr>
              <w:pStyle w:val="Tabletext"/>
            </w:pPr>
          </w:p>
        </w:tc>
      </w:tr>
      <w:tr w:rsidR="00364EF8" w:rsidRPr="00364EF8" w14:paraId="1C5755CD" w14:textId="77777777" w:rsidTr="00116B90">
        <w:trPr>
          <w:trHeight w:val="274"/>
        </w:trPr>
        <w:tc>
          <w:tcPr>
            <w:tcW w:w="353" w:type="pct"/>
          </w:tcPr>
          <w:p w14:paraId="6A86BE12" w14:textId="77777777" w:rsidR="00364EF8" w:rsidRPr="00364EF8" w:rsidRDefault="00364EF8" w:rsidP="00B81916">
            <w:pPr>
              <w:pStyle w:val="Tabletext"/>
            </w:pPr>
            <w:r w:rsidRPr="00364EF8">
              <w:lastRenderedPageBreak/>
              <w:t>EO8</w:t>
            </w:r>
          </w:p>
        </w:tc>
        <w:tc>
          <w:tcPr>
            <w:tcW w:w="3075" w:type="pct"/>
          </w:tcPr>
          <w:p w14:paraId="4E369A9F" w14:textId="77777777" w:rsidR="00364EF8" w:rsidRPr="00364EF8" w:rsidRDefault="00364EF8" w:rsidP="00B81916">
            <w:pPr>
              <w:pStyle w:val="Tabletext"/>
            </w:pPr>
            <w:r w:rsidRPr="00364EF8">
              <w:t xml:space="preserve">- Firm need to balance among different R-imperatives, and between short vs long term strategies through a risk-opportunity approach </w:t>
            </w:r>
          </w:p>
        </w:tc>
        <w:tc>
          <w:tcPr>
            <w:tcW w:w="757" w:type="pct"/>
            <w:vMerge/>
          </w:tcPr>
          <w:p w14:paraId="1FD696B0" w14:textId="77777777" w:rsidR="00364EF8" w:rsidRPr="00364EF8" w:rsidRDefault="00364EF8" w:rsidP="00B81916">
            <w:pPr>
              <w:pStyle w:val="Tabletext"/>
            </w:pPr>
          </w:p>
        </w:tc>
        <w:tc>
          <w:tcPr>
            <w:tcW w:w="815" w:type="pct"/>
            <w:vMerge/>
          </w:tcPr>
          <w:p w14:paraId="065F9803" w14:textId="77777777" w:rsidR="00364EF8" w:rsidRPr="00364EF8" w:rsidRDefault="00364EF8" w:rsidP="00B81916">
            <w:pPr>
              <w:pStyle w:val="Tabletext"/>
            </w:pPr>
          </w:p>
        </w:tc>
      </w:tr>
      <w:tr w:rsidR="00364EF8" w:rsidRPr="00364EF8" w14:paraId="44826930" w14:textId="77777777" w:rsidTr="00116B90">
        <w:trPr>
          <w:trHeight w:val="274"/>
        </w:trPr>
        <w:tc>
          <w:tcPr>
            <w:tcW w:w="353" w:type="pct"/>
          </w:tcPr>
          <w:p w14:paraId="5D83617A" w14:textId="77777777" w:rsidR="00364EF8" w:rsidRPr="00364EF8" w:rsidRDefault="00364EF8" w:rsidP="00B81916">
            <w:pPr>
              <w:pStyle w:val="Tabletext"/>
              <w:rPr>
                <w:lang w:eastAsia="zh-CN"/>
              </w:rPr>
            </w:pPr>
            <w:r w:rsidRPr="00364EF8">
              <w:rPr>
                <w:lang w:eastAsia="zh-CN"/>
              </w:rPr>
              <w:t>EO17</w:t>
            </w:r>
          </w:p>
        </w:tc>
        <w:tc>
          <w:tcPr>
            <w:tcW w:w="3075" w:type="pct"/>
          </w:tcPr>
          <w:p w14:paraId="143F7484" w14:textId="77777777" w:rsidR="00364EF8" w:rsidRPr="00364EF8" w:rsidRDefault="00364EF8" w:rsidP="00B81916">
            <w:pPr>
              <w:pStyle w:val="Tabletext"/>
            </w:pPr>
            <w:r w:rsidRPr="00364EF8">
              <w:rPr>
                <w:lang w:eastAsia="zh-CN"/>
              </w:rPr>
              <w:t xml:space="preserve">- Brand owners and consumers are setting the CE agenda </w:t>
            </w:r>
          </w:p>
        </w:tc>
        <w:tc>
          <w:tcPr>
            <w:tcW w:w="757" w:type="pct"/>
            <w:vMerge w:val="restart"/>
          </w:tcPr>
          <w:p w14:paraId="6165B4B5" w14:textId="77777777" w:rsidR="00364EF8" w:rsidRPr="00364EF8" w:rsidRDefault="00364EF8" w:rsidP="00B81916">
            <w:pPr>
              <w:pStyle w:val="Tabletext"/>
            </w:pPr>
            <w:r w:rsidRPr="00364EF8">
              <w:t>Market trends and consumers come first and build the pressure upstream in the supply chain. Regulation usually follows. (CC5)</w:t>
            </w:r>
          </w:p>
        </w:tc>
        <w:tc>
          <w:tcPr>
            <w:tcW w:w="815" w:type="pct"/>
            <w:vMerge w:val="restart"/>
          </w:tcPr>
          <w:p w14:paraId="15D26BE8" w14:textId="77777777" w:rsidR="00364EF8" w:rsidRPr="00364EF8" w:rsidRDefault="00364EF8" w:rsidP="00B81916">
            <w:pPr>
              <w:pStyle w:val="Tabletext"/>
            </w:pPr>
            <w:r w:rsidRPr="00364EF8">
              <w:t>Hierarchies of pressures and pathways of evolution (AD3)</w:t>
            </w:r>
          </w:p>
        </w:tc>
      </w:tr>
      <w:tr w:rsidR="00364EF8" w:rsidRPr="00364EF8" w14:paraId="4DDD0997" w14:textId="77777777" w:rsidTr="00116B90">
        <w:trPr>
          <w:trHeight w:val="274"/>
        </w:trPr>
        <w:tc>
          <w:tcPr>
            <w:tcW w:w="353" w:type="pct"/>
          </w:tcPr>
          <w:p w14:paraId="5A0A4255" w14:textId="77777777" w:rsidR="00364EF8" w:rsidRPr="00364EF8" w:rsidRDefault="00364EF8" w:rsidP="00B81916">
            <w:pPr>
              <w:pStyle w:val="Tabletext"/>
              <w:rPr>
                <w:lang w:eastAsia="zh-CN"/>
              </w:rPr>
            </w:pPr>
            <w:r w:rsidRPr="00364EF8">
              <w:rPr>
                <w:lang w:eastAsia="zh-CN"/>
              </w:rPr>
              <w:t>EO18</w:t>
            </w:r>
          </w:p>
        </w:tc>
        <w:tc>
          <w:tcPr>
            <w:tcW w:w="3075" w:type="pct"/>
          </w:tcPr>
          <w:p w14:paraId="569FA64C" w14:textId="77777777" w:rsidR="00364EF8" w:rsidRPr="00364EF8" w:rsidRDefault="00364EF8" w:rsidP="00B81916">
            <w:pPr>
              <w:pStyle w:val="Tabletext"/>
            </w:pPr>
            <w:r w:rsidRPr="00364EF8">
              <w:rPr>
                <w:lang w:eastAsia="zh-CN"/>
              </w:rPr>
              <w:t xml:space="preserve">- Customers are then asking for certifications upstream in the supply chain </w:t>
            </w:r>
          </w:p>
        </w:tc>
        <w:tc>
          <w:tcPr>
            <w:tcW w:w="757" w:type="pct"/>
            <w:vMerge/>
          </w:tcPr>
          <w:p w14:paraId="45BB8F45" w14:textId="77777777" w:rsidR="00364EF8" w:rsidRPr="00364EF8" w:rsidRDefault="00364EF8" w:rsidP="00B81916">
            <w:pPr>
              <w:pStyle w:val="Tabletext"/>
            </w:pPr>
          </w:p>
        </w:tc>
        <w:tc>
          <w:tcPr>
            <w:tcW w:w="815" w:type="pct"/>
            <w:vMerge/>
          </w:tcPr>
          <w:p w14:paraId="477425DA" w14:textId="77777777" w:rsidR="00364EF8" w:rsidRPr="00364EF8" w:rsidRDefault="00364EF8" w:rsidP="00B81916">
            <w:pPr>
              <w:pStyle w:val="Tabletext"/>
            </w:pPr>
          </w:p>
        </w:tc>
      </w:tr>
      <w:tr w:rsidR="00364EF8" w:rsidRPr="00364EF8" w14:paraId="0AFA8DEC" w14:textId="77777777" w:rsidTr="00116B90">
        <w:trPr>
          <w:trHeight w:val="274"/>
        </w:trPr>
        <w:tc>
          <w:tcPr>
            <w:tcW w:w="353" w:type="pct"/>
          </w:tcPr>
          <w:p w14:paraId="33C5C730" w14:textId="77777777" w:rsidR="00364EF8" w:rsidRPr="00364EF8" w:rsidRDefault="00364EF8" w:rsidP="00B81916">
            <w:pPr>
              <w:pStyle w:val="Tabletext"/>
              <w:rPr>
                <w:lang w:eastAsia="zh-CN"/>
              </w:rPr>
            </w:pPr>
            <w:r w:rsidRPr="00364EF8">
              <w:rPr>
                <w:lang w:eastAsia="zh-CN"/>
              </w:rPr>
              <w:t>EO19</w:t>
            </w:r>
          </w:p>
        </w:tc>
        <w:tc>
          <w:tcPr>
            <w:tcW w:w="3075" w:type="pct"/>
          </w:tcPr>
          <w:p w14:paraId="45775467" w14:textId="77777777" w:rsidR="00364EF8" w:rsidRPr="00364EF8" w:rsidRDefault="00364EF8" w:rsidP="00B81916">
            <w:pPr>
              <w:pStyle w:val="Tabletext"/>
            </w:pPr>
            <w:r w:rsidRPr="00364EF8">
              <w:rPr>
                <w:lang w:eastAsia="zh-CN"/>
              </w:rPr>
              <w:t>- Companies adopt CE practices because they want to look good to customers</w:t>
            </w:r>
          </w:p>
        </w:tc>
        <w:tc>
          <w:tcPr>
            <w:tcW w:w="757" w:type="pct"/>
            <w:vMerge/>
          </w:tcPr>
          <w:p w14:paraId="0DEDD6B4" w14:textId="77777777" w:rsidR="00364EF8" w:rsidRPr="00364EF8" w:rsidRDefault="00364EF8" w:rsidP="00B81916">
            <w:pPr>
              <w:pStyle w:val="Tabletext"/>
            </w:pPr>
          </w:p>
        </w:tc>
        <w:tc>
          <w:tcPr>
            <w:tcW w:w="815" w:type="pct"/>
            <w:vMerge/>
          </w:tcPr>
          <w:p w14:paraId="78525E5A" w14:textId="77777777" w:rsidR="00364EF8" w:rsidRPr="00364EF8" w:rsidRDefault="00364EF8" w:rsidP="00B81916">
            <w:pPr>
              <w:pStyle w:val="Tabletext"/>
            </w:pPr>
          </w:p>
        </w:tc>
      </w:tr>
      <w:tr w:rsidR="00364EF8" w:rsidRPr="00364EF8" w14:paraId="0C215581" w14:textId="77777777" w:rsidTr="00116B90">
        <w:trPr>
          <w:trHeight w:val="274"/>
        </w:trPr>
        <w:tc>
          <w:tcPr>
            <w:tcW w:w="353" w:type="pct"/>
          </w:tcPr>
          <w:p w14:paraId="49234783" w14:textId="77777777" w:rsidR="00364EF8" w:rsidRPr="00364EF8" w:rsidRDefault="00364EF8" w:rsidP="00B81916">
            <w:pPr>
              <w:pStyle w:val="Tabletext"/>
              <w:rPr>
                <w:lang w:eastAsia="zh-CN"/>
              </w:rPr>
            </w:pPr>
            <w:r w:rsidRPr="00364EF8">
              <w:rPr>
                <w:lang w:eastAsia="zh-CN"/>
              </w:rPr>
              <w:t>EO20</w:t>
            </w:r>
          </w:p>
        </w:tc>
        <w:tc>
          <w:tcPr>
            <w:tcW w:w="3075" w:type="pct"/>
          </w:tcPr>
          <w:p w14:paraId="697B4FF1" w14:textId="77777777" w:rsidR="00364EF8" w:rsidRPr="00364EF8" w:rsidRDefault="00364EF8" w:rsidP="00B81916">
            <w:pPr>
              <w:pStyle w:val="Tabletext"/>
            </w:pPr>
            <w:r w:rsidRPr="00364EF8">
              <w:rPr>
                <w:lang w:eastAsia="zh-CN"/>
              </w:rPr>
              <w:t xml:space="preserve">- Regulation requires immediate action </w:t>
            </w:r>
          </w:p>
        </w:tc>
        <w:tc>
          <w:tcPr>
            <w:tcW w:w="757" w:type="pct"/>
            <w:vMerge w:val="restart"/>
          </w:tcPr>
          <w:p w14:paraId="3AB6CB36" w14:textId="77777777" w:rsidR="00364EF8" w:rsidRPr="00364EF8" w:rsidRDefault="00364EF8" w:rsidP="00B81916">
            <w:pPr>
              <w:pStyle w:val="Tabletext"/>
            </w:pPr>
            <w:r w:rsidRPr="00364EF8">
              <w:t>In absence of regulation voluntary action is weak or absent. After regulation is implemented, firms learn how to monetise the change in a cost-effective way. (CC6)</w:t>
            </w:r>
          </w:p>
        </w:tc>
        <w:tc>
          <w:tcPr>
            <w:tcW w:w="815" w:type="pct"/>
            <w:vMerge/>
          </w:tcPr>
          <w:p w14:paraId="119E975C" w14:textId="77777777" w:rsidR="00364EF8" w:rsidRPr="00364EF8" w:rsidRDefault="00364EF8" w:rsidP="00B81916">
            <w:pPr>
              <w:pStyle w:val="Tabletext"/>
            </w:pPr>
          </w:p>
        </w:tc>
      </w:tr>
      <w:tr w:rsidR="00364EF8" w:rsidRPr="00364EF8" w14:paraId="1A9949D2" w14:textId="77777777" w:rsidTr="00116B90">
        <w:trPr>
          <w:trHeight w:val="274"/>
        </w:trPr>
        <w:tc>
          <w:tcPr>
            <w:tcW w:w="353" w:type="pct"/>
          </w:tcPr>
          <w:p w14:paraId="75D9E85D" w14:textId="77777777" w:rsidR="00364EF8" w:rsidRPr="00364EF8" w:rsidRDefault="00364EF8" w:rsidP="00B81916">
            <w:pPr>
              <w:pStyle w:val="Tabletext"/>
              <w:rPr>
                <w:lang w:eastAsia="zh-CN"/>
              </w:rPr>
            </w:pPr>
            <w:r w:rsidRPr="00364EF8">
              <w:rPr>
                <w:lang w:eastAsia="zh-CN"/>
              </w:rPr>
              <w:t>EO21</w:t>
            </w:r>
          </w:p>
        </w:tc>
        <w:tc>
          <w:tcPr>
            <w:tcW w:w="3075" w:type="pct"/>
          </w:tcPr>
          <w:p w14:paraId="43B421F5" w14:textId="77777777" w:rsidR="00364EF8" w:rsidRPr="00364EF8" w:rsidRDefault="00364EF8" w:rsidP="00B81916">
            <w:pPr>
              <w:pStyle w:val="Tabletext"/>
            </w:pPr>
            <w:r w:rsidRPr="00364EF8">
              <w:rPr>
                <w:lang w:eastAsia="zh-CN"/>
              </w:rPr>
              <w:t>- Policy pressures can be direct or indirect - act on different actors in the supply chain</w:t>
            </w:r>
          </w:p>
        </w:tc>
        <w:tc>
          <w:tcPr>
            <w:tcW w:w="757" w:type="pct"/>
            <w:vMerge/>
          </w:tcPr>
          <w:p w14:paraId="70879CAD" w14:textId="77777777" w:rsidR="00364EF8" w:rsidRPr="00364EF8" w:rsidRDefault="00364EF8" w:rsidP="00B81916">
            <w:pPr>
              <w:pStyle w:val="Tabletext"/>
            </w:pPr>
          </w:p>
        </w:tc>
        <w:tc>
          <w:tcPr>
            <w:tcW w:w="815" w:type="pct"/>
            <w:vMerge/>
          </w:tcPr>
          <w:p w14:paraId="1D928F89" w14:textId="77777777" w:rsidR="00364EF8" w:rsidRPr="00364EF8" w:rsidRDefault="00364EF8" w:rsidP="00B81916">
            <w:pPr>
              <w:pStyle w:val="Tabletext"/>
            </w:pPr>
          </w:p>
        </w:tc>
      </w:tr>
      <w:tr w:rsidR="00364EF8" w:rsidRPr="00364EF8" w14:paraId="7BF436E5" w14:textId="77777777" w:rsidTr="00116B90">
        <w:trPr>
          <w:trHeight w:val="274"/>
        </w:trPr>
        <w:tc>
          <w:tcPr>
            <w:tcW w:w="353" w:type="pct"/>
          </w:tcPr>
          <w:p w14:paraId="05B1C8F8" w14:textId="77777777" w:rsidR="00364EF8" w:rsidRPr="00364EF8" w:rsidRDefault="00364EF8" w:rsidP="00B81916">
            <w:pPr>
              <w:pStyle w:val="Tabletext"/>
              <w:rPr>
                <w:lang w:eastAsia="zh-CN"/>
              </w:rPr>
            </w:pPr>
            <w:r w:rsidRPr="00364EF8">
              <w:rPr>
                <w:lang w:eastAsia="zh-CN"/>
              </w:rPr>
              <w:t>EO22</w:t>
            </w:r>
          </w:p>
        </w:tc>
        <w:tc>
          <w:tcPr>
            <w:tcW w:w="3075" w:type="pct"/>
          </w:tcPr>
          <w:p w14:paraId="1077971B" w14:textId="77777777" w:rsidR="00364EF8" w:rsidRPr="00364EF8" w:rsidRDefault="00364EF8" w:rsidP="00B81916">
            <w:pPr>
              <w:pStyle w:val="Tabletext"/>
            </w:pPr>
            <w:r w:rsidRPr="00364EF8">
              <w:rPr>
                <w:lang w:eastAsia="zh-CN"/>
              </w:rPr>
              <w:t xml:space="preserve">- Pressures from within the supply chain - power unbalance </w:t>
            </w:r>
          </w:p>
        </w:tc>
        <w:tc>
          <w:tcPr>
            <w:tcW w:w="757" w:type="pct"/>
            <w:vMerge/>
          </w:tcPr>
          <w:p w14:paraId="56ECA573" w14:textId="77777777" w:rsidR="00364EF8" w:rsidRPr="00364EF8" w:rsidRDefault="00364EF8" w:rsidP="00B81916">
            <w:pPr>
              <w:pStyle w:val="Tabletext"/>
            </w:pPr>
          </w:p>
        </w:tc>
        <w:tc>
          <w:tcPr>
            <w:tcW w:w="815" w:type="pct"/>
            <w:vMerge/>
          </w:tcPr>
          <w:p w14:paraId="4F9400EC" w14:textId="77777777" w:rsidR="00364EF8" w:rsidRPr="00364EF8" w:rsidRDefault="00364EF8" w:rsidP="00B81916">
            <w:pPr>
              <w:pStyle w:val="Tabletext"/>
            </w:pPr>
          </w:p>
        </w:tc>
      </w:tr>
      <w:tr w:rsidR="00364EF8" w:rsidRPr="00364EF8" w14:paraId="07E15225" w14:textId="77777777" w:rsidTr="00116B90">
        <w:trPr>
          <w:trHeight w:val="274"/>
        </w:trPr>
        <w:tc>
          <w:tcPr>
            <w:tcW w:w="353" w:type="pct"/>
          </w:tcPr>
          <w:p w14:paraId="62EAF53C" w14:textId="77777777" w:rsidR="00364EF8" w:rsidRPr="00364EF8" w:rsidRDefault="00364EF8" w:rsidP="00B81916">
            <w:pPr>
              <w:pStyle w:val="Tabletext"/>
              <w:rPr>
                <w:lang w:eastAsia="zh-CN"/>
              </w:rPr>
            </w:pPr>
            <w:r w:rsidRPr="00364EF8">
              <w:rPr>
                <w:lang w:eastAsia="zh-CN"/>
              </w:rPr>
              <w:t>EO23</w:t>
            </w:r>
          </w:p>
        </w:tc>
        <w:tc>
          <w:tcPr>
            <w:tcW w:w="3075" w:type="pct"/>
          </w:tcPr>
          <w:p w14:paraId="6ACEFD59" w14:textId="77777777" w:rsidR="00364EF8" w:rsidRPr="00364EF8" w:rsidRDefault="00364EF8" w:rsidP="00B81916">
            <w:pPr>
              <w:pStyle w:val="Tabletext"/>
            </w:pPr>
            <w:r w:rsidRPr="00364EF8">
              <w:rPr>
                <w:lang w:eastAsia="zh-CN"/>
              </w:rPr>
              <w:t xml:space="preserve">- Once firms start seeing the value of CE solutions, they share the benefits in the supply chain </w:t>
            </w:r>
          </w:p>
        </w:tc>
        <w:tc>
          <w:tcPr>
            <w:tcW w:w="757" w:type="pct"/>
            <w:vMerge/>
          </w:tcPr>
          <w:p w14:paraId="21DA3785" w14:textId="77777777" w:rsidR="00364EF8" w:rsidRPr="00364EF8" w:rsidRDefault="00364EF8" w:rsidP="00B81916">
            <w:pPr>
              <w:pStyle w:val="Tabletext"/>
            </w:pPr>
          </w:p>
        </w:tc>
        <w:tc>
          <w:tcPr>
            <w:tcW w:w="815" w:type="pct"/>
            <w:vMerge/>
          </w:tcPr>
          <w:p w14:paraId="4B90AA47" w14:textId="77777777" w:rsidR="00364EF8" w:rsidRPr="00364EF8" w:rsidRDefault="00364EF8" w:rsidP="00B81916">
            <w:pPr>
              <w:pStyle w:val="Tabletext"/>
            </w:pPr>
          </w:p>
        </w:tc>
      </w:tr>
      <w:tr w:rsidR="00364EF8" w:rsidRPr="00364EF8" w14:paraId="638AD3D7" w14:textId="77777777" w:rsidTr="00116B90">
        <w:trPr>
          <w:trHeight w:val="274"/>
        </w:trPr>
        <w:tc>
          <w:tcPr>
            <w:tcW w:w="353" w:type="pct"/>
          </w:tcPr>
          <w:p w14:paraId="6A18FB94" w14:textId="77777777" w:rsidR="00364EF8" w:rsidRPr="00364EF8" w:rsidRDefault="00364EF8" w:rsidP="00B81916">
            <w:pPr>
              <w:pStyle w:val="Tabletext"/>
              <w:rPr>
                <w:lang w:eastAsia="zh-CN"/>
              </w:rPr>
            </w:pPr>
            <w:r w:rsidRPr="00364EF8">
              <w:rPr>
                <w:lang w:eastAsia="zh-CN"/>
              </w:rPr>
              <w:t>EO24</w:t>
            </w:r>
          </w:p>
        </w:tc>
        <w:tc>
          <w:tcPr>
            <w:tcW w:w="3075" w:type="pct"/>
          </w:tcPr>
          <w:p w14:paraId="5B784810" w14:textId="77777777" w:rsidR="00364EF8" w:rsidRPr="00364EF8" w:rsidRDefault="00364EF8" w:rsidP="00B81916">
            <w:pPr>
              <w:pStyle w:val="Tabletext"/>
            </w:pPr>
            <w:r w:rsidRPr="00364EF8">
              <w:rPr>
                <w:lang w:eastAsia="zh-CN"/>
              </w:rPr>
              <w:t xml:space="preserve">- Higher SCI can increase transparency/traceability/visibility and sharing necessary information </w:t>
            </w:r>
          </w:p>
        </w:tc>
        <w:tc>
          <w:tcPr>
            <w:tcW w:w="757" w:type="pct"/>
            <w:vMerge w:val="restart"/>
          </w:tcPr>
          <w:p w14:paraId="30716BD9" w14:textId="77777777" w:rsidR="00364EF8" w:rsidRPr="00364EF8" w:rsidRDefault="00364EF8" w:rsidP="00B81916">
            <w:pPr>
              <w:pStyle w:val="Tabletext"/>
            </w:pPr>
            <w:r w:rsidRPr="00364EF8">
              <w:t>SCI is an amplifier of incremental CE approaches (CC7)</w:t>
            </w:r>
          </w:p>
          <w:p w14:paraId="0A433C1A" w14:textId="77777777" w:rsidR="00364EF8" w:rsidRPr="00364EF8" w:rsidRDefault="00364EF8" w:rsidP="00B81916">
            <w:pPr>
              <w:pStyle w:val="Tabletext"/>
            </w:pPr>
          </w:p>
          <w:p w14:paraId="506563DF" w14:textId="77777777" w:rsidR="00364EF8" w:rsidRPr="00364EF8" w:rsidRDefault="00364EF8" w:rsidP="00B81916">
            <w:pPr>
              <w:pStyle w:val="Tabletext"/>
            </w:pPr>
            <w:r w:rsidRPr="00364EF8">
              <w:t>SCI interacts with institutional pressures making it easier to extend pressures across supply chains (CC10)</w:t>
            </w:r>
          </w:p>
        </w:tc>
        <w:tc>
          <w:tcPr>
            <w:tcW w:w="815" w:type="pct"/>
            <w:vMerge w:val="restart"/>
          </w:tcPr>
          <w:p w14:paraId="5CB54537" w14:textId="77777777" w:rsidR="00364EF8" w:rsidRPr="00364EF8" w:rsidRDefault="00364EF8" w:rsidP="00B81916">
            <w:pPr>
              <w:pStyle w:val="Tabletext"/>
            </w:pPr>
            <w:r w:rsidRPr="00364EF8">
              <w:t>SCI positively moderates the adoption of incremental CE practices and has both a positive and negative effect towards the adoption of disruptive CE practices (AD4)</w:t>
            </w:r>
          </w:p>
          <w:p w14:paraId="312D3BB4" w14:textId="77777777" w:rsidR="00364EF8" w:rsidRPr="00364EF8" w:rsidRDefault="00364EF8" w:rsidP="00B81916">
            <w:pPr>
              <w:pStyle w:val="Tabletext"/>
            </w:pPr>
          </w:p>
          <w:p w14:paraId="656AE034" w14:textId="77777777" w:rsidR="00364EF8" w:rsidRPr="00364EF8" w:rsidRDefault="00364EF8" w:rsidP="00B81916">
            <w:pPr>
              <w:pStyle w:val="Tabletext"/>
            </w:pPr>
            <w:r w:rsidRPr="00364EF8">
              <w:t>SCI might positively mediate the relationship between some institutional pressures and the adoption of CE practices (AD6)</w:t>
            </w:r>
          </w:p>
          <w:p w14:paraId="50280ACC" w14:textId="77777777" w:rsidR="00364EF8" w:rsidRPr="00364EF8" w:rsidRDefault="00364EF8" w:rsidP="00B81916">
            <w:pPr>
              <w:pStyle w:val="Tabletext"/>
            </w:pPr>
          </w:p>
          <w:p w14:paraId="2B332122" w14:textId="77777777" w:rsidR="00364EF8" w:rsidRPr="00364EF8" w:rsidRDefault="00364EF8" w:rsidP="00B81916">
            <w:pPr>
              <w:pStyle w:val="Tabletext"/>
            </w:pPr>
          </w:p>
        </w:tc>
      </w:tr>
      <w:tr w:rsidR="00364EF8" w:rsidRPr="00364EF8" w14:paraId="5723FC84" w14:textId="77777777" w:rsidTr="00116B90">
        <w:trPr>
          <w:trHeight w:val="274"/>
        </w:trPr>
        <w:tc>
          <w:tcPr>
            <w:tcW w:w="353" w:type="pct"/>
          </w:tcPr>
          <w:p w14:paraId="5FEDCBAD" w14:textId="77777777" w:rsidR="00364EF8" w:rsidRPr="00364EF8" w:rsidRDefault="00364EF8" w:rsidP="00B81916">
            <w:pPr>
              <w:pStyle w:val="Tabletext"/>
              <w:rPr>
                <w:lang w:eastAsia="zh-CN"/>
              </w:rPr>
            </w:pPr>
            <w:r w:rsidRPr="00364EF8">
              <w:rPr>
                <w:lang w:eastAsia="zh-CN"/>
              </w:rPr>
              <w:t>EO25</w:t>
            </w:r>
          </w:p>
        </w:tc>
        <w:tc>
          <w:tcPr>
            <w:tcW w:w="3075" w:type="pct"/>
          </w:tcPr>
          <w:p w14:paraId="40AB8D41" w14:textId="77777777" w:rsidR="00364EF8" w:rsidRPr="00364EF8" w:rsidRDefault="00364EF8" w:rsidP="00B81916">
            <w:pPr>
              <w:pStyle w:val="Tabletext"/>
            </w:pPr>
            <w:r w:rsidRPr="00364EF8">
              <w:rPr>
                <w:lang w:eastAsia="zh-CN"/>
              </w:rPr>
              <w:t>- Enhancing the level of SCI can increase the strategic alignment of actors in the supply chain and create a shared responsibility</w:t>
            </w:r>
          </w:p>
        </w:tc>
        <w:tc>
          <w:tcPr>
            <w:tcW w:w="757" w:type="pct"/>
            <w:vMerge/>
          </w:tcPr>
          <w:p w14:paraId="1056D58D" w14:textId="77777777" w:rsidR="00364EF8" w:rsidRPr="00364EF8" w:rsidRDefault="00364EF8" w:rsidP="00B81916">
            <w:pPr>
              <w:pStyle w:val="Tabletext"/>
            </w:pPr>
          </w:p>
        </w:tc>
        <w:tc>
          <w:tcPr>
            <w:tcW w:w="815" w:type="pct"/>
            <w:vMerge/>
          </w:tcPr>
          <w:p w14:paraId="6E4B3B04" w14:textId="77777777" w:rsidR="00364EF8" w:rsidRPr="00364EF8" w:rsidRDefault="00364EF8" w:rsidP="00B81916">
            <w:pPr>
              <w:pStyle w:val="Tabletext"/>
            </w:pPr>
          </w:p>
        </w:tc>
      </w:tr>
      <w:tr w:rsidR="00364EF8" w:rsidRPr="00364EF8" w14:paraId="402DD910" w14:textId="77777777" w:rsidTr="00116B90">
        <w:trPr>
          <w:trHeight w:val="274"/>
        </w:trPr>
        <w:tc>
          <w:tcPr>
            <w:tcW w:w="353" w:type="pct"/>
          </w:tcPr>
          <w:p w14:paraId="1A9B3BBB" w14:textId="77777777" w:rsidR="00364EF8" w:rsidRPr="00364EF8" w:rsidRDefault="00364EF8" w:rsidP="00B81916">
            <w:pPr>
              <w:pStyle w:val="Tabletext"/>
              <w:rPr>
                <w:lang w:eastAsia="zh-CN"/>
              </w:rPr>
            </w:pPr>
            <w:r w:rsidRPr="00364EF8">
              <w:rPr>
                <w:lang w:eastAsia="zh-CN"/>
              </w:rPr>
              <w:t>EO26</w:t>
            </w:r>
          </w:p>
        </w:tc>
        <w:tc>
          <w:tcPr>
            <w:tcW w:w="3075" w:type="pct"/>
          </w:tcPr>
          <w:p w14:paraId="504F3E5D" w14:textId="77777777" w:rsidR="00364EF8" w:rsidRPr="00364EF8" w:rsidRDefault="00364EF8" w:rsidP="00B81916">
            <w:pPr>
              <w:pStyle w:val="Tabletext"/>
            </w:pPr>
            <w:r w:rsidRPr="00364EF8">
              <w:rPr>
                <w:lang w:eastAsia="zh-CN"/>
              </w:rPr>
              <w:t>- Enhancing the level of SCI can align the purpose/priorities of different actors in the supply chain</w:t>
            </w:r>
          </w:p>
        </w:tc>
        <w:tc>
          <w:tcPr>
            <w:tcW w:w="757" w:type="pct"/>
            <w:vMerge/>
          </w:tcPr>
          <w:p w14:paraId="0B184FED" w14:textId="77777777" w:rsidR="00364EF8" w:rsidRPr="00364EF8" w:rsidRDefault="00364EF8" w:rsidP="00B81916">
            <w:pPr>
              <w:pStyle w:val="Tabletext"/>
            </w:pPr>
          </w:p>
        </w:tc>
        <w:tc>
          <w:tcPr>
            <w:tcW w:w="815" w:type="pct"/>
            <w:vMerge/>
          </w:tcPr>
          <w:p w14:paraId="3EBEFE48" w14:textId="77777777" w:rsidR="00364EF8" w:rsidRPr="00364EF8" w:rsidRDefault="00364EF8" w:rsidP="00B81916">
            <w:pPr>
              <w:pStyle w:val="Tabletext"/>
            </w:pPr>
          </w:p>
        </w:tc>
      </w:tr>
      <w:tr w:rsidR="00364EF8" w:rsidRPr="00364EF8" w14:paraId="5FBFC939" w14:textId="77777777" w:rsidTr="00116B90">
        <w:trPr>
          <w:trHeight w:val="274"/>
        </w:trPr>
        <w:tc>
          <w:tcPr>
            <w:tcW w:w="353" w:type="pct"/>
          </w:tcPr>
          <w:p w14:paraId="39ED0A89" w14:textId="77777777" w:rsidR="00364EF8" w:rsidRPr="00364EF8" w:rsidRDefault="00364EF8" w:rsidP="00B81916">
            <w:pPr>
              <w:pStyle w:val="Tabletext"/>
              <w:rPr>
                <w:lang w:eastAsia="zh-CN"/>
              </w:rPr>
            </w:pPr>
            <w:r w:rsidRPr="00364EF8">
              <w:rPr>
                <w:lang w:eastAsia="zh-CN"/>
              </w:rPr>
              <w:t>EO27</w:t>
            </w:r>
          </w:p>
        </w:tc>
        <w:tc>
          <w:tcPr>
            <w:tcW w:w="3075" w:type="pct"/>
          </w:tcPr>
          <w:p w14:paraId="55BA0DCC" w14:textId="77777777" w:rsidR="00364EF8" w:rsidRPr="00364EF8" w:rsidRDefault="00364EF8" w:rsidP="00B81916">
            <w:pPr>
              <w:pStyle w:val="Tabletext"/>
            </w:pPr>
            <w:r w:rsidRPr="00364EF8">
              <w:rPr>
                <w:lang w:eastAsia="zh-CN"/>
              </w:rPr>
              <w:t xml:space="preserve">- Higher levels of SCI can help overcome structural multi-tier complexity and allows to better recognise pressures </w:t>
            </w:r>
          </w:p>
        </w:tc>
        <w:tc>
          <w:tcPr>
            <w:tcW w:w="757" w:type="pct"/>
            <w:vMerge/>
          </w:tcPr>
          <w:p w14:paraId="5DB037C1" w14:textId="77777777" w:rsidR="00364EF8" w:rsidRPr="00364EF8" w:rsidRDefault="00364EF8" w:rsidP="00B81916">
            <w:pPr>
              <w:pStyle w:val="Tabletext"/>
            </w:pPr>
          </w:p>
        </w:tc>
        <w:tc>
          <w:tcPr>
            <w:tcW w:w="815" w:type="pct"/>
            <w:vMerge/>
          </w:tcPr>
          <w:p w14:paraId="4C57CF7D" w14:textId="77777777" w:rsidR="00364EF8" w:rsidRPr="00364EF8" w:rsidRDefault="00364EF8" w:rsidP="00B81916">
            <w:pPr>
              <w:pStyle w:val="Tabletext"/>
            </w:pPr>
          </w:p>
        </w:tc>
      </w:tr>
      <w:tr w:rsidR="00364EF8" w:rsidRPr="00364EF8" w14:paraId="61A8BE09" w14:textId="77777777" w:rsidTr="00116B90">
        <w:trPr>
          <w:trHeight w:val="274"/>
        </w:trPr>
        <w:tc>
          <w:tcPr>
            <w:tcW w:w="353" w:type="pct"/>
          </w:tcPr>
          <w:p w14:paraId="5B976F3D" w14:textId="77777777" w:rsidR="00364EF8" w:rsidRPr="00364EF8" w:rsidRDefault="00364EF8" w:rsidP="00B81916">
            <w:pPr>
              <w:pStyle w:val="Tabletext"/>
              <w:rPr>
                <w:lang w:eastAsia="zh-CN"/>
              </w:rPr>
            </w:pPr>
            <w:r w:rsidRPr="00364EF8">
              <w:rPr>
                <w:lang w:eastAsia="zh-CN"/>
              </w:rPr>
              <w:t>EO28</w:t>
            </w:r>
          </w:p>
        </w:tc>
        <w:tc>
          <w:tcPr>
            <w:tcW w:w="3075" w:type="pct"/>
          </w:tcPr>
          <w:p w14:paraId="5B9367B3" w14:textId="77777777" w:rsidR="00364EF8" w:rsidRPr="00364EF8" w:rsidRDefault="00364EF8" w:rsidP="00B81916">
            <w:pPr>
              <w:pStyle w:val="Tabletext"/>
            </w:pPr>
            <w:r w:rsidRPr="00364EF8">
              <w:rPr>
                <w:lang w:eastAsia="zh-CN"/>
              </w:rPr>
              <w:t>- Higher levels of SCI can help lower the uncertainties of returns and some operational challenges in circular supply chains</w:t>
            </w:r>
          </w:p>
        </w:tc>
        <w:tc>
          <w:tcPr>
            <w:tcW w:w="757" w:type="pct"/>
            <w:vMerge/>
          </w:tcPr>
          <w:p w14:paraId="40FE377D" w14:textId="77777777" w:rsidR="00364EF8" w:rsidRPr="00364EF8" w:rsidRDefault="00364EF8" w:rsidP="00B81916">
            <w:pPr>
              <w:pStyle w:val="Tabletext"/>
            </w:pPr>
          </w:p>
        </w:tc>
        <w:tc>
          <w:tcPr>
            <w:tcW w:w="815" w:type="pct"/>
            <w:vMerge/>
          </w:tcPr>
          <w:p w14:paraId="73A37ABE" w14:textId="77777777" w:rsidR="00364EF8" w:rsidRPr="00364EF8" w:rsidRDefault="00364EF8" w:rsidP="00B81916">
            <w:pPr>
              <w:pStyle w:val="Tabletext"/>
            </w:pPr>
          </w:p>
        </w:tc>
      </w:tr>
      <w:tr w:rsidR="00364EF8" w:rsidRPr="00364EF8" w14:paraId="579D8989" w14:textId="77777777" w:rsidTr="00116B90">
        <w:trPr>
          <w:trHeight w:val="274"/>
        </w:trPr>
        <w:tc>
          <w:tcPr>
            <w:tcW w:w="353" w:type="pct"/>
          </w:tcPr>
          <w:p w14:paraId="218F5895" w14:textId="77777777" w:rsidR="00364EF8" w:rsidRPr="00364EF8" w:rsidRDefault="00364EF8" w:rsidP="00B81916">
            <w:pPr>
              <w:pStyle w:val="Tabletext"/>
              <w:rPr>
                <w:lang w:eastAsia="zh-CN"/>
              </w:rPr>
            </w:pPr>
            <w:r w:rsidRPr="00364EF8">
              <w:rPr>
                <w:lang w:eastAsia="zh-CN"/>
              </w:rPr>
              <w:t>EO29</w:t>
            </w:r>
          </w:p>
        </w:tc>
        <w:tc>
          <w:tcPr>
            <w:tcW w:w="3075" w:type="pct"/>
          </w:tcPr>
          <w:p w14:paraId="13460288" w14:textId="77777777" w:rsidR="00364EF8" w:rsidRPr="00364EF8" w:rsidRDefault="00364EF8" w:rsidP="00B81916">
            <w:pPr>
              <w:pStyle w:val="Tabletext"/>
            </w:pPr>
            <w:r w:rsidRPr="00364EF8">
              <w:rPr>
                <w:lang w:eastAsia="zh-CN"/>
              </w:rPr>
              <w:t>- Enhancing the level of SCI can help winning the resistance to change of some actors in the supply chain</w:t>
            </w:r>
          </w:p>
        </w:tc>
        <w:tc>
          <w:tcPr>
            <w:tcW w:w="757" w:type="pct"/>
            <w:vMerge w:val="restart"/>
          </w:tcPr>
          <w:p w14:paraId="7FDBC9EF" w14:textId="77777777" w:rsidR="00364EF8" w:rsidRPr="00364EF8" w:rsidRDefault="00364EF8" w:rsidP="00B81916">
            <w:pPr>
              <w:pStyle w:val="Tabletext"/>
            </w:pPr>
            <w:r w:rsidRPr="00364EF8">
              <w:t>SCI is a necessary condition of disruptive CE approaches but not sufficient (CC8)</w:t>
            </w:r>
          </w:p>
        </w:tc>
        <w:tc>
          <w:tcPr>
            <w:tcW w:w="815" w:type="pct"/>
            <w:vMerge/>
          </w:tcPr>
          <w:p w14:paraId="2DDECE4F" w14:textId="77777777" w:rsidR="00364EF8" w:rsidRPr="00364EF8" w:rsidRDefault="00364EF8" w:rsidP="00B81916">
            <w:pPr>
              <w:pStyle w:val="Tabletext"/>
            </w:pPr>
          </w:p>
        </w:tc>
      </w:tr>
      <w:tr w:rsidR="00364EF8" w:rsidRPr="00364EF8" w14:paraId="74C54F18" w14:textId="77777777" w:rsidTr="00116B90">
        <w:trPr>
          <w:trHeight w:val="274"/>
        </w:trPr>
        <w:tc>
          <w:tcPr>
            <w:tcW w:w="353" w:type="pct"/>
          </w:tcPr>
          <w:p w14:paraId="51B228A2" w14:textId="77777777" w:rsidR="00364EF8" w:rsidRPr="00364EF8" w:rsidRDefault="00364EF8" w:rsidP="00B81916">
            <w:pPr>
              <w:pStyle w:val="Tabletext"/>
              <w:rPr>
                <w:lang w:eastAsia="zh-CN"/>
              </w:rPr>
            </w:pPr>
            <w:r w:rsidRPr="00364EF8">
              <w:rPr>
                <w:lang w:eastAsia="zh-CN"/>
              </w:rPr>
              <w:t>EO30</w:t>
            </w:r>
          </w:p>
        </w:tc>
        <w:tc>
          <w:tcPr>
            <w:tcW w:w="3075" w:type="pct"/>
          </w:tcPr>
          <w:p w14:paraId="3ACD9CDA" w14:textId="77777777" w:rsidR="00364EF8" w:rsidRPr="00364EF8" w:rsidRDefault="00364EF8" w:rsidP="00B81916">
            <w:pPr>
              <w:pStyle w:val="Tabletext"/>
            </w:pPr>
            <w:r w:rsidRPr="00364EF8">
              <w:rPr>
                <w:lang w:eastAsia="zh-CN"/>
              </w:rPr>
              <w:t>- Higher levels of SCI can increase collaboration on new products development that integrate CE principles</w:t>
            </w:r>
          </w:p>
        </w:tc>
        <w:tc>
          <w:tcPr>
            <w:tcW w:w="757" w:type="pct"/>
            <w:vMerge/>
          </w:tcPr>
          <w:p w14:paraId="7D073467" w14:textId="77777777" w:rsidR="00364EF8" w:rsidRPr="00364EF8" w:rsidRDefault="00364EF8" w:rsidP="00B81916">
            <w:pPr>
              <w:pStyle w:val="Tabletext"/>
            </w:pPr>
          </w:p>
        </w:tc>
        <w:tc>
          <w:tcPr>
            <w:tcW w:w="815" w:type="pct"/>
            <w:vMerge/>
          </w:tcPr>
          <w:p w14:paraId="18725220" w14:textId="77777777" w:rsidR="00364EF8" w:rsidRPr="00364EF8" w:rsidRDefault="00364EF8" w:rsidP="00B81916">
            <w:pPr>
              <w:pStyle w:val="Tabletext"/>
            </w:pPr>
          </w:p>
        </w:tc>
      </w:tr>
      <w:tr w:rsidR="00364EF8" w:rsidRPr="00364EF8" w14:paraId="49E942FF" w14:textId="77777777" w:rsidTr="00116B90">
        <w:trPr>
          <w:trHeight w:val="274"/>
        </w:trPr>
        <w:tc>
          <w:tcPr>
            <w:tcW w:w="353" w:type="pct"/>
          </w:tcPr>
          <w:p w14:paraId="507831C5" w14:textId="77777777" w:rsidR="00364EF8" w:rsidRPr="00364EF8" w:rsidRDefault="00364EF8" w:rsidP="00B81916">
            <w:pPr>
              <w:pStyle w:val="Tabletext"/>
              <w:rPr>
                <w:lang w:eastAsia="zh-CN"/>
              </w:rPr>
            </w:pPr>
            <w:r w:rsidRPr="00364EF8">
              <w:rPr>
                <w:lang w:eastAsia="zh-CN"/>
              </w:rPr>
              <w:t>EO31</w:t>
            </w:r>
          </w:p>
        </w:tc>
        <w:tc>
          <w:tcPr>
            <w:tcW w:w="3075" w:type="pct"/>
          </w:tcPr>
          <w:p w14:paraId="2E1A3BB1" w14:textId="77777777" w:rsidR="00364EF8" w:rsidRPr="00364EF8" w:rsidRDefault="00364EF8" w:rsidP="00B81916">
            <w:pPr>
              <w:pStyle w:val="Tabletext"/>
            </w:pPr>
            <w:r w:rsidRPr="00364EF8">
              <w:rPr>
                <w:lang w:eastAsia="zh-CN"/>
              </w:rPr>
              <w:t>- Reusing materials requires visibility at all stages. Tools that are used today does not allow that</w:t>
            </w:r>
          </w:p>
        </w:tc>
        <w:tc>
          <w:tcPr>
            <w:tcW w:w="757" w:type="pct"/>
            <w:vMerge/>
          </w:tcPr>
          <w:p w14:paraId="3F70C912" w14:textId="77777777" w:rsidR="00364EF8" w:rsidRPr="00364EF8" w:rsidRDefault="00364EF8" w:rsidP="00B81916">
            <w:pPr>
              <w:pStyle w:val="Tabletext"/>
            </w:pPr>
          </w:p>
        </w:tc>
        <w:tc>
          <w:tcPr>
            <w:tcW w:w="815" w:type="pct"/>
            <w:vMerge/>
          </w:tcPr>
          <w:p w14:paraId="64DE9439" w14:textId="77777777" w:rsidR="00364EF8" w:rsidRPr="00364EF8" w:rsidRDefault="00364EF8" w:rsidP="00B81916">
            <w:pPr>
              <w:pStyle w:val="Tabletext"/>
            </w:pPr>
          </w:p>
        </w:tc>
      </w:tr>
      <w:tr w:rsidR="00364EF8" w:rsidRPr="00364EF8" w14:paraId="74279096" w14:textId="77777777" w:rsidTr="00364EF8">
        <w:trPr>
          <w:trHeight w:val="888"/>
        </w:trPr>
        <w:tc>
          <w:tcPr>
            <w:tcW w:w="353" w:type="pct"/>
          </w:tcPr>
          <w:p w14:paraId="14BC06E2" w14:textId="77777777" w:rsidR="00364EF8" w:rsidRPr="00364EF8" w:rsidRDefault="00364EF8" w:rsidP="00B81916">
            <w:pPr>
              <w:pStyle w:val="Tabletext"/>
              <w:rPr>
                <w:lang w:eastAsia="zh-CN"/>
              </w:rPr>
            </w:pPr>
            <w:r w:rsidRPr="00364EF8">
              <w:rPr>
                <w:lang w:eastAsia="zh-CN"/>
              </w:rPr>
              <w:lastRenderedPageBreak/>
              <w:t>EO32</w:t>
            </w:r>
          </w:p>
        </w:tc>
        <w:tc>
          <w:tcPr>
            <w:tcW w:w="3075" w:type="pct"/>
          </w:tcPr>
          <w:p w14:paraId="0C60C234" w14:textId="77777777" w:rsidR="00364EF8" w:rsidRPr="00364EF8" w:rsidRDefault="00364EF8" w:rsidP="00B81916">
            <w:pPr>
              <w:pStyle w:val="Tabletext"/>
              <w:rPr>
                <w:lang w:eastAsia="zh-CN"/>
              </w:rPr>
            </w:pPr>
            <w:r w:rsidRPr="00364EF8">
              <w:rPr>
                <w:lang w:eastAsia="zh-CN"/>
              </w:rPr>
              <w:t xml:space="preserve">- CE model implies you have to create strong partnerships, even outside traditional key suppliers and customers  </w:t>
            </w:r>
          </w:p>
        </w:tc>
        <w:tc>
          <w:tcPr>
            <w:tcW w:w="757" w:type="pct"/>
            <w:vMerge/>
          </w:tcPr>
          <w:p w14:paraId="7706FDE8" w14:textId="77777777" w:rsidR="00364EF8" w:rsidRPr="00364EF8" w:rsidRDefault="00364EF8" w:rsidP="00B81916">
            <w:pPr>
              <w:pStyle w:val="Tabletext"/>
            </w:pPr>
          </w:p>
        </w:tc>
        <w:tc>
          <w:tcPr>
            <w:tcW w:w="815" w:type="pct"/>
            <w:vMerge/>
          </w:tcPr>
          <w:p w14:paraId="6247B640" w14:textId="77777777" w:rsidR="00364EF8" w:rsidRPr="00364EF8" w:rsidRDefault="00364EF8" w:rsidP="00B81916">
            <w:pPr>
              <w:pStyle w:val="Tabletext"/>
            </w:pPr>
          </w:p>
        </w:tc>
      </w:tr>
      <w:tr w:rsidR="00364EF8" w:rsidRPr="00364EF8" w14:paraId="7DC66351" w14:textId="77777777" w:rsidTr="00116B90">
        <w:trPr>
          <w:trHeight w:val="274"/>
        </w:trPr>
        <w:tc>
          <w:tcPr>
            <w:tcW w:w="353" w:type="pct"/>
          </w:tcPr>
          <w:p w14:paraId="2CE2B471" w14:textId="77777777" w:rsidR="00364EF8" w:rsidRPr="00364EF8" w:rsidRDefault="00364EF8" w:rsidP="00B81916">
            <w:pPr>
              <w:pStyle w:val="Tabletext"/>
              <w:rPr>
                <w:lang w:eastAsia="zh-CN"/>
              </w:rPr>
            </w:pPr>
            <w:r w:rsidRPr="00364EF8">
              <w:rPr>
                <w:lang w:eastAsia="zh-CN"/>
              </w:rPr>
              <w:t>EO33</w:t>
            </w:r>
          </w:p>
        </w:tc>
        <w:tc>
          <w:tcPr>
            <w:tcW w:w="3075" w:type="pct"/>
          </w:tcPr>
          <w:p w14:paraId="103126E6" w14:textId="77777777" w:rsidR="00364EF8" w:rsidRPr="00364EF8" w:rsidRDefault="00364EF8" w:rsidP="00B81916">
            <w:pPr>
              <w:pStyle w:val="Tabletext"/>
            </w:pPr>
            <w:r w:rsidRPr="00364EF8">
              <w:rPr>
                <w:lang w:eastAsia="zh-CN"/>
              </w:rPr>
              <w:t xml:space="preserve">- Less dependency from suppliers is required to experiment with CBMs </w:t>
            </w:r>
          </w:p>
        </w:tc>
        <w:tc>
          <w:tcPr>
            <w:tcW w:w="757" w:type="pct"/>
            <w:vMerge w:val="restart"/>
          </w:tcPr>
          <w:p w14:paraId="48AE02D9" w14:textId="77777777" w:rsidR="00364EF8" w:rsidRPr="00364EF8" w:rsidRDefault="00364EF8" w:rsidP="00B81916">
            <w:pPr>
              <w:pStyle w:val="Tabletext"/>
              <w:rPr>
                <w:b/>
                <w:bCs/>
              </w:rPr>
            </w:pPr>
            <w:r w:rsidRPr="00364EF8">
              <w:t>SCI is an inhibitor of disruptive CE approaches (CC9)</w:t>
            </w:r>
          </w:p>
        </w:tc>
        <w:tc>
          <w:tcPr>
            <w:tcW w:w="815" w:type="pct"/>
            <w:vMerge w:val="restart"/>
          </w:tcPr>
          <w:p w14:paraId="56B008A3" w14:textId="77777777" w:rsidR="00364EF8" w:rsidRPr="00364EF8" w:rsidRDefault="00364EF8" w:rsidP="00B81916">
            <w:pPr>
              <w:pStyle w:val="Tabletext"/>
            </w:pPr>
            <w:r w:rsidRPr="00364EF8">
              <w:t>SCI negatively moderates the adoption of disruptive CE (AD5)</w:t>
            </w:r>
          </w:p>
          <w:p w14:paraId="3A482BD5" w14:textId="77777777" w:rsidR="00364EF8" w:rsidRPr="00364EF8" w:rsidRDefault="00364EF8" w:rsidP="00B81916">
            <w:pPr>
              <w:pStyle w:val="Tabletext"/>
            </w:pPr>
          </w:p>
        </w:tc>
      </w:tr>
      <w:tr w:rsidR="00364EF8" w:rsidRPr="00364EF8" w14:paraId="777D5A60" w14:textId="77777777" w:rsidTr="00116B90">
        <w:trPr>
          <w:trHeight w:val="274"/>
        </w:trPr>
        <w:tc>
          <w:tcPr>
            <w:tcW w:w="353" w:type="pct"/>
          </w:tcPr>
          <w:p w14:paraId="3EDD0B91" w14:textId="77777777" w:rsidR="00364EF8" w:rsidRPr="00364EF8" w:rsidRDefault="00364EF8" w:rsidP="00B81916">
            <w:pPr>
              <w:pStyle w:val="Tabletext"/>
              <w:rPr>
                <w:lang w:eastAsia="zh-CN"/>
              </w:rPr>
            </w:pPr>
            <w:r w:rsidRPr="00364EF8">
              <w:rPr>
                <w:lang w:eastAsia="zh-CN"/>
              </w:rPr>
              <w:t>EO34</w:t>
            </w:r>
          </w:p>
        </w:tc>
        <w:tc>
          <w:tcPr>
            <w:tcW w:w="3075" w:type="pct"/>
          </w:tcPr>
          <w:p w14:paraId="41119E4E" w14:textId="77777777" w:rsidR="00364EF8" w:rsidRPr="00364EF8" w:rsidRDefault="00364EF8" w:rsidP="00B81916">
            <w:pPr>
              <w:pStyle w:val="Tabletext"/>
            </w:pPr>
            <w:r w:rsidRPr="00364EF8">
              <w:rPr>
                <w:lang w:eastAsia="zh-CN"/>
              </w:rPr>
              <w:t>- Higher levels of</w:t>
            </w:r>
            <w:r w:rsidRPr="00364EF8" w:rsidDel="000A1971">
              <w:rPr>
                <w:lang w:eastAsia="zh-CN"/>
              </w:rPr>
              <w:t xml:space="preserve"> </w:t>
            </w:r>
            <w:r w:rsidRPr="00364EF8">
              <w:rPr>
                <w:lang w:eastAsia="zh-CN"/>
              </w:rPr>
              <w:t xml:space="preserve">SCI can reinforce linear relationships creating a lock-in against CE practices </w:t>
            </w:r>
          </w:p>
        </w:tc>
        <w:tc>
          <w:tcPr>
            <w:tcW w:w="757" w:type="pct"/>
            <w:vMerge/>
          </w:tcPr>
          <w:p w14:paraId="5BF2EE00" w14:textId="77777777" w:rsidR="00364EF8" w:rsidRPr="00364EF8" w:rsidRDefault="00364EF8" w:rsidP="00B81916">
            <w:pPr>
              <w:pStyle w:val="Tabletext"/>
            </w:pPr>
          </w:p>
        </w:tc>
        <w:tc>
          <w:tcPr>
            <w:tcW w:w="815" w:type="pct"/>
            <w:vMerge/>
          </w:tcPr>
          <w:p w14:paraId="11A163C6" w14:textId="77777777" w:rsidR="00364EF8" w:rsidRPr="00364EF8" w:rsidRDefault="00364EF8" w:rsidP="00B81916">
            <w:pPr>
              <w:pStyle w:val="Tabletext"/>
            </w:pPr>
          </w:p>
        </w:tc>
      </w:tr>
      <w:tr w:rsidR="00364EF8" w:rsidRPr="00364EF8" w14:paraId="2B017D88" w14:textId="77777777" w:rsidTr="00116B90">
        <w:trPr>
          <w:trHeight w:val="274"/>
        </w:trPr>
        <w:tc>
          <w:tcPr>
            <w:tcW w:w="353" w:type="pct"/>
          </w:tcPr>
          <w:p w14:paraId="1F00FE9A" w14:textId="77777777" w:rsidR="00364EF8" w:rsidRPr="00364EF8" w:rsidRDefault="00364EF8" w:rsidP="00B81916">
            <w:pPr>
              <w:pStyle w:val="Tabletext"/>
              <w:rPr>
                <w:lang w:eastAsia="zh-CN"/>
              </w:rPr>
            </w:pPr>
            <w:r w:rsidRPr="00364EF8">
              <w:rPr>
                <w:lang w:eastAsia="zh-CN"/>
              </w:rPr>
              <w:t>EO35</w:t>
            </w:r>
          </w:p>
        </w:tc>
        <w:tc>
          <w:tcPr>
            <w:tcW w:w="3075" w:type="pct"/>
          </w:tcPr>
          <w:p w14:paraId="043418D0" w14:textId="77777777" w:rsidR="00364EF8" w:rsidRPr="00364EF8" w:rsidRDefault="00364EF8" w:rsidP="00B81916">
            <w:pPr>
              <w:pStyle w:val="Tabletext"/>
            </w:pPr>
            <w:r w:rsidRPr="00364EF8">
              <w:rPr>
                <w:lang w:eastAsia="zh-CN"/>
              </w:rPr>
              <w:t>- Higher levels of</w:t>
            </w:r>
            <w:r w:rsidRPr="00364EF8" w:rsidDel="000A1971">
              <w:rPr>
                <w:lang w:eastAsia="zh-CN"/>
              </w:rPr>
              <w:t xml:space="preserve"> </w:t>
            </w:r>
            <w:r w:rsidRPr="00364EF8">
              <w:rPr>
                <w:lang w:eastAsia="zh-CN"/>
              </w:rPr>
              <w:t xml:space="preserve">SCI can reinforce incentives and purposes of the linear supply chain </w:t>
            </w:r>
          </w:p>
        </w:tc>
        <w:tc>
          <w:tcPr>
            <w:tcW w:w="757" w:type="pct"/>
            <w:vMerge/>
          </w:tcPr>
          <w:p w14:paraId="5DA8A63F" w14:textId="77777777" w:rsidR="00364EF8" w:rsidRPr="00364EF8" w:rsidRDefault="00364EF8" w:rsidP="00B81916">
            <w:pPr>
              <w:pStyle w:val="Tabletext"/>
            </w:pPr>
          </w:p>
        </w:tc>
        <w:tc>
          <w:tcPr>
            <w:tcW w:w="815" w:type="pct"/>
            <w:vMerge/>
          </w:tcPr>
          <w:p w14:paraId="29FEB20E" w14:textId="77777777" w:rsidR="00364EF8" w:rsidRPr="00364EF8" w:rsidRDefault="00364EF8" w:rsidP="00B81916">
            <w:pPr>
              <w:pStyle w:val="Tabletext"/>
            </w:pPr>
          </w:p>
        </w:tc>
      </w:tr>
    </w:tbl>
    <w:p w14:paraId="28C100DF" w14:textId="77777777" w:rsidR="00364EF8" w:rsidRDefault="0085669A" w:rsidP="002F7336">
      <w:pPr>
        <w:sectPr w:rsidR="00364EF8" w:rsidSect="00116B90">
          <w:headerReference w:type="default" r:id="rId83"/>
          <w:type w:val="continuous"/>
          <w:pgSz w:w="16838" w:h="11906" w:orient="landscape"/>
          <w:pgMar w:top="1701" w:right="1701" w:bottom="1701" w:left="1134" w:header="720" w:footer="720" w:gutter="0"/>
          <w:cols w:space="720"/>
          <w:docGrid w:linePitch="299"/>
        </w:sectPr>
      </w:pPr>
      <w:r>
        <w:br w:type="page"/>
      </w:r>
    </w:p>
    <w:p w14:paraId="76D92842" w14:textId="463FA94F" w:rsidR="00534F56" w:rsidRPr="000F66F6" w:rsidRDefault="00EB75DF" w:rsidP="002F7336">
      <w:pPr>
        <w:pStyle w:val="Heading4Paragraph"/>
      </w:pPr>
      <w:r>
        <w:lastRenderedPageBreak/>
        <w:t xml:space="preserve">4.2.1 </w:t>
      </w:r>
      <w:r w:rsidR="00534F56" w:rsidRPr="000F66F6">
        <w:t>Institutional pressures – prescriptions, reactivity and the role of Top Management</w:t>
      </w:r>
    </w:p>
    <w:p w14:paraId="03EA7579" w14:textId="77777777" w:rsidR="00534F56" w:rsidRPr="00BA6853" w:rsidRDefault="00534F56" w:rsidP="002F7336">
      <w:r w:rsidRPr="00BA6853">
        <w:t xml:space="preserve">Experts suggest the existence of a relationship between IPs and the adoption of CE practices (Figure </w:t>
      </w:r>
      <w:r>
        <w:t>4</w:t>
      </w:r>
      <w:r w:rsidRPr="00BA6853">
        <w:t xml:space="preserve">). </w:t>
      </w:r>
      <w:r>
        <w:t>D</w:t>
      </w:r>
      <w:r w:rsidRPr="00BA6853">
        <w:t>ecisions about the implementation of CE practices strongly depend on prescriptions coming from the external environment, rather than on internal drivers</w:t>
      </w:r>
      <w:r>
        <w:t xml:space="preserve">, </w:t>
      </w:r>
      <w:r w:rsidRPr="00BA6853">
        <w:t>as highlighted by interviewees</w:t>
      </w:r>
      <w:r>
        <w:t>.</w:t>
      </w:r>
      <w:r w:rsidRPr="00BA6853">
        <w:t xml:space="preserve"> </w:t>
      </w:r>
    </w:p>
    <w:p w14:paraId="54A9626C" w14:textId="77777777" w:rsidR="00534F56" w:rsidRPr="00BA6853" w:rsidRDefault="00534F56" w:rsidP="002F7336">
      <w:r w:rsidRPr="00BA6853">
        <w:t>External pressures from different</w:t>
      </w:r>
      <w:r>
        <w:t xml:space="preserve"> </w:t>
      </w:r>
      <w:r w:rsidRPr="00BA6853">
        <w:t>actors and sources influence firms</w:t>
      </w:r>
      <w:r>
        <w:t>’</w:t>
      </w:r>
      <w:r w:rsidRPr="00BA6853">
        <w:t xml:space="preserve"> behaviour in </w:t>
      </w:r>
      <w:r>
        <w:t>many different ways (see Table 2</w:t>
      </w:r>
      <w:r w:rsidRPr="00BA6853">
        <w:t xml:space="preserve">, EOs from 1 to 16); some of the most relevant quotes are also shown according to the </w:t>
      </w:r>
      <w:r>
        <w:t>isomorphic mechanisms in Table 3</w:t>
      </w:r>
      <w:r w:rsidRPr="00BA6853">
        <w:t xml:space="preserve">, with pressures also clustered based on their effects and resulting behaviours. Four distinct </w:t>
      </w:r>
      <w:r>
        <w:t xml:space="preserve">types of responses </w:t>
      </w:r>
      <w:r w:rsidRPr="00BA6853">
        <w:t xml:space="preserve">were found, which describe different ways in which companies usually react to concurrent </w:t>
      </w:r>
      <w:r>
        <w:t>institutional pressures (Table 2</w:t>
      </w:r>
      <w:r w:rsidRPr="00BA6853">
        <w:t>, from CC1 to CC4).</w:t>
      </w:r>
    </w:p>
    <w:p w14:paraId="01319D4F" w14:textId="77777777" w:rsidR="00534F56" w:rsidRPr="00BA6853" w:rsidRDefault="00534F56" w:rsidP="002F7336">
      <w:r w:rsidRPr="00BA6853">
        <w:t xml:space="preserve">The first </w:t>
      </w:r>
      <w:r>
        <w:t>set of responses (Table 2</w:t>
      </w:r>
      <w:r w:rsidRPr="00BA6853">
        <w:t xml:space="preserve">, CC1) sees firms being pushed to </w:t>
      </w:r>
      <w:r w:rsidRPr="00BA6853">
        <w:rPr>
          <w:i/>
          <w:iCs/>
        </w:rPr>
        <w:t>re-adjust their existing</w:t>
      </w:r>
      <w:r>
        <w:rPr>
          <w:i/>
          <w:iCs/>
        </w:rPr>
        <w:t xml:space="preserve"> environmental monitoring systems </w:t>
      </w:r>
      <w:r>
        <w:t xml:space="preserve">to address CE aspects. </w:t>
      </w:r>
      <w:r w:rsidRPr="00BA6853">
        <w:t xml:space="preserve">Firms might </w:t>
      </w:r>
      <w:r>
        <w:t xml:space="preserve">already </w:t>
      </w:r>
      <w:r w:rsidRPr="00BA6853">
        <w:t xml:space="preserve">have </w:t>
      </w:r>
      <w:r>
        <w:t>e</w:t>
      </w:r>
      <w:r w:rsidRPr="00BA6853">
        <w:t xml:space="preserve">nvironmental </w:t>
      </w:r>
      <w:r>
        <w:t>m</w:t>
      </w:r>
      <w:r w:rsidRPr="00BA6853">
        <w:t xml:space="preserve">anagement </w:t>
      </w:r>
      <w:r>
        <w:t>s</w:t>
      </w:r>
      <w:r w:rsidRPr="00BA6853">
        <w:t>ystems in place</w:t>
      </w:r>
      <w:r>
        <w:t>, and they might</w:t>
      </w:r>
      <w:r w:rsidRPr="00BA6853">
        <w:t xml:space="preserve"> make use of environmental assessment tools to evaluate environmental impacts of their products, </w:t>
      </w:r>
      <w:r>
        <w:t xml:space="preserve">and present related actions and results </w:t>
      </w:r>
      <w:r w:rsidRPr="00BA6853">
        <w:t xml:space="preserve">in their sustainability reports. Pressures from academic research, policies, and consulting firms </w:t>
      </w:r>
      <w:r>
        <w:t xml:space="preserve">might </w:t>
      </w:r>
      <w:r w:rsidRPr="00BA6853">
        <w:t xml:space="preserve">drive a </w:t>
      </w:r>
      <w:r w:rsidRPr="00205B6D">
        <w:rPr>
          <w:i/>
          <w:iCs/>
        </w:rPr>
        <w:t>re-adaptation</w:t>
      </w:r>
      <w:r w:rsidRPr="00BA6853">
        <w:t xml:space="preserve"> of these systems to make them fit for the CE. Examples include the definition of new KPIs for the </w:t>
      </w:r>
      <w:r>
        <w:t xml:space="preserve">progress towards </w:t>
      </w:r>
      <w:r w:rsidRPr="00BA6853">
        <w:t xml:space="preserve">CE (quote Q12a, Table </w:t>
      </w:r>
      <w:r>
        <w:t>3</w:t>
      </w:r>
      <w:r w:rsidRPr="00BA6853">
        <w:t xml:space="preserve">) or the definition of new internal policies to make certain non-strategic processes more efficient </w:t>
      </w:r>
      <w:r>
        <w:t xml:space="preserve">and </w:t>
      </w:r>
      <w:r w:rsidRPr="00BA6853">
        <w:t xml:space="preserve">circular (quote Q12b, Table </w:t>
      </w:r>
      <w:r>
        <w:t>3</w:t>
      </w:r>
      <w:r w:rsidRPr="00BA6853">
        <w:t xml:space="preserve">). </w:t>
      </w:r>
    </w:p>
    <w:p w14:paraId="676C8B88" w14:textId="5D01446F" w:rsidR="00534F56" w:rsidRDefault="00534F56" w:rsidP="00E248B2">
      <w:r w:rsidRPr="00BA6853">
        <w:t xml:space="preserve">The second </w:t>
      </w:r>
      <w:r>
        <w:t>set of responses</w:t>
      </w:r>
      <w:r w:rsidRPr="00BA6853">
        <w:t xml:space="preserve"> (Table </w:t>
      </w:r>
      <w:r>
        <w:t>2</w:t>
      </w:r>
      <w:r w:rsidRPr="00BA6853">
        <w:t xml:space="preserve">, CC2) </w:t>
      </w:r>
      <w:r>
        <w:t xml:space="preserve">is concerned with the impact on firms’ </w:t>
      </w:r>
      <w:r w:rsidRPr="00483FD9">
        <w:rPr>
          <w:i/>
          <w:iCs/>
        </w:rPr>
        <w:t>new product development</w:t>
      </w:r>
      <w:r>
        <w:t xml:space="preserve"> processes. Some stakeholders, like </w:t>
      </w:r>
      <w:r w:rsidRPr="00BA6853">
        <w:t>NGOs</w:t>
      </w:r>
      <w:r>
        <w:t xml:space="preserve"> and the</w:t>
      </w:r>
      <w:r w:rsidRPr="00BA6853">
        <w:t xml:space="preserve"> civil societ</w:t>
      </w:r>
      <w:r>
        <w:t xml:space="preserve">y, through specific campaigns, might stimulate more radical types of innovations </w:t>
      </w:r>
      <w:r w:rsidRPr="00BA6853">
        <w:t xml:space="preserve">(quote Q22, Table </w:t>
      </w:r>
      <w:r>
        <w:t>3</w:t>
      </w:r>
      <w:r w:rsidRPr="00BA6853">
        <w:t xml:space="preserve">) </w:t>
      </w:r>
      <w:r>
        <w:t xml:space="preserve">that go beyond simple greenwashing and tokenistic approaches, to support the adoption of more impactful </w:t>
      </w:r>
      <w:r w:rsidRPr="00BA6853">
        <w:t>R-</w:t>
      </w:r>
      <w:r w:rsidR="00E248B2">
        <w:t>imperatives</w:t>
      </w:r>
      <w:r w:rsidRPr="00BA6853">
        <w:t xml:space="preserve"> (</w:t>
      </w:r>
      <w:r>
        <w:t xml:space="preserve">including attempts to </w:t>
      </w:r>
      <w:r w:rsidRPr="00483FD9">
        <w:rPr>
          <w:i/>
          <w:iCs/>
        </w:rPr>
        <w:t>reduce</w:t>
      </w:r>
      <w:r w:rsidRPr="00BA6853">
        <w:t xml:space="preserve"> </w:t>
      </w:r>
      <w:r>
        <w:t xml:space="preserve">production volumes </w:t>
      </w:r>
      <w:r w:rsidRPr="00BA6853">
        <w:t xml:space="preserve">and </w:t>
      </w:r>
      <w:r>
        <w:t xml:space="preserve">incentivise </w:t>
      </w:r>
      <w:r w:rsidRPr="00483FD9">
        <w:rPr>
          <w:i/>
          <w:iCs/>
        </w:rPr>
        <w:t>reuse</w:t>
      </w:r>
      <w:r w:rsidRPr="00BA6853">
        <w:t xml:space="preserve">). </w:t>
      </w:r>
      <w:r>
        <w:t xml:space="preserve">At the same time, </w:t>
      </w:r>
      <w:r w:rsidRPr="00BA6853">
        <w:t>European legislat</w:t>
      </w:r>
      <w:r>
        <w:t>ion</w:t>
      </w:r>
      <w:r w:rsidRPr="00BA6853">
        <w:t xml:space="preserve"> is pushing firms to be more ambitious and to conceive solutions for shorter </w:t>
      </w:r>
      <w:r>
        <w:t xml:space="preserve">material </w:t>
      </w:r>
      <w:r w:rsidRPr="00BA6853">
        <w:t>loops, rather than focusing on recycling of end</w:t>
      </w:r>
      <w:r>
        <w:t>-</w:t>
      </w:r>
      <w:r w:rsidRPr="00BA6853">
        <w:t>of</w:t>
      </w:r>
      <w:r>
        <w:t>-</w:t>
      </w:r>
      <w:r w:rsidRPr="00BA6853">
        <w:t xml:space="preserve">life products (quote Q20, Table </w:t>
      </w:r>
      <w:r>
        <w:t>3</w:t>
      </w:r>
      <w:r w:rsidRPr="00BA6853">
        <w:t xml:space="preserve">). </w:t>
      </w:r>
    </w:p>
    <w:p w14:paraId="4A31C436" w14:textId="77777777" w:rsidR="00534F56" w:rsidRPr="00BA6853" w:rsidRDefault="00534F56" w:rsidP="002F7336">
      <w:r w:rsidRPr="00BA6853">
        <w:t xml:space="preserve">The third </w:t>
      </w:r>
      <w:r w:rsidRPr="00114134">
        <w:t xml:space="preserve">set of responses </w:t>
      </w:r>
      <w:r w:rsidRPr="00BA6853">
        <w:t xml:space="preserve">(Table </w:t>
      </w:r>
      <w:r>
        <w:t>2</w:t>
      </w:r>
      <w:r w:rsidRPr="00BA6853">
        <w:t xml:space="preserve">, CC3) </w:t>
      </w:r>
      <w:r>
        <w:t>is related to</w:t>
      </w:r>
      <w:r w:rsidRPr="00BA6853">
        <w:t xml:space="preserve"> pressures that are </w:t>
      </w:r>
      <w:r>
        <w:t xml:space="preserve">driving </w:t>
      </w:r>
      <w:r w:rsidRPr="00BA6853">
        <w:t xml:space="preserve">firms to </w:t>
      </w:r>
      <w:r w:rsidRPr="00114134">
        <w:rPr>
          <w:i/>
          <w:iCs/>
        </w:rPr>
        <w:t>re-organise their operations and supply chain</w:t>
      </w:r>
      <w:r>
        <w:rPr>
          <w:i/>
          <w:iCs/>
        </w:rPr>
        <w:t>s</w:t>
      </w:r>
      <w:r w:rsidRPr="00BA6853">
        <w:t xml:space="preserve">. Firms are </w:t>
      </w:r>
      <w:r>
        <w:t xml:space="preserve">pushed </w:t>
      </w:r>
      <w:r w:rsidRPr="00BA6853">
        <w:t xml:space="preserve">to create new links and feedback </w:t>
      </w:r>
      <w:r w:rsidRPr="00BA6853">
        <w:lastRenderedPageBreak/>
        <w:t>loops in their supply chains</w:t>
      </w:r>
      <w:r>
        <w:t xml:space="preserve"> </w:t>
      </w:r>
      <w:r w:rsidRPr="00BA6853">
        <w:t>to make a better use of materials and reduce waste</w:t>
      </w:r>
      <w:r>
        <w:t>.</w:t>
      </w:r>
      <w:r w:rsidRPr="00BA6853">
        <w:t xml:space="preserve"> </w:t>
      </w:r>
      <w:r>
        <w:t>T</w:t>
      </w:r>
      <w:r w:rsidRPr="00BA6853">
        <w:t xml:space="preserve">he adoption of these practices can also help firms to reduce dependencies and enhance their resilience to external shocks (quote 10, Table </w:t>
      </w:r>
      <w:r>
        <w:t>3</w:t>
      </w:r>
      <w:r w:rsidRPr="00BA6853">
        <w:t xml:space="preserve">). Experts </w:t>
      </w:r>
      <w:r>
        <w:t xml:space="preserve">include </w:t>
      </w:r>
      <w:r w:rsidRPr="00BA6853">
        <w:t xml:space="preserve">in this category also market pressures linked to the scarcity of some critical materials due, for instance, to geopolitical tensions. Legislators at the European level are aware of risks linked to the way supply chains are organised today and are actively promoting shorter and circular supply chains for critical components to secure future supply of critical materials. </w:t>
      </w:r>
    </w:p>
    <w:p w14:paraId="72412ED2" w14:textId="77777777" w:rsidR="00534F56" w:rsidRPr="00BA6853" w:rsidRDefault="00534F56" w:rsidP="002F7336">
      <w:r w:rsidRPr="00BA6853">
        <w:t xml:space="preserve">The fourth </w:t>
      </w:r>
      <w:r w:rsidRPr="00BE5761">
        <w:t xml:space="preserve">set of responses </w:t>
      </w:r>
      <w:r>
        <w:t>(Table 2</w:t>
      </w:r>
      <w:r w:rsidRPr="00BA6853">
        <w:t>, CC4) includes resistance to change and the emergence of opportunistic behaviours and tokenistic actions: CE is interpreted as a temporary trend, which should be used to maximise sales and as a marketing strategy, to improve cor</w:t>
      </w:r>
      <w:r>
        <w:t>porate image (quote Q6b, Table 3</w:t>
      </w:r>
      <w:r w:rsidRPr="00BA6853">
        <w:t xml:space="preserve">). </w:t>
      </w:r>
      <w:r>
        <w:t>Nevertheless</w:t>
      </w:r>
      <w:r w:rsidRPr="00BA6853">
        <w:t xml:space="preserve">, firms </w:t>
      </w:r>
      <w:r>
        <w:t xml:space="preserve">in </w:t>
      </w:r>
      <w:r w:rsidRPr="00BA6853">
        <w:t xml:space="preserve">sectors that are </w:t>
      </w:r>
      <w:r>
        <w:t xml:space="preserve">expected </w:t>
      </w:r>
      <w:r w:rsidRPr="00BA6853">
        <w:t xml:space="preserve">to be </w:t>
      </w:r>
      <w:r>
        <w:t xml:space="preserve">negatively affected </w:t>
      </w:r>
      <w:r w:rsidRPr="00BA6853">
        <w:t>by the transition might actively oppose it through lobbying activities (quote Q20, Tabl</w:t>
      </w:r>
      <w:r>
        <w:t>e 3</w:t>
      </w:r>
      <w:r w:rsidRPr="00BA6853">
        <w:t xml:space="preserve">). </w:t>
      </w:r>
    </w:p>
    <w:p w14:paraId="49AE1B02" w14:textId="77777777" w:rsidR="00534F56" w:rsidRDefault="00534F56" w:rsidP="002F7336">
      <w:r w:rsidRPr="00BA6853">
        <w:t>Interviewees explored not only source</w:t>
      </w:r>
      <w:r>
        <w:t xml:space="preserve">s and impacts of </w:t>
      </w:r>
      <w:r w:rsidRPr="00BA6853">
        <w:t xml:space="preserve">pressures but also provided insights on their </w:t>
      </w:r>
      <w:r>
        <w:t>strength and prominence (Table 2</w:t>
      </w:r>
      <w:r w:rsidRPr="00BA6853">
        <w:t>, EO 17 to 23). Coercive market and regulatory pressures seem to be the most important ones for two reasons. They are the ones that can modify firms</w:t>
      </w:r>
      <w:r>
        <w:t>’</w:t>
      </w:r>
      <w:r w:rsidRPr="00BA6853">
        <w:t xml:space="preserve"> behav</w:t>
      </w:r>
      <w:r>
        <w:t>iour to a wider extent (Figure 5</w:t>
      </w:r>
      <w:r w:rsidRPr="00BA6853">
        <w:t>a); also, the presence of these pressures seems to be a necessary condition for other pressures to emerge. In</w:t>
      </w:r>
      <w:r>
        <w:t xml:space="preserve"> the</w:t>
      </w:r>
      <w:r w:rsidRPr="00BA6853">
        <w:t xml:space="preserve"> absence of coercive pressures, </w:t>
      </w:r>
      <w:r>
        <w:t xml:space="preserve">experts suggest that </w:t>
      </w:r>
      <w:r w:rsidRPr="00BA6853">
        <w:t xml:space="preserve">firms would rarely engage in CE practices (see Q1b, Q5, Q21 Table </w:t>
      </w:r>
      <w:r>
        <w:t>3</w:t>
      </w:r>
      <w:r w:rsidRPr="00BA6853">
        <w:t xml:space="preserve">) </w:t>
      </w:r>
      <w:r>
        <w:t>and</w:t>
      </w:r>
      <w:r w:rsidRPr="00BA6853">
        <w:t xml:space="preserve"> normative and m</w:t>
      </w:r>
      <w:r>
        <w:t>i</w:t>
      </w:r>
      <w:r w:rsidRPr="00BA6853">
        <w:t xml:space="preserve">metic pressures would be extremely </w:t>
      </w:r>
      <w:r>
        <w:t>weak (quote Q11 and Q28, Table 3</w:t>
      </w:r>
      <w:r w:rsidRPr="00BA6853">
        <w:t xml:space="preserve">). </w:t>
      </w:r>
    </w:p>
    <w:p w14:paraId="374F0B25" w14:textId="7E4A7055" w:rsidR="00534F56" w:rsidRDefault="00534F56" w:rsidP="002F7336">
      <w:r w:rsidRPr="00BA6853">
        <w:t xml:space="preserve">In order to support these points, experts shared their views on how different isomorphic </w:t>
      </w:r>
      <w:r>
        <w:t>pressures</w:t>
      </w:r>
      <w:r w:rsidRPr="00BA6853">
        <w:t xml:space="preserve"> are related and influence each other</w:t>
      </w:r>
      <w:r>
        <w:t>, leading to the emergence of</w:t>
      </w:r>
      <w:r w:rsidRPr="00BA6853">
        <w:t xml:space="preserve"> </w:t>
      </w:r>
      <w:r>
        <w:t>t</w:t>
      </w:r>
      <w:r w:rsidRPr="00BA6853">
        <w:t xml:space="preserve">wo </w:t>
      </w:r>
      <w:r>
        <w:t>evolution</w:t>
      </w:r>
      <w:r w:rsidRPr="00BA6853">
        <w:t xml:space="preserve"> paths </w:t>
      </w:r>
      <w:r>
        <w:t>and hierarchies of pressures (</w:t>
      </w:r>
      <w:r w:rsidR="00E248B2">
        <w:t xml:space="preserve">AD3 and </w:t>
      </w:r>
      <w:r>
        <w:t>Figure 5</w:t>
      </w:r>
      <w:r w:rsidRPr="00BA6853">
        <w:t xml:space="preserve">b). The first hierarchy identifies markets, trends, and consumers as </w:t>
      </w:r>
      <w:r>
        <w:t>the primary</w:t>
      </w:r>
      <w:r w:rsidRPr="00BA6853">
        <w:t xml:space="preserve"> </w:t>
      </w:r>
      <w:r>
        <w:t xml:space="preserve">drivers </w:t>
      </w:r>
      <w:r w:rsidRPr="00BA6853">
        <w:t>for firms to adopt CE practices</w:t>
      </w:r>
      <w:r w:rsidR="00E248B2">
        <w:t xml:space="preserve"> </w:t>
      </w:r>
      <w:r w:rsidR="00E248B2" w:rsidRPr="00E248B2">
        <w:t>(CC5)</w:t>
      </w:r>
      <w:r w:rsidRPr="00BA6853">
        <w:t xml:space="preserve">. </w:t>
      </w:r>
      <w:r>
        <w:t xml:space="preserve">Brand owners, taking into account consumer demand, </w:t>
      </w:r>
      <w:r w:rsidRPr="00BA6853">
        <w:t xml:space="preserve">face the most pressures and take ownership </w:t>
      </w:r>
      <w:r>
        <w:t>of</w:t>
      </w:r>
      <w:r w:rsidRPr="00BA6853">
        <w:t xml:space="preserve"> driving these pressures upstream in th</w:t>
      </w:r>
      <w:r>
        <w:t>e supply chain (quote Q3 Table 3</w:t>
      </w:r>
      <w:r w:rsidRPr="00BA6853">
        <w:t>).</w:t>
      </w:r>
      <w:r>
        <w:t xml:space="preserve"> </w:t>
      </w:r>
      <w:r w:rsidRPr="00BA6853">
        <w:t xml:space="preserve">Within this hierarchy, coercive regulatory pressures </w:t>
      </w:r>
      <w:r>
        <w:t>typically</w:t>
      </w:r>
      <w:r w:rsidRPr="00BA6853">
        <w:t xml:space="preserve"> follow coercive market pressures in terms of importance, followed by normative and m</w:t>
      </w:r>
      <w:r>
        <w:t>i</w:t>
      </w:r>
      <w:r w:rsidRPr="00BA6853">
        <w:t xml:space="preserve">metic </w:t>
      </w:r>
      <w:r>
        <w:t>pressures</w:t>
      </w:r>
      <w:r w:rsidRPr="00BA6853">
        <w:t xml:space="preserve">. </w:t>
      </w:r>
    </w:p>
    <w:p w14:paraId="6E6B6819" w14:textId="65A3B7E7" w:rsidR="00534F56" w:rsidRPr="00BA6853" w:rsidRDefault="00534F56" w:rsidP="00E248B2">
      <w:r w:rsidRPr="00BA6853">
        <w:t>A second hierarchy of pressures identifies regulation as the most important and first pressure</w:t>
      </w:r>
      <w:r w:rsidR="00E248B2">
        <w:t xml:space="preserve"> </w:t>
      </w:r>
      <w:r w:rsidR="00E248B2" w:rsidRPr="00E248B2">
        <w:t>(CC6),</w:t>
      </w:r>
      <w:r w:rsidRPr="00BA6853">
        <w:t xml:space="preserve"> stating that in </w:t>
      </w:r>
      <w:r>
        <w:t xml:space="preserve">the </w:t>
      </w:r>
      <w:r w:rsidRPr="00BA6853">
        <w:t>absence of regulation, firms</w:t>
      </w:r>
      <w:r>
        <w:t>’</w:t>
      </w:r>
      <w:r w:rsidRPr="00BA6853">
        <w:t xml:space="preserve"> voluntary action is weak or absent (see quote Q1a in Tabl</w:t>
      </w:r>
      <w:r>
        <w:t>e 3</w:t>
      </w:r>
      <w:r w:rsidRPr="00BA6853">
        <w:t xml:space="preserve">). Most companies would not consider developing more sustainable and </w:t>
      </w:r>
      <w:r w:rsidRPr="00BA6853">
        <w:lastRenderedPageBreak/>
        <w:t xml:space="preserve">circular products if societal pressures and legislation </w:t>
      </w:r>
      <w:r>
        <w:t>did</w:t>
      </w:r>
      <w:r w:rsidRPr="00BA6853">
        <w:t xml:space="preserve"> not push</w:t>
      </w:r>
      <w:r>
        <w:t xml:space="preserve"> them (see quotes Q2a in Table 3</w:t>
      </w:r>
      <w:r w:rsidRPr="00BA6853">
        <w:t xml:space="preserve">). After regulation is implemented, firms are forced to learn how to implement changes in a cost-effective way, again through coercive pressures </w:t>
      </w:r>
      <w:r w:rsidR="00E248B2">
        <w:t>of</w:t>
      </w:r>
      <w:r w:rsidRPr="00BA6853">
        <w:t xml:space="preserve"> their suppliers and</w:t>
      </w:r>
      <w:r>
        <w:t xml:space="preserve"> customers (quote Q2a in Table 3</w:t>
      </w:r>
      <w:r w:rsidRPr="00BA6853">
        <w:t xml:space="preserve">). </w:t>
      </w:r>
    </w:p>
    <w:p w14:paraId="2985893C" w14:textId="77777777" w:rsidR="00534F56" w:rsidRPr="00BA6853" w:rsidRDefault="00534F56" w:rsidP="002F7336">
      <w:r>
        <w:t>In</w:t>
      </w:r>
      <w:r w:rsidRPr="00BA6853">
        <w:t xml:space="preserve"> both hierarchies, normative and m</w:t>
      </w:r>
      <w:r>
        <w:t>i</w:t>
      </w:r>
      <w:r w:rsidRPr="00BA6853">
        <w:t xml:space="preserve">metic pressures are less </w:t>
      </w:r>
      <w:r>
        <w:t>prominent</w:t>
      </w:r>
      <w:r w:rsidRPr="00BA6853">
        <w:t>. M</w:t>
      </w:r>
      <w:r>
        <w:t>i</w:t>
      </w:r>
      <w:r w:rsidRPr="00BA6853">
        <w:t xml:space="preserve">metic pressures are still at their initial stage and are expected to become more important once some more firms have established new circularity standards and best practices in each sector (quote Q8 and Q9, Table </w:t>
      </w:r>
      <w:r>
        <w:t>3</w:t>
      </w:r>
      <w:r w:rsidRPr="00BA6853">
        <w:t xml:space="preserve">). The emergence of these two alternative hierarchies is coherent to the plurality of views </w:t>
      </w:r>
      <w:r>
        <w:t xml:space="preserve">on the transition towards a </w:t>
      </w:r>
      <w:r w:rsidRPr="00BA6853">
        <w:t xml:space="preserve">CE: a </w:t>
      </w:r>
      <w:r>
        <w:t xml:space="preserve">first, </w:t>
      </w:r>
      <w:r w:rsidRPr="00BA6853">
        <w:t>more planned</w:t>
      </w:r>
      <w:r>
        <w:t xml:space="preserve"> path</w:t>
      </w:r>
      <w:r w:rsidRPr="00BA6853">
        <w:t xml:space="preserve"> relying on legislation (path 1, Figure </w:t>
      </w:r>
      <w:r>
        <w:t>5b</w:t>
      </w:r>
      <w:r w:rsidRPr="00BA6853">
        <w:t>)</w:t>
      </w:r>
      <w:r>
        <w:t xml:space="preserve">, and a </w:t>
      </w:r>
      <w:r w:rsidRPr="00BA6853">
        <w:t xml:space="preserve">market-driven one (path 2, Figure </w:t>
      </w:r>
      <w:r>
        <w:t>5</w:t>
      </w:r>
      <w:r w:rsidRPr="00BA6853">
        <w:t>b).</w:t>
      </w:r>
    </w:p>
    <w:p w14:paraId="142D4B39" w14:textId="77777777" w:rsidR="00534F56" w:rsidRDefault="00534F56" w:rsidP="002F7336">
      <w:pPr>
        <w:pStyle w:val="Figurecaption"/>
      </w:pPr>
      <w:r>
        <w:rPr>
          <w:noProof/>
          <w:lang w:eastAsia="zh-CN"/>
        </w:rPr>
        <w:drawing>
          <wp:inline distT="0" distB="0" distL="0" distR="0" wp14:anchorId="5B544BCC" wp14:editId="4BECBB48">
            <wp:extent cx="5350510" cy="1729212"/>
            <wp:effectExtent l="0" t="0" r="254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72072" cy="1736180"/>
                    </a:xfrm>
                    <a:prstGeom prst="rect">
                      <a:avLst/>
                    </a:prstGeom>
                    <a:noFill/>
                  </pic:spPr>
                </pic:pic>
              </a:graphicData>
            </a:graphic>
          </wp:inline>
        </w:drawing>
      </w:r>
    </w:p>
    <w:p w14:paraId="28AB7731" w14:textId="77777777" w:rsidR="00534F56" w:rsidRPr="00534F56" w:rsidRDefault="00534F56" w:rsidP="002F7336">
      <w:pPr>
        <w:pStyle w:val="Figurecaption"/>
      </w:pPr>
      <w:r w:rsidRPr="00534F56">
        <w:t>Figure 5 – Hierarchy of pressures (a) and evolution paths (b)</w:t>
      </w:r>
    </w:p>
    <w:p w14:paraId="55086718" w14:textId="77777777" w:rsidR="00534F56" w:rsidRDefault="00534F56" w:rsidP="002F7336">
      <w:r>
        <w:rPr>
          <w:color w:val="000000"/>
        </w:rPr>
        <w:t xml:space="preserve">Experts also highlighted the risk of not considering other important drivers of the adoption of </w:t>
      </w:r>
      <w:r w:rsidRPr="00115F33">
        <w:t xml:space="preserve">CE practices, both internal (such as top/senior management culture and commitment, organisational culture, </w:t>
      </w:r>
      <w:r>
        <w:t xml:space="preserve">and </w:t>
      </w:r>
      <w:r w:rsidRPr="00115F33">
        <w:t>leadership) and external (such as national culture</w:t>
      </w:r>
      <w:r>
        <w:t xml:space="preserve"> and</w:t>
      </w:r>
      <w:r w:rsidRPr="00115F33">
        <w:t xml:space="preserve"> resource scarcity – see quote </w:t>
      </w:r>
      <w:r>
        <w:t xml:space="preserve">Q10 </w:t>
      </w:r>
      <w:r w:rsidRPr="00115F33">
        <w:t xml:space="preserve">in Table </w:t>
      </w:r>
      <w:r>
        <w:t>3</w:t>
      </w:r>
      <w:r w:rsidRPr="00115F33">
        <w:t>)</w:t>
      </w:r>
      <w:r>
        <w:t xml:space="preserve"> to the organisation</w:t>
      </w:r>
      <w:r w:rsidRPr="00115F33">
        <w:t>. Looking at the literature</w:t>
      </w:r>
      <w:r>
        <w:t>,</w:t>
      </w:r>
      <w:r w:rsidRPr="00115F33">
        <w:t xml:space="preserve"> some of these factors might be connected with IPs </w:t>
      </w:r>
      <w:r w:rsidRPr="00115F33">
        <w:fldChar w:fldCharType="begin" w:fldLock="1"/>
      </w:r>
      <w:r w:rsidRPr="00115F33">
        <w:instrText>ADDIN CSL_CITATION {"citationItems":[{"id":"ITEM-1","itemData":{"DOI":"10.1108/MD-04-2018-0396","ISSN":"00251747","abstract":"Purpose: With considerable international awareness of circular economy (CE), the purpose of this paper is to propose a theoretical framework, informed by institutional theory and upper echelon theory (UET), to explain how top management commitment (TMC) mediates the relationship between external pressures and supplier relationship management (SRM) practices for CE. Design/methodology/approach: The authors test the hypotheses using cross-sectional data gathered using a survey of companies involved in sustainability practices. Findings: The results of the hierarchical regression and mediating regression analyses suggest that TMC positively mediates the effect of external institutional pressures on SRM. Originality/value: The authors advance existing theory by integrating institutional theory and UET to explain SRM practices in sustainable supply networks. Furthermore, the authors offer guidance to managers who would like to engage in leveraging SRM in sustainable supply networks and outline future research directions.","author":[{"dropping-particle":"","family":"Dubey","given":"Rameshwar","non-dropping-particle":"","parse-names":false,"suffix":""},{"dropping-particle":"","family":"Gunasekaran","given":"Angappa","non-dropping-particle":"","parse-names":false,"suffix":""},{"dropping-particle":"","family":"Childe","given":"Stephen J.","non-dropping-particle":"","parse-names":false,"suffix":""},{"dropping-particle":"","family":"Papadopoulos","given":"Thanos","non-dropping-particle":"","parse-names":false,"suffix":""},{"dropping-particle":"","family":"Helo","given":"Petri","non-dropping-particle":"","parse-names":false,"suffix":""}],"container-title":"Management Decision","id":"ITEM-1","issue":"4","issued":{"date-parts":[["2019"]]},"page":"767-790","title":"Supplier relationship management for circular economy: Influence of external pressures and top management commitment","type":"article-journal","volume":"57"},"uris":["http://www.mendeley.com/documents/?uuid=23c79f0d-6d38-43ba-a8be-d6382c9e0363"]}],"mendeley":{"formattedCitation":"(Dubey et al., 2019)","plainTextFormattedCitation":"(Dubey et al., 2019)","previouslyFormattedCitation":"(Dubey et al., 2019)"},"properties":{"noteIndex":0},"schema":"https://github.com/citation-style-language/schema/raw/master/csl-citation.json"}</w:instrText>
      </w:r>
      <w:r w:rsidRPr="00115F33">
        <w:fldChar w:fldCharType="separate"/>
      </w:r>
      <w:r w:rsidRPr="00115F33">
        <w:rPr>
          <w:noProof/>
        </w:rPr>
        <w:t>(Dubey et al., 2019)</w:t>
      </w:r>
      <w:r w:rsidRPr="00115F33">
        <w:fldChar w:fldCharType="end"/>
      </w:r>
      <w:r w:rsidRPr="00115F33">
        <w:t>. For example, experts suggested that there is a relationship between normative pressures and top management commitment</w:t>
      </w:r>
      <w:r>
        <w:t xml:space="preserve"> (EO5, Table 3)</w:t>
      </w:r>
      <w:r w:rsidRPr="00115F33">
        <w:t xml:space="preserve">. This is because industry standards </w:t>
      </w:r>
      <w:r>
        <w:t>driving</w:t>
      </w:r>
      <w:r w:rsidRPr="00115F33">
        <w:t xml:space="preserve"> normative pressures are </w:t>
      </w:r>
      <w:r>
        <w:t xml:space="preserve">often </w:t>
      </w:r>
      <w:r w:rsidRPr="00115F33">
        <w:t xml:space="preserve">defined by </w:t>
      </w:r>
      <w:r>
        <w:t xml:space="preserve">bodies that are clearly influenced by </w:t>
      </w:r>
      <w:r w:rsidRPr="00115F33">
        <w:t xml:space="preserve">the </w:t>
      </w:r>
      <w:r>
        <w:t>t</w:t>
      </w:r>
      <w:r w:rsidRPr="00115F33">
        <w:t>op</w:t>
      </w:r>
      <w:r>
        <w:t>-</w:t>
      </w:r>
      <w:r w:rsidRPr="00115F33">
        <w:t xml:space="preserve">management of the most important companies in the industry. </w:t>
      </w:r>
    </w:p>
    <w:p w14:paraId="3E67EAD2" w14:textId="77777777" w:rsidR="00534F56" w:rsidRPr="00115F33" w:rsidRDefault="00534F56" w:rsidP="002F7336">
      <w:r w:rsidRPr="00115F33">
        <w:t xml:space="preserve">In </w:t>
      </w:r>
      <w:r>
        <w:t xml:space="preserve">the </w:t>
      </w:r>
      <w:r w:rsidRPr="00115F33">
        <w:t>presence of pressures</w:t>
      </w:r>
      <w:r>
        <w:t>, organisations can respond</w:t>
      </w:r>
      <w:r w:rsidRPr="00115F33">
        <w:t xml:space="preserve"> in different ways. Some organisations might adapt to institutional requirements, while other</w:t>
      </w:r>
      <w:r>
        <w:t>s</w:t>
      </w:r>
      <w:r w:rsidRPr="00115F33">
        <w:t xml:space="preserve"> might </w:t>
      </w:r>
      <w:r>
        <w:t>decide to resist them</w:t>
      </w:r>
      <w:r w:rsidRPr="00115F33">
        <w:t xml:space="preserve">. </w:t>
      </w:r>
      <w:r w:rsidRPr="00A47FA5">
        <w:t>The timing o</w:t>
      </w:r>
      <w:r>
        <w:t>f action (quote Q11, Table 3</w:t>
      </w:r>
      <w:r w:rsidRPr="00A47FA5">
        <w:t>) and the decision to be a first mover or follower are crucial elements</w:t>
      </w:r>
      <w:r>
        <w:rPr>
          <w:color w:val="000000"/>
        </w:rPr>
        <w:t xml:space="preserve">. Being a first mover may have advantages, such as avoiding some pressures, </w:t>
      </w:r>
      <w:r>
        <w:rPr>
          <w:color w:val="000000"/>
        </w:rPr>
        <w:lastRenderedPageBreak/>
        <w:t xml:space="preserve">but it may also require significant investments. Followers could benefit from a mimetic approach, imitating CE practices from peers. </w:t>
      </w:r>
      <w:r>
        <w:t>This insight may also</w:t>
      </w:r>
      <w:r w:rsidRPr="00115F33">
        <w:t xml:space="preserve"> suggest a link with </w:t>
      </w:r>
      <w:r w:rsidRPr="00837136">
        <w:t>t</w:t>
      </w:r>
      <w:r w:rsidRPr="00115F33">
        <w:t xml:space="preserve">op management commitment, which </w:t>
      </w:r>
      <w:r>
        <w:t>plays</w:t>
      </w:r>
      <w:r w:rsidRPr="00115F33">
        <w:t xml:space="preserve"> a role in determining </w:t>
      </w:r>
      <w:r>
        <w:t>companies’ response to pressures.</w:t>
      </w:r>
    </w:p>
    <w:p w14:paraId="33A851BB" w14:textId="6C4A5DF1" w:rsidR="00534F56" w:rsidRDefault="00534F56" w:rsidP="002F7336">
      <w:r>
        <w:t xml:space="preserve">It is worth mentioning that only two </w:t>
      </w:r>
      <w:r w:rsidRPr="00115F33">
        <w:t>experts believe</w:t>
      </w:r>
      <w:r>
        <w:t>d</w:t>
      </w:r>
      <w:r w:rsidRPr="00115F33">
        <w:t xml:space="preserve"> there are very weak pressures on companies to adopt CE practices. According to them, the current institutional norm</w:t>
      </w:r>
      <w:r>
        <w:t>s</w:t>
      </w:r>
      <w:r w:rsidRPr="00115F33">
        <w:t xml:space="preserve"> should be analysed more in detail</w:t>
      </w:r>
      <w:r>
        <w:t>, given that the</w:t>
      </w:r>
      <w:r w:rsidRPr="00115F33">
        <w:t xml:space="preserve"> current </w:t>
      </w:r>
      <w:r>
        <w:t>dominant pressures are still pushing for supply chains that are designed according to a linear paradigm</w:t>
      </w:r>
      <w:r w:rsidRPr="00115F33">
        <w:t xml:space="preserve">. </w:t>
      </w:r>
      <w:r>
        <w:t>Overall</w:t>
      </w:r>
      <w:r w:rsidRPr="00C4218C">
        <w:t xml:space="preserve">, </w:t>
      </w:r>
      <w:r>
        <w:t xml:space="preserve">however, the findings </w:t>
      </w:r>
      <w:r w:rsidRPr="00C4218C">
        <w:t xml:space="preserve">seem to validate </w:t>
      </w:r>
      <w:r>
        <w:t xml:space="preserve">the </w:t>
      </w:r>
      <w:r w:rsidRPr="00C4218C">
        <w:t xml:space="preserve">relationship between institutional pressures and the adoption of </w:t>
      </w:r>
      <w:r>
        <w:t>CE</w:t>
      </w:r>
      <w:r w:rsidRPr="00C4218C">
        <w:t xml:space="preserve"> practices (Figure </w:t>
      </w:r>
      <w:r>
        <w:t>4</w:t>
      </w:r>
      <w:r w:rsidRPr="00C4218C">
        <w:t>).</w:t>
      </w:r>
      <w:r>
        <w:t xml:space="preserve"> </w:t>
      </w:r>
    </w:p>
    <w:p w14:paraId="4F701F0F" w14:textId="77777777" w:rsidR="00534F56" w:rsidRDefault="00534F56" w:rsidP="002F7336">
      <w:pPr>
        <w:pStyle w:val="Figurecaption"/>
      </w:pPr>
      <w:r>
        <w:t>Table 3 – Example of relevant interview quotes – Institutional Pressures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33"/>
        <w:gridCol w:w="850"/>
        <w:gridCol w:w="706"/>
        <w:gridCol w:w="4453"/>
        <w:gridCol w:w="1252"/>
      </w:tblGrid>
      <w:tr w:rsidR="00534F56" w:rsidRPr="00534F56" w14:paraId="7067E92D" w14:textId="77777777" w:rsidTr="00116B90">
        <w:trPr>
          <w:trHeight w:val="274"/>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090DEF2" w14:textId="77777777" w:rsidR="00534F56" w:rsidRPr="00534F56" w:rsidRDefault="00534F56" w:rsidP="00B81916">
            <w:pPr>
              <w:pStyle w:val="Tabletext"/>
            </w:pPr>
            <w:r w:rsidRPr="00534F56">
              <w:t>Time</w:t>
            </w:r>
          </w:p>
        </w:tc>
        <w:tc>
          <w:tcPr>
            <w:tcW w:w="0" w:type="auto"/>
            <w:tcBorders>
              <w:top w:val="single" w:sz="4" w:space="0" w:color="000000"/>
              <w:left w:val="single" w:sz="4" w:space="0" w:color="000000"/>
              <w:bottom w:val="single" w:sz="4" w:space="0" w:color="000000"/>
              <w:right w:val="single" w:sz="4" w:space="0" w:color="000000"/>
            </w:tcBorders>
          </w:tcPr>
          <w:p w14:paraId="20C5A410" w14:textId="77777777" w:rsidR="00534F56" w:rsidRPr="00534F56" w:rsidRDefault="00534F56" w:rsidP="00B81916">
            <w:pPr>
              <w:pStyle w:val="Tabletext"/>
            </w:pPr>
            <w:r w:rsidRPr="00534F56">
              <w:t>EO (#)</w:t>
            </w:r>
          </w:p>
        </w:tc>
        <w:tc>
          <w:tcPr>
            <w:tcW w:w="0" w:type="auto"/>
            <w:tcBorders>
              <w:top w:val="single" w:sz="4" w:space="0" w:color="000000"/>
              <w:left w:val="single" w:sz="4" w:space="0" w:color="000000"/>
              <w:bottom w:val="single" w:sz="4" w:space="0" w:color="000000"/>
              <w:right w:val="single" w:sz="4" w:space="0" w:color="000000"/>
            </w:tcBorders>
          </w:tcPr>
          <w:p w14:paraId="5933AB7D" w14:textId="77777777" w:rsidR="00534F56" w:rsidRPr="00534F56" w:rsidRDefault="00534F56" w:rsidP="00B81916">
            <w:pPr>
              <w:pStyle w:val="Tabletext"/>
            </w:pPr>
            <w:r w:rsidRPr="00534F56">
              <w:t>Q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E46C4A9" w14:textId="77777777" w:rsidR="00534F56" w:rsidRPr="00534F56" w:rsidRDefault="00534F56" w:rsidP="00B81916">
            <w:pPr>
              <w:pStyle w:val="Tabletext"/>
            </w:pPr>
            <w:r w:rsidRPr="00534F56">
              <w:t>Quotes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F35099" w14:textId="77777777" w:rsidR="00534F56" w:rsidRPr="00534F56" w:rsidRDefault="00534F56" w:rsidP="00B81916">
            <w:pPr>
              <w:pStyle w:val="Tabletext"/>
            </w:pPr>
            <w:r w:rsidRPr="00534F56">
              <w:t>Source</w:t>
            </w:r>
          </w:p>
        </w:tc>
      </w:tr>
      <w:tr w:rsidR="00534F56" w:rsidRPr="00534F56" w14:paraId="65D89272" w14:textId="77777777" w:rsidTr="00116B90">
        <w:trPr>
          <w:trHeight w:val="274"/>
        </w:trPr>
        <w:tc>
          <w:tcPr>
            <w:tcW w:w="0" w:type="auto"/>
            <w:vMerge w:val="restart"/>
            <w:tcBorders>
              <w:top w:val="single" w:sz="4" w:space="0" w:color="000000"/>
              <w:left w:val="single" w:sz="4" w:space="0" w:color="000000"/>
              <w:right w:val="single" w:sz="4" w:space="0" w:color="000000"/>
            </w:tcBorders>
            <w:shd w:val="clear" w:color="auto" w:fill="auto"/>
          </w:tcPr>
          <w:p w14:paraId="5D695D41" w14:textId="77777777" w:rsidR="00534F56" w:rsidRPr="00534F56" w:rsidRDefault="00534F56" w:rsidP="00B81916">
            <w:pPr>
              <w:pStyle w:val="Tabletext"/>
            </w:pPr>
            <w:r w:rsidRPr="00534F56">
              <w:t>Coercive</w:t>
            </w:r>
          </w:p>
          <w:p w14:paraId="2E2B74D6" w14:textId="77777777" w:rsidR="00534F56" w:rsidRPr="00534F56" w:rsidRDefault="00534F56" w:rsidP="00B81916">
            <w:pPr>
              <w:pStyle w:val="Tabletext"/>
            </w:pPr>
            <w:r w:rsidRPr="00534F56">
              <w:t>Regulatory Pressures</w:t>
            </w:r>
          </w:p>
        </w:tc>
        <w:tc>
          <w:tcPr>
            <w:tcW w:w="0" w:type="auto"/>
            <w:vMerge w:val="restart"/>
            <w:tcBorders>
              <w:top w:val="single" w:sz="4" w:space="0" w:color="000000"/>
              <w:left w:val="single" w:sz="4" w:space="0" w:color="000000"/>
              <w:right w:val="single" w:sz="4" w:space="0" w:color="000000"/>
            </w:tcBorders>
          </w:tcPr>
          <w:p w14:paraId="542DF0A3" w14:textId="77777777" w:rsidR="00534F56" w:rsidRPr="00534F56" w:rsidRDefault="00534F56" w:rsidP="00B81916">
            <w:pPr>
              <w:pStyle w:val="Tabletext"/>
            </w:pPr>
            <w:r w:rsidRPr="00534F56">
              <w:t>EO20</w:t>
            </w:r>
          </w:p>
        </w:tc>
        <w:tc>
          <w:tcPr>
            <w:tcW w:w="0" w:type="auto"/>
            <w:tcBorders>
              <w:top w:val="single" w:sz="4" w:space="0" w:color="000000"/>
              <w:left w:val="single" w:sz="4" w:space="0" w:color="000000"/>
              <w:right w:val="single" w:sz="4" w:space="0" w:color="000000"/>
            </w:tcBorders>
          </w:tcPr>
          <w:p w14:paraId="01756E37" w14:textId="77777777" w:rsidR="00534F56" w:rsidRPr="00534F56" w:rsidRDefault="00534F56" w:rsidP="00B81916">
            <w:pPr>
              <w:pStyle w:val="Tabletext"/>
            </w:pPr>
            <w:r w:rsidRPr="00534F56">
              <w:t>Q1a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11F505" w14:textId="067B167B" w:rsidR="00534F56" w:rsidRPr="00534F56" w:rsidRDefault="00534F56" w:rsidP="00B81916">
            <w:pPr>
              <w:pStyle w:val="Tabletext"/>
            </w:pPr>
            <w:r w:rsidRPr="00534F56">
              <w:t xml:space="preserve">“The main reason companies adopt CE practices is to avoid sanctions […]. In absence of coercive pressures companies would not take action. You can see this from how different the actions of North American automotive companies are from the European ones, where presence of emission target reductions </w:t>
            </w:r>
            <w:r w:rsidR="00F07293" w:rsidRPr="00534F56">
              <w:t>is</w:t>
            </w:r>
            <w:r w:rsidRPr="00534F56">
              <w:t xml:space="preserve"> set by law”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8F18DC4" w14:textId="77777777" w:rsidR="00534F56" w:rsidRPr="00534F56" w:rsidRDefault="00534F56" w:rsidP="00B81916">
            <w:pPr>
              <w:pStyle w:val="Tabletext"/>
            </w:pPr>
            <w:r w:rsidRPr="00534F56">
              <w:t>Practitioner PH</w:t>
            </w:r>
          </w:p>
        </w:tc>
      </w:tr>
      <w:tr w:rsidR="00534F56" w:rsidRPr="00534F56" w14:paraId="131D9F52" w14:textId="77777777" w:rsidTr="00116B90">
        <w:trPr>
          <w:trHeight w:val="274"/>
        </w:trPr>
        <w:tc>
          <w:tcPr>
            <w:tcW w:w="0" w:type="auto"/>
            <w:vMerge/>
            <w:tcBorders>
              <w:left w:val="single" w:sz="4" w:space="0" w:color="000000"/>
              <w:right w:val="single" w:sz="4" w:space="0" w:color="000000"/>
            </w:tcBorders>
            <w:shd w:val="clear" w:color="auto" w:fill="auto"/>
          </w:tcPr>
          <w:p w14:paraId="407719C6" w14:textId="77777777" w:rsidR="00534F56" w:rsidRPr="00534F56" w:rsidRDefault="00534F56" w:rsidP="00B81916">
            <w:pPr>
              <w:pStyle w:val="Tabletext"/>
            </w:pPr>
          </w:p>
        </w:tc>
        <w:tc>
          <w:tcPr>
            <w:tcW w:w="0" w:type="auto"/>
            <w:vMerge/>
            <w:tcBorders>
              <w:left w:val="single" w:sz="4" w:space="0" w:color="000000"/>
              <w:right w:val="single" w:sz="4" w:space="0" w:color="000000"/>
            </w:tcBorders>
          </w:tcPr>
          <w:p w14:paraId="34248C29" w14:textId="77777777" w:rsidR="00534F56" w:rsidRPr="00534F56" w:rsidDel="006A09DB" w:rsidRDefault="00534F56" w:rsidP="00B81916">
            <w:pPr>
              <w:pStyle w:val="Tabletext"/>
            </w:pPr>
          </w:p>
        </w:tc>
        <w:tc>
          <w:tcPr>
            <w:tcW w:w="0" w:type="auto"/>
            <w:tcBorders>
              <w:left w:val="single" w:sz="4" w:space="0" w:color="000000"/>
              <w:right w:val="single" w:sz="4" w:space="0" w:color="000000"/>
            </w:tcBorders>
          </w:tcPr>
          <w:p w14:paraId="7921C274" w14:textId="77777777" w:rsidR="00534F56" w:rsidRPr="00534F56" w:rsidRDefault="00534F56" w:rsidP="00B81916">
            <w:pPr>
              <w:pStyle w:val="Tabletext"/>
            </w:pPr>
            <w:r w:rsidRPr="00534F56">
              <w:t>Q1b</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2DD9DF" w14:textId="77777777" w:rsidR="00534F56" w:rsidRPr="00534F56" w:rsidRDefault="00534F56" w:rsidP="00B81916">
            <w:pPr>
              <w:pStyle w:val="Tabletext"/>
            </w:pPr>
            <w:r w:rsidRPr="00534F56">
              <w:t>“Compliance is the main driver for the Circular Economy. National directives that implement European Union guidelines and packages. But also national directives that provide incentives for green practices. Furthermore, companies want to be ready also for those directives that are not yet out there but might be in the pipeline.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0C120F" w14:textId="77777777" w:rsidR="00534F56" w:rsidRPr="00534F56" w:rsidRDefault="00534F56" w:rsidP="00B81916">
            <w:pPr>
              <w:pStyle w:val="Tabletext"/>
            </w:pPr>
            <w:r w:rsidRPr="00534F56">
              <w:t>Practitioner PE</w:t>
            </w:r>
          </w:p>
        </w:tc>
      </w:tr>
      <w:tr w:rsidR="00534F56" w:rsidRPr="00534F56" w14:paraId="708A5249" w14:textId="77777777" w:rsidTr="00116B90">
        <w:trPr>
          <w:trHeight w:val="274"/>
        </w:trPr>
        <w:tc>
          <w:tcPr>
            <w:tcW w:w="0" w:type="auto"/>
            <w:vMerge/>
            <w:tcBorders>
              <w:left w:val="single" w:sz="4" w:space="0" w:color="000000"/>
              <w:right w:val="single" w:sz="4" w:space="0" w:color="000000"/>
            </w:tcBorders>
            <w:shd w:val="clear" w:color="auto" w:fill="auto"/>
          </w:tcPr>
          <w:p w14:paraId="7275C668" w14:textId="77777777" w:rsidR="00534F56" w:rsidRPr="00534F56" w:rsidRDefault="00534F56" w:rsidP="00B81916">
            <w:pPr>
              <w:pStyle w:val="Tabletext"/>
            </w:pPr>
          </w:p>
        </w:tc>
        <w:tc>
          <w:tcPr>
            <w:tcW w:w="0" w:type="auto"/>
            <w:tcBorders>
              <w:left w:val="single" w:sz="4" w:space="0" w:color="000000"/>
              <w:right w:val="single" w:sz="4" w:space="0" w:color="000000"/>
            </w:tcBorders>
          </w:tcPr>
          <w:p w14:paraId="2B4977C6" w14:textId="77777777" w:rsidR="00534F56" w:rsidRPr="00534F56" w:rsidDel="006A09DB" w:rsidRDefault="00534F56" w:rsidP="00B81916">
            <w:pPr>
              <w:pStyle w:val="Tabletext"/>
            </w:pPr>
            <w:r w:rsidRPr="00534F56">
              <w:t>EO16</w:t>
            </w:r>
          </w:p>
        </w:tc>
        <w:tc>
          <w:tcPr>
            <w:tcW w:w="0" w:type="auto"/>
            <w:tcBorders>
              <w:left w:val="single" w:sz="4" w:space="0" w:color="000000"/>
              <w:right w:val="single" w:sz="4" w:space="0" w:color="000000"/>
            </w:tcBorders>
          </w:tcPr>
          <w:p w14:paraId="3C84A14D" w14:textId="77777777" w:rsidR="00534F56" w:rsidRPr="00534F56" w:rsidRDefault="00534F56" w:rsidP="00B81916">
            <w:pPr>
              <w:pStyle w:val="Tabletext"/>
            </w:pPr>
            <w:r w:rsidRPr="00534F56">
              <w:t>Q20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72CCD8E" w14:textId="77777777" w:rsidR="00534F56" w:rsidRPr="00534F56" w:rsidRDefault="00534F56" w:rsidP="00B81916">
            <w:pPr>
              <w:pStyle w:val="Tabletext"/>
            </w:pPr>
            <w:r w:rsidRPr="00534F56">
              <w:t>“European Environmental Bureau calls for extending the right-to-repair directive to more electronic devices and criticised the powerful lobby of personal computers that made it possible to delay the application to that product”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CD69E79" w14:textId="77777777" w:rsidR="00534F56" w:rsidRPr="00534F56" w:rsidRDefault="00534F56" w:rsidP="00B81916">
            <w:pPr>
              <w:pStyle w:val="Tabletext"/>
            </w:pPr>
            <w:r w:rsidRPr="00534F56">
              <w:t>Practitioner PE</w:t>
            </w:r>
          </w:p>
        </w:tc>
      </w:tr>
      <w:tr w:rsidR="00534F56" w:rsidRPr="00534F56" w14:paraId="78A1CC90" w14:textId="77777777" w:rsidTr="00116B90">
        <w:trPr>
          <w:trHeight w:val="274"/>
        </w:trPr>
        <w:tc>
          <w:tcPr>
            <w:tcW w:w="0" w:type="auto"/>
            <w:vMerge/>
            <w:tcBorders>
              <w:left w:val="single" w:sz="4" w:space="0" w:color="000000"/>
              <w:right w:val="single" w:sz="4" w:space="0" w:color="000000"/>
            </w:tcBorders>
            <w:shd w:val="clear" w:color="auto" w:fill="auto"/>
          </w:tcPr>
          <w:p w14:paraId="05839B8E" w14:textId="77777777" w:rsidR="00534F56" w:rsidRPr="00534F56" w:rsidRDefault="00534F56" w:rsidP="00B81916">
            <w:pPr>
              <w:pStyle w:val="Tabletext"/>
            </w:pPr>
          </w:p>
        </w:tc>
        <w:tc>
          <w:tcPr>
            <w:tcW w:w="0" w:type="auto"/>
            <w:tcBorders>
              <w:left w:val="single" w:sz="4" w:space="0" w:color="000000"/>
              <w:right w:val="single" w:sz="4" w:space="0" w:color="000000"/>
            </w:tcBorders>
          </w:tcPr>
          <w:p w14:paraId="24F352C1" w14:textId="77777777" w:rsidR="00534F56" w:rsidRPr="00534F56" w:rsidRDefault="00534F56" w:rsidP="00B81916">
            <w:pPr>
              <w:pStyle w:val="Tabletext"/>
            </w:pPr>
            <w:r w:rsidRPr="00534F56">
              <w:t>EO21, EO22</w:t>
            </w:r>
          </w:p>
        </w:tc>
        <w:tc>
          <w:tcPr>
            <w:tcW w:w="0" w:type="auto"/>
            <w:tcBorders>
              <w:left w:val="single" w:sz="4" w:space="0" w:color="000000"/>
              <w:right w:val="single" w:sz="4" w:space="0" w:color="000000"/>
            </w:tcBorders>
          </w:tcPr>
          <w:p w14:paraId="25BA8A7C" w14:textId="77777777" w:rsidR="00534F56" w:rsidRPr="00534F56" w:rsidRDefault="00534F56" w:rsidP="00B81916">
            <w:pPr>
              <w:pStyle w:val="Tabletext"/>
            </w:pPr>
            <w:r w:rsidRPr="00534F56">
              <w:t>Q28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5F7EC2" w14:textId="4FF60B7F" w:rsidR="00534F56" w:rsidRPr="00534F56" w:rsidRDefault="00534F56" w:rsidP="00B81916">
            <w:pPr>
              <w:pStyle w:val="Tabletext"/>
            </w:pPr>
            <w:r w:rsidRPr="00534F56">
              <w:t xml:space="preserve">“The main pressures come either from legislation or from others in the supply chain. </w:t>
            </w:r>
            <w:r w:rsidR="00F07293" w:rsidRPr="00534F56">
              <w:t>Usually,</w:t>
            </w:r>
            <w:r w:rsidRPr="00534F56">
              <w:t xml:space="preserve"> it is the focal firm that spreads the pressures of the first tier suppliers and customers. I would expect mimetic pressures becoming stronger as a consequence of more firms having adopted CE practices”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8E856E" w14:textId="77777777" w:rsidR="00534F56" w:rsidRPr="00534F56" w:rsidRDefault="00534F56" w:rsidP="00B81916">
            <w:pPr>
              <w:pStyle w:val="Tabletext"/>
            </w:pPr>
            <w:r w:rsidRPr="00534F56">
              <w:t>Academic AA</w:t>
            </w:r>
          </w:p>
        </w:tc>
      </w:tr>
      <w:tr w:rsidR="00534F56" w:rsidRPr="00534F56" w14:paraId="50E0B29F" w14:textId="77777777" w:rsidTr="00116B90">
        <w:trPr>
          <w:trHeight w:val="274"/>
        </w:trPr>
        <w:tc>
          <w:tcPr>
            <w:tcW w:w="0" w:type="auto"/>
            <w:vMerge w:val="restart"/>
            <w:tcBorders>
              <w:left w:val="single" w:sz="4" w:space="0" w:color="000000"/>
              <w:right w:val="single" w:sz="4" w:space="0" w:color="000000"/>
            </w:tcBorders>
            <w:shd w:val="clear" w:color="auto" w:fill="auto"/>
          </w:tcPr>
          <w:p w14:paraId="7231A559" w14:textId="77777777" w:rsidR="00534F56" w:rsidRPr="00534F56" w:rsidRDefault="00534F56" w:rsidP="00B81916">
            <w:pPr>
              <w:pStyle w:val="Tabletext"/>
            </w:pPr>
            <w:r w:rsidRPr="00534F56">
              <w:t>Coercive</w:t>
            </w:r>
          </w:p>
          <w:p w14:paraId="75A13D0B" w14:textId="77777777" w:rsidR="00534F56" w:rsidRPr="00534F56" w:rsidRDefault="00534F56" w:rsidP="00B81916">
            <w:pPr>
              <w:pStyle w:val="Tabletext"/>
            </w:pPr>
            <w:r w:rsidRPr="00534F56">
              <w:t>Market Pressures</w:t>
            </w:r>
          </w:p>
        </w:tc>
        <w:tc>
          <w:tcPr>
            <w:tcW w:w="0" w:type="auto"/>
            <w:vMerge w:val="restart"/>
            <w:tcBorders>
              <w:left w:val="single" w:sz="4" w:space="0" w:color="000000"/>
              <w:right w:val="single" w:sz="4" w:space="0" w:color="000000"/>
            </w:tcBorders>
          </w:tcPr>
          <w:p w14:paraId="45AFB69F" w14:textId="77777777" w:rsidR="00534F56" w:rsidRPr="00534F56" w:rsidRDefault="00534F56" w:rsidP="00B81916">
            <w:pPr>
              <w:pStyle w:val="Tabletext"/>
            </w:pPr>
            <w:r w:rsidRPr="00534F56">
              <w:t>EO23</w:t>
            </w:r>
          </w:p>
          <w:p w14:paraId="00FDD3B2" w14:textId="77777777" w:rsidR="00534F56" w:rsidRPr="00534F56" w:rsidRDefault="00534F56" w:rsidP="00B81916">
            <w:pPr>
              <w:pStyle w:val="Tabletext"/>
            </w:pPr>
          </w:p>
          <w:p w14:paraId="24AF16A7" w14:textId="77777777" w:rsidR="00534F56" w:rsidRPr="00534F56" w:rsidRDefault="00534F56" w:rsidP="00B81916">
            <w:pPr>
              <w:pStyle w:val="Tabletext"/>
            </w:pPr>
          </w:p>
        </w:tc>
        <w:tc>
          <w:tcPr>
            <w:tcW w:w="0" w:type="auto"/>
            <w:tcBorders>
              <w:left w:val="single" w:sz="4" w:space="0" w:color="000000"/>
              <w:right w:val="single" w:sz="4" w:space="0" w:color="000000"/>
            </w:tcBorders>
          </w:tcPr>
          <w:p w14:paraId="6C04C6FA" w14:textId="77777777" w:rsidR="00534F56" w:rsidRPr="00534F56" w:rsidRDefault="00534F56" w:rsidP="00B81916">
            <w:pPr>
              <w:pStyle w:val="Tabletext"/>
            </w:pPr>
            <w:r w:rsidRPr="00534F56">
              <w:t>Q2a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E526703" w14:textId="77777777" w:rsidR="00534F56" w:rsidRPr="00534F56" w:rsidRDefault="00534F56" w:rsidP="00B81916">
            <w:pPr>
              <w:pStyle w:val="Tabletext"/>
            </w:pPr>
            <w:r w:rsidRPr="00534F56">
              <w:t>The next step is about learning how to monetise the change in a cost-effective way. And operationalise the change in your supply chain in such a way that it makes business sense. At the moment, there are prejudices against the coercive side of the pressures – where coercive is just seen as an additional cost”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A469577" w14:textId="77777777" w:rsidR="00534F56" w:rsidRPr="00534F56" w:rsidRDefault="00534F56" w:rsidP="00B81916">
            <w:pPr>
              <w:pStyle w:val="Tabletext"/>
            </w:pPr>
            <w:r w:rsidRPr="00534F56">
              <w:t>Practitioner PH</w:t>
            </w:r>
          </w:p>
        </w:tc>
      </w:tr>
      <w:tr w:rsidR="00534F56" w:rsidRPr="00534F56" w14:paraId="0C86561B" w14:textId="77777777" w:rsidTr="00116B90">
        <w:trPr>
          <w:trHeight w:val="274"/>
        </w:trPr>
        <w:tc>
          <w:tcPr>
            <w:tcW w:w="0" w:type="auto"/>
            <w:vMerge/>
            <w:tcBorders>
              <w:left w:val="single" w:sz="4" w:space="0" w:color="000000"/>
              <w:right w:val="single" w:sz="4" w:space="0" w:color="000000"/>
            </w:tcBorders>
            <w:shd w:val="clear" w:color="auto" w:fill="auto"/>
          </w:tcPr>
          <w:p w14:paraId="57316709" w14:textId="77777777" w:rsidR="00534F56" w:rsidRPr="00534F56" w:rsidRDefault="00534F56" w:rsidP="00B81916">
            <w:pPr>
              <w:pStyle w:val="Tabletext"/>
            </w:pPr>
          </w:p>
        </w:tc>
        <w:tc>
          <w:tcPr>
            <w:tcW w:w="0" w:type="auto"/>
            <w:vMerge/>
            <w:tcBorders>
              <w:left w:val="single" w:sz="4" w:space="0" w:color="000000"/>
              <w:right w:val="single" w:sz="4" w:space="0" w:color="000000"/>
            </w:tcBorders>
          </w:tcPr>
          <w:p w14:paraId="1D4AA5FA" w14:textId="77777777" w:rsidR="00534F56" w:rsidRPr="00534F56" w:rsidRDefault="00534F56" w:rsidP="00B81916">
            <w:pPr>
              <w:pStyle w:val="Tabletext"/>
            </w:pPr>
          </w:p>
        </w:tc>
        <w:tc>
          <w:tcPr>
            <w:tcW w:w="0" w:type="auto"/>
            <w:tcBorders>
              <w:left w:val="single" w:sz="4" w:space="0" w:color="000000"/>
              <w:right w:val="single" w:sz="4" w:space="0" w:color="000000"/>
            </w:tcBorders>
          </w:tcPr>
          <w:p w14:paraId="53CE3C43" w14:textId="77777777" w:rsidR="00534F56" w:rsidRPr="00534F56" w:rsidRDefault="00534F56" w:rsidP="00B81916">
            <w:pPr>
              <w:pStyle w:val="Tabletext"/>
            </w:pPr>
            <w:r w:rsidRPr="00534F56">
              <w:t>Q2b</w:t>
            </w:r>
          </w:p>
          <w:p w14:paraId="29EACB61" w14:textId="77777777" w:rsidR="00534F56" w:rsidRPr="00534F56" w:rsidRDefault="00534F56" w:rsidP="00B81916">
            <w:pPr>
              <w:pStyle w:val="Tabletext"/>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F891770" w14:textId="77777777" w:rsidR="00534F56" w:rsidRPr="00534F56" w:rsidRDefault="00534F56" w:rsidP="00B81916">
            <w:pPr>
              <w:pStyle w:val="Tabletext"/>
            </w:pPr>
            <w:r w:rsidRPr="00534F56">
              <w:t>“Focal firms are pressuring others in the supply chain to share their level of inventory real time. Supra national regulation might bring pressures from within the supply chain.”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954FD4D" w14:textId="77777777" w:rsidR="00534F56" w:rsidRPr="00534F56" w:rsidRDefault="00534F56" w:rsidP="00B81916">
            <w:pPr>
              <w:pStyle w:val="Tabletext"/>
            </w:pPr>
            <w:r w:rsidRPr="00534F56">
              <w:t>Academic AA</w:t>
            </w:r>
          </w:p>
        </w:tc>
      </w:tr>
      <w:tr w:rsidR="00534F56" w:rsidRPr="00534F56" w14:paraId="49769BB6" w14:textId="77777777" w:rsidTr="00116B90">
        <w:trPr>
          <w:trHeight w:val="274"/>
        </w:trPr>
        <w:tc>
          <w:tcPr>
            <w:tcW w:w="0" w:type="auto"/>
            <w:vMerge/>
            <w:tcBorders>
              <w:left w:val="single" w:sz="4" w:space="0" w:color="000000"/>
              <w:right w:val="single" w:sz="4" w:space="0" w:color="000000"/>
            </w:tcBorders>
            <w:shd w:val="clear" w:color="auto" w:fill="auto"/>
          </w:tcPr>
          <w:p w14:paraId="18A20933" w14:textId="77777777" w:rsidR="00534F56" w:rsidRPr="00534F56" w:rsidRDefault="00534F56" w:rsidP="00B81916">
            <w:pPr>
              <w:pStyle w:val="Tabletext"/>
            </w:pPr>
          </w:p>
        </w:tc>
        <w:tc>
          <w:tcPr>
            <w:tcW w:w="0" w:type="auto"/>
            <w:tcBorders>
              <w:left w:val="single" w:sz="4" w:space="0" w:color="000000"/>
              <w:right w:val="single" w:sz="4" w:space="0" w:color="000000"/>
            </w:tcBorders>
          </w:tcPr>
          <w:p w14:paraId="1B47B6A2" w14:textId="77777777" w:rsidR="00534F56" w:rsidRPr="00534F56" w:rsidRDefault="00534F56" w:rsidP="00B81916">
            <w:pPr>
              <w:pStyle w:val="Tabletext"/>
            </w:pPr>
            <w:r w:rsidRPr="00534F56">
              <w:t>EO17</w:t>
            </w:r>
          </w:p>
        </w:tc>
        <w:tc>
          <w:tcPr>
            <w:tcW w:w="0" w:type="auto"/>
            <w:tcBorders>
              <w:left w:val="single" w:sz="4" w:space="0" w:color="000000"/>
              <w:right w:val="single" w:sz="4" w:space="0" w:color="000000"/>
            </w:tcBorders>
          </w:tcPr>
          <w:p w14:paraId="293614CF" w14:textId="77777777" w:rsidR="00534F56" w:rsidRPr="00534F56" w:rsidRDefault="00534F56" w:rsidP="00B81916">
            <w:pPr>
              <w:pStyle w:val="Tabletext"/>
            </w:pPr>
            <w:r w:rsidRPr="00534F56">
              <w:t xml:space="preserve">Q3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C90645" w14:textId="77777777" w:rsidR="00534F56" w:rsidRPr="00534F56" w:rsidRDefault="00534F56" w:rsidP="00B81916">
            <w:pPr>
              <w:pStyle w:val="Tabletext"/>
            </w:pPr>
            <w:r w:rsidRPr="00534F56">
              <w:t>“You write the supply chain from left to right (extraction – manufacturer - distributor) but you have to read it right to left to understand how the transformation works: Brand owners (in this example manufacturers) and consumers are setting the CE agenda”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D0239F8" w14:textId="77777777" w:rsidR="00534F56" w:rsidRPr="00534F56" w:rsidRDefault="00534F56" w:rsidP="00B81916">
            <w:pPr>
              <w:pStyle w:val="Tabletext"/>
            </w:pPr>
            <w:r w:rsidRPr="00534F56">
              <w:t>Practitioner PA</w:t>
            </w:r>
          </w:p>
        </w:tc>
      </w:tr>
      <w:tr w:rsidR="00534F56" w:rsidRPr="00534F56" w14:paraId="553B8B59" w14:textId="77777777" w:rsidTr="00116B90">
        <w:trPr>
          <w:trHeight w:val="274"/>
        </w:trPr>
        <w:tc>
          <w:tcPr>
            <w:tcW w:w="0" w:type="auto"/>
            <w:vMerge/>
            <w:tcBorders>
              <w:left w:val="single" w:sz="4" w:space="0" w:color="000000"/>
              <w:right w:val="single" w:sz="4" w:space="0" w:color="000000"/>
            </w:tcBorders>
            <w:shd w:val="clear" w:color="auto" w:fill="auto"/>
          </w:tcPr>
          <w:p w14:paraId="66406CEE" w14:textId="77777777" w:rsidR="00534F56" w:rsidRPr="00534F56" w:rsidRDefault="00534F56" w:rsidP="00B81916">
            <w:pPr>
              <w:pStyle w:val="Tabletext"/>
            </w:pPr>
          </w:p>
        </w:tc>
        <w:tc>
          <w:tcPr>
            <w:tcW w:w="0" w:type="auto"/>
            <w:vMerge w:val="restart"/>
            <w:tcBorders>
              <w:left w:val="single" w:sz="4" w:space="0" w:color="000000"/>
              <w:right w:val="single" w:sz="4" w:space="0" w:color="000000"/>
            </w:tcBorders>
          </w:tcPr>
          <w:p w14:paraId="509FE22B" w14:textId="77777777" w:rsidR="00534F56" w:rsidRPr="00534F56" w:rsidRDefault="00534F56" w:rsidP="00B81916">
            <w:pPr>
              <w:pStyle w:val="Tabletext"/>
            </w:pPr>
            <w:r w:rsidRPr="00534F56">
              <w:t>EO02</w:t>
            </w:r>
          </w:p>
        </w:tc>
        <w:tc>
          <w:tcPr>
            <w:tcW w:w="0" w:type="auto"/>
            <w:tcBorders>
              <w:left w:val="single" w:sz="4" w:space="0" w:color="000000"/>
              <w:right w:val="single" w:sz="4" w:space="0" w:color="000000"/>
            </w:tcBorders>
          </w:tcPr>
          <w:p w14:paraId="20B46131" w14:textId="77777777" w:rsidR="00534F56" w:rsidRPr="00534F56" w:rsidRDefault="00534F56" w:rsidP="00B81916">
            <w:pPr>
              <w:pStyle w:val="Tabletext"/>
            </w:pPr>
            <w:r w:rsidRPr="00534F56">
              <w:t>Q12a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30158E9" w14:textId="77777777" w:rsidR="00534F56" w:rsidRPr="00534F56" w:rsidRDefault="00534F56" w:rsidP="00B81916">
            <w:pPr>
              <w:pStyle w:val="Tabletext"/>
            </w:pPr>
            <w:r w:rsidRPr="00534F56">
              <w:t>“To review the performance of our production process we have some KPIs around waste. Looking at the importance directives and our customers are giving to it we want to add KPIs on circularity of inputs”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5BCC0C2" w14:textId="77777777" w:rsidR="00534F56" w:rsidRPr="00534F56" w:rsidRDefault="00534F56" w:rsidP="00B81916">
            <w:pPr>
              <w:pStyle w:val="Tabletext"/>
            </w:pPr>
            <w:r w:rsidRPr="00534F56">
              <w:t>Practitioner PC</w:t>
            </w:r>
          </w:p>
        </w:tc>
      </w:tr>
      <w:tr w:rsidR="00534F56" w:rsidRPr="00534F56" w14:paraId="01136833" w14:textId="77777777" w:rsidTr="00116B90">
        <w:trPr>
          <w:trHeight w:val="274"/>
        </w:trPr>
        <w:tc>
          <w:tcPr>
            <w:tcW w:w="0" w:type="auto"/>
            <w:vMerge/>
            <w:tcBorders>
              <w:left w:val="single" w:sz="4" w:space="0" w:color="000000"/>
              <w:right w:val="single" w:sz="4" w:space="0" w:color="000000"/>
            </w:tcBorders>
            <w:shd w:val="clear" w:color="auto" w:fill="auto"/>
          </w:tcPr>
          <w:p w14:paraId="685DAA00" w14:textId="77777777" w:rsidR="00534F56" w:rsidRPr="00534F56" w:rsidRDefault="00534F56" w:rsidP="00B81916">
            <w:pPr>
              <w:pStyle w:val="Tabletext"/>
            </w:pPr>
          </w:p>
        </w:tc>
        <w:tc>
          <w:tcPr>
            <w:tcW w:w="0" w:type="auto"/>
            <w:vMerge/>
            <w:tcBorders>
              <w:left w:val="single" w:sz="4" w:space="0" w:color="000000"/>
              <w:right w:val="single" w:sz="4" w:space="0" w:color="000000"/>
            </w:tcBorders>
          </w:tcPr>
          <w:p w14:paraId="6C4FA594" w14:textId="77777777" w:rsidR="00534F56" w:rsidRPr="00534F56" w:rsidRDefault="00534F56" w:rsidP="00B81916">
            <w:pPr>
              <w:pStyle w:val="Tabletext"/>
            </w:pPr>
          </w:p>
        </w:tc>
        <w:tc>
          <w:tcPr>
            <w:tcW w:w="0" w:type="auto"/>
            <w:tcBorders>
              <w:top w:val="single" w:sz="4" w:space="0" w:color="000000"/>
              <w:left w:val="single" w:sz="4" w:space="0" w:color="000000"/>
              <w:right w:val="single" w:sz="4" w:space="0" w:color="000000"/>
            </w:tcBorders>
          </w:tcPr>
          <w:p w14:paraId="469007F7" w14:textId="77777777" w:rsidR="00534F56" w:rsidRPr="00534F56" w:rsidRDefault="00534F56" w:rsidP="00B81916">
            <w:pPr>
              <w:pStyle w:val="Tabletext"/>
            </w:pPr>
            <w:r w:rsidRPr="00534F56">
              <w:t>Q12b</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E8E6979" w14:textId="77777777" w:rsidR="00534F56" w:rsidRPr="00534F56" w:rsidRDefault="00534F56" w:rsidP="00B81916">
            <w:pPr>
              <w:pStyle w:val="Tabletext"/>
            </w:pPr>
            <w:r w:rsidRPr="00534F56">
              <w:t>“We are developing internal policies to make some processes more circular and less wasteful - for example making the use of reusable cups in cafeterias obligatory and making many processes paperless”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70F928" w14:textId="77777777" w:rsidR="00534F56" w:rsidRPr="00534F56" w:rsidRDefault="00534F56" w:rsidP="00B81916">
            <w:pPr>
              <w:pStyle w:val="Tabletext"/>
            </w:pPr>
            <w:r w:rsidRPr="00534F56">
              <w:t>Practitioner PI</w:t>
            </w:r>
          </w:p>
        </w:tc>
      </w:tr>
      <w:tr w:rsidR="00534F56" w:rsidRPr="00534F56" w14:paraId="738E6CD7" w14:textId="77777777" w:rsidTr="00116B90">
        <w:trPr>
          <w:trHeight w:val="274"/>
        </w:trPr>
        <w:tc>
          <w:tcPr>
            <w:tcW w:w="0" w:type="auto"/>
            <w:vMerge/>
            <w:tcBorders>
              <w:left w:val="single" w:sz="4" w:space="0" w:color="000000"/>
              <w:right w:val="single" w:sz="4" w:space="0" w:color="000000"/>
            </w:tcBorders>
            <w:shd w:val="clear" w:color="auto" w:fill="auto"/>
          </w:tcPr>
          <w:p w14:paraId="609118E2" w14:textId="77777777" w:rsidR="00534F56" w:rsidRPr="00534F56" w:rsidRDefault="00534F56" w:rsidP="00B81916">
            <w:pPr>
              <w:pStyle w:val="Tabletext"/>
            </w:pPr>
          </w:p>
        </w:tc>
        <w:tc>
          <w:tcPr>
            <w:tcW w:w="0" w:type="auto"/>
            <w:tcBorders>
              <w:top w:val="single" w:sz="4" w:space="0" w:color="000000"/>
              <w:left w:val="single" w:sz="4" w:space="0" w:color="000000"/>
              <w:right w:val="single" w:sz="4" w:space="0" w:color="000000"/>
            </w:tcBorders>
          </w:tcPr>
          <w:p w14:paraId="39748453" w14:textId="77777777" w:rsidR="00534F56" w:rsidRPr="00534F56" w:rsidRDefault="00534F56" w:rsidP="00B81916">
            <w:pPr>
              <w:pStyle w:val="Tabletext"/>
            </w:pPr>
            <w:r w:rsidRPr="00534F56">
              <w:t>EO17</w:t>
            </w:r>
          </w:p>
        </w:tc>
        <w:tc>
          <w:tcPr>
            <w:tcW w:w="0" w:type="auto"/>
            <w:tcBorders>
              <w:top w:val="single" w:sz="4" w:space="0" w:color="000000"/>
              <w:left w:val="single" w:sz="4" w:space="0" w:color="000000"/>
              <w:right w:val="single" w:sz="4" w:space="0" w:color="000000"/>
            </w:tcBorders>
          </w:tcPr>
          <w:p w14:paraId="46052A83" w14:textId="77777777" w:rsidR="00534F56" w:rsidRPr="00534F56" w:rsidRDefault="00534F56" w:rsidP="00B81916">
            <w:pPr>
              <w:pStyle w:val="Tabletext"/>
            </w:pPr>
            <w:r w:rsidRPr="00534F56">
              <w:t>Q21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3CAC92" w14:textId="77777777" w:rsidR="00534F56" w:rsidRPr="00534F56" w:rsidRDefault="00534F56" w:rsidP="00B81916">
            <w:pPr>
              <w:pStyle w:val="Tabletext"/>
            </w:pPr>
            <w:r w:rsidRPr="00534F56">
              <w:t xml:space="preserve">“In some countries where different perception of social values, final consumers are not accepting fridges because of a yellow ink in a label on the cardboard contains some cadmium. This obliges you to change the design of packaging and also of products at times”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5B533BB" w14:textId="77777777" w:rsidR="00534F56" w:rsidRPr="00534F56" w:rsidRDefault="00534F56" w:rsidP="00B81916">
            <w:pPr>
              <w:pStyle w:val="Tabletext"/>
            </w:pPr>
            <w:r w:rsidRPr="00534F56">
              <w:t>Academic AB</w:t>
            </w:r>
          </w:p>
        </w:tc>
      </w:tr>
      <w:tr w:rsidR="00534F56" w:rsidRPr="00534F56" w14:paraId="67B1AF66" w14:textId="77777777" w:rsidTr="00116B90">
        <w:trPr>
          <w:trHeight w:val="274"/>
        </w:trPr>
        <w:tc>
          <w:tcPr>
            <w:tcW w:w="0" w:type="auto"/>
            <w:vMerge w:val="restart"/>
            <w:tcBorders>
              <w:top w:val="single" w:sz="4" w:space="0" w:color="000000"/>
              <w:left w:val="single" w:sz="4" w:space="0" w:color="000000"/>
              <w:right w:val="single" w:sz="4" w:space="0" w:color="000000"/>
            </w:tcBorders>
            <w:shd w:val="clear" w:color="auto" w:fill="auto"/>
          </w:tcPr>
          <w:p w14:paraId="39F26120" w14:textId="77777777" w:rsidR="00534F56" w:rsidRPr="00534F56" w:rsidRDefault="00534F56" w:rsidP="00B81916">
            <w:pPr>
              <w:pStyle w:val="Tabletext"/>
            </w:pPr>
            <w:r w:rsidRPr="00534F56">
              <w:t>Normative Pressures</w:t>
            </w:r>
          </w:p>
        </w:tc>
        <w:tc>
          <w:tcPr>
            <w:tcW w:w="0" w:type="auto"/>
            <w:tcBorders>
              <w:top w:val="single" w:sz="4" w:space="0" w:color="000000"/>
              <w:left w:val="single" w:sz="4" w:space="0" w:color="000000"/>
              <w:right w:val="single" w:sz="4" w:space="0" w:color="000000"/>
            </w:tcBorders>
          </w:tcPr>
          <w:p w14:paraId="2284ED8E" w14:textId="77777777" w:rsidR="00534F56" w:rsidRPr="00534F56" w:rsidRDefault="00534F56" w:rsidP="00B81916">
            <w:pPr>
              <w:pStyle w:val="Tabletext"/>
            </w:pPr>
            <w:r w:rsidRPr="00534F56">
              <w:t>EO12</w:t>
            </w:r>
          </w:p>
        </w:tc>
        <w:tc>
          <w:tcPr>
            <w:tcW w:w="0" w:type="auto"/>
            <w:tcBorders>
              <w:top w:val="single" w:sz="4" w:space="0" w:color="000000"/>
              <w:left w:val="single" w:sz="4" w:space="0" w:color="000000"/>
              <w:right w:val="single" w:sz="4" w:space="0" w:color="000000"/>
            </w:tcBorders>
          </w:tcPr>
          <w:p w14:paraId="609A2DC3" w14:textId="77777777" w:rsidR="00534F56" w:rsidRPr="00534F56" w:rsidRDefault="00534F56" w:rsidP="00B81916">
            <w:pPr>
              <w:pStyle w:val="Tabletext"/>
            </w:pPr>
            <w:r w:rsidRPr="00534F56">
              <w:t>Q4</w:t>
            </w:r>
          </w:p>
          <w:p w14:paraId="15DA6F21" w14:textId="77777777" w:rsidR="00534F56" w:rsidRPr="00534F56" w:rsidRDefault="00534F56" w:rsidP="00B81916">
            <w:pPr>
              <w:pStyle w:val="Tabletext"/>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7E5FDEE" w14:textId="77777777" w:rsidR="00534F56" w:rsidRPr="00534F56" w:rsidRDefault="00534F56" w:rsidP="00B81916">
            <w:pPr>
              <w:pStyle w:val="Tabletext"/>
            </w:pPr>
            <w:r w:rsidRPr="00534F56">
              <w:t>“Social norms have an important effect on employment. Aspirations of improve environmental and makes of it a more attractive organisation”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D4B9576" w14:textId="77777777" w:rsidR="00534F56" w:rsidRPr="00534F56" w:rsidRDefault="00534F56" w:rsidP="00B81916">
            <w:pPr>
              <w:pStyle w:val="Tabletext"/>
            </w:pPr>
            <w:r w:rsidRPr="00534F56">
              <w:t>Practitioner PC</w:t>
            </w:r>
          </w:p>
        </w:tc>
      </w:tr>
      <w:tr w:rsidR="00534F56" w:rsidRPr="00534F56" w14:paraId="1887B7FF" w14:textId="77777777" w:rsidTr="00116B90">
        <w:trPr>
          <w:trHeight w:val="274"/>
        </w:trPr>
        <w:tc>
          <w:tcPr>
            <w:tcW w:w="0" w:type="auto"/>
            <w:vMerge/>
            <w:tcBorders>
              <w:left w:val="single" w:sz="4" w:space="0" w:color="000000"/>
              <w:right w:val="single" w:sz="4" w:space="0" w:color="000000"/>
            </w:tcBorders>
            <w:shd w:val="clear" w:color="auto" w:fill="auto"/>
          </w:tcPr>
          <w:p w14:paraId="26A2CC99" w14:textId="77777777" w:rsidR="00534F56" w:rsidRPr="00534F56" w:rsidRDefault="00534F56" w:rsidP="00B81916">
            <w:pPr>
              <w:pStyle w:val="Tabletext"/>
            </w:pPr>
          </w:p>
        </w:tc>
        <w:tc>
          <w:tcPr>
            <w:tcW w:w="0" w:type="auto"/>
            <w:tcBorders>
              <w:top w:val="single" w:sz="4" w:space="0" w:color="000000"/>
              <w:left w:val="single" w:sz="4" w:space="0" w:color="000000"/>
              <w:right w:val="single" w:sz="4" w:space="0" w:color="000000"/>
            </w:tcBorders>
          </w:tcPr>
          <w:p w14:paraId="4E8FDCAD" w14:textId="77777777" w:rsidR="00534F56" w:rsidRPr="00534F56" w:rsidDel="007B56D8" w:rsidRDefault="00534F56" w:rsidP="00B81916">
            <w:pPr>
              <w:pStyle w:val="Tabletext"/>
            </w:pPr>
            <w:r w:rsidRPr="00534F56">
              <w:t>EO18</w:t>
            </w:r>
          </w:p>
        </w:tc>
        <w:tc>
          <w:tcPr>
            <w:tcW w:w="0" w:type="auto"/>
            <w:tcBorders>
              <w:top w:val="single" w:sz="4" w:space="0" w:color="000000"/>
              <w:left w:val="single" w:sz="4" w:space="0" w:color="000000"/>
              <w:right w:val="single" w:sz="4" w:space="0" w:color="000000"/>
            </w:tcBorders>
          </w:tcPr>
          <w:p w14:paraId="0011C38D" w14:textId="77777777" w:rsidR="00534F56" w:rsidRPr="00534F56" w:rsidRDefault="00534F56" w:rsidP="00B81916">
            <w:pPr>
              <w:pStyle w:val="Tabletext"/>
            </w:pPr>
            <w:r w:rsidRPr="00534F56">
              <w:t>Q5</w:t>
            </w:r>
          </w:p>
          <w:p w14:paraId="44879E83" w14:textId="77777777" w:rsidR="00534F56" w:rsidRPr="00534F56" w:rsidRDefault="00534F56" w:rsidP="00B81916">
            <w:pPr>
              <w:pStyle w:val="Tabletext"/>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D8DA77" w14:textId="77777777" w:rsidR="00534F56" w:rsidRPr="00534F56" w:rsidRDefault="00534F56" w:rsidP="00B81916">
            <w:pPr>
              <w:pStyle w:val="Tabletext"/>
            </w:pPr>
            <w:r w:rsidRPr="00534F56">
              <w:t>“A documentary from an NGO had a major impact on the industry, raising the problem of child labour. After that customers have started to ask for certifications, purify the sources of material”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741C44D" w14:textId="77777777" w:rsidR="00534F56" w:rsidRPr="00534F56" w:rsidRDefault="00534F56" w:rsidP="00B81916">
            <w:pPr>
              <w:pStyle w:val="Tabletext"/>
            </w:pPr>
            <w:r w:rsidRPr="00534F56">
              <w:t>Practitioner PQ</w:t>
            </w:r>
          </w:p>
          <w:p w14:paraId="511472DF" w14:textId="77777777" w:rsidR="00534F56" w:rsidRPr="00534F56" w:rsidRDefault="00534F56" w:rsidP="00B81916">
            <w:pPr>
              <w:pStyle w:val="Tabletext"/>
            </w:pPr>
          </w:p>
        </w:tc>
      </w:tr>
      <w:tr w:rsidR="00534F56" w:rsidRPr="00534F56" w14:paraId="0649CE62" w14:textId="77777777" w:rsidTr="00116B90">
        <w:trPr>
          <w:trHeight w:val="274"/>
        </w:trPr>
        <w:tc>
          <w:tcPr>
            <w:tcW w:w="0" w:type="auto"/>
            <w:vMerge/>
            <w:tcBorders>
              <w:left w:val="single" w:sz="4" w:space="0" w:color="000000"/>
              <w:right w:val="single" w:sz="4" w:space="0" w:color="000000"/>
            </w:tcBorders>
            <w:shd w:val="clear" w:color="auto" w:fill="auto"/>
          </w:tcPr>
          <w:p w14:paraId="29AA6317" w14:textId="77777777" w:rsidR="00534F56" w:rsidRPr="00534F56" w:rsidRDefault="00534F56" w:rsidP="00B81916">
            <w:pPr>
              <w:pStyle w:val="Tabletext"/>
            </w:pPr>
          </w:p>
        </w:tc>
        <w:tc>
          <w:tcPr>
            <w:tcW w:w="0" w:type="auto"/>
            <w:vMerge w:val="restart"/>
            <w:tcBorders>
              <w:left w:val="single" w:sz="4" w:space="0" w:color="000000"/>
              <w:right w:val="single" w:sz="4" w:space="0" w:color="000000"/>
            </w:tcBorders>
          </w:tcPr>
          <w:p w14:paraId="08A83EB4" w14:textId="77777777" w:rsidR="00534F56" w:rsidRPr="00534F56" w:rsidRDefault="00534F56" w:rsidP="00B81916">
            <w:pPr>
              <w:pStyle w:val="Tabletext"/>
            </w:pPr>
            <w:r w:rsidRPr="00534F56">
              <w:t>EO4, EO19</w:t>
            </w:r>
          </w:p>
        </w:tc>
        <w:tc>
          <w:tcPr>
            <w:tcW w:w="0" w:type="auto"/>
            <w:tcBorders>
              <w:left w:val="single" w:sz="4" w:space="0" w:color="000000"/>
              <w:bottom w:val="single" w:sz="4" w:space="0" w:color="000000"/>
              <w:right w:val="single" w:sz="4" w:space="0" w:color="000000"/>
            </w:tcBorders>
          </w:tcPr>
          <w:p w14:paraId="397A2E99" w14:textId="77777777" w:rsidR="00534F56" w:rsidRPr="00534F56" w:rsidRDefault="00534F56" w:rsidP="00B81916">
            <w:pPr>
              <w:pStyle w:val="Tabletext"/>
            </w:pPr>
            <w:r w:rsidRPr="00534F56">
              <w:t>Q6a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F5A67B2" w14:textId="77777777" w:rsidR="00534F56" w:rsidRPr="00534F56" w:rsidRDefault="00534F56" w:rsidP="00B81916">
            <w:pPr>
              <w:pStyle w:val="Tabletext"/>
            </w:pPr>
            <w:r w:rsidRPr="00534F56">
              <w:t xml:space="preserve">“Professional associations are evolving and driving CE (and green) practices. Think about architects that, through </w:t>
            </w:r>
            <w:r w:rsidRPr="00534F56">
              <w:rPr>
                <w:i/>
              </w:rPr>
              <w:t>design thinking</w:t>
            </w:r>
            <w:r w:rsidRPr="00534F56">
              <w:t xml:space="preserve"> design buildings that can be easily recovered; or think about companies that have the knowledge to perform LCA about different product options”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A48CF69" w14:textId="77777777" w:rsidR="00534F56" w:rsidRPr="00534F56" w:rsidRDefault="00534F56" w:rsidP="00B81916">
            <w:pPr>
              <w:pStyle w:val="Tabletext"/>
            </w:pPr>
            <w:r w:rsidRPr="00534F56">
              <w:t>Practitioner PF</w:t>
            </w:r>
          </w:p>
        </w:tc>
      </w:tr>
      <w:tr w:rsidR="00534F56" w:rsidRPr="00534F56" w14:paraId="151953D9" w14:textId="77777777" w:rsidTr="00116B90">
        <w:trPr>
          <w:trHeight w:val="274"/>
        </w:trPr>
        <w:tc>
          <w:tcPr>
            <w:tcW w:w="0" w:type="auto"/>
            <w:vMerge/>
            <w:tcBorders>
              <w:left w:val="single" w:sz="4" w:space="0" w:color="000000"/>
              <w:right w:val="single" w:sz="4" w:space="0" w:color="000000"/>
            </w:tcBorders>
            <w:shd w:val="clear" w:color="auto" w:fill="auto"/>
          </w:tcPr>
          <w:p w14:paraId="587F33E8" w14:textId="77777777" w:rsidR="00534F56" w:rsidRPr="00534F56" w:rsidRDefault="00534F56" w:rsidP="00B81916">
            <w:pPr>
              <w:pStyle w:val="Tabletext"/>
            </w:pPr>
          </w:p>
        </w:tc>
        <w:tc>
          <w:tcPr>
            <w:tcW w:w="0" w:type="auto"/>
            <w:vMerge/>
            <w:tcBorders>
              <w:left w:val="single" w:sz="4" w:space="0" w:color="000000"/>
              <w:bottom w:val="single" w:sz="4" w:space="0" w:color="000000"/>
              <w:right w:val="single" w:sz="4" w:space="0" w:color="000000"/>
            </w:tcBorders>
          </w:tcPr>
          <w:p w14:paraId="22F72EDD" w14:textId="77777777" w:rsidR="00534F56" w:rsidRPr="00534F56" w:rsidDel="007B56D8" w:rsidRDefault="00534F56" w:rsidP="00B81916">
            <w:pPr>
              <w:pStyle w:val="Tabletext"/>
            </w:pPr>
          </w:p>
        </w:tc>
        <w:tc>
          <w:tcPr>
            <w:tcW w:w="0" w:type="auto"/>
            <w:tcBorders>
              <w:left w:val="single" w:sz="4" w:space="0" w:color="000000"/>
              <w:bottom w:val="single" w:sz="4" w:space="0" w:color="000000"/>
              <w:right w:val="single" w:sz="4" w:space="0" w:color="000000"/>
            </w:tcBorders>
          </w:tcPr>
          <w:p w14:paraId="7FCD971E" w14:textId="77777777" w:rsidR="00534F56" w:rsidRPr="00534F56" w:rsidRDefault="00534F56" w:rsidP="00B81916">
            <w:pPr>
              <w:pStyle w:val="Tabletext"/>
            </w:pPr>
            <w:r w:rsidRPr="00534F56">
              <w:t xml:space="preserve">Q6b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D2B5B01" w14:textId="77777777" w:rsidR="00534F56" w:rsidRPr="00534F56" w:rsidRDefault="00534F56" w:rsidP="00B81916">
            <w:pPr>
              <w:pStyle w:val="Tabletext"/>
            </w:pPr>
            <w:r w:rsidRPr="00534F56">
              <w:t>“Our implementation of CE practices is at an initial stage. The primary need is to show our customers we are doing something and improve our corporate image”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4EE7A4" w14:textId="77777777" w:rsidR="00534F56" w:rsidRPr="00534F56" w:rsidRDefault="00534F56" w:rsidP="00B81916">
            <w:pPr>
              <w:pStyle w:val="Tabletext"/>
            </w:pPr>
            <w:r w:rsidRPr="00534F56">
              <w:t>Practitioner PM</w:t>
            </w:r>
          </w:p>
        </w:tc>
      </w:tr>
      <w:tr w:rsidR="00534F56" w:rsidRPr="00534F56" w14:paraId="32C8D146" w14:textId="77777777" w:rsidTr="00116B90">
        <w:trPr>
          <w:trHeight w:val="274"/>
        </w:trPr>
        <w:tc>
          <w:tcPr>
            <w:tcW w:w="0" w:type="auto"/>
            <w:vMerge/>
            <w:tcBorders>
              <w:left w:val="single" w:sz="4" w:space="0" w:color="000000"/>
              <w:right w:val="single" w:sz="4" w:space="0" w:color="000000"/>
            </w:tcBorders>
            <w:shd w:val="clear" w:color="auto" w:fill="auto"/>
          </w:tcPr>
          <w:p w14:paraId="07B27A70" w14:textId="77777777" w:rsidR="00534F56" w:rsidRPr="00534F56" w:rsidRDefault="00534F56" w:rsidP="00B81916">
            <w:pPr>
              <w:pStyle w:val="Tabletext"/>
            </w:pPr>
          </w:p>
        </w:tc>
        <w:tc>
          <w:tcPr>
            <w:tcW w:w="0" w:type="auto"/>
            <w:tcBorders>
              <w:left w:val="single" w:sz="4" w:space="0" w:color="000000"/>
              <w:bottom w:val="single" w:sz="4" w:space="0" w:color="000000"/>
              <w:right w:val="single" w:sz="4" w:space="0" w:color="000000"/>
            </w:tcBorders>
          </w:tcPr>
          <w:p w14:paraId="650FBC8E" w14:textId="77777777" w:rsidR="00534F56" w:rsidRPr="00534F56" w:rsidDel="007B56D8" w:rsidRDefault="00534F56" w:rsidP="00B81916">
            <w:pPr>
              <w:pStyle w:val="Tabletext"/>
            </w:pPr>
            <w:r w:rsidRPr="00534F56">
              <w:t>EO7</w:t>
            </w:r>
          </w:p>
        </w:tc>
        <w:tc>
          <w:tcPr>
            <w:tcW w:w="0" w:type="auto"/>
            <w:tcBorders>
              <w:left w:val="single" w:sz="4" w:space="0" w:color="000000"/>
              <w:bottom w:val="single" w:sz="4" w:space="0" w:color="000000"/>
              <w:right w:val="single" w:sz="4" w:space="0" w:color="000000"/>
            </w:tcBorders>
          </w:tcPr>
          <w:p w14:paraId="27C17153" w14:textId="77777777" w:rsidR="00534F56" w:rsidRPr="00534F56" w:rsidRDefault="00534F56" w:rsidP="00B81916">
            <w:pPr>
              <w:pStyle w:val="Tabletext"/>
            </w:pPr>
            <w:r w:rsidRPr="00534F56">
              <w:t>Q22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325398B" w14:textId="77777777" w:rsidR="00534F56" w:rsidRPr="00534F56" w:rsidRDefault="00534F56" w:rsidP="00B81916">
            <w:pPr>
              <w:pStyle w:val="Tabletext"/>
            </w:pPr>
            <w:r w:rsidRPr="00534F56">
              <w:t>“NGOs, charities and communities are promoting collaborative and shared consumption models and truly innovative models that are able to overcome the dependence on fossil fuels, the concept of ownership and consumerism”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61D72C6" w14:textId="77777777" w:rsidR="00534F56" w:rsidRPr="00534F56" w:rsidRDefault="00534F56" w:rsidP="00B81916">
            <w:pPr>
              <w:pStyle w:val="Tabletext"/>
            </w:pPr>
            <w:r w:rsidRPr="00534F56">
              <w:t>Academic AE</w:t>
            </w:r>
          </w:p>
        </w:tc>
      </w:tr>
      <w:tr w:rsidR="00534F56" w:rsidRPr="00534F56" w14:paraId="31E74D62" w14:textId="77777777" w:rsidTr="00116B90">
        <w:trPr>
          <w:trHeight w:val="274"/>
        </w:trPr>
        <w:tc>
          <w:tcPr>
            <w:tcW w:w="0" w:type="auto"/>
            <w:vMerge w:val="restart"/>
            <w:tcBorders>
              <w:top w:val="single" w:sz="4" w:space="0" w:color="000000"/>
              <w:left w:val="single" w:sz="4" w:space="0" w:color="000000"/>
              <w:right w:val="single" w:sz="4" w:space="0" w:color="000000"/>
            </w:tcBorders>
            <w:shd w:val="clear" w:color="auto" w:fill="auto"/>
          </w:tcPr>
          <w:p w14:paraId="5D113EDF" w14:textId="77777777" w:rsidR="00534F56" w:rsidRPr="00534F56" w:rsidRDefault="00534F56" w:rsidP="00B81916">
            <w:pPr>
              <w:pStyle w:val="Tabletext"/>
            </w:pPr>
            <w:r w:rsidRPr="00534F56">
              <w:t>Mimetic Pressures</w:t>
            </w:r>
          </w:p>
        </w:tc>
        <w:tc>
          <w:tcPr>
            <w:tcW w:w="0" w:type="auto"/>
            <w:tcBorders>
              <w:top w:val="single" w:sz="4" w:space="0" w:color="000000"/>
              <w:left w:val="single" w:sz="4" w:space="0" w:color="000000"/>
              <w:right w:val="single" w:sz="4" w:space="0" w:color="000000"/>
            </w:tcBorders>
          </w:tcPr>
          <w:p w14:paraId="79A5E60C" w14:textId="77777777" w:rsidR="00534F56" w:rsidRPr="00534F56" w:rsidRDefault="00534F56" w:rsidP="00B81916">
            <w:pPr>
              <w:pStyle w:val="Tabletext"/>
              <w:rPr>
                <w:color w:val="000000"/>
              </w:rPr>
            </w:pPr>
            <w:r w:rsidRPr="00534F56">
              <w:t>EO22</w:t>
            </w:r>
          </w:p>
        </w:tc>
        <w:tc>
          <w:tcPr>
            <w:tcW w:w="0" w:type="auto"/>
            <w:tcBorders>
              <w:top w:val="single" w:sz="4" w:space="0" w:color="000000"/>
              <w:left w:val="single" w:sz="4" w:space="0" w:color="000000"/>
              <w:right w:val="single" w:sz="4" w:space="0" w:color="000000"/>
            </w:tcBorders>
          </w:tcPr>
          <w:p w14:paraId="6C774FEB" w14:textId="77777777" w:rsidR="00534F56" w:rsidRPr="00534F56" w:rsidRDefault="00534F56" w:rsidP="00B81916">
            <w:pPr>
              <w:pStyle w:val="Tabletext"/>
              <w:rPr>
                <w:color w:val="000000"/>
              </w:rPr>
            </w:pPr>
            <w:r w:rsidRPr="00534F56">
              <w:t>Q7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41EA6D" w14:textId="12186062" w:rsidR="00534F56" w:rsidRPr="00534F56" w:rsidRDefault="00534F56" w:rsidP="00B81916">
            <w:pPr>
              <w:pStyle w:val="Tabletext"/>
            </w:pPr>
            <w:r w:rsidRPr="00534F56">
              <w:t xml:space="preserve">“The effect of peers influences the adoption of circular economy innovation; not specifically within supply chains but in general. It is also </w:t>
            </w:r>
            <w:r w:rsidRPr="00534F56">
              <w:lastRenderedPageBreak/>
              <w:t xml:space="preserve">interesting to understand how different </w:t>
            </w:r>
            <w:r w:rsidR="00F07293" w:rsidRPr="00534F56">
              <w:t>types of</w:t>
            </w:r>
            <w:r w:rsidRPr="00534F56">
              <w:t xml:space="preserve"> peers and firms have a different effect”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3CB1B68" w14:textId="77777777" w:rsidR="00534F56" w:rsidRPr="00534F56" w:rsidRDefault="00534F56" w:rsidP="00B81916">
            <w:pPr>
              <w:pStyle w:val="Tabletext"/>
            </w:pPr>
            <w:r w:rsidRPr="00534F56">
              <w:lastRenderedPageBreak/>
              <w:t>Academic AM</w:t>
            </w:r>
          </w:p>
        </w:tc>
      </w:tr>
      <w:tr w:rsidR="00534F56" w:rsidRPr="00534F56" w14:paraId="5B17C380" w14:textId="77777777" w:rsidTr="00116B90">
        <w:trPr>
          <w:trHeight w:val="274"/>
        </w:trPr>
        <w:tc>
          <w:tcPr>
            <w:tcW w:w="0" w:type="auto"/>
            <w:vMerge/>
            <w:tcBorders>
              <w:top w:val="single" w:sz="4" w:space="0" w:color="000000"/>
              <w:left w:val="single" w:sz="4" w:space="0" w:color="000000"/>
              <w:right w:val="single" w:sz="4" w:space="0" w:color="000000"/>
            </w:tcBorders>
            <w:shd w:val="clear" w:color="auto" w:fill="auto"/>
          </w:tcPr>
          <w:p w14:paraId="119071F6" w14:textId="77777777" w:rsidR="00534F56" w:rsidRPr="00534F56" w:rsidRDefault="00534F56" w:rsidP="00B81916">
            <w:pPr>
              <w:pStyle w:val="Tabletext"/>
            </w:pPr>
          </w:p>
        </w:tc>
        <w:tc>
          <w:tcPr>
            <w:tcW w:w="0" w:type="auto"/>
            <w:vMerge w:val="restart"/>
            <w:tcBorders>
              <w:left w:val="single" w:sz="4" w:space="0" w:color="000000"/>
              <w:right w:val="single" w:sz="4" w:space="0" w:color="000000"/>
            </w:tcBorders>
          </w:tcPr>
          <w:p w14:paraId="6D70972C" w14:textId="77777777" w:rsidR="00534F56" w:rsidRPr="00534F56" w:rsidRDefault="00534F56" w:rsidP="00B81916">
            <w:pPr>
              <w:pStyle w:val="Tabletext"/>
            </w:pPr>
            <w:r w:rsidRPr="00534F56">
              <w:t>EO7, EO8</w:t>
            </w:r>
          </w:p>
          <w:p w14:paraId="136464A7" w14:textId="77777777" w:rsidR="00534F56" w:rsidRPr="00534F56" w:rsidRDefault="00534F56" w:rsidP="00B81916">
            <w:pPr>
              <w:pStyle w:val="Tabletext"/>
            </w:pPr>
          </w:p>
        </w:tc>
        <w:tc>
          <w:tcPr>
            <w:tcW w:w="0" w:type="auto"/>
            <w:tcBorders>
              <w:left w:val="single" w:sz="4" w:space="0" w:color="000000"/>
              <w:right w:val="single" w:sz="4" w:space="0" w:color="000000"/>
            </w:tcBorders>
          </w:tcPr>
          <w:p w14:paraId="0D762347" w14:textId="77777777" w:rsidR="00534F56" w:rsidRPr="00534F56" w:rsidRDefault="00534F56" w:rsidP="00B81916">
            <w:pPr>
              <w:pStyle w:val="Tabletext"/>
            </w:pPr>
            <w:r w:rsidRPr="00534F56">
              <w:t>Q8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340EA6" w14:textId="77777777" w:rsidR="00534F56" w:rsidRPr="00534F56" w:rsidRDefault="00534F56" w:rsidP="00B81916">
            <w:pPr>
              <w:pStyle w:val="Tabletext"/>
            </w:pPr>
            <w:r w:rsidRPr="00534F56">
              <w:t>“Companies use a risk and opportunity approach to study what that means for them - how it is it going to impact the business - How it can create value for now and in the long term”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229E17" w14:textId="77777777" w:rsidR="00534F56" w:rsidRPr="00534F56" w:rsidRDefault="00534F56" w:rsidP="00B81916">
            <w:pPr>
              <w:pStyle w:val="Tabletext"/>
            </w:pPr>
            <w:r w:rsidRPr="00534F56">
              <w:t>Practitioner PA</w:t>
            </w:r>
          </w:p>
        </w:tc>
      </w:tr>
      <w:tr w:rsidR="00534F56" w:rsidRPr="00534F56" w14:paraId="4D9F72CF" w14:textId="77777777" w:rsidTr="00116B90">
        <w:trPr>
          <w:trHeight w:val="274"/>
        </w:trPr>
        <w:tc>
          <w:tcPr>
            <w:tcW w:w="0" w:type="auto"/>
            <w:vMerge/>
            <w:tcBorders>
              <w:top w:val="single" w:sz="4" w:space="0" w:color="000000"/>
              <w:left w:val="single" w:sz="4" w:space="0" w:color="000000"/>
              <w:right w:val="single" w:sz="4" w:space="0" w:color="000000"/>
            </w:tcBorders>
            <w:shd w:val="clear" w:color="auto" w:fill="auto"/>
          </w:tcPr>
          <w:p w14:paraId="39B3FBF6" w14:textId="77777777" w:rsidR="00534F56" w:rsidRPr="00534F56" w:rsidRDefault="00534F56" w:rsidP="00B81916">
            <w:pPr>
              <w:pStyle w:val="Tabletext"/>
            </w:pPr>
          </w:p>
        </w:tc>
        <w:tc>
          <w:tcPr>
            <w:tcW w:w="0" w:type="auto"/>
            <w:vMerge/>
            <w:tcBorders>
              <w:left w:val="single" w:sz="4" w:space="0" w:color="000000"/>
              <w:right w:val="single" w:sz="4" w:space="0" w:color="000000"/>
            </w:tcBorders>
          </w:tcPr>
          <w:p w14:paraId="48D5ECE0" w14:textId="77777777" w:rsidR="00534F56" w:rsidRPr="00534F56" w:rsidRDefault="00534F56" w:rsidP="00B81916">
            <w:pPr>
              <w:pStyle w:val="Tabletext"/>
            </w:pPr>
          </w:p>
        </w:tc>
        <w:tc>
          <w:tcPr>
            <w:tcW w:w="0" w:type="auto"/>
            <w:tcBorders>
              <w:left w:val="single" w:sz="4" w:space="0" w:color="000000"/>
              <w:right w:val="single" w:sz="4" w:space="0" w:color="000000"/>
            </w:tcBorders>
          </w:tcPr>
          <w:p w14:paraId="51ED256A" w14:textId="77777777" w:rsidR="00534F56" w:rsidRPr="00534F56" w:rsidRDefault="00534F56" w:rsidP="00B81916">
            <w:pPr>
              <w:pStyle w:val="Tabletext"/>
              <w:rPr>
                <w:color w:val="000000"/>
              </w:rPr>
            </w:pPr>
            <w:r w:rsidRPr="00534F56">
              <w:t>Q9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1C13DC2" w14:textId="77777777" w:rsidR="00534F56" w:rsidRPr="00534F56" w:rsidRDefault="00534F56" w:rsidP="00B81916">
            <w:pPr>
              <w:pStyle w:val="Tabletext"/>
            </w:pPr>
            <w:r w:rsidRPr="00534F56">
              <w:t>“Companies monitor trends and might decide to follow them” the risk to be “cut out”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D6B04AF" w14:textId="77777777" w:rsidR="00534F56" w:rsidRPr="00534F56" w:rsidRDefault="00534F56" w:rsidP="00B81916">
            <w:pPr>
              <w:pStyle w:val="Tabletext"/>
            </w:pPr>
            <w:r w:rsidRPr="00534F56">
              <w:t>Practitioner PE</w:t>
            </w:r>
          </w:p>
        </w:tc>
      </w:tr>
      <w:tr w:rsidR="00534F56" w:rsidRPr="00534F56" w14:paraId="7FCD9786" w14:textId="77777777" w:rsidTr="00116B90">
        <w:trPr>
          <w:trHeight w:val="274"/>
        </w:trPr>
        <w:tc>
          <w:tcPr>
            <w:tcW w:w="0" w:type="auto"/>
            <w:tcBorders>
              <w:left w:val="single" w:sz="4" w:space="0" w:color="000000"/>
              <w:right w:val="single" w:sz="4" w:space="0" w:color="000000"/>
            </w:tcBorders>
            <w:shd w:val="clear" w:color="auto" w:fill="auto"/>
          </w:tcPr>
          <w:p w14:paraId="790442BE" w14:textId="77777777" w:rsidR="00534F56" w:rsidRPr="00534F56" w:rsidRDefault="00534F56" w:rsidP="00B81916">
            <w:pPr>
              <w:pStyle w:val="Tabletext"/>
            </w:pPr>
            <w:r w:rsidRPr="00534F56">
              <w:t>Other drivers</w:t>
            </w:r>
          </w:p>
        </w:tc>
        <w:tc>
          <w:tcPr>
            <w:tcW w:w="0" w:type="auto"/>
            <w:tcBorders>
              <w:left w:val="single" w:sz="4" w:space="0" w:color="000000"/>
              <w:right w:val="single" w:sz="4" w:space="0" w:color="000000"/>
            </w:tcBorders>
          </w:tcPr>
          <w:p w14:paraId="3381612B" w14:textId="77777777" w:rsidR="00534F56" w:rsidRPr="00534F56" w:rsidRDefault="00534F56" w:rsidP="00B81916">
            <w:pPr>
              <w:pStyle w:val="Tabletext"/>
            </w:pPr>
            <w:r w:rsidRPr="00534F56">
              <w:t>EO11</w:t>
            </w:r>
          </w:p>
        </w:tc>
        <w:tc>
          <w:tcPr>
            <w:tcW w:w="0" w:type="auto"/>
            <w:tcBorders>
              <w:left w:val="single" w:sz="4" w:space="0" w:color="000000"/>
              <w:right w:val="single" w:sz="4" w:space="0" w:color="000000"/>
            </w:tcBorders>
          </w:tcPr>
          <w:p w14:paraId="05798910" w14:textId="77777777" w:rsidR="00534F56" w:rsidRPr="00534F56" w:rsidRDefault="00534F56" w:rsidP="00B81916">
            <w:pPr>
              <w:pStyle w:val="Tabletext"/>
            </w:pPr>
            <w:r w:rsidRPr="00534F56">
              <w:t>Q10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28BE782" w14:textId="7C11493D" w:rsidR="00534F56" w:rsidRPr="00534F56" w:rsidRDefault="00534F56" w:rsidP="00B81916">
            <w:pPr>
              <w:pStyle w:val="Tabletext"/>
            </w:pPr>
            <w:r w:rsidRPr="00534F56">
              <w:t xml:space="preserve">“Scarcity of resources is also a driver. For </w:t>
            </w:r>
            <w:r w:rsidR="00F07293" w:rsidRPr="00534F56">
              <w:t>example,</w:t>
            </w:r>
            <w:r w:rsidRPr="00534F56">
              <w:t xml:space="preserve"> scarcity of copper, which is a reality. With copper price going up linear business models are at risk. It is a very important driver for companies to explore the feasibility of other business models like circular ones.”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C3D1EA5" w14:textId="77777777" w:rsidR="00534F56" w:rsidRPr="00534F56" w:rsidRDefault="00534F56" w:rsidP="00B81916">
            <w:pPr>
              <w:pStyle w:val="Tabletext"/>
            </w:pPr>
            <w:r w:rsidRPr="00534F56">
              <w:t>Practitioner PP</w:t>
            </w:r>
          </w:p>
        </w:tc>
      </w:tr>
      <w:tr w:rsidR="00534F56" w:rsidRPr="00534F56" w14:paraId="248D4178" w14:textId="77777777" w:rsidTr="00116B90">
        <w:trPr>
          <w:trHeight w:val="274"/>
        </w:trPr>
        <w:tc>
          <w:tcPr>
            <w:tcW w:w="0" w:type="auto"/>
            <w:tcBorders>
              <w:left w:val="single" w:sz="4" w:space="0" w:color="000000"/>
              <w:right w:val="single" w:sz="4" w:space="0" w:color="000000"/>
            </w:tcBorders>
            <w:shd w:val="clear" w:color="auto" w:fill="auto"/>
          </w:tcPr>
          <w:p w14:paraId="0D3AEBFD" w14:textId="77777777" w:rsidR="00534F56" w:rsidRPr="00534F56" w:rsidRDefault="00534F56" w:rsidP="00B81916">
            <w:pPr>
              <w:pStyle w:val="Tabletext"/>
            </w:pPr>
            <w:r w:rsidRPr="00534F56">
              <w:t>Timing of action</w:t>
            </w:r>
          </w:p>
        </w:tc>
        <w:tc>
          <w:tcPr>
            <w:tcW w:w="0" w:type="auto"/>
            <w:tcBorders>
              <w:left w:val="single" w:sz="4" w:space="0" w:color="000000"/>
              <w:right w:val="single" w:sz="4" w:space="0" w:color="000000"/>
            </w:tcBorders>
          </w:tcPr>
          <w:p w14:paraId="287C0993" w14:textId="77777777" w:rsidR="00534F56" w:rsidRPr="00534F56" w:rsidDel="007B56D8" w:rsidRDefault="00534F56" w:rsidP="00B81916">
            <w:pPr>
              <w:pStyle w:val="Tabletext"/>
            </w:pPr>
            <w:r w:rsidRPr="00534F56">
              <w:t>EO8</w:t>
            </w:r>
          </w:p>
        </w:tc>
        <w:tc>
          <w:tcPr>
            <w:tcW w:w="0" w:type="auto"/>
            <w:tcBorders>
              <w:left w:val="single" w:sz="4" w:space="0" w:color="000000"/>
              <w:right w:val="single" w:sz="4" w:space="0" w:color="000000"/>
            </w:tcBorders>
          </w:tcPr>
          <w:p w14:paraId="39881CE0" w14:textId="77777777" w:rsidR="00534F56" w:rsidRPr="00534F56" w:rsidRDefault="00534F56" w:rsidP="00B81916">
            <w:pPr>
              <w:pStyle w:val="Tabletext"/>
            </w:pPr>
            <w:r w:rsidRPr="00534F56">
              <w:t xml:space="preserve">Q11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5C89A5D" w14:textId="77777777" w:rsidR="00534F56" w:rsidRPr="00534F56" w:rsidRDefault="00534F56" w:rsidP="00B81916">
            <w:pPr>
              <w:pStyle w:val="Tabletext"/>
            </w:pPr>
            <w:r w:rsidRPr="00534F56">
              <w:t>“Companies need to decide whether to be a first mover or follower. Both strategies present advantages and risks. First movers could anticipate and avoid some pressures, like mimetic and coercive ones, which generally require an immediate (and maybe sub-optimal) reaction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6BD6A538" w14:textId="77777777" w:rsidR="00534F56" w:rsidRPr="00534F56" w:rsidRDefault="00534F56" w:rsidP="00B81916">
            <w:pPr>
              <w:pStyle w:val="Tabletext"/>
            </w:pPr>
            <w:r w:rsidRPr="00534F56">
              <w:t>Academic AG</w:t>
            </w:r>
          </w:p>
        </w:tc>
      </w:tr>
    </w:tbl>
    <w:p w14:paraId="7C02E2EE" w14:textId="77777777" w:rsidR="00534F56" w:rsidRDefault="00534F56" w:rsidP="002F7336"/>
    <w:p w14:paraId="03DD35E8" w14:textId="792F31B3" w:rsidR="00534F56" w:rsidRPr="000F66F6" w:rsidRDefault="00EB75DF" w:rsidP="002F7336">
      <w:pPr>
        <w:pStyle w:val="Heading4Paragraph"/>
      </w:pPr>
      <w:r>
        <w:t xml:space="preserve">4.2.2 </w:t>
      </w:r>
      <w:r w:rsidR="00534F56" w:rsidRPr="000F66F6">
        <w:t>SCI – in support of the transition to the CE or in defence of linear supply chains?</w:t>
      </w:r>
    </w:p>
    <w:p w14:paraId="5869C68B" w14:textId="08AAD1BD" w:rsidR="00534F56" w:rsidRPr="008C186B" w:rsidRDefault="00534F56" w:rsidP="002F7336">
      <w:r w:rsidRPr="003114C8">
        <w:t>Regarding the influence of SCI, most of the interviewed experts (</w:t>
      </w:r>
      <w:r>
        <w:t>24</w:t>
      </w:r>
      <w:r w:rsidRPr="003114C8">
        <w:t xml:space="preserve"> out of </w:t>
      </w:r>
      <w:r>
        <w:t>30</w:t>
      </w:r>
      <w:r w:rsidRPr="003114C8">
        <w:t xml:space="preserve">) </w:t>
      </w:r>
      <w:r>
        <w:t xml:space="preserve">first </w:t>
      </w:r>
      <w:r w:rsidRPr="003114C8">
        <w:t>support</w:t>
      </w:r>
      <w:r>
        <w:t>ed</w:t>
      </w:r>
      <w:r w:rsidRPr="003114C8">
        <w:t xml:space="preserve"> its moderating role; however, SCI represents a multifaceted concept whose implications should be deeply </w:t>
      </w:r>
      <w:r w:rsidRPr="00EB3A48">
        <w:rPr>
          <w:color w:val="000000" w:themeColor="text1"/>
        </w:rPr>
        <w:t>investigated. Qualitative results provide contrasting evidence on the direction (positive-negative), the type of interaction (moderating-mediating</w:t>
      </w:r>
      <w:r w:rsidR="005A51BA">
        <w:rPr>
          <w:rStyle w:val="FootnoteReference"/>
          <w:color w:val="000000" w:themeColor="text1"/>
        </w:rPr>
        <w:footnoteReference w:id="14"/>
      </w:r>
      <w:r w:rsidRPr="00EB3A48">
        <w:rPr>
          <w:color w:val="000000" w:themeColor="text1"/>
        </w:rPr>
        <w:t xml:space="preserve">) and effect of SCI on the relationship between IPs and the adoption of CE practices, delivering a more uncertain characterisation of its role. </w:t>
      </w:r>
    </w:p>
    <w:p w14:paraId="6CF2A45A" w14:textId="77777777" w:rsidR="00534F56" w:rsidRPr="000F66F6" w:rsidRDefault="00534F56" w:rsidP="002F7336">
      <w:r w:rsidRPr="000F66F6">
        <w:t xml:space="preserve">The first idea that emerges from the interviews is that SCI is a necessary condition and a prerequisite for successful CE implementation (CC7, Table </w:t>
      </w:r>
      <w:r>
        <w:t>2</w:t>
      </w:r>
      <w:r w:rsidRPr="000F66F6">
        <w:t xml:space="preserve">). In summary, SCI activities describe the degree to which an organisation manages its supply chain to command, control, and manage the whole process. For 13 of the experts, SCI </w:t>
      </w:r>
      <w:r w:rsidRPr="000F66F6">
        <w:rPr>
          <w:i/>
        </w:rPr>
        <w:t>positively moderates</w:t>
      </w:r>
      <w:r w:rsidRPr="000F66F6">
        <w:t xml:space="preserve"> the adoption of CE practices (see quotes Q13a a</w:t>
      </w:r>
      <w:r>
        <w:t>nd b, Q14, Q15b, Q17b in Table 4</w:t>
      </w:r>
      <w:r w:rsidRPr="000F66F6">
        <w:t xml:space="preserve">). In contexts with strong </w:t>
      </w:r>
      <w:r w:rsidRPr="000F66F6">
        <w:lastRenderedPageBreak/>
        <w:t>pressures, SCI amplifies their effect and plays a role in determining how deeply CE practices are adopted. On the other hand, the absence of SCI poses serious challenges in activating operational aspects related to materi</w:t>
      </w:r>
      <w:r>
        <w:t>al exchanges (quote Q13a Table 4</w:t>
      </w:r>
      <w:r w:rsidRPr="000F66F6">
        <w:t xml:space="preserve">). Also, academic experts mentioned this point and how the lack of adequate information sharing mechanisms and systems is one of the main barriers towards CE practices. A small number of experts expressed contrasting views on the exogenous nature of SCI and argued in favour of a </w:t>
      </w:r>
      <w:r w:rsidRPr="000F66F6">
        <w:rPr>
          <w:i/>
        </w:rPr>
        <w:t>mediating</w:t>
      </w:r>
      <w:r w:rsidRPr="000F66F6">
        <w:t xml:space="preserve"> role (with IPs also drivin</w:t>
      </w:r>
      <w:r>
        <w:t>g SCI – see quote Q19 in Table 4</w:t>
      </w:r>
      <w:r w:rsidRPr="000F66F6">
        <w:t>). In line with this, content analysis unveils more evidence that SCI might have a direct relationship with IPs and have a more direct role in driving CE</w:t>
      </w:r>
      <w:r>
        <w:t xml:space="preserve"> practices itself (CC10, Table 2</w:t>
      </w:r>
      <w:r w:rsidRPr="000F66F6">
        <w:t xml:space="preserve">). Enhancing the level of SCI, as a reaction to IPs, can provide a good platform for starting transformational processes, even in multi-tier and global </w:t>
      </w:r>
      <w:r>
        <w:t>supply chains (quote Q14 Table 4</w:t>
      </w:r>
      <w:r w:rsidRPr="000F66F6">
        <w:t>). Experts cited the cases of companies which are making good progress towards the development of closed-loop supply chains due to their ability to control their production and distribution networks (e.g., Apple and Michelin as notable cases). SCI is about developing key capabilities that are then useful to drive the adoption of CE practices themselves.</w:t>
      </w:r>
    </w:p>
    <w:p w14:paraId="3397F314" w14:textId="77777777" w:rsidR="00534F56" w:rsidRPr="008C186B" w:rsidRDefault="00534F56" w:rsidP="002F7336">
      <w:pPr>
        <w:rPr>
          <w:i/>
        </w:rPr>
      </w:pPr>
      <w:r w:rsidRPr="008C186B">
        <w:t>A second idea that emerges from th</w:t>
      </w:r>
      <w:r>
        <w:t>e analysis process (CC8, Table 2</w:t>
      </w:r>
      <w:r w:rsidRPr="008C186B">
        <w:t>), confirms the beneficial role of SCI aspects, but simultaneously highlights that being integrated with key suppliers and customers might not be sufficient to enable the adoption of some CE practices. SCI was originally conceptualised for intrinsically linear supply chains; as such, it is biased towards relationships with key suppliers and key customers and towards operational aspects, with no link with reverse and circular flows of materials and associated flows information</w:t>
      </w:r>
      <w:r>
        <w:t xml:space="preserve"> (Bimpizas-Pinis et al., 2022)</w:t>
      </w:r>
      <w:r w:rsidRPr="008C186B">
        <w:t xml:space="preserve">. </w:t>
      </w:r>
      <w:r w:rsidRPr="00F946D3">
        <w:t>To them, SCI</w:t>
      </w:r>
      <w:r w:rsidRPr="00F946D3">
        <w:rPr>
          <w:i/>
        </w:rPr>
        <w:t xml:space="preserve"> could still positively moderate</w:t>
      </w:r>
      <w:r>
        <w:rPr>
          <w:i/>
        </w:rPr>
        <w:t xml:space="preserve"> (or mediate)</w:t>
      </w:r>
      <w:r w:rsidRPr="00F946D3">
        <w:t xml:space="preserve"> the effect of pressures on the adoption of just incremental CE practices (e.g., recycle, recover, renewable energy and resource efficiency). However, the effect of SCI on more radical and disruptive approaches would </w:t>
      </w:r>
      <w:r>
        <w:t>be uncertain (quote 18a, Table 4</w:t>
      </w:r>
      <w:r w:rsidRPr="00F946D3">
        <w:t>).</w:t>
      </w:r>
      <w:r w:rsidRPr="008C186B">
        <w:t xml:space="preserve"> </w:t>
      </w:r>
    </w:p>
    <w:p w14:paraId="67550CC5" w14:textId="77777777" w:rsidR="00534F56" w:rsidRPr="008C186B" w:rsidRDefault="00534F56" w:rsidP="002F7336">
      <w:r w:rsidRPr="003114C8">
        <w:t>The third</w:t>
      </w:r>
      <w:r>
        <w:t xml:space="preserve"> idea that emerged (CC9, Table 2</w:t>
      </w:r>
      <w:r w:rsidRPr="003114C8">
        <w:t xml:space="preserve">) is that, in some cases, SCI could </w:t>
      </w:r>
      <w:r w:rsidRPr="003114C8">
        <w:rPr>
          <w:i/>
        </w:rPr>
        <w:t>negatively moderate</w:t>
      </w:r>
      <w:r>
        <w:rPr>
          <w:i/>
        </w:rPr>
        <w:t xml:space="preserve"> (or mediate)</w:t>
      </w:r>
      <w:r w:rsidRPr="003114C8">
        <w:t xml:space="preserve"> the effect of pressures on the adoption of some more radical CE practices. In other words, more integrated supply chains could provide a form of lock-in into linear supply chains, being a barrier to adopt some approaches and a fully circular </w:t>
      </w:r>
      <w:r>
        <w:t>logic (see quote Q15a in Table 4</w:t>
      </w:r>
      <w:r w:rsidRPr="003114C8">
        <w:t>). Hence, SCI might strengthen linear supply chains rather than stimulating new relationships with different actors, which have an interest in disrupting business as usual.</w:t>
      </w:r>
      <w:r w:rsidRPr="008C186B">
        <w:t xml:space="preserve"> This idea describes the tension between integration and CE practices in a context of well-</w:t>
      </w:r>
      <w:r>
        <w:t>consolidated</w:t>
      </w:r>
      <w:r w:rsidRPr="008C186B">
        <w:t xml:space="preserve"> linear supply chains. Established organisations are dealing with CE practices </w:t>
      </w:r>
      <w:r w:rsidRPr="008C186B">
        <w:lastRenderedPageBreak/>
        <w:t>through a stepwise approach; however, lower dependence from suppliers might be required for the most disruptiv</w:t>
      </w:r>
      <w:r>
        <w:t>e transformations (Q17a, Table 4</w:t>
      </w:r>
      <w:r w:rsidRPr="008C186B">
        <w:t xml:space="preserve">). </w:t>
      </w:r>
    </w:p>
    <w:p w14:paraId="44D7DED9" w14:textId="77777777" w:rsidR="00534F56" w:rsidRDefault="00534F56" w:rsidP="002F7336">
      <w:r>
        <w:t xml:space="preserve">The need to be receptive to the external context is a key theme (Q9 in Table 3). Companies are aware that CE legislation could revolutionise markets and want to mitigate risks deriving from such potential changes (Q8 in Table 3). For this reason, it is necessary to adopt a learning approach from competitors and suppliers, in order to develop the most strategic partnerships and build the right knowledge. CE solutions can involve heavy initial technological investment; however, in many cases, they involve conceptual and social innovations and a different way to do things, to answer customers’ needs and secure long-term growth within a context of legitimacy. Becoming more adaptable and reactive is considered a key capability in a context of change and might also be connected with the level of SCI. </w:t>
      </w:r>
    </w:p>
    <w:p w14:paraId="08B2926A" w14:textId="77777777" w:rsidR="00534F56" w:rsidRDefault="00534F56" w:rsidP="002F7336">
      <w:pPr>
        <w:pStyle w:val="Figurecaption"/>
      </w:pPr>
      <w:r>
        <w:t>Table 4</w:t>
      </w:r>
      <w:r w:rsidRPr="001C3023">
        <w:t xml:space="preserve"> – Example of relevant interview qu</w:t>
      </w:r>
      <w:r>
        <w:t>otes – Supply Chain Integration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32"/>
        <w:gridCol w:w="622"/>
        <w:gridCol w:w="705"/>
        <w:gridCol w:w="3039"/>
        <w:gridCol w:w="1483"/>
        <w:gridCol w:w="1213"/>
      </w:tblGrid>
      <w:tr w:rsidR="00534F56" w:rsidRPr="00534F56" w14:paraId="6470C06E" w14:textId="77777777" w:rsidTr="00534F56">
        <w:trPr>
          <w:trHeight w:val="274"/>
        </w:trPr>
        <w:tc>
          <w:tcPr>
            <w:tcW w:w="852" w:type="pct"/>
            <w:tcBorders>
              <w:top w:val="single" w:sz="4" w:space="0" w:color="000000"/>
              <w:left w:val="single" w:sz="4" w:space="0" w:color="000000"/>
              <w:bottom w:val="single" w:sz="4" w:space="0" w:color="000000"/>
              <w:right w:val="single" w:sz="4" w:space="0" w:color="000000"/>
            </w:tcBorders>
            <w:shd w:val="clear" w:color="auto" w:fill="auto"/>
          </w:tcPr>
          <w:p w14:paraId="3FEC1B5A" w14:textId="77777777" w:rsidR="00534F56" w:rsidRPr="00534F56" w:rsidRDefault="00534F56" w:rsidP="00B81916">
            <w:pPr>
              <w:pStyle w:val="Tabletext"/>
            </w:pPr>
            <w:r w:rsidRPr="00534F56">
              <w:t>Supply Chain Integration aspects</w:t>
            </w:r>
          </w:p>
        </w:tc>
        <w:tc>
          <w:tcPr>
            <w:tcW w:w="375" w:type="pct"/>
            <w:tcBorders>
              <w:top w:val="single" w:sz="4" w:space="0" w:color="000000"/>
              <w:left w:val="single" w:sz="4" w:space="0" w:color="000000"/>
              <w:bottom w:val="single" w:sz="4" w:space="0" w:color="000000"/>
              <w:right w:val="single" w:sz="4" w:space="0" w:color="000000"/>
            </w:tcBorders>
          </w:tcPr>
          <w:p w14:paraId="5FE226F5" w14:textId="77777777" w:rsidR="00534F56" w:rsidRPr="00534F56" w:rsidRDefault="00534F56" w:rsidP="00B81916">
            <w:pPr>
              <w:pStyle w:val="Tabletext"/>
            </w:pPr>
            <w:r w:rsidRPr="00534F56">
              <w:t>EO (#)</w:t>
            </w:r>
          </w:p>
        </w:tc>
        <w:tc>
          <w:tcPr>
            <w:tcW w:w="395" w:type="pct"/>
            <w:tcBorders>
              <w:top w:val="single" w:sz="4" w:space="0" w:color="000000"/>
              <w:left w:val="single" w:sz="4" w:space="0" w:color="000000"/>
              <w:bottom w:val="single" w:sz="4" w:space="0" w:color="000000"/>
              <w:right w:val="single" w:sz="4" w:space="0" w:color="000000"/>
            </w:tcBorders>
          </w:tcPr>
          <w:p w14:paraId="01FD67FD" w14:textId="77777777" w:rsidR="00534F56" w:rsidRPr="00534F56" w:rsidRDefault="00534F56" w:rsidP="00B81916">
            <w:pPr>
              <w:pStyle w:val="Tabletext"/>
            </w:pPr>
            <w:r w:rsidRPr="00534F56">
              <w:t>Q (#)</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718B065C" w14:textId="77777777" w:rsidR="00534F56" w:rsidRPr="00534F56" w:rsidRDefault="00534F56" w:rsidP="00B81916">
            <w:pPr>
              <w:pStyle w:val="Tabletext"/>
            </w:pPr>
            <w:r w:rsidRPr="00534F56">
              <w:t>Quotes</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7D7FF321" w14:textId="77777777" w:rsidR="00534F56" w:rsidRPr="00534F56" w:rsidRDefault="00534F56" w:rsidP="00B81916">
            <w:pPr>
              <w:pStyle w:val="Tabletext"/>
            </w:pPr>
            <w:r w:rsidRPr="00534F56">
              <w:t>Role in institutional pressures and CE relationship</w:t>
            </w:r>
          </w:p>
        </w:tc>
        <w:tc>
          <w:tcPr>
            <w:tcW w:w="700" w:type="pct"/>
            <w:tcBorders>
              <w:top w:val="single" w:sz="4" w:space="0" w:color="000000"/>
              <w:left w:val="single" w:sz="4" w:space="0" w:color="000000"/>
              <w:bottom w:val="single" w:sz="4" w:space="0" w:color="000000"/>
              <w:right w:val="single" w:sz="4" w:space="0" w:color="000000"/>
            </w:tcBorders>
          </w:tcPr>
          <w:p w14:paraId="309F2590" w14:textId="77777777" w:rsidR="00534F56" w:rsidRPr="00534F56" w:rsidRDefault="00534F56" w:rsidP="00B81916">
            <w:pPr>
              <w:pStyle w:val="Tabletext"/>
            </w:pPr>
            <w:r w:rsidRPr="00534F56">
              <w:t>Source</w:t>
            </w:r>
          </w:p>
        </w:tc>
      </w:tr>
      <w:tr w:rsidR="00534F56" w:rsidRPr="00534F56" w14:paraId="75BAFC05" w14:textId="77777777" w:rsidTr="00534F56">
        <w:trPr>
          <w:trHeight w:val="274"/>
        </w:trPr>
        <w:tc>
          <w:tcPr>
            <w:tcW w:w="852" w:type="pct"/>
            <w:vMerge w:val="restart"/>
            <w:tcBorders>
              <w:left w:val="single" w:sz="4" w:space="0" w:color="000000"/>
              <w:right w:val="single" w:sz="4" w:space="0" w:color="000000"/>
            </w:tcBorders>
            <w:shd w:val="clear" w:color="auto" w:fill="auto"/>
          </w:tcPr>
          <w:p w14:paraId="549321DD" w14:textId="77777777" w:rsidR="00534F56" w:rsidRPr="00534F56" w:rsidRDefault="00534F56" w:rsidP="00B81916">
            <w:pPr>
              <w:pStyle w:val="Tabletext"/>
            </w:pPr>
            <w:r w:rsidRPr="00534F56">
              <w:t>Sharing information</w:t>
            </w:r>
          </w:p>
        </w:tc>
        <w:tc>
          <w:tcPr>
            <w:tcW w:w="375" w:type="pct"/>
            <w:vMerge w:val="restart"/>
            <w:tcBorders>
              <w:left w:val="single" w:sz="4" w:space="0" w:color="000000"/>
              <w:right w:val="single" w:sz="4" w:space="0" w:color="000000"/>
            </w:tcBorders>
          </w:tcPr>
          <w:p w14:paraId="2B86F653" w14:textId="77777777" w:rsidR="00534F56" w:rsidRPr="00534F56" w:rsidDel="007B56D8" w:rsidRDefault="00534F56" w:rsidP="00B81916">
            <w:pPr>
              <w:pStyle w:val="Tabletext"/>
            </w:pPr>
            <w:r w:rsidRPr="00534F56">
              <w:t>E24</w:t>
            </w:r>
          </w:p>
        </w:tc>
        <w:tc>
          <w:tcPr>
            <w:tcW w:w="395" w:type="pct"/>
            <w:tcBorders>
              <w:left w:val="single" w:sz="4" w:space="0" w:color="000000"/>
              <w:right w:val="single" w:sz="4" w:space="0" w:color="000000"/>
            </w:tcBorders>
          </w:tcPr>
          <w:p w14:paraId="73A49C3A" w14:textId="77777777" w:rsidR="00534F56" w:rsidRPr="00534F56" w:rsidRDefault="00534F56" w:rsidP="00B81916">
            <w:pPr>
              <w:pStyle w:val="Tabletext"/>
            </w:pPr>
            <w:r w:rsidRPr="00534F56">
              <w:t>Q13a</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0D0A4141" w14:textId="647CC45D" w:rsidR="00534F56" w:rsidRPr="00534F56" w:rsidRDefault="00534F56" w:rsidP="00B81916">
            <w:pPr>
              <w:pStyle w:val="Tabletext"/>
            </w:pPr>
            <w:r w:rsidRPr="00534F56">
              <w:t xml:space="preserve">“Without sharing </w:t>
            </w:r>
            <w:r w:rsidR="00F07293" w:rsidRPr="00534F56">
              <w:t>information,</w:t>
            </w:r>
            <w:r w:rsidRPr="00534F56">
              <w:t xml:space="preserve"> it is impossible to adopt certain emission reduction or circular economy practices. Lack of information sharing is the first barrier.” </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5D76088B"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1432A39A" w14:textId="77777777" w:rsidR="00534F56" w:rsidRPr="00534F56" w:rsidRDefault="00534F56" w:rsidP="00B81916">
            <w:pPr>
              <w:pStyle w:val="Tabletext"/>
            </w:pPr>
            <w:r w:rsidRPr="00534F56">
              <w:t>Practitioner PH</w:t>
            </w:r>
          </w:p>
        </w:tc>
      </w:tr>
      <w:tr w:rsidR="00534F56" w:rsidRPr="00534F56" w14:paraId="3EAA6754" w14:textId="77777777" w:rsidTr="00534F56">
        <w:trPr>
          <w:trHeight w:val="274"/>
        </w:trPr>
        <w:tc>
          <w:tcPr>
            <w:tcW w:w="852" w:type="pct"/>
            <w:vMerge/>
            <w:tcBorders>
              <w:left w:val="single" w:sz="4" w:space="0" w:color="000000"/>
              <w:right w:val="single" w:sz="4" w:space="0" w:color="000000"/>
            </w:tcBorders>
            <w:shd w:val="clear" w:color="auto" w:fill="auto"/>
          </w:tcPr>
          <w:p w14:paraId="21634B0C" w14:textId="77777777" w:rsidR="00534F56" w:rsidRPr="00534F56" w:rsidRDefault="00534F56" w:rsidP="00B81916">
            <w:pPr>
              <w:pStyle w:val="Tabletext"/>
            </w:pPr>
          </w:p>
        </w:tc>
        <w:tc>
          <w:tcPr>
            <w:tcW w:w="375" w:type="pct"/>
            <w:vMerge/>
            <w:tcBorders>
              <w:left w:val="single" w:sz="4" w:space="0" w:color="000000"/>
              <w:right w:val="single" w:sz="4" w:space="0" w:color="000000"/>
            </w:tcBorders>
          </w:tcPr>
          <w:p w14:paraId="7942CF51" w14:textId="77777777" w:rsidR="00534F56" w:rsidRPr="00534F56" w:rsidRDefault="00534F56" w:rsidP="00B81916">
            <w:pPr>
              <w:pStyle w:val="Tabletext"/>
            </w:pPr>
          </w:p>
        </w:tc>
        <w:tc>
          <w:tcPr>
            <w:tcW w:w="395" w:type="pct"/>
            <w:tcBorders>
              <w:left w:val="single" w:sz="4" w:space="0" w:color="000000"/>
              <w:right w:val="single" w:sz="4" w:space="0" w:color="000000"/>
            </w:tcBorders>
          </w:tcPr>
          <w:p w14:paraId="13184CF7" w14:textId="77777777" w:rsidR="00534F56" w:rsidRPr="00534F56" w:rsidDel="007B56D8" w:rsidRDefault="00534F56" w:rsidP="00B81916">
            <w:pPr>
              <w:pStyle w:val="Tabletext"/>
            </w:pPr>
            <w:r w:rsidRPr="00534F56">
              <w:t>Q13b</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264D60FF" w14:textId="77777777" w:rsidR="00534F56" w:rsidRPr="00534F56" w:rsidRDefault="00534F56" w:rsidP="00B81916">
            <w:pPr>
              <w:pStyle w:val="Tabletext"/>
            </w:pPr>
            <w:r w:rsidRPr="00534F56">
              <w:t xml:space="preserve">“The complexity in the supply chain is a barrier to the implementation of the policies (e.g. </w:t>
            </w:r>
          </w:p>
          <w:p w14:paraId="018ED222" w14:textId="77777777" w:rsidR="00534F56" w:rsidRPr="00534F56" w:rsidRDefault="00534F56" w:rsidP="00B81916">
            <w:pPr>
              <w:pStyle w:val="Tabletext"/>
            </w:pPr>
            <w:r w:rsidRPr="00534F56">
              <w:t>REACH directive on chemical, ROAS directive on hazardous substances etc.). It is very difficult for firms to comply with them on one side and on the other side to demonstrate and have a clear picture if they are complying with them”</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5F201E5E"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6E39E8F1" w14:textId="77777777" w:rsidR="00534F56" w:rsidRPr="00534F56" w:rsidRDefault="00534F56" w:rsidP="00B81916">
            <w:pPr>
              <w:pStyle w:val="Tabletext"/>
            </w:pPr>
            <w:r w:rsidRPr="00534F56">
              <w:t>Academic AM</w:t>
            </w:r>
          </w:p>
        </w:tc>
      </w:tr>
      <w:tr w:rsidR="00534F56" w:rsidRPr="00534F56" w14:paraId="051A44A1" w14:textId="77777777" w:rsidTr="00534F56">
        <w:trPr>
          <w:trHeight w:val="274"/>
        </w:trPr>
        <w:tc>
          <w:tcPr>
            <w:tcW w:w="852" w:type="pct"/>
            <w:vMerge w:val="restart"/>
            <w:tcBorders>
              <w:left w:val="single" w:sz="4" w:space="0" w:color="000000"/>
              <w:right w:val="single" w:sz="4" w:space="0" w:color="000000"/>
            </w:tcBorders>
            <w:shd w:val="clear" w:color="auto" w:fill="auto"/>
          </w:tcPr>
          <w:p w14:paraId="2A4ACC12" w14:textId="77777777" w:rsidR="00534F56" w:rsidRPr="00534F56" w:rsidRDefault="00534F56" w:rsidP="00B81916">
            <w:pPr>
              <w:pStyle w:val="Tabletext"/>
            </w:pPr>
            <w:r w:rsidRPr="00534F56">
              <w:t>System coupling</w:t>
            </w:r>
          </w:p>
        </w:tc>
        <w:tc>
          <w:tcPr>
            <w:tcW w:w="375" w:type="pct"/>
            <w:vMerge w:val="restart"/>
            <w:tcBorders>
              <w:left w:val="single" w:sz="4" w:space="0" w:color="000000"/>
              <w:right w:val="single" w:sz="4" w:space="0" w:color="000000"/>
            </w:tcBorders>
          </w:tcPr>
          <w:p w14:paraId="12839E1E" w14:textId="77777777" w:rsidR="00534F56" w:rsidRPr="00534F56" w:rsidDel="007B56D8" w:rsidRDefault="00534F56" w:rsidP="00B81916">
            <w:pPr>
              <w:pStyle w:val="Tabletext"/>
            </w:pPr>
            <w:r w:rsidRPr="00534F56">
              <w:t>E31</w:t>
            </w:r>
          </w:p>
        </w:tc>
        <w:tc>
          <w:tcPr>
            <w:tcW w:w="395" w:type="pct"/>
            <w:tcBorders>
              <w:left w:val="single" w:sz="4" w:space="0" w:color="000000"/>
              <w:right w:val="single" w:sz="4" w:space="0" w:color="000000"/>
            </w:tcBorders>
          </w:tcPr>
          <w:p w14:paraId="5E5594A0" w14:textId="77777777" w:rsidR="00534F56" w:rsidRPr="00534F56" w:rsidDel="007B56D8" w:rsidRDefault="00534F56" w:rsidP="00B81916">
            <w:pPr>
              <w:pStyle w:val="Tabletext"/>
            </w:pPr>
            <w:r w:rsidRPr="00534F56">
              <w:t>Q18a</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1433B304" w14:textId="77777777" w:rsidR="00534F56" w:rsidRPr="00534F56" w:rsidRDefault="00534F56" w:rsidP="00B81916">
            <w:pPr>
              <w:pStyle w:val="Tabletext"/>
            </w:pPr>
            <w:r w:rsidRPr="00534F56">
              <w:t>“Reusing materials in the supply chain requires visibility at all supply chain stages. Digitalising information can be useful for guaranteeing that the material/products will be recovered”</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1E6761B8"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7F1C8B55" w14:textId="77777777" w:rsidR="00534F56" w:rsidRPr="00534F56" w:rsidRDefault="00534F56" w:rsidP="00B81916">
            <w:pPr>
              <w:pStyle w:val="Tabletext"/>
            </w:pPr>
            <w:r w:rsidRPr="00534F56">
              <w:t>Practitioner PN</w:t>
            </w:r>
          </w:p>
        </w:tc>
      </w:tr>
      <w:tr w:rsidR="00534F56" w:rsidRPr="00534F56" w14:paraId="2D315785" w14:textId="77777777" w:rsidTr="00534F56">
        <w:trPr>
          <w:trHeight w:val="274"/>
        </w:trPr>
        <w:tc>
          <w:tcPr>
            <w:tcW w:w="852" w:type="pct"/>
            <w:vMerge/>
            <w:tcBorders>
              <w:left w:val="single" w:sz="4" w:space="0" w:color="000000"/>
              <w:right w:val="single" w:sz="4" w:space="0" w:color="000000"/>
            </w:tcBorders>
            <w:shd w:val="clear" w:color="auto" w:fill="auto"/>
          </w:tcPr>
          <w:p w14:paraId="5BC774A2" w14:textId="77777777" w:rsidR="00534F56" w:rsidRPr="00534F56" w:rsidRDefault="00534F56" w:rsidP="00B81916">
            <w:pPr>
              <w:pStyle w:val="Tabletext"/>
            </w:pPr>
          </w:p>
        </w:tc>
        <w:tc>
          <w:tcPr>
            <w:tcW w:w="375" w:type="pct"/>
            <w:vMerge/>
            <w:tcBorders>
              <w:left w:val="single" w:sz="4" w:space="0" w:color="000000"/>
              <w:right w:val="single" w:sz="4" w:space="0" w:color="000000"/>
            </w:tcBorders>
          </w:tcPr>
          <w:p w14:paraId="0DD241C6" w14:textId="77777777" w:rsidR="00534F56" w:rsidRPr="00534F56" w:rsidRDefault="00534F56" w:rsidP="00B81916">
            <w:pPr>
              <w:pStyle w:val="Tabletext"/>
            </w:pPr>
          </w:p>
        </w:tc>
        <w:tc>
          <w:tcPr>
            <w:tcW w:w="395" w:type="pct"/>
            <w:tcBorders>
              <w:left w:val="single" w:sz="4" w:space="0" w:color="000000"/>
              <w:right w:val="single" w:sz="4" w:space="0" w:color="000000"/>
            </w:tcBorders>
          </w:tcPr>
          <w:p w14:paraId="5631F104" w14:textId="77777777" w:rsidR="00534F56" w:rsidRPr="00534F56" w:rsidDel="007B56D8" w:rsidRDefault="00534F56" w:rsidP="00B81916">
            <w:pPr>
              <w:pStyle w:val="Tabletext"/>
            </w:pPr>
            <w:r w:rsidRPr="00534F56">
              <w:t>Q18b</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54F8071C" w14:textId="77777777" w:rsidR="00534F56" w:rsidRPr="00534F56" w:rsidRDefault="00534F56" w:rsidP="00B81916">
            <w:pPr>
              <w:pStyle w:val="Tabletext"/>
            </w:pPr>
            <w:r w:rsidRPr="00534F56">
              <w:t xml:space="preserve">“The role of digitalisation and new technologies is extremely important. </w:t>
            </w:r>
            <w:proofErr w:type="spellStart"/>
            <w:r w:rsidRPr="00534F56">
              <w:t>Blockchain</w:t>
            </w:r>
            <w:proofErr w:type="spellEnd"/>
            <w:r w:rsidRPr="00534F56">
              <w:t xml:space="preserve"> technology for example will bring great advantages to firms that want to implement CE practices in their supply chains”</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4A35A326"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06C0CAD1" w14:textId="77777777" w:rsidR="00534F56" w:rsidRPr="00534F56" w:rsidRDefault="00534F56" w:rsidP="00B81916">
            <w:pPr>
              <w:pStyle w:val="Tabletext"/>
            </w:pPr>
            <w:r w:rsidRPr="00534F56">
              <w:t>Academic AD</w:t>
            </w:r>
          </w:p>
        </w:tc>
      </w:tr>
      <w:tr w:rsidR="00534F56" w:rsidRPr="00534F56" w14:paraId="576B3E3B" w14:textId="77777777" w:rsidTr="00534F56">
        <w:trPr>
          <w:trHeight w:val="274"/>
        </w:trPr>
        <w:tc>
          <w:tcPr>
            <w:tcW w:w="852" w:type="pct"/>
            <w:vMerge w:val="restart"/>
            <w:tcBorders>
              <w:top w:val="single" w:sz="4" w:space="0" w:color="000000"/>
              <w:left w:val="single" w:sz="4" w:space="0" w:color="000000"/>
              <w:right w:val="single" w:sz="4" w:space="0" w:color="000000"/>
            </w:tcBorders>
            <w:shd w:val="clear" w:color="auto" w:fill="auto"/>
          </w:tcPr>
          <w:p w14:paraId="58F74781" w14:textId="77777777" w:rsidR="00534F56" w:rsidRPr="00534F56" w:rsidRDefault="00534F56" w:rsidP="00B81916">
            <w:pPr>
              <w:pStyle w:val="Tabletext"/>
            </w:pPr>
            <w:r w:rsidRPr="00534F56">
              <w:t>Joint decision making</w:t>
            </w:r>
          </w:p>
        </w:tc>
        <w:tc>
          <w:tcPr>
            <w:tcW w:w="375" w:type="pct"/>
            <w:tcBorders>
              <w:top w:val="single" w:sz="4" w:space="0" w:color="000000"/>
              <w:left w:val="single" w:sz="4" w:space="0" w:color="000000"/>
              <w:right w:val="single" w:sz="4" w:space="0" w:color="000000"/>
            </w:tcBorders>
          </w:tcPr>
          <w:p w14:paraId="217F16ED" w14:textId="77777777" w:rsidR="00534F56" w:rsidRPr="00534F56" w:rsidDel="007B56D8" w:rsidRDefault="00534F56" w:rsidP="00B81916">
            <w:pPr>
              <w:pStyle w:val="Tabletext"/>
            </w:pPr>
            <w:r w:rsidRPr="00534F56">
              <w:t>E25</w:t>
            </w:r>
          </w:p>
        </w:tc>
        <w:tc>
          <w:tcPr>
            <w:tcW w:w="395" w:type="pct"/>
            <w:tcBorders>
              <w:top w:val="single" w:sz="4" w:space="0" w:color="000000"/>
              <w:left w:val="single" w:sz="4" w:space="0" w:color="000000"/>
              <w:right w:val="single" w:sz="4" w:space="0" w:color="000000"/>
            </w:tcBorders>
          </w:tcPr>
          <w:p w14:paraId="239F4DA1" w14:textId="77777777" w:rsidR="00534F56" w:rsidRPr="00534F56" w:rsidRDefault="00534F56" w:rsidP="00B81916">
            <w:pPr>
              <w:pStyle w:val="Tabletext"/>
            </w:pPr>
            <w:r w:rsidRPr="00534F56">
              <w:t>Q14</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3171D090" w14:textId="77777777" w:rsidR="00534F56" w:rsidRPr="00534F56" w:rsidRDefault="00534F56" w:rsidP="00B81916">
            <w:pPr>
              <w:pStyle w:val="Tabletext"/>
            </w:pPr>
            <w:r w:rsidRPr="00534F56">
              <w:t>“Taking decisions jointly with partners creates a shared responsibility adoption and make it easier to move towards a CE”</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765AEB31"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18FDB090" w14:textId="77777777" w:rsidR="00534F56" w:rsidRPr="00534F56" w:rsidRDefault="00534F56" w:rsidP="00B81916">
            <w:pPr>
              <w:pStyle w:val="Tabletext"/>
              <w:rPr>
                <w:i/>
              </w:rPr>
            </w:pPr>
            <w:r w:rsidRPr="00534F56">
              <w:t>Academic AI</w:t>
            </w:r>
          </w:p>
        </w:tc>
      </w:tr>
      <w:tr w:rsidR="00534F56" w:rsidRPr="00534F56" w14:paraId="12372E5E" w14:textId="77777777" w:rsidTr="00534F56">
        <w:trPr>
          <w:trHeight w:val="274"/>
        </w:trPr>
        <w:tc>
          <w:tcPr>
            <w:tcW w:w="852" w:type="pct"/>
            <w:vMerge/>
            <w:tcBorders>
              <w:left w:val="single" w:sz="4" w:space="0" w:color="000000"/>
              <w:right w:val="single" w:sz="4" w:space="0" w:color="000000"/>
            </w:tcBorders>
            <w:shd w:val="clear" w:color="auto" w:fill="auto"/>
          </w:tcPr>
          <w:p w14:paraId="483F46EF" w14:textId="77777777" w:rsidR="00534F56" w:rsidRPr="00534F56" w:rsidRDefault="00534F56" w:rsidP="00B81916">
            <w:pPr>
              <w:pStyle w:val="Tabletext"/>
            </w:pPr>
          </w:p>
        </w:tc>
        <w:tc>
          <w:tcPr>
            <w:tcW w:w="375" w:type="pct"/>
            <w:tcBorders>
              <w:left w:val="single" w:sz="4" w:space="0" w:color="000000"/>
              <w:right w:val="single" w:sz="4" w:space="0" w:color="000000"/>
            </w:tcBorders>
          </w:tcPr>
          <w:p w14:paraId="3E910F13" w14:textId="77777777" w:rsidR="00534F56" w:rsidRPr="00534F56" w:rsidDel="007B56D8" w:rsidRDefault="00534F56" w:rsidP="00B81916">
            <w:pPr>
              <w:pStyle w:val="Tabletext"/>
            </w:pPr>
            <w:r w:rsidRPr="00534F56">
              <w:t>E34</w:t>
            </w:r>
          </w:p>
        </w:tc>
        <w:tc>
          <w:tcPr>
            <w:tcW w:w="395" w:type="pct"/>
            <w:tcBorders>
              <w:left w:val="single" w:sz="4" w:space="0" w:color="000000"/>
              <w:bottom w:val="single" w:sz="4" w:space="0" w:color="000000"/>
              <w:right w:val="single" w:sz="4" w:space="0" w:color="000000"/>
            </w:tcBorders>
          </w:tcPr>
          <w:p w14:paraId="5DFC13FB" w14:textId="77777777" w:rsidR="00534F56" w:rsidRPr="00534F56" w:rsidRDefault="00534F56" w:rsidP="00B81916">
            <w:pPr>
              <w:pStyle w:val="Tabletext"/>
            </w:pPr>
            <w:r w:rsidRPr="00534F56">
              <w:t>Q15a</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2A977A59" w14:textId="77777777" w:rsidR="00534F56" w:rsidRPr="00534F56" w:rsidRDefault="00534F56" w:rsidP="00B81916">
            <w:pPr>
              <w:pStyle w:val="Tabletext"/>
            </w:pPr>
            <w:r w:rsidRPr="00534F56">
              <w:t>“Linear supply chains that take decisions together could build cartels and resist to change”</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103D6CF8" w14:textId="77777777" w:rsidR="00534F56" w:rsidRPr="00534F56" w:rsidRDefault="00534F56" w:rsidP="00B81916">
            <w:pPr>
              <w:pStyle w:val="Tabletext"/>
            </w:pPr>
            <w:r w:rsidRPr="00534F56">
              <w:t>Negative</w:t>
            </w:r>
          </w:p>
        </w:tc>
        <w:tc>
          <w:tcPr>
            <w:tcW w:w="700" w:type="pct"/>
            <w:tcBorders>
              <w:top w:val="single" w:sz="4" w:space="0" w:color="000000"/>
              <w:left w:val="single" w:sz="4" w:space="0" w:color="000000"/>
              <w:bottom w:val="single" w:sz="4" w:space="0" w:color="000000"/>
              <w:right w:val="single" w:sz="4" w:space="0" w:color="000000"/>
            </w:tcBorders>
          </w:tcPr>
          <w:p w14:paraId="1F8A2842" w14:textId="77777777" w:rsidR="00534F56" w:rsidRPr="00534F56" w:rsidRDefault="00534F56" w:rsidP="00B81916">
            <w:pPr>
              <w:pStyle w:val="Tabletext"/>
              <w:rPr>
                <w:i/>
              </w:rPr>
            </w:pPr>
            <w:r w:rsidRPr="00534F56">
              <w:t>Practitioner PD</w:t>
            </w:r>
          </w:p>
        </w:tc>
      </w:tr>
      <w:tr w:rsidR="00534F56" w:rsidRPr="00534F56" w14:paraId="0259F9A0" w14:textId="77777777" w:rsidTr="00534F56">
        <w:trPr>
          <w:trHeight w:val="274"/>
        </w:trPr>
        <w:tc>
          <w:tcPr>
            <w:tcW w:w="852" w:type="pct"/>
            <w:vMerge/>
            <w:tcBorders>
              <w:left w:val="single" w:sz="4" w:space="0" w:color="000000"/>
              <w:right w:val="single" w:sz="4" w:space="0" w:color="000000"/>
            </w:tcBorders>
            <w:shd w:val="clear" w:color="auto" w:fill="auto"/>
          </w:tcPr>
          <w:p w14:paraId="69FA7D13" w14:textId="77777777" w:rsidR="00534F56" w:rsidRPr="00534F56" w:rsidRDefault="00534F56" w:rsidP="00B81916">
            <w:pPr>
              <w:pStyle w:val="Tabletext"/>
            </w:pPr>
          </w:p>
        </w:tc>
        <w:tc>
          <w:tcPr>
            <w:tcW w:w="375" w:type="pct"/>
            <w:tcBorders>
              <w:left w:val="single" w:sz="4" w:space="0" w:color="000000"/>
              <w:right w:val="single" w:sz="4" w:space="0" w:color="000000"/>
            </w:tcBorders>
          </w:tcPr>
          <w:p w14:paraId="499D3332" w14:textId="77777777" w:rsidR="00534F56" w:rsidRPr="00534F56" w:rsidRDefault="00534F56" w:rsidP="00B81916">
            <w:pPr>
              <w:pStyle w:val="Tabletext"/>
            </w:pPr>
            <w:r w:rsidRPr="00534F56">
              <w:t>E29</w:t>
            </w:r>
          </w:p>
        </w:tc>
        <w:tc>
          <w:tcPr>
            <w:tcW w:w="395" w:type="pct"/>
            <w:tcBorders>
              <w:left w:val="single" w:sz="4" w:space="0" w:color="000000"/>
              <w:bottom w:val="single" w:sz="4" w:space="0" w:color="000000"/>
              <w:right w:val="single" w:sz="4" w:space="0" w:color="000000"/>
            </w:tcBorders>
          </w:tcPr>
          <w:p w14:paraId="2EC1D138" w14:textId="77777777" w:rsidR="00534F56" w:rsidRPr="00534F56" w:rsidDel="007B56D8" w:rsidRDefault="00534F56" w:rsidP="00B81916">
            <w:pPr>
              <w:pStyle w:val="Tabletext"/>
            </w:pPr>
            <w:r w:rsidRPr="00534F56">
              <w:t>Q15b</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5C8412D4" w14:textId="77777777" w:rsidR="00534F56" w:rsidRPr="00534F56" w:rsidRDefault="00534F56" w:rsidP="00B81916">
            <w:pPr>
              <w:pStyle w:val="Tabletext"/>
            </w:pPr>
            <w:r w:rsidRPr="00534F56">
              <w:t>“Greater collaboration on improving processes and developing new products can help winning the resistance to change of some actors in the supply chain”</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51D345C7"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3128B950" w14:textId="77777777" w:rsidR="00534F56" w:rsidRPr="00534F56" w:rsidRDefault="00534F56" w:rsidP="00B81916">
            <w:pPr>
              <w:pStyle w:val="Tabletext"/>
            </w:pPr>
          </w:p>
        </w:tc>
      </w:tr>
      <w:tr w:rsidR="00534F56" w:rsidRPr="00534F56" w14:paraId="32BD359A" w14:textId="77777777" w:rsidTr="00534F56">
        <w:trPr>
          <w:trHeight w:val="274"/>
        </w:trPr>
        <w:tc>
          <w:tcPr>
            <w:tcW w:w="852" w:type="pct"/>
            <w:vMerge w:val="restart"/>
            <w:tcBorders>
              <w:top w:val="single" w:sz="4" w:space="0" w:color="000000"/>
              <w:left w:val="single" w:sz="4" w:space="0" w:color="000000"/>
              <w:right w:val="single" w:sz="4" w:space="0" w:color="000000"/>
            </w:tcBorders>
            <w:shd w:val="clear" w:color="auto" w:fill="auto"/>
          </w:tcPr>
          <w:p w14:paraId="50CA0E25" w14:textId="77777777" w:rsidR="00534F56" w:rsidRPr="00534F56" w:rsidRDefault="00534F56" w:rsidP="00B81916">
            <w:pPr>
              <w:pStyle w:val="Tabletext"/>
            </w:pPr>
            <w:r w:rsidRPr="00534F56">
              <w:t>Collaborative approaches</w:t>
            </w:r>
          </w:p>
        </w:tc>
        <w:tc>
          <w:tcPr>
            <w:tcW w:w="375" w:type="pct"/>
            <w:tcBorders>
              <w:top w:val="single" w:sz="4" w:space="0" w:color="000000"/>
              <w:left w:val="single" w:sz="4" w:space="0" w:color="000000"/>
              <w:right w:val="single" w:sz="4" w:space="0" w:color="000000"/>
            </w:tcBorders>
          </w:tcPr>
          <w:p w14:paraId="728D82EC" w14:textId="77777777" w:rsidR="00534F56" w:rsidRPr="00534F56" w:rsidDel="007B56D8" w:rsidRDefault="00534F56" w:rsidP="00B81916">
            <w:pPr>
              <w:pStyle w:val="Tabletext"/>
            </w:pPr>
            <w:r w:rsidRPr="00534F56">
              <w:t>E32</w:t>
            </w:r>
          </w:p>
        </w:tc>
        <w:tc>
          <w:tcPr>
            <w:tcW w:w="395" w:type="pct"/>
            <w:tcBorders>
              <w:top w:val="single" w:sz="4" w:space="0" w:color="000000"/>
              <w:left w:val="single" w:sz="4" w:space="0" w:color="000000"/>
              <w:right w:val="single" w:sz="4" w:space="0" w:color="000000"/>
            </w:tcBorders>
          </w:tcPr>
          <w:p w14:paraId="39E494A4" w14:textId="77777777" w:rsidR="00534F56" w:rsidRPr="00534F56" w:rsidRDefault="00534F56" w:rsidP="00B81916">
            <w:pPr>
              <w:pStyle w:val="Tabletext"/>
            </w:pPr>
            <w:r w:rsidRPr="00534F56">
              <w:t>Q16</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112729A1" w14:textId="77777777" w:rsidR="00534F56" w:rsidRPr="00534F56" w:rsidRDefault="00534F56" w:rsidP="00B81916">
            <w:pPr>
              <w:pStyle w:val="Tabletext"/>
            </w:pPr>
            <w:r w:rsidRPr="00534F56">
              <w:t>“Developing collaborative approaches is very important - CE model implies you have to create partnerships. Chemical companies are becoming partners with batteries users – to get those batteries back before the end of life with the recycler. Then you start to close the loop”</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2674B4FF"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66505441" w14:textId="77777777" w:rsidR="00534F56" w:rsidRPr="00534F56" w:rsidRDefault="00534F56" w:rsidP="00B81916">
            <w:pPr>
              <w:pStyle w:val="Tabletext"/>
              <w:rPr>
                <w:i/>
              </w:rPr>
            </w:pPr>
            <w:r w:rsidRPr="00534F56">
              <w:t>Practitioner PA</w:t>
            </w:r>
          </w:p>
        </w:tc>
      </w:tr>
      <w:tr w:rsidR="00534F56" w:rsidRPr="00534F56" w14:paraId="341C2FD2" w14:textId="77777777" w:rsidTr="00534F56">
        <w:trPr>
          <w:trHeight w:val="274"/>
        </w:trPr>
        <w:tc>
          <w:tcPr>
            <w:tcW w:w="852" w:type="pct"/>
            <w:vMerge/>
            <w:tcBorders>
              <w:left w:val="single" w:sz="4" w:space="0" w:color="000000"/>
              <w:right w:val="single" w:sz="4" w:space="0" w:color="000000"/>
            </w:tcBorders>
            <w:shd w:val="clear" w:color="auto" w:fill="auto"/>
          </w:tcPr>
          <w:p w14:paraId="1FBE35AE" w14:textId="77777777" w:rsidR="00534F56" w:rsidRPr="00534F56" w:rsidRDefault="00534F56" w:rsidP="00B81916">
            <w:pPr>
              <w:pStyle w:val="Tabletext"/>
            </w:pPr>
          </w:p>
        </w:tc>
        <w:tc>
          <w:tcPr>
            <w:tcW w:w="375" w:type="pct"/>
            <w:vMerge w:val="restart"/>
            <w:tcBorders>
              <w:top w:val="single" w:sz="4" w:space="0" w:color="000000"/>
              <w:left w:val="single" w:sz="4" w:space="0" w:color="000000"/>
              <w:right w:val="single" w:sz="4" w:space="0" w:color="000000"/>
            </w:tcBorders>
          </w:tcPr>
          <w:p w14:paraId="5F1E1ACB" w14:textId="77777777" w:rsidR="00534F56" w:rsidRPr="00534F56" w:rsidRDefault="00534F56" w:rsidP="00B81916">
            <w:pPr>
              <w:pStyle w:val="Tabletext"/>
            </w:pPr>
            <w:r w:rsidRPr="00534F56">
              <w:t>E35</w:t>
            </w:r>
          </w:p>
          <w:p w14:paraId="20F6BBA2" w14:textId="77777777" w:rsidR="00534F56" w:rsidRPr="00534F56" w:rsidDel="007B56D8" w:rsidRDefault="00534F56" w:rsidP="00B81916">
            <w:pPr>
              <w:pStyle w:val="Tabletext"/>
            </w:pPr>
          </w:p>
        </w:tc>
        <w:tc>
          <w:tcPr>
            <w:tcW w:w="395" w:type="pct"/>
            <w:tcBorders>
              <w:top w:val="single" w:sz="4" w:space="0" w:color="000000"/>
              <w:left w:val="single" w:sz="4" w:space="0" w:color="000000"/>
              <w:right w:val="single" w:sz="4" w:space="0" w:color="000000"/>
            </w:tcBorders>
          </w:tcPr>
          <w:p w14:paraId="3489002E" w14:textId="77777777" w:rsidR="00534F56" w:rsidRPr="00534F56" w:rsidRDefault="00534F56" w:rsidP="00B81916">
            <w:pPr>
              <w:pStyle w:val="Tabletext"/>
            </w:pPr>
            <w:r w:rsidRPr="00534F56">
              <w:t>Q17a</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06D8C5BF" w14:textId="77777777" w:rsidR="00534F56" w:rsidRPr="00534F56" w:rsidRDefault="00534F56" w:rsidP="00B81916">
            <w:pPr>
              <w:pStyle w:val="Tabletext"/>
            </w:pPr>
            <w:r w:rsidRPr="00534F56">
              <w:t>“The more you collaborate and have aligned incentives with existing suppliers and customers mainly focusing on the forward supply chain, the more difficult it will be to activate new processes, adopt CE practices and challenge your linear business model.”</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4526EC7B" w14:textId="77777777" w:rsidR="00534F56" w:rsidRPr="00534F56" w:rsidRDefault="00534F56" w:rsidP="00B81916">
            <w:pPr>
              <w:pStyle w:val="Tabletext"/>
            </w:pPr>
            <w:r w:rsidRPr="00534F56">
              <w:t>Negative</w:t>
            </w:r>
          </w:p>
        </w:tc>
        <w:tc>
          <w:tcPr>
            <w:tcW w:w="700" w:type="pct"/>
            <w:tcBorders>
              <w:top w:val="single" w:sz="4" w:space="0" w:color="000000"/>
              <w:left w:val="single" w:sz="4" w:space="0" w:color="000000"/>
              <w:bottom w:val="single" w:sz="4" w:space="0" w:color="000000"/>
              <w:right w:val="single" w:sz="4" w:space="0" w:color="000000"/>
            </w:tcBorders>
          </w:tcPr>
          <w:p w14:paraId="014AF817" w14:textId="77777777" w:rsidR="00534F56" w:rsidRPr="00534F56" w:rsidRDefault="00534F56" w:rsidP="00B81916">
            <w:pPr>
              <w:pStyle w:val="Tabletext"/>
              <w:rPr>
                <w:i/>
              </w:rPr>
            </w:pPr>
            <w:r w:rsidRPr="00534F56">
              <w:t>Practitioner PD</w:t>
            </w:r>
          </w:p>
        </w:tc>
      </w:tr>
      <w:tr w:rsidR="00534F56" w:rsidRPr="00534F56" w14:paraId="5EACA679" w14:textId="77777777" w:rsidTr="00534F56">
        <w:trPr>
          <w:trHeight w:val="274"/>
        </w:trPr>
        <w:tc>
          <w:tcPr>
            <w:tcW w:w="852" w:type="pct"/>
            <w:vMerge/>
            <w:tcBorders>
              <w:left w:val="single" w:sz="4" w:space="0" w:color="000000"/>
              <w:right w:val="single" w:sz="4" w:space="0" w:color="000000"/>
            </w:tcBorders>
            <w:shd w:val="clear" w:color="auto" w:fill="auto"/>
          </w:tcPr>
          <w:p w14:paraId="38635E3D" w14:textId="77777777" w:rsidR="00534F56" w:rsidRPr="00534F56" w:rsidRDefault="00534F56" w:rsidP="00B81916">
            <w:pPr>
              <w:pStyle w:val="Tabletext"/>
            </w:pPr>
          </w:p>
        </w:tc>
        <w:tc>
          <w:tcPr>
            <w:tcW w:w="375" w:type="pct"/>
            <w:vMerge/>
            <w:tcBorders>
              <w:left w:val="single" w:sz="4" w:space="0" w:color="000000"/>
              <w:right w:val="single" w:sz="4" w:space="0" w:color="000000"/>
            </w:tcBorders>
          </w:tcPr>
          <w:p w14:paraId="57230C0F" w14:textId="77777777" w:rsidR="00534F56" w:rsidRPr="00534F56" w:rsidDel="007B56D8" w:rsidRDefault="00534F56" w:rsidP="00B81916">
            <w:pPr>
              <w:pStyle w:val="Tabletext"/>
            </w:pPr>
          </w:p>
        </w:tc>
        <w:tc>
          <w:tcPr>
            <w:tcW w:w="395" w:type="pct"/>
            <w:tcBorders>
              <w:top w:val="single" w:sz="4" w:space="0" w:color="000000"/>
              <w:left w:val="single" w:sz="4" w:space="0" w:color="000000"/>
              <w:right w:val="single" w:sz="4" w:space="0" w:color="000000"/>
            </w:tcBorders>
          </w:tcPr>
          <w:p w14:paraId="76927EF3" w14:textId="77777777" w:rsidR="00534F56" w:rsidRPr="00534F56" w:rsidDel="007B56D8" w:rsidRDefault="00534F56" w:rsidP="00B81916">
            <w:pPr>
              <w:pStyle w:val="Tabletext"/>
            </w:pPr>
            <w:r w:rsidRPr="00534F56">
              <w:t>Q17b</w:t>
            </w: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6D1D38DF" w14:textId="2E566799" w:rsidR="00534F56" w:rsidRPr="00534F56" w:rsidRDefault="00534F56" w:rsidP="00B81916">
            <w:pPr>
              <w:pStyle w:val="Tabletext"/>
            </w:pPr>
            <w:r w:rsidRPr="00534F56">
              <w:t xml:space="preserve">“Long-term partnership with suppliers </w:t>
            </w:r>
            <w:r w:rsidR="00F07293" w:rsidRPr="00534F56">
              <w:t>supports</w:t>
            </w:r>
            <w:r w:rsidRPr="00534F56">
              <w:t xml:space="preserve"> you in making sure your green practices are spread and bring a tangible improvement to your impact on the environment”</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151BA1F3"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6020A025" w14:textId="77777777" w:rsidR="00534F56" w:rsidRPr="00534F56" w:rsidRDefault="00534F56" w:rsidP="00B81916">
            <w:pPr>
              <w:pStyle w:val="Tabletext"/>
            </w:pPr>
            <w:r w:rsidRPr="00534F56">
              <w:t>Academic AA</w:t>
            </w:r>
          </w:p>
        </w:tc>
      </w:tr>
      <w:tr w:rsidR="00534F56" w:rsidRPr="00534F56" w14:paraId="3FC8FF25" w14:textId="77777777" w:rsidTr="00534F56">
        <w:trPr>
          <w:trHeight w:val="274"/>
        </w:trPr>
        <w:tc>
          <w:tcPr>
            <w:tcW w:w="852" w:type="pct"/>
            <w:tcBorders>
              <w:left w:val="single" w:sz="4" w:space="0" w:color="000000"/>
              <w:right w:val="single" w:sz="4" w:space="0" w:color="000000"/>
            </w:tcBorders>
            <w:shd w:val="clear" w:color="auto" w:fill="auto"/>
          </w:tcPr>
          <w:p w14:paraId="207B538A" w14:textId="77777777" w:rsidR="00534F56" w:rsidRPr="00534F56" w:rsidRDefault="00534F56" w:rsidP="00B81916">
            <w:pPr>
              <w:pStyle w:val="Tabletext"/>
            </w:pPr>
            <w:r w:rsidRPr="00534F56">
              <w:t>General supply chain integration</w:t>
            </w:r>
          </w:p>
        </w:tc>
        <w:tc>
          <w:tcPr>
            <w:tcW w:w="375" w:type="pct"/>
            <w:tcBorders>
              <w:left w:val="single" w:sz="4" w:space="0" w:color="000000"/>
              <w:right w:val="single" w:sz="4" w:space="0" w:color="000000"/>
            </w:tcBorders>
          </w:tcPr>
          <w:p w14:paraId="364097F8" w14:textId="77777777" w:rsidR="00534F56" w:rsidRPr="00534F56" w:rsidDel="007B56D8" w:rsidRDefault="00534F56" w:rsidP="00B81916">
            <w:pPr>
              <w:pStyle w:val="Tabletext"/>
              <w:rPr>
                <w:color w:val="FF0000"/>
              </w:rPr>
            </w:pPr>
            <w:r w:rsidRPr="00534F56">
              <w:t>E28, 29, 30</w:t>
            </w:r>
          </w:p>
        </w:tc>
        <w:tc>
          <w:tcPr>
            <w:tcW w:w="395" w:type="pct"/>
            <w:tcBorders>
              <w:left w:val="single" w:sz="4" w:space="0" w:color="000000"/>
              <w:right w:val="single" w:sz="4" w:space="0" w:color="000000"/>
            </w:tcBorders>
          </w:tcPr>
          <w:p w14:paraId="6712DFD4" w14:textId="77777777" w:rsidR="00534F56" w:rsidRPr="00534F56" w:rsidRDefault="00534F56" w:rsidP="00B81916">
            <w:pPr>
              <w:pStyle w:val="Tabletext"/>
            </w:pPr>
            <w:r w:rsidRPr="00534F56">
              <w:t>Q19</w:t>
            </w:r>
          </w:p>
          <w:p w14:paraId="5A21C6F1" w14:textId="77777777" w:rsidR="00534F56" w:rsidRPr="00534F56" w:rsidRDefault="00534F56" w:rsidP="00B81916">
            <w:pPr>
              <w:pStyle w:val="Tabletext"/>
            </w:pPr>
          </w:p>
        </w:tc>
        <w:tc>
          <w:tcPr>
            <w:tcW w:w="1797" w:type="pct"/>
            <w:tcBorders>
              <w:top w:val="single" w:sz="4" w:space="0" w:color="000000"/>
              <w:left w:val="single" w:sz="4" w:space="0" w:color="000000"/>
              <w:bottom w:val="single" w:sz="4" w:space="0" w:color="000000"/>
              <w:right w:val="single" w:sz="4" w:space="0" w:color="000000"/>
            </w:tcBorders>
            <w:shd w:val="clear" w:color="auto" w:fill="auto"/>
          </w:tcPr>
          <w:p w14:paraId="5CDA0036" w14:textId="77777777" w:rsidR="00534F56" w:rsidRPr="00534F56" w:rsidRDefault="00534F56" w:rsidP="00B81916">
            <w:pPr>
              <w:pStyle w:val="Tabletext"/>
            </w:pPr>
            <w:r w:rsidRPr="00534F56">
              <w:t>“What matters most is that you want to change your level of SCI to get to the CE, you want to see the effect of that change, that comes from pressures on your sustainability performance in a CE”</w:t>
            </w:r>
          </w:p>
        </w:tc>
        <w:tc>
          <w:tcPr>
            <w:tcW w:w="881" w:type="pct"/>
            <w:tcBorders>
              <w:top w:val="single" w:sz="4" w:space="0" w:color="000000"/>
              <w:left w:val="single" w:sz="4" w:space="0" w:color="000000"/>
              <w:bottom w:val="single" w:sz="4" w:space="0" w:color="000000"/>
              <w:right w:val="single" w:sz="4" w:space="0" w:color="000000"/>
            </w:tcBorders>
            <w:shd w:val="clear" w:color="auto" w:fill="auto"/>
          </w:tcPr>
          <w:p w14:paraId="324710B4" w14:textId="77777777" w:rsidR="00534F56" w:rsidRPr="00534F56" w:rsidRDefault="00534F56" w:rsidP="00B81916">
            <w:pPr>
              <w:pStyle w:val="Tabletext"/>
            </w:pPr>
            <w:r w:rsidRPr="00534F56">
              <w:t>Positive</w:t>
            </w:r>
          </w:p>
        </w:tc>
        <w:tc>
          <w:tcPr>
            <w:tcW w:w="700" w:type="pct"/>
            <w:tcBorders>
              <w:top w:val="single" w:sz="4" w:space="0" w:color="000000"/>
              <w:left w:val="single" w:sz="4" w:space="0" w:color="000000"/>
              <w:bottom w:val="single" w:sz="4" w:space="0" w:color="000000"/>
              <w:right w:val="single" w:sz="4" w:space="0" w:color="000000"/>
            </w:tcBorders>
          </w:tcPr>
          <w:p w14:paraId="6B58913F" w14:textId="77777777" w:rsidR="00534F56" w:rsidRPr="00534F56" w:rsidRDefault="00534F56" w:rsidP="00B81916">
            <w:pPr>
              <w:pStyle w:val="Tabletext"/>
              <w:rPr>
                <w:i/>
              </w:rPr>
            </w:pPr>
            <w:r w:rsidRPr="00534F56">
              <w:t>Academic AH</w:t>
            </w:r>
          </w:p>
        </w:tc>
      </w:tr>
    </w:tbl>
    <w:p w14:paraId="2D94B270" w14:textId="63B8B390" w:rsidR="00A4783D" w:rsidRDefault="00A4783D" w:rsidP="002F7336"/>
    <w:p w14:paraId="190BB59C" w14:textId="77777777" w:rsidR="00BA28AC" w:rsidRDefault="00BA28AC" w:rsidP="00BA28AC">
      <w:r w:rsidRPr="003114C8">
        <w:lastRenderedPageBreak/>
        <w:t>Also, the adoption of CE practices could also have a feedback effect on SCI, favouring further integration; increasing levels of adoption and extension of CE practices might have a retro-active effect on information sharing and suppliers</w:t>
      </w:r>
      <w:r>
        <w:t>’</w:t>
      </w:r>
      <w:r w:rsidRPr="003114C8">
        <w:t xml:space="preserve"> involvement.</w:t>
      </w:r>
      <w:r w:rsidRPr="00D44680">
        <w:t xml:space="preserve"> Another notable insight was related to the SCI construct per se; one expert suggested that SCI was originally conceptualised for intrinsically linear supply chains; as such, there is no link with reverse and circular flows of materials and information. Consequently, the SCI concept might be revised in order to make it fully relevant to the transition towards a CE</w:t>
      </w:r>
      <w:r>
        <w:t xml:space="preserve"> (</w:t>
      </w:r>
      <w:r w:rsidRPr="00AA096D">
        <w:t>Bimpizas-Pinis</w:t>
      </w:r>
      <w:r>
        <w:t xml:space="preserve"> et al., 2022)</w:t>
      </w:r>
      <w:r w:rsidRPr="00D44680">
        <w:t>.</w:t>
      </w:r>
      <w:r>
        <w:t xml:space="preserve"> </w:t>
      </w:r>
      <w:r w:rsidRPr="00D44680">
        <w:t xml:space="preserve">Also, one expert warned against the dangers deriving from SCI and the potential resistances towards its achievement. More specifically, some companies might not be willing to share information that would be necessary to enable some CE process because of opportunistic behaviours of supply chain partners. A challenge that could be identified is how to share enough information </w:t>
      </w:r>
      <w:r>
        <w:t>without</w:t>
      </w:r>
      <w:r w:rsidRPr="00D44680">
        <w:t xml:space="preserve"> revealing too sensitive information at the same time. </w:t>
      </w:r>
    </w:p>
    <w:p w14:paraId="7142DA04" w14:textId="77777777" w:rsidR="00BA28AC" w:rsidRPr="00E65BCF" w:rsidRDefault="00BA28AC" w:rsidP="00BA28AC">
      <w:r w:rsidRPr="00E65BCF">
        <w:t>Institutional pressures do not act with the same intensity for each organisation in a supply chain. Pressures influence primarily a certain organisation or a group of those. Organisations need to formulate a response to those pressures, which include involving their supply chain, transferring responsibilities,</w:t>
      </w:r>
      <w:r>
        <w:t xml:space="preserve"> and delegating actions,</w:t>
      </w:r>
      <w:r w:rsidRPr="00E65BCF">
        <w:t xml:space="preserve"> verifying compliance with norms or codes of conduct, or even collaborating on the creation of solutions. SCI might also play a role on this and on how intensively a company is able to put the pressures in its own supply chain. </w:t>
      </w:r>
    </w:p>
    <w:p w14:paraId="2CB2BC12" w14:textId="77777777" w:rsidR="00BA28AC" w:rsidRDefault="00BA28AC" w:rsidP="00BA28AC">
      <w:r w:rsidRPr="00C918FB">
        <w:t xml:space="preserve">In synthesis, it is believed SCI </w:t>
      </w:r>
      <w:r>
        <w:t xml:space="preserve">could have both </w:t>
      </w:r>
      <w:r w:rsidRPr="00C918FB">
        <w:t xml:space="preserve">a moderating </w:t>
      </w:r>
      <w:r>
        <w:t xml:space="preserve">and a mediating </w:t>
      </w:r>
      <w:r w:rsidRPr="00C918FB">
        <w:t>role – acting on how intensely the supply chain as a system is able to perceive the pressures but also on extent it can react to them. However, this moderating role might be significantly less relevant, and possibly negative, when considering more radical CE practices.</w:t>
      </w:r>
    </w:p>
    <w:p w14:paraId="3C8E4017" w14:textId="7457485C" w:rsidR="00A4783D" w:rsidRPr="000F66F6" w:rsidRDefault="00EB75DF" w:rsidP="002F7336">
      <w:pPr>
        <w:pStyle w:val="Heading4Paragraph"/>
      </w:pPr>
      <w:r>
        <w:t xml:space="preserve">4.2.3 </w:t>
      </w:r>
      <w:r w:rsidR="00A4783D" w:rsidRPr="000F66F6">
        <w:t xml:space="preserve">CE practices in organisations and in their supply chains </w:t>
      </w:r>
    </w:p>
    <w:p w14:paraId="383D7E2F" w14:textId="77777777" w:rsidR="00A4783D" w:rsidRPr="00115F33" w:rsidRDefault="00A4783D" w:rsidP="002F7336">
      <w:r w:rsidRPr="00115F33">
        <w:t xml:space="preserve">Looking at the dependent variable of the framework, experts commented on how companies are approaching and implementing CE principles. They also highlighted some factors to be considered when assessing the process of adoption of CE practices in supply chains. Insights about this, and useful research implications were shared, </w:t>
      </w:r>
      <w:r>
        <w:t xml:space="preserve">along with </w:t>
      </w:r>
      <w:r w:rsidRPr="00115F33">
        <w:t>hints on how to measure it</w:t>
      </w:r>
      <w:r>
        <w:t xml:space="preserve">, </w:t>
      </w:r>
      <w:r w:rsidRPr="00115F33">
        <w:t xml:space="preserve">as reported in the following Table </w:t>
      </w:r>
      <w:r>
        <w:t>6</w:t>
      </w:r>
      <w:r w:rsidRPr="00115F33">
        <w:t>.</w:t>
      </w:r>
    </w:p>
    <w:p w14:paraId="2A1EA406" w14:textId="77777777" w:rsidR="00A4783D" w:rsidRDefault="00A4783D" w:rsidP="002F7336">
      <w:r w:rsidRPr="00115F33">
        <w:t xml:space="preserve">Practitioners pointed out the need to distinguish between very different supply chains and contexts </w:t>
      </w:r>
      <w:r>
        <w:t xml:space="preserve">and </w:t>
      </w:r>
      <w:r w:rsidRPr="00115F33">
        <w:t xml:space="preserve">to analyse them </w:t>
      </w:r>
      <w:r>
        <w:t>through different approaches (quote Q27, Table 6)</w:t>
      </w:r>
      <w:r w:rsidRPr="00115F33">
        <w:t xml:space="preserve">. </w:t>
      </w:r>
      <w:r>
        <w:t xml:space="preserve">They also </w:t>
      </w:r>
      <w:r>
        <w:lastRenderedPageBreak/>
        <w:t xml:space="preserve">highlighted the importance of choosing wisely what CE outcomes are to be measured (quote Q23, Table 6), and of quantifying CE practices adoption across the whole company and supply chains (quote Q25, Table 6). </w:t>
      </w:r>
    </w:p>
    <w:p w14:paraId="74873093" w14:textId="77777777" w:rsidR="00A4783D" w:rsidRDefault="00A4783D" w:rsidP="002F7336">
      <w:r>
        <w:t>In order t</w:t>
      </w:r>
      <w:r w:rsidRPr="00115F33">
        <w:t xml:space="preserve">o </w:t>
      </w:r>
      <w:r>
        <w:t>assist</w:t>
      </w:r>
      <w:r w:rsidRPr="00115F33">
        <w:t xml:space="preserve"> with this, </w:t>
      </w:r>
      <w:r>
        <w:t>experts</w:t>
      </w:r>
      <w:r w:rsidRPr="00115F33">
        <w:t xml:space="preserve"> identified </w:t>
      </w:r>
      <w:r>
        <w:t>several</w:t>
      </w:r>
      <w:r w:rsidRPr="00115F33">
        <w:t xml:space="preserve"> control variables that </w:t>
      </w:r>
      <w:r>
        <w:t>can</w:t>
      </w:r>
      <w:r w:rsidRPr="00115F33">
        <w:t xml:space="preserve"> describe the type of market/industry. Companies </w:t>
      </w:r>
      <w:r>
        <w:t>may</w:t>
      </w:r>
      <w:r w:rsidRPr="00115F33">
        <w:t xml:space="preserve"> have </w:t>
      </w:r>
      <w:r>
        <w:t>varying</w:t>
      </w:r>
      <w:r w:rsidRPr="00115F33">
        <w:t xml:space="preserve"> behaviours and approaches to the</w:t>
      </w:r>
      <w:r>
        <w:t xml:space="preserve"> implementation of</w:t>
      </w:r>
      <w:r w:rsidRPr="00115F33">
        <w:t xml:space="preserve"> CE, </w:t>
      </w:r>
      <w:r>
        <w:t xml:space="preserve">based on factors such as </w:t>
      </w:r>
      <w:r w:rsidRPr="00115F33">
        <w:t xml:space="preserve">the intensity of investments in R&amp;D, market concentration, and </w:t>
      </w:r>
      <w:r>
        <w:t xml:space="preserve">the </w:t>
      </w:r>
      <w:r w:rsidRPr="00115F33">
        <w:t xml:space="preserve">type of customers they </w:t>
      </w:r>
      <w:r>
        <w:t>serve</w:t>
      </w:r>
      <w:r w:rsidRPr="00115F33">
        <w:t xml:space="preserve"> (whether they are businesses or final consumers). </w:t>
      </w:r>
      <w:r>
        <w:t>Additionally</w:t>
      </w:r>
      <w:r w:rsidRPr="00115F33">
        <w:t xml:space="preserve">, the position in the supply chain might be a factor that </w:t>
      </w:r>
      <w:r>
        <w:t>influences</w:t>
      </w:r>
      <w:r w:rsidRPr="00115F33">
        <w:t xml:space="preserve"> the type of CE practices companies cho</w:t>
      </w:r>
      <w:r>
        <w:t>o</w:t>
      </w:r>
      <w:r w:rsidRPr="00115F33">
        <w:t>se.</w:t>
      </w:r>
    </w:p>
    <w:p w14:paraId="45BE8F97" w14:textId="77777777" w:rsidR="00A4783D" w:rsidRDefault="00A4783D" w:rsidP="005035B4">
      <w:pPr>
        <w:pStyle w:val="Heading2"/>
      </w:pPr>
      <w:bookmarkStart w:id="167" w:name="_Toc157759544"/>
      <w:r>
        <w:t>Implications</w:t>
      </w:r>
      <w:bookmarkEnd w:id="167"/>
    </w:p>
    <w:p w14:paraId="4C5C1B14" w14:textId="77777777" w:rsidR="005A51BA" w:rsidRPr="00B42D22" w:rsidRDefault="005A51BA" w:rsidP="005A51BA">
      <w:r>
        <w:t xml:space="preserve">This section reflects on the </w:t>
      </w:r>
      <w:r w:rsidRPr="00B42D22">
        <w:t xml:space="preserve">findings that emerged in the results section. It formalises a qualitative framework, which is an evolution of the initial framework (Figure 1). Results are also compared with recent literature, and theoretical and managerial contributions are highlighted. </w:t>
      </w:r>
    </w:p>
    <w:p w14:paraId="632946E7" w14:textId="39451407" w:rsidR="005A51BA" w:rsidRPr="00B42D22" w:rsidRDefault="00B42D22" w:rsidP="00B42D22">
      <w:pPr>
        <w:pStyle w:val="Heading3"/>
      </w:pPr>
      <w:bookmarkStart w:id="168" w:name="_Toc157759545"/>
      <w:r w:rsidRPr="00B42D22">
        <w:t>A</w:t>
      </w:r>
      <w:r w:rsidR="005A51BA" w:rsidRPr="00B42D22">
        <w:t>n emerging qualitative framework: compliance versus proactive trajectories to the transition to a Circular Economy</w:t>
      </w:r>
      <w:bookmarkEnd w:id="168"/>
      <w:r w:rsidR="005A51BA" w:rsidRPr="00B42D22">
        <w:t xml:space="preserve"> </w:t>
      </w:r>
    </w:p>
    <w:p w14:paraId="4191EC47" w14:textId="77777777" w:rsidR="005A51BA" w:rsidRPr="00B42D22" w:rsidRDefault="005A51BA" w:rsidP="005A51BA">
      <w:r w:rsidRPr="00B42D22">
        <w:t xml:space="preserve">Findings confirmed the relevance of the research problem and highlighted the need to investigate further and test the relationships in the initial framework (Figure 1). The process shown in this paper culminated in a revised qualitative framework (Figure 6), which combines the main ideas of the analysis (aggregated dimensions, shown in Table 2, from AD1 to AD6) in a comprehensive graph. </w:t>
      </w:r>
    </w:p>
    <w:p w14:paraId="162229E6" w14:textId="77777777" w:rsidR="005A51BA" w:rsidRPr="00B42D22" w:rsidRDefault="005A51BA" w:rsidP="005A51BA">
      <w:pPr>
        <w:pBdr>
          <w:top w:val="nil"/>
          <w:left w:val="nil"/>
          <w:bottom w:val="nil"/>
          <w:right w:val="nil"/>
          <w:between w:val="nil"/>
        </w:pBdr>
        <w:ind w:firstLine="284"/>
      </w:pPr>
      <w:r w:rsidRPr="00B42D22">
        <w:t xml:space="preserve">The framework (see Figure 5) brings together the two different evolution paths of institutional pressures, the four specific responses through which IPs are influencing firms’ behaviour, the different ways through which SCI acts on pressures, and the relationship of the drivers with the type of CE practice being adopted. Specifically, the framework distinguishes two possible trajectories that could drive different CE outcomes, and which could be influenced in different ways by the level of SCI. </w:t>
      </w:r>
    </w:p>
    <w:p w14:paraId="37AE28AF" w14:textId="7FA88AD5" w:rsidR="005A51BA" w:rsidRPr="00B42D22" w:rsidRDefault="005A51BA" w:rsidP="00444F93">
      <w:pPr>
        <w:ind w:firstLine="284"/>
      </w:pPr>
      <w:r w:rsidRPr="00B42D22">
        <w:t xml:space="preserve">The first trajectory describes a regulation-driven path (CRP-&gt;CMP-&gt;NP-&gt;MP, see Figure 5), which refers to a context of weak regulation based on voluntary adoption that could be quite representative of the current situation in the European Union. In this scenario, firms decide to passively </w:t>
      </w:r>
      <w:r w:rsidRPr="00B42D22">
        <w:rPr>
          <w:i/>
          <w:iCs/>
        </w:rPr>
        <w:t>comply</w:t>
      </w:r>
      <w:r w:rsidRPr="00B42D22">
        <w:t xml:space="preserve"> with environmental regulations, by re-adjusting their existing </w:t>
      </w:r>
      <w:r w:rsidRPr="00B42D22">
        <w:lastRenderedPageBreak/>
        <w:t>environmental monitoring systems, to measure their impact and by taking corrective actions. Firms adopt a step-by-step approach to the CE, focusing only on very incremental CE practices that become institutionalised and create market pressures, normative pressures and m</w:t>
      </w:r>
      <w:r w:rsidR="00444F93">
        <w:t>i</w:t>
      </w:r>
      <w:r w:rsidRPr="00B42D22">
        <w:t xml:space="preserve">metic pressures. SCI is expected to have an amplifying role and driving role (Figure 6). Key players, systems, and processes that are expected to drive the transition towards the CE in this case are the same involved in traditional linear supply chains. As such, they can take advantage of the collaborative capabilities of integrated supply chains to implement CE practices that are compatible with established linear value creation processes (e.g., mainly focused on the use of renewable energy, increase resource efficiency and with the integration of recycled flows). SCI could play a similar “amplifying” role also in the presence of tokenistic responses and opportunistic behaviours. Higher SCI could make it possible for key players of the linear supply chain to spread greenwashing actions and irresponsible practices, hiding their inertia (Ferns and </w:t>
      </w:r>
      <w:proofErr w:type="spellStart"/>
      <w:r w:rsidRPr="00B42D22">
        <w:t>Amaeshi</w:t>
      </w:r>
      <w:proofErr w:type="spellEnd"/>
      <w:r w:rsidRPr="00B42D22">
        <w:t xml:space="preserve">, 2021). </w:t>
      </w:r>
    </w:p>
    <w:p w14:paraId="7A1D2FDA" w14:textId="2F5B8A08" w:rsidR="00A4783D" w:rsidRPr="00017039" w:rsidRDefault="005A51BA" w:rsidP="005A51BA">
      <w:r w:rsidRPr="00B42D22">
        <w:t xml:space="preserve">The second trajectory describes a market-driven path (CMP-&gt;CRP-&gt;NP-&gt;MP, see Figure 5), with firms </w:t>
      </w:r>
      <w:r w:rsidRPr="00B42D22">
        <w:rPr>
          <w:i/>
          <w:iCs/>
        </w:rPr>
        <w:t>proactively</w:t>
      </w:r>
      <w:r w:rsidRPr="00B42D22">
        <w:t xml:space="preserve"> adopting CE practices pushed primarily by consumer demand and public opinion. This path represents a context with a deeper societal and institutional transformation. New and stricter regulations are expected to emerge as a consequence of a push that comes from consumers, public opinion and societal demands. The most likely responses in this scenario involve reorganising supply chain operations and developing new products. Both these responses require new networks to emerge and disrupt markets by adopting Circular Business Models and more radical CE practices. Firms are also likely to establish new partnerships with new actors (e.g., collection and sorting contractors; re-processors; remanufacturers). SCI in this case has a double role: it provides useful capabilities in terms of coordination and collaboration </w:t>
      </w:r>
      <w:r>
        <w:t>with key partners in the linear supply chain; however, it also magnifies the risk of lock-ins in linear supply chains</w:t>
      </w:r>
      <w:r w:rsidRPr="00B42D22">
        <w:t xml:space="preserve">. As such, </w:t>
      </w:r>
      <w:r>
        <w:t xml:space="preserve">companies with lower levels of SCI could have some advantages to succeed, deriving from a higher possibility to experiment with new solutions and decrease dependence on suppliers. </w:t>
      </w:r>
      <w:r w:rsidR="00A4783D" w:rsidRPr="00017039">
        <w:t xml:space="preserve"> </w:t>
      </w:r>
    </w:p>
    <w:p w14:paraId="4CC1C969" w14:textId="7646E81E" w:rsidR="00A4783D" w:rsidRDefault="004D0F0C" w:rsidP="002F7336">
      <w:pPr>
        <w:pStyle w:val="Figurecaption"/>
      </w:pPr>
      <w:r>
        <w:rPr>
          <w:noProof/>
          <w:color w:val="FF0000"/>
          <w:highlight w:val="white"/>
          <w:lang w:eastAsia="zh-CN"/>
        </w:rPr>
        <w:lastRenderedPageBreak/>
        <w:drawing>
          <wp:inline distT="0" distB="0" distL="0" distR="0" wp14:anchorId="1943B75E" wp14:editId="7960F5A3">
            <wp:extent cx="5400040" cy="3261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00040" cy="3261360"/>
                    </a:xfrm>
                    <a:prstGeom prst="rect">
                      <a:avLst/>
                    </a:prstGeom>
                    <a:noFill/>
                  </pic:spPr>
                </pic:pic>
              </a:graphicData>
            </a:graphic>
          </wp:inline>
        </w:drawing>
      </w:r>
      <w:r w:rsidR="00A4783D">
        <w:t>Figure 6</w:t>
      </w:r>
      <w:r w:rsidR="00A4783D" w:rsidRPr="002943A9">
        <w:t xml:space="preserve"> – A </w:t>
      </w:r>
      <w:r w:rsidR="00A4783D">
        <w:t xml:space="preserve">qualitative </w:t>
      </w:r>
      <w:r w:rsidR="00A4783D" w:rsidRPr="002943A9">
        <w:t>version of the framework</w:t>
      </w:r>
      <w:r w:rsidR="00A4783D">
        <w:t xml:space="preserve"> </w:t>
      </w:r>
    </w:p>
    <w:p w14:paraId="50FA9F2D" w14:textId="77777777" w:rsidR="004D0F0C" w:rsidRDefault="004D0F0C" w:rsidP="004D0F0C">
      <w:r>
        <w:t>In line with previous studies, the framework shows that coercive institutional pressures are the dominant ones (</w:t>
      </w:r>
      <w:proofErr w:type="spellStart"/>
      <w:r>
        <w:t>Agyabeng</w:t>
      </w:r>
      <w:proofErr w:type="spellEnd"/>
      <w:r>
        <w:t>-Mensah et al., 2022) and a necessary condition to activate effective sustainability actions, and for the other pressures to originate (</w:t>
      </w:r>
      <w:proofErr w:type="spellStart"/>
      <w:r>
        <w:t>Arranz</w:t>
      </w:r>
      <w:proofErr w:type="spellEnd"/>
      <w:r>
        <w:t xml:space="preserve"> et al., 2022). Differently from previous literature, this study recognises paths and dynamics that experts are foreseeing. The study also points at the limitations of an institutional change that comes from regulation alone (</w:t>
      </w:r>
      <w:proofErr w:type="spellStart"/>
      <w:r>
        <w:t>Ranta</w:t>
      </w:r>
      <w:proofErr w:type="spellEnd"/>
      <w:r>
        <w:t xml:space="preserve"> et al., 2018).  To build the necessary incentives for deeper societal transformation and stronger sustainability, it is necessary to redefine societal values and beliefs and deeply incorporating ecological instances in our institutions (</w:t>
      </w:r>
      <w:proofErr w:type="spellStart"/>
      <w:r>
        <w:t>Montabon</w:t>
      </w:r>
      <w:proofErr w:type="spellEnd"/>
      <w:r>
        <w:t xml:space="preserve"> et al., 2016). </w:t>
      </w:r>
    </w:p>
    <w:p w14:paraId="39B96A66" w14:textId="77777777" w:rsidR="004D0F0C" w:rsidRDefault="004D0F0C" w:rsidP="004D0F0C">
      <w:r>
        <w:t>Also, highlighting the double role of SCI is another key contribution of this article. The traditional debate on the collaborative paradigm in supply chain management (</w:t>
      </w:r>
      <w:proofErr w:type="spellStart"/>
      <w:r>
        <w:t>Frohlich</w:t>
      </w:r>
      <w:proofErr w:type="spellEnd"/>
      <w:r>
        <w:t xml:space="preserve"> &amp; Westbrook, 2001) has explored SCI role in sustainability transitions (Wiengarten &amp; Longoni, 2015), and it has started to look at CE transitions very recently (Bimpizas-Pinis et al, 2022). Results enrich the understanding of how SCI might affect the adoption of CE practices, by recognising its advantages and the possible risks. The central issue is how to leverage coordinative and collaborative aspects and capabilities of integrated supply chains without it becoming a constraint against radical innovation. </w:t>
      </w:r>
    </w:p>
    <w:p w14:paraId="1622970D" w14:textId="2128EE77" w:rsidR="00BA28AC" w:rsidRPr="00017039" w:rsidRDefault="00460A0C" w:rsidP="004D0F0C">
      <w:r w:rsidRPr="00460A0C">
        <w:lastRenderedPageBreak/>
        <w:t>The responses to institutional pressures that emerge from the qualitative analysis are in line with previous papers on sustainability trajectories (Silvestre et al., 2020). Also in this study, some of the identified initiatives or responses to pressures have an “exploitative” nature of the supply chain capabilities that already exist (e.g., CC1 in Table 2: readjusting their existing environmental monitoring systems) and some others have an “exploratory” nature, adapting completely new capabilities, products, processes, that are different from those used in the past (e.g., CC3 and CC2 in Table 2: re-organising their operations and supply chains and developing new circular products). According to that perspective, SCI could be seen as a factor that provides necessary capabilities and alignment between supply chain actors while also increasing path dependency, pushing for initiatives that exploit existing sustainability process and practices rather than developing new ones. In the context of the transition towards the CE, higher path dependency could be associated to linear lock-in.</w:t>
      </w:r>
    </w:p>
    <w:p w14:paraId="7C98F0AD" w14:textId="77777777" w:rsidR="00BA28AC" w:rsidRDefault="00BA28AC" w:rsidP="00BA28AC">
      <w:pPr>
        <w:pStyle w:val="Heading3"/>
      </w:pPr>
      <w:bookmarkStart w:id="169" w:name="_Toc157759546"/>
      <w:r>
        <w:t>Contribution to theory and practice</w:t>
      </w:r>
      <w:bookmarkEnd w:id="169"/>
    </w:p>
    <w:p w14:paraId="12560706" w14:textId="77777777" w:rsidR="00BA28AC" w:rsidRPr="00017039" w:rsidRDefault="00BA28AC" w:rsidP="00BA28AC">
      <w:r w:rsidRPr="00017039">
        <w:t xml:space="preserve">This paper extends previous </w:t>
      </w:r>
      <w:r>
        <w:t xml:space="preserve">research in </w:t>
      </w:r>
      <w:r w:rsidRPr="00017039">
        <w:t>sustainable supply chain management that has studied drivers, enabling factors</w:t>
      </w:r>
      <w:r>
        <w:t>,</w:t>
      </w:r>
      <w:r w:rsidRPr="00017039">
        <w:t xml:space="preserve"> and practices using institutional theory </w:t>
      </w:r>
      <w:r w:rsidRPr="00017039">
        <w:fldChar w:fldCharType="begin" w:fldLock="1"/>
      </w:r>
      <w:r w:rsidRPr="00017039">
        <w:instrText>ADDIN CSL_CITATION {"citationItems":[{"id":"ITEM-1","itemData":{"DOI":"10.1108/SCM-04-2021-0169","ISSN":"13598546","abstract":"Purpose: Increasing amount of empirical research in operations and supply chain management is using institutional theory as its theoretical lens. Yet, a common scale to measure the three institutional pressures – coercive, mimetic and normative – is lacking. Many studies use proxies or a single, grouped, construct of external pressures which present methodological challenges. This study aims to present the development of multi-item scales to measure institutional pressures (in a purchasing context). Design/methodology/approach: First, items were generated based on the theoretical construct definitions. These items were then tested through academic sorting and an international survey. The first empirical testing failed to produce reliable and valid scales, and further refinement and analysis revealed that coercive pressure splits into two separate constructs. A second q-sorting was then conducted with purchasing practitioners, followed by another survey in Italy to verify the new measurement scale for four institutional pressures. Findings: The multimethod and multistage measurement development reveals that empirically the three institutional pressures actually turn into four pressures. The theoretical construct of coercive pressure splits into two distinct constructs: coercive market pressure and coercive regulatory pressure. Originality/value: The results of the paper, namely, the measurement scales, are an important theoretical and methodological contribution to future empirical research. They present a much-needed measurement for these theoretical constructs increasingly used in management research.","author":[{"dropping-particle":"","family":"Kauppi","given":"Katri","non-dropping-particle":"","parse-names":false,"suffix":""},{"dropping-particle":"","family":"Luzzini","given":"Davide","non-dropping-particle":"","parse-names":false,"suffix":""}],"container-title":"Supply Chain Management","id":"ITEM-1","issue":"7","issued":{"date-parts":[["2022"]]},"page":"79-107","title":"Measuring institutional pressures in a supply chain context: scale development and testing","type":"article-journal","volume":"27"},"uris":["http://www.mendeley.com/documents/?uuid=1afea0dd-9928-4097-8b04-09edeec2ba26"]}],"mendeley":{"formattedCitation":"(Kauppi &amp; Luzzini, 2022)","plainTextFormattedCitation":"(Kauppi &amp; Luzzini, 2022)","previouslyFormattedCitation":"(Kauppi &amp; Luzzini, 2022)"},"properties":{"noteIndex":0},"schema":"https://github.com/citation-style-language/schema/raw/master/csl-citation.json"}</w:instrText>
      </w:r>
      <w:r w:rsidRPr="00017039">
        <w:fldChar w:fldCharType="separate"/>
      </w:r>
      <w:r w:rsidRPr="00017039">
        <w:rPr>
          <w:noProof/>
        </w:rPr>
        <w:t xml:space="preserve">(Kauppi </w:t>
      </w:r>
      <w:r>
        <w:rPr>
          <w:noProof/>
        </w:rPr>
        <w:t>and</w:t>
      </w:r>
      <w:r w:rsidRPr="00017039">
        <w:rPr>
          <w:noProof/>
        </w:rPr>
        <w:t xml:space="preserve"> Luzzini, 2022)</w:t>
      </w:r>
      <w:r w:rsidRPr="00017039">
        <w:fldChar w:fldCharType="end"/>
      </w:r>
      <w:r w:rsidRPr="00017039">
        <w:t xml:space="preserve">. It </w:t>
      </w:r>
      <w:r>
        <w:t xml:space="preserve">is </w:t>
      </w:r>
      <w:r w:rsidRPr="00017039">
        <w:t>also connect</w:t>
      </w:r>
      <w:r>
        <w:t>ing</w:t>
      </w:r>
      <w:r w:rsidRPr="00017039">
        <w:t xml:space="preserve"> th</w:t>
      </w:r>
      <w:r>
        <w:t>is</w:t>
      </w:r>
      <w:r w:rsidRPr="00017039">
        <w:t xml:space="preserve"> knowledge and ideas to a more recent research field, circular supply chain management </w:t>
      </w:r>
      <w:r w:rsidRPr="00017039">
        <w:fldChar w:fldCharType="begin" w:fldLock="1"/>
      </w:r>
      <w:r w:rsidRPr="00017039">
        <w:instrText>ADDIN CSL_CITATION {"citationItems":[{"id":"ITEM-1","itemData":{"DOI":"10.1016/j.jclepro.2020.120859","ISSN":"09596526","abstract":"The notion of circular economy (CE) has gained considerable attention recently among researchers, practitioners, and policymakers due to the enormous waste generation at all phases of a product life cycle. CE acts as alternative solutions to the dominant linear economic model of production and consumption. The incorporation of the CE into supply chain management is known as circular supply chain management (CSCM). The objective of this study is to conduct a state-of-art review of CSCM using content analysis methodology. This review covers the available circular supply chain literature, highlights the research trends, gaps and set up the potential research directions for future studies. Total 125 CSCM articles published in journals covering the span of last one decade (2010 to July 2019) are selected. The CSCM research articles are evaluated and segregated in 13 pre-defined structural dimensions and analytics. The result shows that there exist ample scope and open doors for the growth of CSCM which should be investigated with the help of advanced quantitative modeling approaches, highly developed optimization techniques, integrated multi-criteria decision making techniques, and proficient algorithms. Also, CSCM research needs to recognize enablers/drivers/critical success factors, barriers/obstacles, new circular business models and innovative frameworks. Therefore, this examination will prop up new opportunities for researchers to figure out the novel dimensions in the field of CSCM.","author":[{"dropping-particle":"","family":"Lahane","given":"Swapnil","non-dropping-particle":"","parse-names":false,"suffix":""},{"dropping-particle":"","family":"Kant","given":"Ravi","non-dropping-particle":"","parse-names":false,"suffix":""},{"dropping-particle":"","family":"Shankar","given":"Ravi","non-dropping-particle":"","parse-names":false,"suffix":""}],"container-title":"Journal of Cleaner Production","id":"ITEM-1","issued":{"date-parts":[["2020"]]},"page":"120859","publisher":"Elsevier Ltd","title":"Circular supply chain management: A state-of-art review and future opportunities","type":"article-journal","volume":"258"},"uris":["http://www.mendeley.com/documents/?uuid=23330932-4a53-4d51-948c-e152a0244a6f"]},{"id":"ITEM-2","itemData":{"DOI":"10.1016/j.jclepro.2019.04.303","ISSN":"09596526","abstract":"Circular economy is increasingly recognized as a better alternative to the dominant linear (take, make, and dispose)economic model. Circular Supply Chain Management (CSCM), which integrates the philosophy of the circular economy into supply chain management, offers a new and compelling perspective to the supply chain sustainability domain. Consequently, there is increasing research interest. However, a review of the extant literature shows that a comprehensive integrated view of CSCM is still absent in the extant literature. This prohibits a clear distinction compared to other supply chain sustainability concepts and hinders further progress of the field. In response, this research first classifies various terminologies related to supply chain sustainability and conceptualizes a unifying definition of CSCM. Using this definition as a base, it then conducts a structured literature review of 261 research articles on the current state of CSCM research. Based on the review results, the researchers call for further studies in the following directions that are important but received little or no attention: design for circularity, procurement and CSCM, biodegradable packaging, circular supply chain collaboration and coordination, drivers and barriers of CSCM, circular consumption, product liabilities and producer's responsibility, and technologies and CSCM.","author":[{"dropping-particle":"","family":"Farooque","given":"Muhammad","non-dropping-particle":"","parse-names":false,"suffix":""},{"dropping-particle":"","family":"Zhang","given":"Abraham","non-dropping-particle":"","parse-names":false,"suffix":""},{"dropping-particle":"","family":"Thürer","given":"Matthias","non-dropping-particle":"","parse-names":false,"suffix":""},{"dropping-particle":"","family":"Qu","given":"Ting","non-dropping-particle":"","parse-names":false,"suffix":""},{"dropping-particle":"","family":"Huisingh","given":"Donald","non-dropping-particle":"","parse-names":false,"suffix":""}],"container-title":"Journal of Cleaner Production","id":"ITEM-2","issued":{"date-parts":[["2019"]]},"page":"882-900","publisher":"Elsevier Ltd","title":"Circular supply chain management: A definition and structured literature review","type":"article-journal","volume":"228"},"uris":["http://www.mendeley.com/documents/?uuid=c973979c-5eda-4be6-a5c0-143371cde9c9"]}],"mendeley":{"formattedCitation":"(Farooque et al., 2019; Lahane et al., 2020)","plainTextFormattedCitation":"(Farooque et al., 2019; Lahane et al., 2020)"},"properties":{"noteIndex":0},"schema":"https://github.com/citation-style-language/schema/raw/master/csl-citation.json"}</w:instrText>
      </w:r>
      <w:r w:rsidRPr="00017039">
        <w:fldChar w:fldCharType="separate"/>
      </w:r>
      <w:r w:rsidRPr="00017039">
        <w:rPr>
          <w:noProof/>
        </w:rPr>
        <w:t>(Farooque et al., 2019; Lahane et al., 2020)</w:t>
      </w:r>
      <w:r w:rsidRPr="00017039">
        <w:fldChar w:fldCharType="end"/>
      </w:r>
      <w:r w:rsidRPr="00017039">
        <w:t xml:space="preserve">. This is important as it improves the theoretical understanding of the antecedents of </w:t>
      </w:r>
      <w:r>
        <w:t xml:space="preserve">the </w:t>
      </w:r>
      <w:r w:rsidRPr="00017039">
        <w:t>adoption of CE practices in supply chains</w:t>
      </w:r>
      <w:r>
        <w:t xml:space="preserve"> by</w:t>
      </w:r>
      <w:r w:rsidRPr="00017039">
        <w:t xml:space="preserve"> developing a conceptual framework that </w:t>
      </w:r>
      <w:r>
        <w:t>integrates</w:t>
      </w:r>
      <w:r w:rsidRPr="00017039">
        <w:t xml:space="preserve"> institutional pressures, supply chain integration</w:t>
      </w:r>
      <w:r>
        <w:t>,</w:t>
      </w:r>
      <w:r w:rsidRPr="00017039">
        <w:t xml:space="preserve"> and the adoption of circular economy practices, which can be tested through future quantitative studies. Future empirical studies could then </w:t>
      </w:r>
      <w:r>
        <w:t>provide</w:t>
      </w:r>
      <w:r w:rsidRPr="00017039">
        <w:t xml:space="preserve"> clarity on the hierarchy of pressures for the circular economy (e.g.</w:t>
      </w:r>
      <w:r>
        <w:t>,</w:t>
      </w:r>
      <w:r w:rsidRPr="00017039">
        <w:t xml:space="preserve"> whether m</w:t>
      </w:r>
      <w:r>
        <w:t>i</w:t>
      </w:r>
      <w:r w:rsidRPr="00017039">
        <w:t xml:space="preserve">metic and normative arise where coercive pressures are already present). </w:t>
      </w:r>
    </w:p>
    <w:p w14:paraId="388CCAC0" w14:textId="77777777" w:rsidR="00BC3405" w:rsidRDefault="00BC3405" w:rsidP="002F7336">
      <w:pPr>
        <w:pStyle w:val="Figurecaption"/>
      </w:pPr>
      <w:r>
        <w:t>Table 5 – Possible measurement scales of CE outcomes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810"/>
        <w:gridCol w:w="3674"/>
      </w:tblGrid>
      <w:tr w:rsidR="00BC3405" w:rsidRPr="00BC3405" w14:paraId="60036226" w14:textId="77777777" w:rsidTr="00116B90">
        <w:trPr>
          <w:trHeight w:val="20"/>
          <w:jc w:val="center"/>
        </w:trPr>
        <w:tc>
          <w:tcPr>
            <w:tcW w:w="2835" w:type="pct"/>
            <w:shd w:val="clear" w:color="auto" w:fill="auto"/>
            <w:tcMar>
              <w:top w:w="100" w:type="dxa"/>
              <w:left w:w="100" w:type="dxa"/>
              <w:bottom w:w="100" w:type="dxa"/>
              <w:right w:w="100" w:type="dxa"/>
            </w:tcMar>
          </w:tcPr>
          <w:p w14:paraId="55219CDE" w14:textId="77777777" w:rsidR="00BC3405" w:rsidRPr="00BC3405" w:rsidRDefault="00BC3405" w:rsidP="00C9292B">
            <w:pPr>
              <w:pStyle w:val="Tabletext"/>
            </w:pPr>
            <w:r w:rsidRPr="00BC3405">
              <w:t>CE practices aspects measured</w:t>
            </w:r>
          </w:p>
        </w:tc>
        <w:tc>
          <w:tcPr>
            <w:tcW w:w="2165" w:type="pct"/>
            <w:shd w:val="clear" w:color="auto" w:fill="auto"/>
            <w:tcMar>
              <w:top w:w="100" w:type="dxa"/>
              <w:left w:w="100" w:type="dxa"/>
              <w:bottom w:w="100" w:type="dxa"/>
              <w:right w:w="100" w:type="dxa"/>
            </w:tcMar>
          </w:tcPr>
          <w:p w14:paraId="058BD1FC" w14:textId="77777777" w:rsidR="00BC3405" w:rsidRPr="00BC3405" w:rsidRDefault="00BC3405" w:rsidP="00C9292B">
            <w:pPr>
              <w:pStyle w:val="Tabletext"/>
            </w:pPr>
            <w:r w:rsidRPr="00BC3405">
              <w:t>Literature</w:t>
            </w:r>
          </w:p>
        </w:tc>
      </w:tr>
      <w:tr w:rsidR="00BC3405" w:rsidRPr="00BC3405" w14:paraId="42E10AA6" w14:textId="77777777" w:rsidTr="00116B90">
        <w:trPr>
          <w:jc w:val="center"/>
        </w:trPr>
        <w:tc>
          <w:tcPr>
            <w:tcW w:w="2835" w:type="pct"/>
            <w:shd w:val="clear" w:color="auto" w:fill="auto"/>
            <w:tcMar>
              <w:top w:w="100" w:type="dxa"/>
              <w:left w:w="100" w:type="dxa"/>
              <w:bottom w:w="100" w:type="dxa"/>
              <w:right w:w="100" w:type="dxa"/>
            </w:tcMar>
          </w:tcPr>
          <w:p w14:paraId="7CD92F15" w14:textId="77777777" w:rsidR="00BC3405" w:rsidRPr="00BC3405" w:rsidRDefault="00BC3405" w:rsidP="00C9292B">
            <w:pPr>
              <w:pStyle w:val="Tabletext"/>
            </w:pPr>
            <w:r w:rsidRPr="00BC3405">
              <w:t>R-imperatives</w:t>
            </w:r>
          </w:p>
        </w:tc>
        <w:tc>
          <w:tcPr>
            <w:tcW w:w="2165" w:type="pct"/>
            <w:shd w:val="clear" w:color="auto" w:fill="auto"/>
            <w:tcMar>
              <w:top w:w="100" w:type="dxa"/>
              <w:left w:w="100" w:type="dxa"/>
              <w:bottom w:w="100" w:type="dxa"/>
              <w:right w:w="100" w:type="dxa"/>
            </w:tcMar>
          </w:tcPr>
          <w:p w14:paraId="32F02C52" w14:textId="77777777" w:rsidR="00BC3405" w:rsidRPr="00BC3405" w:rsidRDefault="00BC3405" w:rsidP="00C9292B">
            <w:pPr>
              <w:pStyle w:val="Tabletext"/>
            </w:pPr>
            <w:r w:rsidRPr="00BC3405">
              <w:fldChar w:fldCharType="begin" w:fldLock="1"/>
            </w:r>
            <w:r w:rsidRPr="00BC3405">
              <w:instrText>ADDIN CSL_CITATION {"citationItems":[{"id":"ITEM-1","itemData":{"DOI":"10.1016/j.resconrec.2017.08.027","ISSN":"18790658","abstract":"Over the last decade, the concept of the circular economy has regained attention, especially related to efforts to achieve a more sustainable society. The ‘revival’ of the circular economy has been accompanied by controversies and confusions across different actors in science and practice. With this article we attempt at contributing to advanced clarity in the field and providing a heuristic that is useful in practice. Initially, we take a focus on the historical development of the concept of circular economy and value retention options (ROs) for products and materials aiming for increased circularity. We propose to distinguish three phases in the evolution of the circular economy and argue that the concept - in its dominant framing - is not as new as frequently claimed. Having established this background knowledge, we give insights into ‘how far we are’ globally, with respect to the implementation of circularity, arguing that high levels of circularity have already been reached in different parts of the globe with regard to longer loop value retention options, such as energy recovery and recycling. Subsequently, we show that the confusion surrounding the circular economy is more far reaching. We summarize the divergent perspectives on retention options and unite the most common views a 10R typology. From our analyses, we conclude that policymakers and businesses should focus their efforts on realization of the more desirable, shorter loop retention options, like remanufacturing, refurbishing and repurposing - yet with a view on feasibility and overall system effects. Scholars, on the other hand, should assist the parties contributing to an increased circular economy in practice by taking up a more active role in attaining consensus in conceptualizing the circular economy.","author":[{"dropping-particle":"","family":"Reike","given":"Denise","non-dropping-particle":"","parse-names":false,"suffix":""},{"dropping-particle":"","family":"Vermeulen","given":"Walter J.V.","non-dropping-particle":"","parse-names":false,"suffix":""},{"dropping-particle":"","family":"Witjes","given":"Sjors","non-dropping-particle":"","parse-names":false,"suffix":""}],"container-title":"Resources, Conservation and Recycling","id":"ITEM-1","issue":"February 2017","issued":{"date-parts":[["2018"]]},"page":"246-264","publisher":"Elsevier","title":"The circular economy: New or Refurbished as CE 3.0? — Exploring Controversies in the Conceptualization of the Circular Economy through a Focus on History and Resource Value Retention Options","type":"article-journal","volume":"135"},"uris":["http://www.mendeley.com/documents/?uuid=09412fec-be32-47b9-b913-6228672a41af"]}],"mendeley":{"formattedCitation":"(Reike et al., 2018)","plainTextFormattedCitation":"(Reike et al., 2018)","previouslyFormattedCitation":"(Reike et al., 2018)"},"properties":{"noteIndex":0},"schema":"https://github.com/citation-style-language/schema/raw/master/csl-citation.json"}</w:instrText>
            </w:r>
            <w:r w:rsidRPr="00BC3405">
              <w:fldChar w:fldCharType="separate"/>
            </w:r>
            <w:r w:rsidRPr="00BC3405">
              <w:rPr>
                <w:noProof/>
              </w:rPr>
              <w:t>(Reike et al., 2018)</w:t>
            </w:r>
            <w:r w:rsidRPr="00BC3405">
              <w:fldChar w:fldCharType="end"/>
            </w:r>
          </w:p>
        </w:tc>
      </w:tr>
      <w:tr w:rsidR="00BC3405" w:rsidRPr="00BC3405" w14:paraId="0783E8F9" w14:textId="77777777" w:rsidTr="00116B90">
        <w:trPr>
          <w:jc w:val="center"/>
        </w:trPr>
        <w:tc>
          <w:tcPr>
            <w:tcW w:w="2835" w:type="pct"/>
            <w:shd w:val="clear" w:color="auto" w:fill="auto"/>
            <w:tcMar>
              <w:top w:w="100" w:type="dxa"/>
              <w:left w:w="100" w:type="dxa"/>
              <w:bottom w:w="100" w:type="dxa"/>
              <w:right w:w="100" w:type="dxa"/>
            </w:tcMar>
          </w:tcPr>
          <w:p w14:paraId="4E62595F" w14:textId="77777777" w:rsidR="00BC3405" w:rsidRPr="00BC3405" w:rsidRDefault="00BC3405" w:rsidP="00C9292B">
            <w:pPr>
              <w:pStyle w:val="Tabletext"/>
            </w:pPr>
            <w:r w:rsidRPr="00BC3405">
              <w:t>Supply chain process involved</w:t>
            </w:r>
          </w:p>
        </w:tc>
        <w:tc>
          <w:tcPr>
            <w:tcW w:w="2165" w:type="pct"/>
            <w:shd w:val="clear" w:color="auto" w:fill="auto"/>
            <w:tcMar>
              <w:top w:w="100" w:type="dxa"/>
              <w:left w:w="100" w:type="dxa"/>
              <w:bottom w:w="100" w:type="dxa"/>
              <w:right w:w="100" w:type="dxa"/>
            </w:tcMar>
          </w:tcPr>
          <w:p w14:paraId="2E0B6DE6" w14:textId="77777777" w:rsidR="00BC3405" w:rsidRPr="00BC3405" w:rsidRDefault="00BC3405" w:rsidP="00C9292B">
            <w:pPr>
              <w:pStyle w:val="Tabletext"/>
            </w:pPr>
            <w:r w:rsidRPr="00BC3405">
              <w:rPr>
                <w:lang w:val="fr-FR"/>
              </w:rPr>
              <w:fldChar w:fldCharType="begin" w:fldLock="1"/>
            </w:r>
            <w:r w:rsidRPr="00BC3405">
              <w:rPr>
                <w:lang w:val="fr-FR"/>
              </w:rPr>
              <w:instrText>ADDIN CSL_CITATION {"citationItems":[{"id":"ITEM-1","itemData":{"DOI":"10.1016/j.jclepro.2019.05.044","ISSN":"09596526","abstract":"Much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w:instrText>
            </w:r>
            <w:r w:rsidRPr="00BC3405">
              <w:instrText>pt more circular business models. On the other hand, no significant evidence was found of any influence exerted by the drivers related to regulatory pressure, resource exploitation risks, and the pursuit of environmental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Production","id":"ITEM-1","issued":{"date-parts":[["2019"]]},"page":"314-327","publisher":"Elsevier Ltd","title":"Drivers and approaches to the circular economy in manufacturing firms","type":"article-journal","volume":"230"},"uris":["http://www.mendeley.com/documents/?uuid=dba2b38b-10ca-4ca4-9ac5-fec8ed7d491b"]}],"mendeley":{"formattedCitation":"(Gusmerotti et al., 2019)","plainTextFormattedCitation":"(Gusmerotti et al., 2019)","previouslyFormattedCitation":"(Gusmerotti et al., 2019)"},"properties":{"noteIndex":0},"schema":"https://github.com/citation-style-language/schema/raw/master/csl-citation.json"}</w:instrText>
            </w:r>
            <w:r w:rsidRPr="00BC3405">
              <w:rPr>
                <w:lang w:val="fr-FR"/>
              </w:rPr>
              <w:fldChar w:fldCharType="separate"/>
            </w:r>
            <w:r w:rsidRPr="00BC3405">
              <w:rPr>
                <w:noProof/>
              </w:rPr>
              <w:t>(Gusmerotti et al., 2019)</w:t>
            </w:r>
            <w:r w:rsidRPr="00BC3405">
              <w:rPr>
                <w:lang w:val="fr-FR"/>
              </w:rPr>
              <w:fldChar w:fldCharType="end"/>
            </w:r>
          </w:p>
        </w:tc>
      </w:tr>
      <w:tr w:rsidR="00BC3405" w:rsidRPr="00BC3405" w14:paraId="4F855225" w14:textId="77777777" w:rsidTr="00116B90">
        <w:trPr>
          <w:jc w:val="center"/>
        </w:trPr>
        <w:tc>
          <w:tcPr>
            <w:tcW w:w="2835" w:type="pct"/>
            <w:shd w:val="clear" w:color="auto" w:fill="auto"/>
            <w:tcMar>
              <w:top w:w="100" w:type="dxa"/>
              <w:left w:w="100" w:type="dxa"/>
              <w:bottom w:w="100" w:type="dxa"/>
              <w:right w:w="100" w:type="dxa"/>
            </w:tcMar>
          </w:tcPr>
          <w:p w14:paraId="6A8D58D1" w14:textId="77777777" w:rsidR="00BC3405" w:rsidRPr="00BC3405" w:rsidRDefault="00BC3405" w:rsidP="00C9292B">
            <w:pPr>
              <w:pStyle w:val="Tabletext"/>
            </w:pPr>
            <w:r w:rsidRPr="00BC3405">
              <w:t xml:space="preserve">Level of implementation </w:t>
            </w:r>
          </w:p>
          <w:p w14:paraId="4B954B40" w14:textId="77777777" w:rsidR="00BC3405" w:rsidRPr="00BC3405" w:rsidRDefault="00BC3405" w:rsidP="00C9292B">
            <w:pPr>
              <w:pStyle w:val="Tabletext"/>
            </w:pPr>
            <w:r w:rsidRPr="00BC3405">
              <w:t xml:space="preserve">Involvement the supply chain </w:t>
            </w:r>
          </w:p>
        </w:tc>
        <w:tc>
          <w:tcPr>
            <w:tcW w:w="2165" w:type="pct"/>
            <w:shd w:val="clear" w:color="auto" w:fill="auto"/>
            <w:tcMar>
              <w:top w:w="100" w:type="dxa"/>
              <w:left w:w="100" w:type="dxa"/>
              <w:bottom w:w="100" w:type="dxa"/>
              <w:right w:w="100" w:type="dxa"/>
            </w:tcMar>
          </w:tcPr>
          <w:p w14:paraId="3974C3B9" w14:textId="77777777" w:rsidR="00BC3405" w:rsidRPr="00BC3405" w:rsidRDefault="00BC3405" w:rsidP="00C9292B">
            <w:pPr>
              <w:pStyle w:val="Tabletext"/>
            </w:pPr>
            <w:r w:rsidRPr="00BC3405">
              <w:rPr>
                <w:lang w:val="fr-FR"/>
              </w:rPr>
              <w:fldChar w:fldCharType="begin" w:fldLock="1"/>
            </w:r>
            <w:r w:rsidRPr="00BC3405">
              <w:instrText>ADDIN CSL_CITATION {"citationItems":[{"id":"ITEM-1","itemData":{"DOI":"10.1016/j.jclepro.2021.127616","ISSN":"09596526","author":[{"dropping-particle":"","family":"Calzolari","given":"Tommaso","non-dropping-particle":"","parse-names":false,"suffix":""},{"dropping-particle":"","family":"Genovese","given":"Andrea","non-dropping-particle":"","parse-names":false,"suffix":""},{"dropping-particle":"","family":"Brint","given":"Andrew","non-dropping-particle":"","parse-names":false,"suffix":""}],"container-title":"Journal of Cleaner Production","id":"ITEM-1","issue":"November 2020","issued":{"date-parts":[["2021"]]},"page":"127616","publisher":"Elsevier Ltd","title":"The adoption of circular economy practices in supply chains – An assessment of European Multi-National Enterprises","type":"article-journal","volume":"312"},"uris":["http://www.mendeley.com/documents/?uuid=838718f9-19a1-4ef2-9bec-c6c091ab7ca0"]}],"mendeley":{"formattedCitation":"(Calzolari et al., 2021)","plainTextFormattedCitation":"(Calzolari et al., 2021)","previouslyFormattedCitation":"(Calzolari et al., 2021)"},"properties":{"noteIndex":0},"schema":"https://github.com/citation-style-language/schema/raw/master/csl-citation.json"}</w:instrText>
            </w:r>
            <w:r w:rsidRPr="00BC3405">
              <w:rPr>
                <w:lang w:val="fr-FR"/>
              </w:rPr>
              <w:fldChar w:fldCharType="separate"/>
            </w:r>
            <w:r w:rsidRPr="00BC3405">
              <w:rPr>
                <w:noProof/>
              </w:rPr>
              <w:t>(Calzolari et al., 2021)</w:t>
            </w:r>
            <w:r w:rsidRPr="00BC3405">
              <w:rPr>
                <w:lang w:val="fr-FR"/>
              </w:rPr>
              <w:fldChar w:fldCharType="end"/>
            </w:r>
          </w:p>
        </w:tc>
      </w:tr>
      <w:tr w:rsidR="00BC3405" w:rsidRPr="00BC3405" w14:paraId="7A6DBD26" w14:textId="77777777" w:rsidTr="00116B90">
        <w:trPr>
          <w:trHeight w:val="31"/>
          <w:jc w:val="center"/>
        </w:trPr>
        <w:tc>
          <w:tcPr>
            <w:tcW w:w="2835" w:type="pct"/>
            <w:shd w:val="clear" w:color="auto" w:fill="auto"/>
            <w:tcMar>
              <w:top w:w="100" w:type="dxa"/>
              <w:left w:w="100" w:type="dxa"/>
              <w:bottom w:w="100" w:type="dxa"/>
              <w:right w:w="100" w:type="dxa"/>
            </w:tcMar>
          </w:tcPr>
          <w:p w14:paraId="48AD2949" w14:textId="77777777" w:rsidR="00BC3405" w:rsidRPr="00BC3405" w:rsidRDefault="00BC3405" w:rsidP="00C9292B">
            <w:pPr>
              <w:pStyle w:val="Tabletext"/>
            </w:pPr>
            <w:r w:rsidRPr="00BC3405">
              <w:t>Sustainability performance (KPIs)*</w:t>
            </w:r>
          </w:p>
        </w:tc>
        <w:tc>
          <w:tcPr>
            <w:tcW w:w="2165" w:type="pct"/>
            <w:shd w:val="clear" w:color="auto" w:fill="auto"/>
            <w:tcMar>
              <w:top w:w="100" w:type="dxa"/>
              <w:left w:w="100" w:type="dxa"/>
              <w:bottom w:w="100" w:type="dxa"/>
              <w:right w:w="100" w:type="dxa"/>
            </w:tcMar>
          </w:tcPr>
          <w:p w14:paraId="3615B92D" w14:textId="77777777" w:rsidR="00BC3405" w:rsidRPr="00BC3405" w:rsidRDefault="00BC3405" w:rsidP="00C9292B">
            <w:pPr>
              <w:pStyle w:val="Tabletext"/>
              <w:rPr>
                <w:lang w:val="fr-FR"/>
              </w:rPr>
            </w:pPr>
            <w:r w:rsidRPr="00BC3405">
              <w:rPr>
                <w:lang w:val="fr-FR"/>
              </w:rPr>
              <w:fldChar w:fldCharType="begin" w:fldLock="1"/>
            </w:r>
            <w:r w:rsidRPr="00BC3405">
              <w:instrText>ADDIN CSL_CITATION {"citationItems":[{"id":"ITEM-1","itemData":{"DOI":"10.1002/bse.2593","ISSN":"10990836","abstract":"The pressures to make busi</w:instrText>
            </w:r>
            <w:r w:rsidRPr="00BC3405">
              <w:rPr>
                <w:lang w:val="fr-FR"/>
              </w:rPr>
              <w:instrText>ness operations sustainable have been pushing organizations to adopt circular economy (CE) principles. With depleting fossil resources, the oil and gas (O&amp;G) sector is pushed towards recycling limited resources available with it by leveraging CE principles. However, not many studies have been taken up how institutional pressures influence CE-targeted environmental and economic performances. Drawing on institutional theory, this study examines the moderated-mediation role of organization flexibility on the effects of institutional pressures on CE performance through environmental management systems (EMSs). Data are collected from 280 firms in Indian O&amp;G sector using questionnaire-based survey method. The study reveals that organizations leverage EMS to achieve CE performance, and flexible organizations compared with rigid ones are more effective in dealing with coercive pressures by leveraging EMS. These insights may help policymakers to formulate regulatory framework judiciously that encourages firms to adopt EMS in making their operations environmentally sustainable.","author":[{"dropping-particle":"","family":"Jain","given":"Nikunj Kumar","non-dropping-particle":"","parse-names":false,"suffix":""},{"dropping-particle":"","family":"Panda","given":"Abinash","non-dropping-particle":"","parse-names":false,"suffix":""},{"dropping-particle":"","family":"Choudhary","given":"Piyush","non-dropping-particle":"","parse-names":false,"suffix":""}],"container-title":"Business Strategy and the Environment","id":"ITEM-1","issue":"8","issued":{"date-parts":[["2020"]]},"page":"3509-3525","title":"Institutional pressures and circular economy performance: The role of environmental management system and organizational flexibility in oil and gas sector","type":"article-journal","volume":"29"},"uris":["http://www.mendeley.com/documents/?uuid=de13da22-10d7-4e8e-b0a8-7a0b28ea49ec"]}],"mendeley":{"formattedCitation":"(Jain et al., 2020)","plainTextFormattedCitation":"(Jain et al., 2020)","previouslyFormattedCitation":"(Jain et al., 2020)"},"properties":{"noteIndex":0},"schema":"https://github.com/citation-style-language/schema/raw/master/csl-citation.json"}</w:instrText>
            </w:r>
            <w:r w:rsidRPr="00BC3405">
              <w:rPr>
                <w:lang w:val="fr-FR"/>
              </w:rPr>
              <w:fldChar w:fldCharType="separate"/>
            </w:r>
            <w:r w:rsidRPr="00BC3405">
              <w:rPr>
                <w:noProof/>
                <w:lang w:val="fr-FR"/>
              </w:rPr>
              <w:t>(Jain et al., 2020)</w:t>
            </w:r>
            <w:r w:rsidRPr="00BC3405">
              <w:rPr>
                <w:lang w:val="fr-FR"/>
              </w:rPr>
              <w:fldChar w:fldCharType="end"/>
            </w:r>
            <w:r w:rsidRPr="00BC3405">
              <w:rPr>
                <w:lang w:val="fr-FR"/>
              </w:rPr>
              <w:br/>
            </w:r>
            <w:r w:rsidRPr="00BC3405">
              <w:fldChar w:fldCharType="begin" w:fldLock="1"/>
            </w:r>
            <w:r w:rsidRPr="00BC3405">
              <w:instrText>ADDIN CSL_CITATION {"citationItems":[{"id":"ITEM-1","itemData":{"DOI":"10.1016/j.jenvman.2020.110416","ISSN":"10958630","PMID":"32217311","abstract":"The literature on the diffusion of the circular economy (CE) rarely provides empirical evidence from emerging economies that face institutional voids and sustainability paradoxes. In contrast, drawing on stakeholder theory, in this paper we test a research framework capable of capturing the imbricated and complex relations among stakeholder pressure, barriers to and motivators of the CE, circular business models, and firms’ sustainable performance. Survey-based primary data was gathered from Brazilian industrial companies which lack regulatory clarity regarding the implementation of a CE. Our research results comprise both expected and unexpected outcomes: (i) differing from other countries, the relevance of regulatory stakeholders in Brazil could not be fully confirmed, adding complexity to the topic; (ii) unexpectedly, in this research, company owners/shareholders were the most salient stakeholders; (iii) stakeholders do indeed exert influence on how firms deal with barriers to and motivators of a CE; (iv) we found that internal barriers and internal motivators were perceived as more intense than external ones, which may create organizational tensions; (v) the adoption of a CE by firms tends to improve their sustainable performance; (vi) the previous possession of ISO 14001 and ISO 9001 certifications may control the way companies perceive the benefits of a CE.","author":[{"dropping-particle":"","family":"Chiappetta Jabbour","given":"Charbel Jose","non-dropping-particle":"","parse-names":false,"suffix":""},{"dropping-particle":"","family":"Seuring","given":"Stefan","non-dropping-particle":"","parse-names":false,"suffix":""},{"dropping-particle":"","family":"Lopes de Sousa Jabbour","given":"Ana Beatriz","non-dropping-particle":"","parse-names":false,"suffix":""},{"dropping-particle":"","family":"Jugend","given":"Daniel","non-dropping-particle":"","parse-names":false,"suffix":""},{"dropping-particle":"","family":"Camargo Fiorini","given":"Paula","non-dropping-particle":"De","parse-names":false,"suffix":""},{"dropping-particle":"","family":"Latan","given":"Hengky","non-dropping-particle":"","parse-names":false,"suffix":""},{"dropping-particle":"","family":"Izeppi","given":"Wagner Colucci","non-dropping-particle":"","parse-names":false,"suffix":""}],"container-title":"Journal of Environmental Management","id":"ITEM-1","issue":"March","issued":{"date-parts":[["2020"]]},"page":"110416","publisher":"Elsevier Ltd","title":"Stakeholders, innovative business models for the circular economy and sustainable performance of firms in an emerging economy facing institutional voids","type":"article-journal","volume":"264"},"uris":["http://www.mendeley.com/documents/?uuid=c8e1c2be-2828-4d37-b565-a7c763a6bbbf"]}],"mendeley":{"formattedCitation":"(Chiappetta Jabbour et al., 2020)","plainTextFormattedCitation":"(Chiappetta Jabbour et al., 2020)","previouslyFormattedCitation":"(Chiappetta Jabbour et al., 2020)"},"properties":{"noteIndex":0},"schema":"https://github.com/citation-style-language/schema/raw/master/csl-citation.json"}</w:instrText>
            </w:r>
            <w:r w:rsidRPr="00BC3405">
              <w:fldChar w:fldCharType="separate"/>
            </w:r>
            <w:r w:rsidRPr="00BC3405">
              <w:rPr>
                <w:noProof/>
              </w:rPr>
              <w:t>(Chiappetta Jabbour et al., 2020)</w:t>
            </w:r>
            <w:r w:rsidRPr="00BC3405">
              <w:fldChar w:fldCharType="end"/>
            </w:r>
            <w:r w:rsidRPr="00BC3405">
              <w:t xml:space="preserve"> </w:t>
            </w:r>
            <w:r w:rsidRPr="00BC3405">
              <w:br/>
            </w:r>
            <w:r w:rsidRPr="00BC3405">
              <w:rPr>
                <w:lang w:val="fr-FR"/>
              </w:rPr>
              <w:fldChar w:fldCharType="begin" w:fldLock="1"/>
            </w:r>
            <w:r w:rsidRPr="00BC3405">
              <w:rPr>
                <w:lang w:val="fr-FR"/>
              </w:rPr>
              <w:instrText>ADDIN CSL_CITATION {"citationItems":[{"id":"ITEM-1","itemData":{"DOI":"10.1002/bse.2940","author":[{"dropping-particle":"","family":"Maria","given":"Eleonora","non-dropping-particle":"Di","parse-names":false,"suffix":""},{"dropping-particle":"","family":"Marchi","given":"Valentina","non-dropping-particle":"De","parse-names":false,"suffix":""}],"container-title":"Business Strategy and the Environment","id":"ITEM-1","issue":"September 2020","issued":{"date-parts":[["2022"]]},"page":"1-14","title":"Industry 4 . 0 technologies and circular economy : The mediating role of supply chain integration","type":"article-journal"},"uris":["http://www.mendeley.com/documents/?uuid=72b1bfd5-8f52-4c7a-8a09-2c5924eb5ba0"]}],"mendeley":{"formattedCitation":"(Di Maria &amp; De Marchi, 2022)","plainTextFormattedCitation":"(Di Maria &amp; De Marchi, 2022)","previouslyFormattedCitation":"(Di Maria &amp; De Marchi, 2022)"},"properties":{"noteIndex":0},"schema":"https://github.com/citation-style-language/schema/raw/master/csl-citation.json"}</w:instrText>
            </w:r>
            <w:r w:rsidRPr="00BC3405">
              <w:rPr>
                <w:lang w:val="fr-FR"/>
              </w:rPr>
              <w:fldChar w:fldCharType="separate"/>
            </w:r>
            <w:r w:rsidRPr="00BC3405">
              <w:rPr>
                <w:noProof/>
                <w:lang w:val="fr-FR"/>
              </w:rPr>
              <w:t>(Di Maria &amp; De Marchi, 2022)</w:t>
            </w:r>
            <w:r w:rsidRPr="00BC3405">
              <w:rPr>
                <w:lang w:val="fr-FR"/>
              </w:rPr>
              <w:fldChar w:fldCharType="end"/>
            </w:r>
          </w:p>
        </w:tc>
      </w:tr>
      <w:tr w:rsidR="00BC3405" w:rsidRPr="00BC3405" w14:paraId="78D63C76" w14:textId="77777777" w:rsidTr="00BC3405">
        <w:trPr>
          <w:trHeight w:val="20"/>
          <w:jc w:val="center"/>
        </w:trPr>
        <w:tc>
          <w:tcPr>
            <w:tcW w:w="2835" w:type="pct"/>
            <w:shd w:val="clear" w:color="auto" w:fill="DBDBDB"/>
            <w:tcMar>
              <w:top w:w="100" w:type="dxa"/>
              <w:left w:w="100" w:type="dxa"/>
              <w:bottom w:w="100" w:type="dxa"/>
              <w:right w:w="100" w:type="dxa"/>
            </w:tcMar>
          </w:tcPr>
          <w:p w14:paraId="5EFE57C9" w14:textId="77777777" w:rsidR="00BC3405" w:rsidRPr="00BC3405" w:rsidRDefault="00BC3405" w:rsidP="00C9292B">
            <w:pPr>
              <w:pStyle w:val="Tabletext"/>
            </w:pPr>
            <w:r w:rsidRPr="00BC3405">
              <w:lastRenderedPageBreak/>
              <w:t xml:space="preserve">Incremental vs radical </w:t>
            </w:r>
          </w:p>
          <w:p w14:paraId="5E7A92F5" w14:textId="77777777" w:rsidR="00BC3405" w:rsidRPr="00BC3405" w:rsidRDefault="00BC3405" w:rsidP="00C9292B">
            <w:pPr>
              <w:pStyle w:val="Tabletext"/>
            </w:pPr>
            <w:r w:rsidRPr="00BC3405">
              <w:t>Symbolic/greenwashing vs challenge linear consumption</w:t>
            </w:r>
          </w:p>
        </w:tc>
        <w:tc>
          <w:tcPr>
            <w:tcW w:w="2165" w:type="pct"/>
            <w:shd w:val="clear" w:color="auto" w:fill="DBDBDB"/>
            <w:tcMar>
              <w:top w:w="100" w:type="dxa"/>
              <w:left w:w="100" w:type="dxa"/>
              <w:bottom w:w="100" w:type="dxa"/>
              <w:right w:w="100" w:type="dxa"/>
            </w:tcMar>
          </w:tcPr>
          <w:p w14:paraId="1F64B226" w14:textId="77777777" w:rsidR="00BC3405" w:rsidRPr="00BC3405" w:rsidRDefault="00BC3405" w:rsidP="00C9292B">
            <w:pPr>
              <w:pStyle w:val="Tabletext"/>
            </w:pPr>
            <w:r w:rsidRPr="00BC3405">
              <w:rPr>
                <w:lang w:val="fr-FR"/>
              </w:rPr>
              <w:fldChar w:fldCharType="begin" w:fldLock="1"/>
            </w:r>
            <w:r w:rsidRPr="00BC3405">
              <w:instrText>ADDIN CSL_CITATION {"citationItems":[{"id":"ITEM-1","itemData":{"DOI":"10.1002/bse.3108","author":[{"dropping-particle":"","family":"Arekrans","given":"Johan","non-dropping-particle":"","parse-names":false,"suffix":""},{"dropping-particle":"","family":"Ritzén","given":"Sofia","non-dropping-particle":"","parse-names":false,"suffix":""},{"dropping-particle":"","family":"Laurenti","given":"Rafael","non-dropping-particle":"","parse-names":false,"suffix":""}],"id":"ITEM-1","issue":"May 2021","issued":{"date-parts":[["2022"]]},"page":"1-21","title":"The role of radical innovation in circular strategy deployment","type":"article-journal"},"uris":["http://www.mendeley.com/documents/?uuid=208726cc-d02c-4606-be7e-90903c3a727c"]}],"mendeley":{"formattedCitation":"(Arekrans et al., 2022)","plainTextFormattedCitation":"(Arekrans et al., 2022)","previouslyFormattedCitation":"(Arekrans et al., 2022)"},"properties":{"noteIndex":0},"schema":"https://github.com/citation-style-language/schema/raw/master/csl-citation.json"}</w:instrText>
            </w:r>
            <w:r w:rsidRPr="00BC3405">
              <w:rPr>
                <w:lang w:val="fr-FR"/>
              </w:rPr>
              <w:fldChar w:fldCharType="separate"/>
            </w:r>
            <w:r w:rsidRPr="00BC3405">
              <w:rPr>
                <w:noProof/>
              </w:rPr>
              <w:t>(Arekrans et al., 2022)</w:t>
            </w:r>
            <w:r w:rsidRPr="00BC3405">
              <w:rPr>
                <w:lang w:val="fr-FR"/>
              </w:rPr>
              <w:fldChar w:fldCharType="end"/>
            </w:r>
          </w:p>
          <w:p w14:paraId="751319EB" w14:textId="77777777" w:rsidR="00BC3405" w:rsidRPr="00BC3405" w:rsidRDefault="00BC3405" w:rsidP="00C9292B">
            <w:pPr>
              <w:pStyle w:val="Tabletext"/>
            </w:pPr>
            <w:r w:rsidRPr="00BC3405">
              <w:t>from the interviews</w:t>
            </w:r>
          </w:p>
        </w:tc>
      </w:tr>
    </w:tbl>
    <w:p w14:paraId="5AA2F2F2" w14:textId="77777777" w:rsidR="00BC3405" w:rsidRDefault="00BC3405" w:rsidP="002F7336"/>
    <w:p w14:paraId="19208F2B" w14:textId="77777777" w:rsidR="00BC3405" w:rsidRPr="00017039" w:rsidRDefault="00BC3405" w:rsidP="002F7336">
      <w:r w:rsidRPr="00017039">
        <w:t xml:space="preserve">A second contribution </w:t>
      </w:r>
      <w:r>
        <w:t xml:space="preserve">is related to the </w:t>
      </w:r>
      <w:r w:rsidRPr="00017039">
        <w:t>concept of SCI</w:t>
      </w:r>
      <w:r>
        <w:t>.</w:t>
      </w:r>
      <w:r w:rsidRPr="00017039">
        <w:t xml:space="preserve"> </w:t>
      </w:r>
      <w:r>
        <w:t xml:space="preserve">In particular, </w:t>
      </w:r>
      <w:r w:rsidRPr="00017039">
        <w:t>study</w:t>
      </w:r>
      <w:r>
        <w:t xml:space="preserve">ing </w:t>
      </w:r>
      <w:r w:rsidRPr="00017039">
        <w:t xml:space="preserve">transitions </w:t>
      </w:r>
      <w:r>
        <w:t>towards a</w:t>
      </w:r>
      <w:r w:rsidRPr="00017039">
        <w:t xml:space="preserve"> CE</w:t>
      </w:r>
      <w:r>
        <w:t xml:space="preserve"> requires consideration of how supply chain structures and organisations are evolving. </w:t>
      </w:r>
      <w:r w:rsidRPr="00017039">
        <w:t xml:space="preserve">These supply chains </w:t>
      </w:r>
      <w:r>
        <w:t xml:space="preserve">might </w:t>
      </w:r>
      <w:r w:rsidRPr="00017039">
        <w:t>have developed specific capabilities and relationship links, which can provide an advantage</w:t>
      </w:r>
      <w:r>
        <w:t>,</w:t>
      </w:r>
      <w:r w:rsidRPr="00017039">
        <w:t xml:space="preserve"> and at the same time</w:t>
      </w:r>
      <w:r>
        <w:t>,</w:t>
      </w:r>
      <w:r w:rsidRPr="00017039">
        <w:t xml:space="preserve"> might contribute to </w:t>
      </w:r>
      <w:r>
        <w:t>creating conditions that</w:t>
      </w:r>
      <w:r w:rsidRPr="00017039">
        <w:t xml:space="preserve"> </w:t>
      </w:r>
      <w:r>
        <w:t xml:space="preserve">foster </w:t>
      </w:r>
      <w:r w:rsidRPr="00017039">
        <w:t>change. Discussions with expert</w:t>
      </w:r>
      <w:r>
        <w:t>s</w:t>
      </w:r>
      <w:r w:rsidRPr="00017039">
        <w:t xml:space="preserve"> highlighted that more integrated structures might also have </w:t>
      </w:r>
      <w:r>
        <w:t xml:space="preserve">undesired </w:t>
      </w:r>
      <w:r w:rsidRPr="00017039">
        <w:t xml:space="preserve">effects. Also, they identified further important aspects and capabilities that might be key in supporting the evolution towards more sustainable production and consumption systems, </w:t>
      </w:r>
      <w:r>
        <w:t>such as</w:t>
      </w:r>
      <w:r w:rsidRPr="00017039">
        <w:t xml:space="preserve"> agility</w:t>
      </w:r>
      <w:r>
        <w:t xml:space="preserve"> and</w:t>
      </w:r>
      <w:r w:rsidRPr="00017039">
        <w:t xml:space="preserve"> </w:t>
      </w:r>
      <w:r>
        <w:t xml:space="preserve">reduced </w:t>
      </w:r>
      <w:r w:rsidRPr="00017039">
        <w:t xml:space="preserve">dependence </w:t>
      </w:r>
      <w:r>
        <w:t>on</w:t>
      </w:r>
      <w:r w:rsidRPr="00017039">
        <w:t xml:space="preserve"> suppliers and customers. </w:t>
      </w:r>
      <w:r>
        <w:t>Therefore</w:t>
      </w:r>
      <w:r w:rsidRPr="00017039">
        <w:t xml:space="preserve">, future research should consider the complex effect of SCI aspects </w:t>
      </w:r>
      <w:r>
        <w:t>o</w:t>
      </w:r>
      <w:r w:rsidRPr="00017039">
        <w:t>n the relationship between the pressures a company face</w:t>
      </w:r>
      <w:r>
        <w:t>s</w:t>
      </w:r>
      <w:r w:rsidRPr="00017039">
        <w:t xml:space="preserve"> and its behaviour, both a technological and relational point of view. </w:t>
      </w:r>
    </w:p>
    <w:p w14:paraId="11211388" w14:textId="23842D96" w:rsidR="00BC3405" w:rsidRPr="00017039" w:rsidRDefault="00A77110" w:rsidP="00A77110">
      <w:r w:rsidRPr="00A77110">
        <w:t>It is worth mentioning that findings arising from this paper are also very relevant for industrial practice, as they are based on the interaction with a wide range of practitioners (who constituted the majority of the surveyed panel of experts) who are directly participating in changing existing companies in their day-to-day activities and have experience in the CE. Results could offer both practitioners and policymakers a better understanding of how the external environment influences businesses to adopt CE practices. Policymakers can then incorporate these findings into the development process of regulatory guidelines or policy action plans. Companies can benefit from recognising different types of responses to institutional pressures, as well as reflecting on how their level of SCI is going to affect the type of CE practice. The study also warns firms not to rely only on existing supply chain partners for more radical CE practices, but to experiment with others.</w:t>
      </w:r>
    </w:p>
    <w:p w14:paraId="687AB22C" w14:textId="3A8BCFCA" w:rsidR="00BC3405" w:rsidRPr="004D1CC3" w:rsidRDefault="00BC3405" w:rsidP="005035B4">
      <w:pPr>
        <w:pStyle w:val="Heading3"/>
      </w:pPr>
      <w:bookmarkStart w:id="170" w:name="_Toc157759547"/>
      <w:r>
        <w:t>I</w:t>
      </w:r>
      <w:r w:rsidRPr="004D1CC3">
        <w:t xml:space="preserve">nsights for </w:t>
      </w:r>
      <w:r>
        <w:t xml:space="preserve">the </w:t>
      </w:r>
      <w:r w:rsidRPr="00C80ADF">
        <w:t>operationalisation</w:t>
      </w:r>
      <w:r>
        <w:t xml:space="preserve"> of constructs</w:t>
      </w:r>
      <w:bookmarkEnd w:id="170"/>
    </w:p>
    <w:p w14:paraId="46121FB8" w14:textId="77777777" w:rsidR="00BC3405" w:rsidRDefault="00BC3405" w:rsidP="002F7336">
      <w:r w:rsidRPr="00115F33">
        <w:t xml:space="preserve">Recent academic debate around institutional pressures </w:t>
      </w:r>
      <w:r>
        <w:t>at the</w:t>
      </w:r>
      <w:r w:rsidRPr="00115F33">
        <w:t xml:space="preserve"> supply chain level </w:t>
      </w:r>
      <w:r w:rsidRPr="00577513">
        <w:t>has led to the development of</w:t>
      </w:r>
      <w:r w:rsidRPr="00115F33">
        <w:t xml:space="preserve"> </w:t>
      </w:r>
      <w:r>
        <w:t xml:space="preserve">more reliable </w:t>
      </w:r>
      <w:r w:rsidRPr="00115F33">
        <w:t>scales to measure their constructs</w:t>
      </w:r>
      <w:r>
        <w:t xml:space="preserve"> </w:t>
      </w:r>
      <w:r>
        <w:fldChar w:fldCharType="begin" w:fldLock="1"/>
      </w:r>
      <w:r>
        <w:instrText>ADDIN CSL_CITATION {"citationItems":[{"id":"ITEM-1","itemData":{"DOI":"10.1108/SCM-04-2021-0169","ISSN":"13598546","abstract":"Purpose: Increasing amount of empirical research in operations and supply chain management is using institutional theory as its theoretical lens. Yet, a common scale to measure the three institutional pressures – coercive, mimetic and normative – is lacking. Many studies use proxies or a single, grouped, construct of external pressures which present methodological challenges. This study aims to present the development of multi-item scales to measure institutional pressures (in a purchasing context). Design/methodology/approach: First, items were generated based on the theoretical construct definitions. These items were then tested through academic sorting and an international survey. The first empirical testing failed to produce reliable and valid scales, and further refinement and analysis revealed that coercive pressure splits into two separate constructs. A second q-sorting was then conducted with purchasing practitioners, followed by another survey in Italy to verify the new measurement scale for four institutional pressures. Findings: The multimethod and multistage measurement development reveals that empirically the three institutional pressures actually turn into four pressures. The theoretical construct of coercive pressure splits into two distinct constructs: coercive market pressure and coercive regulatory pressure. Originality/value: The results of the paper, namely, the measurement scales, are an important theoretical and methodological contribution to future empirical research. They present a much-needed measurement for these theoretical constructs increasingly used in management research.","author":[{"dropping-particle":"","family":"Kauppi","given":"Katri","non-dropping-particle":"","parse-names":false,"suffix":""},{"dropping-particle":"","family":"Luzzini","given":"Davide","non-dropping-particle":"","parse-names":false,"suffix":""}],"container-title":"Supply Chain Management","id":"ITEM-1","issue":"7","issued":{"date-parts":[["2022"]]},"page":"79-107","title":"Measuring institutional pressures in a supply chain context: scale development and testing","type":"article-journal","volume":"27"},"uris":["http://www.mendeley.com/documents/?uuid=1afea0dd-9928-4097-8b04-09edeec2ba26"]}],"mendeley":{"formattedCitation":"(Kauppi &amp; Luzzini, 2022)","plainTextFormattedCitation":"(Kauppi &amp; Luzzini, 2022)","previouslyFormattedCitation":"(Kauppi &amp; Luzzini, 2022)"},"properties":{"noteIndex":0},"schema":"https://github.com/citation-style-language/schema/raw/master/csl-citation.json"}</w:instrText>
      </w:r>
      <w:r>
        <w:fldChar w:fldCharType="separate"/>
      </w:r>
      <w:r w:rsidRPr="00F93428">
        <w:rPr>
          <w:noProof/>
        </w:rPr>
        <w:t xml:space="preserve">(Kauppi </w:t>
      </w:r>
      <w:r>
        <w:rPr>
          <w:noProof/>
        </w:rPr>
        <w:t>and</w:t>
      </w:r>
      <w:r w:rsidRPr="00F93428">
        <w:rPr>
          <w:noProof/>
        </w:rPr>
        <w:t xml:space="preserve"> Luzzini, 2022)</w:t>
      </w:r>
      <w:r>
        <w:fldChar w:fldCharType="end"/>
      </w:r>
      <w:r>
        <w:t>, which have overcome the limitations of previous approaches</w:t>
      </w:r>
      <w:r w:rsidRPr="00115F33">
        <w:t>.</w:t>
      </w:r>
      <w:r>
        <w:t xml:space="preserve"> In the CE literature, IPs have often been measured with proxies or bundled external pressure constructs </w:t>
      </w:r>
      <w:r>
        <w:fldChar w:fldCharType="begin" w:fldLock="1"/>
      </w:r>
      <w:r>
        <w:instrText>ADDIN CSL_CITATION {"citationItems":[{"id":"ITEM-1","itemData":{"DOI":"10.1016/j.jclepro.2019.05.044","ISSN":"09596526","abstract":"Much of the literature has investigated what the most innovative business models are in order to successfully implement circular economy principles within a company. However, the majority of modern companies are still based on traditional business models thus, it is important to study how to get these companies to adopt more circular practices. Data were collected through a questionnaire-based survey of 821 Italian companies. A cluster analysis was performed to classify their current level of implementation of the circular economy principles and a logit regression was carried out to identify the most effective drivers. Five clusters were identified: 1) “information-oriented companies” (24%), the best at communication and marketing-related activities, but the worst in relation to all the other aspects; 2) “linear companies” (41.6%), those that perform poorly in all five phases; 3) “green marketers” (15.5%), which perform well in relation to design, production and consumption; 4) “optimizers” (10.6%), which focus more on production and logistics and 5) “circular companies” (8.1%), those that register a good performance with respect to all aspects. The bad performers, clusters 1 and 2, also registered the worst economic results in the last three years, whereas the “circular champions” reported the best performance. Finally, the logit regression showed that economic drivers were the most effective at encouraging “linear companies” to adopt more circular business models. On the other hand, no significant evidence was found of any influence exerted by the drivers related to regulatory pressure, resource exploitation risks, and the pursuit of environmental values.","author":[{"dropping-particle":"","family":"Gusmerotti","given":"Natalia Marzia","non-dropping-particle":"","parse-names":false,"suffix":""},{"dropping-particle":"","family":"Testa","given":"Francesco","non-dropping-particle":"","parse-names":false,"suffix":""},{"dropping-particle":"","family":"Corsini","given":"Filippo","non-dropping-particle":"","parse-names":false,"suffix":""},{"dropping-particle":"","family":"Pretner","given":"Gaia","non-dropping-particle":"","parse-names":false,"suffix":""},{"dropping-particle":"","family":"Iraldo","given":"Fabio","non-dropping-particle":"","parse-names":false,"suffix":""}],"container-title":"Journal of Cleaner Production","id":"ITEM-1","issued":{"date-parts":[["2019"]]},"page":"314-327","publisher":"Elsevier Ltd","title":"Drivers and approaches to the circular economy in manufacturing firms","type":"article-journal","volume":"230"},"uris":["http://www.mendeley.com/documents/?uuid=dba2b38b-10ca-4ca4-9ac5-fec8ed7d491b"]}],"mendeley":{"formattedCitation":"(Gusmerotti et al., 2019)","plainTextFormattedCitation":"(Gusmerotti et al., 2019)","previouslyFormattedCitation":"(Gusmerotti et al., 2019)"},"properties":{"noteIndex":0},"schema":"https://github.com/citation-style-language/schema/raw/master/csl-citation.json"}</w:instrText>
      </w:r>
      <w:r>
        <w:fldChar w:fldCharType="separate"/>
      </w:r>
      <w:r w:rsidRPr="00E64756">
        <w:rPr>
          <w:noProof/>
        </w:rPr>
        <w:t>(Gusmerotti et al., 2019)</w:t>
      </w:r>
      <w:r>
        <w:fldChar w:fldCharType="end"/>
      </w:r>
      <w:r>
        <w:t xml:space="preserve">. </w:t>
      </w:r>
    </w:p>
    <w:p w14:paraId="4057B899" w14:textId="77777777" w:rsidR="00BC3405" w:rsidRDefault="00BC3405" w:rsidP="002F7336">
      <w:r>
        <w:lastRenderedPageBreak/>
        <w:t xml:space="preserve">The concept of </w:t>
      </w:r>
      <w:r w:rsidRPr="00115F33">
        <w:t xml:space="preserve">SCI </w:t>
      </w:r>
      <w:r>
        <w:t xml:space="preserve">has been </w:t>
      </w:r>
      <w:r w:rsidRPr="00115F33">
        <w:t>conceptualised in different ways</w:t>
      </w:r>
      <w:r>
        <w:t xml:space="preserve">. Some authors have distinguished </w:t>
      </w:r>
      <w:r w:rsidRPr="00115F33">
        <w:t>between relational and technological integration</w:t>
      </w:r>
      <w:r>
        <w:t xml:space="preserve"> constructs </w:t>
      </w:r>
      <w:r>
        <w:fldChar w:fldCharType="begin" w:fldLock="1"/>
      </w:r>
      <w:r>
        <w:instrText>ADDIN CSL_CITATION {"citationItems":[{"id":"ITEM-1","itemData":{"DOI":"10.1111/jscm.12013","ISSN":"1745493X","abstract":"As supply chain activities become more dispersed among customers, suppliers and service providers, there is an increased need for customers and suppliers to work together more closely. Supply chain integration (SCI) has been a highly researched topic during the last 20 years. A meta-analytic approach is used to provide a quantitative review of the empirical literature in SCI, and examines relevant design and contextual factors. Eighty independent samples across 86 peer-reviewed journal articles, yielding a total of 17,467 observations, were obtained and analyzed. While general support exists in favor of the positive impact of SCI on firm performance in the literature, this research helps clarify mixed findings that presently exist. Our results indicate that there is a positive and significant correlation between SCI and firm performance. Additional subgroups and moderators are tested and provide nuanced views of the scope and specific dimensions of SCI, firm performance and their relationships. © 2013 Institute for Supply Management, Inc.","author":[{"dropping-particle":"","family":"Leuschner","given":"Rudolf","non-dropping-particle":"","parse-names":false,"suffix":""},{"dropping-particle":"","family":"Rogers","given":"Dale S.","non-dropping-particle":"","parse-names":false,"suffix":""},{"dropping-particle":"","family":"Charvet","given":"François F.","non-dropping-particle":"","parse-names":false,"suffix":""}],"container-title":"Journal of Supply Chain Management","id":"ITEM-1","issue":"2","issued":{"date-parts":[["2013"]]},"page":"34-57","title":"A meta-analysis of supply chain integration and firm performance","type":"article-journal","volume":"49"},"uris":["http://www.mendeley.com/documents/?uuid=88c25c99-b1da-4f84-a9d7-bc13397904d6"]}],"mendeley":{"formattedCitation":"(Leuschner et al., 2013)","plainTextFormattedCitation":"(Leuschner et al., 2013)","previouslyFormattedCitation":"(Leuschner et al., 2013)"},"properties":{"noteIndex":0},"schema":"https://github.com/citation-style-language/schema/raw/master/csl-citation.json"}</w:instrText>
      </w:r>
      <w:r>
        <w:fldChar w:fldCharType="separate"/>
      </w:r>
      <w:r w:rsidRPr="00186E98">
        <w:rPr>
          <w:noProof/>
        </w:rPr>
        <w:t>(Leuschner et al., 2013)</w:t>
      </w:r>
      <w:r>
        <w:fldChar w:fldCharType="end"/>
      </w:r>
      <w:r>
        <w:t xml:space="preserve">, while others have </w:t>
      </w:r>
      <w:r w:rsidRPr="00115F33">
        <w:t>use</w:t>
      </w:r>
      <w:r>
        <w:t>d</w:t>
      </w:r>
      <w:r w:rsidRPr="00115F33">
        <w:t xml:space="preserve"> the concept of arcs of integration</w:t>
      </w:r>
      <w:r>
        <w:t xml:space="preserve"> to look at diff</w:t>
      </w:r>
      <w:r w:rsidRPr="00115F33">
        <w:t>erent aspects of integration</w:t>
      </w:r>
      <w:r>
        <w:t xml:space="preserve"> </w:t>
      </w:r>
      <w:r>
        <w:fldChar w:fldCharType="begin" w:fldLock="1"/>
      </w:r>
      <w:r>
        <w:instrText>ADDIN CSL_CITATION {"citationItems":[{"id":"ITEM-1","itemData":{"DOI":"10.1016/S0272-6963(00)00055-3","ISSN":"02726963","abstract":"Though there is a wide acceptance of the strategic importance of integrating operations with suppliers and customers in supply chains, many questions remain unanswered about how best to characterize supply chain strategies. Is it more important to link with suppliers, customers, or both? Similarly, we know little about the connections between supplier and customer integration and improved operations performance. This paper investigated supplier and customer integration strategies in a global sample of 322 manufacturers. Scales were developed for measuring supply chain integration and five different strategies were identified in the sample. Each of these strategies is characterized by a different `arc of integration', representing the direction (towards suppliers and/or customers) and degree of integration activity. There was consistent evidence that the widest degree of arc of integration with both suppliers and customers had the strongest association with performance improvement. The implications for our findings on future research and practice in the new millennium are considered.","author":[{"dropping-particle":"","family":"Frohlich","given":"Markham T.","non-dropping-particle":"","parse-names":false,"suffix":""},{"dropping-particle":"","family":"Westbrook","given":"Roy","non-dropping-particle":"","parse-names":false,"suffix":""}],"container-title":"Journal of Operations Management","id":"ITEM-1","issue":"2","issued":{"date-parts":[["2001"]]},"page":"185-200","title":"Arcs of integration: An international study of supply chain strategies","type":"article-journal","volume":"19"},"uris":["http://www.mendeley.com/documents/?uuid=7dab76ac-81c3-4b68-9d23-87ca23782cf9"]},{"id":"ITEM-2","itemData":{"DOI":"10.1016/j.jom.2011.09.001","ISSN":"02726963","abstract":"This paper revisits Frohlich and Westbrook's arcs of integration concept [Arcs of integration: an international study of supply chain strategies. Journal of Operations Management 2001, 19 (2) pp. 185-200]. Using survey responses from 403 supply chain professionals, we compare the arcs of integration group memberships generated with our sample to the original study, rationalize the classification scheme, and assess the impact of supply chain integration strategies on quality, delivery, flexibility and cost performance. In doing so we cross-validate Frohlich and Westbrook's framework with a more recent and broader sample of data utilizing multi-dimensional performance measures collected from supply chain managers. We ground these relationships in the relational and resource-based views of the firm. We also extend Frohlich and Westbrook's study by investigating the moderating role of internal integration on the relationships between arcs of integration and performance. In accordance with information processing theory, the results indicate that internal integration strengthens the positive impacts of external integration on both delivery and flexibility performance. However, the theory is not supported for either quality or cost performance. Overall, our study confirms and extends the work of Frohlich and Westbrook, augments theories used to describe supply chain integration efforts, and provides practical implications for managers. © 2011 Elsevier B.V. All rights reserved.","author":[{"dropping-particle":"","family":"Schoenherr","given":"Tobias","non-dropping-particle":"","parse-names":false,"suffix":""},{"dropping-particle":"","family":"Swink","given":"Morgan","non-dropping-particle":"","parse-names":false,"suffix":""}],"container-title":"Journal of Operations Management","id":"ITEM-2","issue":"1-2","issued":{"date-parts":[["2012"]]},"page":"99-115","title":"Revisiting the arcs of integration: Cross-validations and extensions","type":"article-journal","volume":"30"},"uris":["http://www.mendeley.com/documents/?uuid=c3b19ce0-0aef-421b-8d4c-a0c9c19dcca4"]}],"mendeley":{"formattedCitation":"(Frohlich &amp; Westbrook, 2001; Schoenherr &amp; Swink, 2012)","plainTextFormattedCitation":"(Frohlich &amp; Westbrook, 2001; Schoenherr &amp; Swink, 2012)","previouslyFormattedCitation":"(Frohlich &amp; Westbrook, 2001; Schoenherr &amp; Swink, 2012)"},"properties":{"noteIndex":0},"schema":"https://github.com/citation-style-language/schema/raw/master/csl-citation.json"}</w:instrText>
      </w:r>
      <w:r>
        <w:fldChar w:fldCharType="separate"/>
      </w:r>
      <w:r w:rsidRPr="00186E98">
        <w:rPr>
          <w:noProof/>
        </w:rPr>
        <w:t xml:space="preserve">(Frohlich </w:t>
      </w:r>
      <w:r>
        <w:rPr>
          <w:noProof/>
        </w:rPr>
        <w:t>and</w:t>
      </w:r>
      <w:r w:rsidRPr="00186E98">
        <w:rPr>
          <w:noProof/>
        </w:rPr>
        <w:t xml:space="preserve"> Westbrook, 2001; Schoenherr </w:t>
      </w:r>
      <w:r>
        <w:rPr>
          <w:noProof/>
        </w:rPr>
        <w:t>and</w:t>
      </w:r>
      <w:r w:rsidRPr="00186E98">
        <w:rPr>
          <w:noProof/>
        </w:rPr>
        <w:t xml:space="preserve"> Swink, 2012)</w:t>
      </w:r>
      <w:r>
        <w:fldChar w:fldCharType="end"/>
      </w:r>
      <w:r w:rsidRPr="00115F33">
        <w:t xml:space="preserve">. These dimensions </w:t>
      </w:r>
      <w:r>
        <w:t>have been</w:t>
      </w:r>
      <w:r w:rsidRPr="00115F33">
        <w:t xml:space="preserve"> used and validated by</w:t>
      </w:r>
      <w:r>
        <w:t xml:space="preserve"> the</w:t>
      </w:r>
      <w:r w:rsidRPr="00115F33">
        <w:t xml:space="preserve"> IMSS project in a number of empirical studies</w:t>
      </w:r>
      <w:r>
        <w:t xml:space="preserve"> </w:t>
      </w:r>
      <w:r>
        <w:fldChar w:fldCharType="begin" w:fldLock="1"/>
      </w:r>
      <w:r>
        <w:instrText>ADDIN CSL_CITATION {"citationItems":[{"id":"ITEM-1","itemData":{"DOI":"10.1080/00207543.2014.935515","ISSN":"1366588X","abstract":"Though most scholars recognise that supply chain integration (SCI) can contribute to improving operational performance, previous studies on the SCI-performance link showed mixed results and several questions on this issue remain still open. In line with a configurational perspective, this study investigates whether plants adopting multiple integration practices (i.e. full SCI adopters) perform better than plants implementing only some selected SCI practices (i.e. partial adopters) and plants which do not implement any SCI practice (i.e. non-adopters). In addition, it analyses whether partial adopters show a superior performance compared to non-adopters. Analyses based on a sample of 317 manufacturing plants reveal that full adopters perform better than non-adopters, in terms of quality, delivery, flexibility and efficiency. Among partial adopters, a particular SCI pattern, characterised by a high level of internal integration and supply chain planning, differs from non-adopters in terms of delivery, and shows results similar to full adopters in terms of quality and efficiency. More surprisingly, the other patterns of partial adopters do not significantly differ from non-adopters in any performance dimensions, and underperform full adopters in each performance. This suggests that in order to maximise SCI benefits companies should lever on multiple integration practices, and that in some cases focusing only on selected integration activities can be useless. A further interesting implication is that companies can cumulatively increase their operational performance towards a full exploitation of SCI benefits by following a certain sequence of SCI practices.","author":[{"dropping-particle":"","family":"Danese","given":"Pamela","non-dropping-particle":"","parse-names":false,"suffix":""},{"dropping-particle":"","family":"Bortolotti","given":"Thomas","non-dropping-particle":"","parse-names":false,"suffix":""}],"container-title":"International Journal of Production Research","id":"ITEM-1","issue":"23","issued":{"date-parts":[["2014"]]},"page":"7062-7083","publisher":"Taylor &amp; Francis","title":"Supply chain integration patterns and operational performance: A plant-level survey-based analysis","type":"article-journal","volume":"52"},"uris":["http://www.mendeley.com/documents/?uuid=09eade4d-b219-4a4c-b242-8f0e18f89ae9"]},{"id":"ITEM-2","itemData":{"DOI":"10.1108/SCM-04-2014-0120","ISSN":"13598546","abstract":"Purpose-This paper aims to report the results of an empirical study examining the operational, environmental and social sustainability performance impact of supply chain integration (SCI) width and depth in the form of coordinative and collaborative SCI. Design/methodology/approach-A questionnaire was sent to operations managers located in India. The data collection effort was part of the International Manufacturing Strategy Survey. Following the approaches by Frohlich and Westbrook (2001) and Schoenherr and Swink (2012), cluster analysis and analysis of covariance methods were conducted. Findings-This study supports previous studies proposing that wider SCI including customers and suppliers positively impact on performance. The authors also shed light on previous contradictory results, illustrating that different level of SCI depth (i.e. coordinative and collaborative practices) lead to different operational and sustainability performance outcomes. Thus, challenging the view of the general SCI-performance improvement hypothesis. Originality/value-Although research on SCI has advanced over the past years, there is still controversy about the SCI-performance relationship. Through considering SCI depth in terms of coordinative and collaborative practices, the authors provide a more nuanced view on its potential performance benefits. Therefore, this paper will be beneficial for supply chain managers considering SCI and future supply chain management research.","author":[{"dropping-particle":"","family":"Wiengarten","given":"Frank","non-dropping-particle":"","parse-names":false,"suffix":""},{"dropping-particle":"","family":"Longoni","given":"Annachiara","non-dropping-particle":"","parse-names":false,"suffix":""}],"container-title":"Supply Chain Management","id":"ITEM-2","issue":"2","issued":{"date-parts":[["2015"]]},"page":"139-150","title":"A nuanced view on supply chain integration: A coordinative and collaborative approach to operational and sustainability performance improvement","type":"article-journal","volume":"20"},"uris":["http://www.mendeley.com/documents/?uuid=174b8afa-dd16-4160-947a-5442a28b75d4"]}],"mendeley":{"formattedCitation":"(Danese &amp; Bortolotti, 2014; Wiengarten &amp; Longoni, 2015)","plainTextFormattedCitation":"(Danese &amp; Bortolotti, 2014; Wiengarten &amp; Longoni, 2015)","previouslyFormattedCitation":"(Danese &amp; Bortolotti, 2014; Wiengarten &amp; Longoni, 2015)"},"properties":{"noteIndex":0},"schema":"https://github.com/citation-style-language/schema/raw/master/csl-citation.json"}</w:instrText>
      </w:r>
      <w:r>
        <w:fldChar w:fldCharType="separate"/>
      </w:r>
      <w:r w:rsidRPr="00186E98">
        <w:rPr>
          <w:noProof/>
        </w:rPr>
        <w:t xml:space="preserve">(Danese </w:t>
      </w:r>
      <w:r>
        <w:rPr>
          <w:noProof/>
        </w:rPr>
        <w:t>and</w:t>
      </w:r>
      <w:r w:rsidRPr="00186E98">
        <w:rPr>
          <w:noProof/>
        </w:rPr>
        <w:t xml:space="preserve"> Bortolotti, 2014; Wiengarten </w:t>
      </w:r>
      <w:r>
        <w:rPr>
          <w:noProof/>
        </w:rPr>
        <w:t>and</w:t>
      </w:r>
      <w:r w:rsidRPr="00186E98">
        <w:rPr>
          <w:noProof/>
        </w:rPr>
        <w:t xml:space="preserve"> Longoni, 2015)</w:t>
      </w:r>
      <w:r>
        <w:fldChar w:fldCharType="end"/>
      </w:r>
      <w:r w:rsidRPr="00115F33">
        <w:t>.</w:t>
      </w:r>
      <w:r>
        <w:t xml:space="preserve">  </w:t>
      </w:r>
    </w:p>
    <w:p w14:paraId="0051AEDC" w14:textId="77777777" w:rsidR="00BC3405" w:rsidRDefault="00BC3405" w:rsidP="002F7336">
      <w:pPr>
        <w:rPr>
          <w:color w:val="000000" w:themeColor="text1"/>
        </w:rPr>
      </w:pPr>
      <w:r w:rsidRPr="00CF6C2D">
        <w:t>Experts</w:t>
      </w:r>
      <w:r>
        <w:t>’</w:t>
      </w:r>
      <w:r w:rsidRPr="00115F33">
        <w:t xml:space="preserve"> perspectives were particularly useful </w:t>
      </w:r>
      <w:r>
        <w:t>in suggesting</w:t>
      </w:r>
      <w:r w:rsidRPr="00115F33">
        <w:t xml:space="preserve"> new dimensions </w:t>
      </w:r>
      <w:r>
        <w:t>to consider</w:t>
      </w:r>
      <w:r w:rsidRPr="00115F33">
        <w:t xml:space="preserve"> when measuring</w:t>
      </w:r>
      <w:r>
        <w:t xml:space="preserve"> </w:t>
      </w:r>
      <w:r w:rsidRPr="00115F33">
        <w:t>CE outcomes (</w:t>
      </w:r>
      <w:r>
        <w:rPr>
          <w:lang w:eastAsia="zh-CN"/>
        </w:rPr>
        <w:t>see Recommendations R1 to R5, Table 6</w:t>
      </w:r>
      <w:r w:rsidRPr="00115F33">
        <w:t xml:space="preserve">), </w:t>
      </w:r>
      <w:r>
        <w:t>in addition to</w:t>
      </w:r>
      <w:r w:rsidRPr="00115F33">
        <w:t xml:space="preserve"> those already used in recent literature</w:t>
      </w:r>
      <w:r>
        <w:t xml:space="preserve"> (Table 5)</w:t>
      </w:r>
      <w:r w:rsidRPr="00115F33">
        <w:t xml:space="preserve">. CE practices were often classified </w:t>
      </w:r>
      <w:r>
        <w:t xml:space="preserve">by </w:t>
      </w:r>
      <w:r w:rsidRPr="00115F33">
        <w:t xml:space="preserve">distinguishing among different R-imperatives </w:t>
      </w:r>
      <w:r w:rsidRPr="00115F33">
        <w:fldChar w:fldCharType="begin" w:fldLock="1"/>
      </w:r>
      <w:r w:rsidRPr="00115F33">
        <w:instrText>ADDIN CSL_CITATION {"citationItems":[{"id":"ITEM-1","itemData":{"DOI":"10.1016/j.resconrec.2017.08.027","ISSN":"18790658","abstract":"Over the last decade, the concept of the circular economy has regained attention, especially related to efforts to achieve a more sustainable society. The ‘revival’ of the circular economy has been accompanied by controversies and confusions across different actors in science and practice. With this article we attempt at contributing to advanced clarity in the field and providing a heuristic that is useful in practice. Initially, we take a focus on the historical development of the concept of circular economy and value retention options (ROs) for products and materials aiming for increased circularity. We propose to distinguish three phases in the evolution of the circular economy and argue that the concept - in its dominant framing - is not as new as frequently claimed. Having established this background knowledge, we give insights into ‘how far we are’ globally, with respect to the implementation of circularity, arguing that high levels of circularity have already been reached in different parts of the globe with regard to longer loop value retention options, such as energy recovery and recycling. Subsequently, we show that the confusion surrounding the circular economy is more far reaching. We summarize the divergent perspectives on retention options and unite the most common views a 10R typology. From our analyses, we conclude that policymakers and businesses should focus their efforts on realization of the more desirable, shorter loop retention options, like remanufacturing, refurbishing and repurposing - yet with a view on feasibility and overall system effects. Scholars, on the other hand, should assist the parties contributing to an increased circular economy in practice by taking up a more active role in attaining consensus in conceptualizing the circular economy.","author":[{"dropping-particle":"","family":"Reike","given":"Denise","non-dropping-particle":"","parse-names":false,"suffix":""},{"dropping-particle":"","family":"Vermeulen","given":"Walter J.V.","non-dropping-particle":"","parse-names":false,"suffix":""},{"dropping-particle":"","family":"Witjes","given":"Sjors","non-dropping-particle":"","parse-names":false,"suffix":""}],"container-title":"Resources, Conservation and Recycling","id":"ITEM-1","issue":"February 2017","issued":{"date-parts":[["2018"]]},"page":"246-264","publisher":"Elsevier","title":"The circular economy: New or Refurbished as CE 3.0? — Exploring Controversies in the Conceptualization of the Circular Economy through a Focus on History and Resource Value Retention Options","type":"article-journal","volume":"135"},"uris":["http://www.mendeley.com/documents/?uuid=09412fec-be32-47b9-b913-6228672a41af"]},{"id":"ITEM-2","itemData":{"DOI":"10.1016/j.jclepro.2019.06.349","ISSN":"09596526","abstract":"This article examines and conceptualizes the implications of the adoption of circular economy (CE) business models on operations management (OM) decision-making processes, in the areas of product design, production planning and control, and logistics/supply chains. A systematic literature review was conducted in order to identify and examine the following key areas: (1) the new demands faced by OM decision-making regarding changes in capability, work procedures, intra- and inter-organizational relationships and technologies; (2) the specific changes OM decision-making must make in order to support CE business models (based on the ReSOLVE framework); and (3) guidelines which will help designers and operations and logistics/supply chain managers develop the necessary skills to meet society and the global market's emerging demands. The findings of this research will allow operations managers to foresee the unfolding needs for capacity building in CE, and scholars can build on the results of this article to develop new research themes. Furthermore, this is the first article to describe the ways in which OM knowledge can support the transition towards the circular economy based on the perspective of dynamic capabilities.","author":[{"dropping-particle":"","family":"Lopes de Sousa Jabbour","given":"Ana Beatriz","non-dropping-particle":"","parse-names":false,"suffix":""},{"dropping-particle":"","family":"Rojas Luiz","given":"Joao Victor","non-dropping-particle":"","parse-names":false,"suffix":""},{"dropping-particle":"","family":"Rojas Luiz","given":"Octaviano","non-dropping-particle":"","parse-names":false,"suffix":""},{"dropping-particle":"","family":"Jabbour","given":"Charbel Jose Chiappetta","non-dropping-particle":"","parse-names":false,"suffix":""},{"dropping-particle":"","family":"Ndubisi","given":"Nelson Oly","non-dropping-particle":"","parse-names":false,"suffix":""},{"dropping-particle":"","family":"Caldeira de Oliveira","given":"Jorge Henrique","non-dropping-particle":"","parse-names":false,"suffix":""},{"dropping-particle":"","family":"Junior","given":"Flavio Horneaux","non-dropping-particle":"","parse-names":false,"suffix":""}],"container-title":"Journal of Cleaner Production","id":"ITEM-2","issued":{"date-parts":[["2019"]]},"page":"1525-1539","publisher":"Elsevier Ltd","title":"Circular economy business models and operations management","type":"article-journal","volume":"235"},"uris":["http://www.mendeley.com/documents/?uuid=bb8d78ab-5d76-4520-a805-cbea2303b5cd"]}],"mendeley":{"formattedCitation":"(Reike et al., 2018; Lopes de Sousa Jabbour et al., 2019)","plainTextFormattedCitation":"(Reike et al., 2018; Lopes de Sousa Jabbour et al., 2019)","previouslyFormattedCitation":"(Reike et al., 2018; Lopes de Sousa Jabbour et al., 2019)"},"properties":{"noteIndex":0},"schema":"https://github.com/citation-style-language/schema/raw/master/csl-citation.json"}</w:instrText>
      </w:r>
      <w:r w:rsidRPr="00115F33">
        <w:fldChar w:fldCharType="separate"/>
      </w:r>
      <w:r w:rsidRPr="00115F33">
        <w:rPr>
          <w:noProof/>
        </w:rPr>
        <w:t>(Reike et al., 2018; Lopes de Sousa Jabbour et al., 2019)</w:t>
      </w:r>
      <w:r w:rsidRPr="00115F33">
        <w:fldChar w:fldCharType="end"/>
      </w:r>
      <w:r w:rsidRPr="00115F33">
        <w:t xml:space="preserve">, the supply chain process involved </w:t>
      </w:r>
      <w:r w:rsidRPr="00115F33">
        <w:fldChar w:fldCharType="begin" w:fldLock="1"/>
      </w:r>
      <w:r w:rsidRPr="00115F33">
        <w:instrText>ADDIN CSL_CITATION {"citationItems":[{"id":"ITEM-1","itemData":{"DOI":"10.1016/j.jclepro.2020.121968","ISSN":"09596526","abstract":"Today, economic activity is predominantly characterized by a linear transformation of natural resources to production, consumption, and (ultimately) to waste. The Circular Economy (CE) seeks to overcome this by promoting reduction, reuse, recycling, and recovery, but its reflection in the environmental reporting of manufacturing companies remains unclear. By applying neo-institutional theory, we seek to explain how institutional pressures affect environmental reporting from CE perspective. Qualitative content analysis and statistical methods (ANOVA and PCA) were employed to provide original empirical evidence from 226 large manufacturing companies from different industries in the European Union. We found that manufacturing companies, as might be not expected, seek to legitimate their own position and actions by reflecting institutional logics that are centered on normative factors and best practices rather than legislative requirements. We believe this is an important observation particularly for the standard settlers and professional bodies as sustainability reporting guidelines and third-parties assurances may act as facilitators of translating circular business practices into companies‘ reports. The results obtained can also be applied to corporate decision-making processes regarding creating or redesign of environmental performance measurement and the improvement of external reporting. Practitioners can compare the prevailing profiles of CE environmental reporting in the analyzed companies with the disclosure strategies they are applying. By improving reporting on CE, manufacturing companies can gain more legitimacy among others, shareholders, employees and society as a whole.","author":[{"dropping-particle":"","family":"Dagiliene","given":"Lina","non-dropping-particle":"","parse-names":false,"suffix":""},{"dropping-particle":"","family":"Frendzel","given":"Maciej","non-dropping-particle":"","parse-names":false,"suffix":""},{"dropping-particle":"","family":"Sutiene","given":"Kristina","non-dropping-particle":"","parse-names":false,"suffix":""},{"dropping-particle":"","family":"Wnuk-Pel","given":"Tomasz","non-dropping-particle":"","parse-names":false,"suffix":""}],"container-title":"Journal of Cleaner Production","id":"ITEM-1","issued":{"date-parts":[["2020"]]},"note":"very good limitations\nperiod of interest","page":"121968","publisher":"Elsevier Ltd","title":"Wise managers think about circular economy, wiser report and analyze it. Research of environmental reporting practices in EU manufacturing companies","type":"article-journal","volume":"274"},"uris":["http://www.mendeley.com/documents/?uuid=a642ba05-078a-48cc-8b09-9d9ea935e3d0"]}],"mendeley":{"formattedCitation":"(Dagiliene et al., 2020)","plainTextFormattedCitation":"(Dagiliene et al., 2020)","previouslyFormattedCitation":"(Dagiliene et al., 2020)"},"properties":{"noteIndex":0},"schema":"https://github.com/citation-style-language/schema/raw/master/csl-citation.json"}</w:instrText>
      </w:r>
      <w:r w:rsidRPr="00115F33">
        <w:fldChar w:fldCharType="separate"/>
      </w:r>
      <w:r w:rsidRPr="00115F33">
        <w:rPr>
          <w:noProof/>
        </w:rPr>
        <w:t>(Dagiliene et al., 2020)</w:t>
      </w:r>
      <w:r w:rsidRPr="00115F33">
        <w:fldChar w:fldCharType="end"/>
      </w:r>
      <w:r w:rsidRPr="00115F33">
        <w:t xml:space="preserve">, the level of their </w:t>
      </w:r>
      <w:r w:rsidRPr="00D44680">
        <w:rPr>
          <w:color w:val="000000" w:themeColor="text1"/>
        </w:rPr>
        <w:t xml:space="preserve">implementation and the degree of involvement of supply chain partners </w:t>
      </w:r>
      <w:r w:rsidRPr="00D44680">
        <w:rPr>
          <w:color w:val="000000" w:themeColor="text1"/>
        </w:rPr>
        <w:fldChar w:fldCharType="begin" w:fldLock="1"/>
      </w:r>
      <w:r w:rsidRPr="00D44680">
        <w:rPr>
          <w:color w:val="000000" w:themeColor="text1"/>
        </w:rPr>
        <w:instrText>ADDIN CSL_CITATION {"citationItems":[{"id":"ITEM-1","itemData":{"DOI":"10.1016/j.jclepro.2021.127616","ISSN":"09596526","author":[{"dropping-particle":"","family":"Calzolari","given":"Tommaso","non-dropping-particle":"","parse-names":false,"suffix":""},{"dropping-particle":"","family":"Genovese","given":"Andrea","non-dropping-particle":"","parse-names":false,"suffix":""},{"dropping-particle":"","family":"Brint","given":"Andrew","non-dropping-particle":"","parse-names":false,"suffix":""}],"container-title":"Journal of Cleaner Production","id":"ITEM-1","issue":"November 2020","issued":{"date-parts":[["2021"]]},"page":"127616","publisher":"Elsevier Ltd","title":"The adoption of circular economy practices in supply chains – An assessment of European Multi-National Enterprises","type":"article-journal","volume":"312"},"uris":["http://www.mendeley.com/documents/?uuid=838718f9-19a1-4ef2-9bec-c6c091ab7ca0"]}],"mendeley":{"formattedCitation":"(Calzolari et al., 2021)","plainTextFormattedCitation":"(Calzolari et al., 2021)","previouslyFormattedCitation":"(Calzolari et al., 2021)"},"properties":{"noteIndex":0},"schema":"https://github.com/citation-style-language/schema/raw/master/csl-citation.json"}</w:instrText>
      </w:r>
      <w:r w:rsidRPr="00D44680">
        <w:rPr>
          <w:color w:val="000000" w:themeColor="text1"/>
        </w:rPr>
        <w:fldChar w:fldCharType="separate"/>
      </w:r>
      <w:r w:rsidRPr="00D44680">
        <w:rPr>
          <w:noProof/>
          <w:color w:val="000000" w:themeColor="text1"/>
        </w:rPr>
        <w:t>(Calzolari et al., 2021)</w:t>
      </w:r>
      <w:r w:rsidRPr="00D44680">
        <w:rPr>
          <w:color w:val="000000" w:themeColor="text1"/>
        </w:rPr>
        <w:fldChar w:fldCharType="end"/>
      </w:r>
      <w:r>
        <w:rPr>
          <w:color w:val="000000" w:themeColor="text1"/>
        </w:rPr>
        <w:t>,</w:t>
      </w:r>
      <w:r w:rsidRPr="00D44680">
        <w:rPr>
          <w:color w:val="000000" w:themeColor="text1"/>
        </w:rPr>
        <w:t xml:space="preserve"> and the lifecycle phase involved </w:t>
      </w:r>
      <w:r w:rsidRPr="00D44680">
        <w:rPr>
          <w:color w:val="000000" w:themeColor="text1"/>
        </w:rPr>
        <w:fldChar w:fldCharType="begin" w:fldLock="1"/>
      </w:r>
      <w:r w:rsidRPr="00D44680">
        <w:rPr>
          <w:color w:val="000000" w:themeColor="text1"/>
        </w:rPr>
        <w:instrText>ADDIN CSL_CITATION {"citationItems":[{"id":"ITEM-1","itemData":{"DOI":"10.1016/j.jclepro.2020.122966","ISSN":"09596526","abstract":"The Circular Economy (CE) paradigm is gaining increasing attention from both researchers and practitioners in the manufacturing industry, as a way to realize a more sustainable use of natural resources. Academics are still trying to build theoretical foundation, working on a shared CE definition and investigating drivers, barriers and challenges. However, a specific analysis about how Supply Chains (SCs) are adopting CE strategies is still missing. This work is an attempt to fill this gap through an empirical analysis of a sample of 98 companies that declare to have started CE initiatives. The aim is to analyze the relationship between the level of SC integration and the adopted CE strategies (e.g. the number of objectives pursued, the life cycle phases impacted by CE). A sample of companies, which have declared to adopt CE strategies in their organizations, has been analyzed in order to extract knowledge from the industrial field. Although the sample in analysis is limited, some feedbacks can be outlined. The developed statistical analysis shows that: (i) there is a strict correlation between the level of external integration applied by the company and the number of CE objectives pursued; (ii) a higher SC integration might lead to a higher number of product/service LC phases impacted; (iii) the integration level has also an influence on the presence of impacts in the LC phases. This output could suggest that an effective CE adoption requires involving more value-added activities, usually controlled by different actors in the SC. A final discussion outlines the main highlights of this research.","author":[{"dropping-particle":"","family":"Elia","given":"Valerio","non-dropping-particle":"","parse-names":false,"suffix":""},{"dropping-particle":"","family":"Gnoni","given":"Maria Grazia","non-dropping-particle":"","parse-names":false,"suffix":""},{"dropping-particle":"","family":"Tornese","given":"Fabiana","non-dropping-particle":"","parse-names":false,"suffix":""}],"container-title":"Journal of Cleaner Production","id":"ITEM-1","issued":{"date-parts":[["2020"]]},"page":"122966","publisher":"Elsevier Ltd","title":"Evaluating the adoption of circular economy practices in industrial supply chains: An empirical analysis","type":"article-journal","volume":"273"},"uris":["http://www.mendeley.com/documents/?uuid=c75b7866-c407-48fe-8680-474353cd1bc6"]}],"mendeley":{"formattedCitation":"(Elia et al., 2020)","plainTextFormattedCitation":"(Elia et al., 2020)","previouslyFormattedCitation":"(Elia et al., 2020)"},"properties":{"noteIndex":0},"schema":"https://github.com/citation-style-language/schema/raw/master/csl-citation.json"}</w:instrText>
      </w:r>
      <w:r w:rsidRPr="00D44680">
        <w:rPr>
          <w:color w:val="000000" w:themeColor="text1"/>
        </w:rPr>
        <w:fldChar w:fldCharType="separate"/>
      </w:r>
      <w:r w:rsidRPr="00D44680">
        <w:rPr>
          <w:noProof/>
          <w:color w:val="000000" w:themeColor="text1"/>
        </w:rPr>
        <w:t>(Elia et al., 2020)</w:t>
      </w:r>
      <w:r w:rsidRPr="00D44680">
        <w:rPr>
          <w:color w:val="000000" w:themeColor="text1"/>
        </w:rPr>
        <w:fldChar w:fldCharType="end"/>
      </w:r>
      <w:r w:rsidRPr="00D44680">
        <w:rPr>
          <w:color w:val="000000" w:themeColor="text1"/>
        </w:rPr>
        <w:t xml:space="preserve">. </w:t>
      </w:r>
      <w:r w:rsidRPr="00577513">
        <w:rPr>
          <w:color w:val="000000" w:themeColor="text1"/>
        </w:rPr>
        <w:t>To ensure a critical evaluation of companies</w:t>
      </w:r>
      <w:r>
        <w:rPr>
          <w:color w:val="000000" w:themeColor="text1"/>
        </w:rPr>
        <w:t>’</w:t>
      </w:r>
      <w:r w:rsidRPr="00577513">
        <w:rPr>
          <w:color w:val="000000" w:themeColor="text1"/>
        </w:rPr>
        <w:t xml:space="preserve"> claims and avoid greenwashing and reductionist approaches t</w:t>
      </w:r>
      <w:r>
        <w:rPr>
          <w:color w:val="000000" w:themeColor="text1"/>
        </w:rPr>
        <w:t>o CE (Recommendation R2, Table 6</w:t>
      </w:r>
      <w:r w:rsidRPr="00577513">
        <w:rPr>
          <w:color w:val="000000" w:themeColor="text1"/>
        </w:rPr>
        <w:t>)</w:t>
      </w:r>
      <w:r w:rsidRPr="00D44680">
        <w:rPr>
          <w:color w:val="000000" w:themeColor="text1"/>
        </w:rPr>
        <w:t xml:space="preserve">, some other dimensions were </w:t>
      </w:r>
      <w:r>
        <w:rPr>
          <w:color w:val="000000" w:themeColor="text1"/>
        </w:rPr>
        <w:t>suggested</w:t>
      </w:r>
      <w:r w:rsidRPr="00D44680">
        <w:rPr>
          <w:color w:val="000000" w:themeColor="text1"/>
        </w:rPr>
        <w:t>. CE practices that enable incremental improvements of linear business models should be distinguished from radical innovations that promote sufficiency and enable the displacement of primary production</w:t>
      </w:r>
      <w:r>
        <w:rPr>
          <w:color w:val="000000" w:themeColor="text1"/>
        </w:rPr>
        <w:t xml:space="preserve"> (Recommendation R4,Table 6)</w:t>
      </w:r>
      <w:r w:rsidRPr="00D44680">
        <w:rPr>
          <w:color w:val="000000" w:themeColor="text1"/>
        </w:rPr>
        <w:t xml:space="preserve">, as highlighted in recent literature </w:t>
      </w:r>
      <w:r w:rsidRPr="00D44680">
        <w:rPr>
          <w:color w:val="000000" w:themeColor="text1"/>
        </w:rPr>
        <w:fldChar w:fldCharType="begin" w:fldLock="1"/>
      </w:r>
      <w:r>
        <w:rPr>
          <w:color w:val="000000" w:themeColor="text1"/>
        </w:rPr>
        <w:instrText>ADDIN CSL_CITATION {"citationItems":[{"id":"ITEM-1","itemData":{"DOI":"10.1002/bse.3108","author":[{"dropping-particle":"","family":"Arekrans","given":"Johan","non-dropping-particle":"","parse-names":false,"suffix":""},{"dropping-particle":"","family":"Ritzén","given":"Sofia","non-dropping-particle":"","parse-names":false,"suffix":""},{"dropping-particle":"","family":"Laurenti","given":"Rafael","non-dropping-particle":"","parse-names":false,"suffix":""}],"id":"ITEM-1","issue":"May 2021","issued":{"date-parts":[["2022"]]},"page":"1-21","title":"The role of radical innovation in circular strategy deployment","type":"article-journal"},"uris":["http://www.mendeley.com/documents/?uuid=208726cc-d02c-4606-be7e-90903c3a727c"]}],"mendeley":{"formattedCitation":"(Arekrans et al., 2022)","plainTextFormattedCitation":"(Arekrans et al., 2022)","previouslyFormattedCitation":"(Arekrans et al., 2022)"},"properties":{"noteIndex":0},"schema":"https://github.com/citation-style-language/schema/raw/master/csl-citation.json"}</w:instrText>
      </w:r>
      <w:r w:rsidRPr="00D44680">
        <w:rPr>
          <w:color w:val="000000" w:themeColor="text1"/>
        </w:rPr>
        <w:fldChar w:fldCharType="separate"/>
      </w:r>
      <w:r w:rsidRPr="00D44680">
        <w:rPr>
          <w:noProof/>
          <w:color w:val="000000" w:themeColor="text1"/>
        </w:rPr>
        <w:t>(Arekrans et al., 2022)</w:t>
      </w:r>
      <w:r w:rsidRPr="00D44680">
        <w:rPr>
          <w:color w:val="000000" w:themeColor="text1"/>
        </w:rPr>
        <w:fldChar w:fldCharType="end"/>
      </w:r>
      <w:r w:rsidRPr="00D44680">
        <w:rPr>
          <w:color w:val="000000" w:themeColor="text1"/>
        </w:rPr>
        <w:t xml:space="preserve">. </w:t>
      </w:r>
      <w:r w:rsidRPr="00CF6C2D">
        <w:rPr>
          <w:color w:val="000000" w:themeColor="text1"/>
        </w:rPr>
        <w:t>Experts also</w:t>
      </w:r>
      <w:r>
        <w:rPr>
          <w:color w:val="000000" w:themeColor="text1"/>
        </w:rPr>
        <w:t xml:space="preserve"> emphasised</w:t>
      </w:r>
      <w:r w:rsidRPr="00CF6C2D">
        <w:rPr>
          <w:color w:val="000000" w:themeColor="text1"/>
        </w:rPr>
        <w:t xml:space="preserve"> the importance of choosing wisely </w:t>
      </w:r>
      <w:r>
        <w:rPr>
          <w:color w:val="000000" w:themeColor="text1"/>
        </w:rPr>
        <w:t>which</w:t>
      </w:r>
      <w:r w:rsidRPr="00CF6C2D">
        <w:rPr>
          <w:color w:val="000000" w:themeColor="text1"/>
        </w:rPr>
        <w:t xml:space="preserve"> CE outcomes </w:t>
      </w:r>
      <w:r>
        <w:rPr>
          <w:color w:val="000000" w:themeColor="text1"/>
        </w:rPr>
        <w:t>to measure (R1, Table 6</w:t>
      </w:r>
      <w:r w:rsidRPr="00CF6C2D">
        <w:rPr>
          <w:color w:val="000000" w:themeColor="text1"/>
        </w:rPr>
        <w:t>), and quantifying CE practices</w:t>
      </w:r>
      <w:r>
        <w:rPr>
          <w:color w:val="000000" w:themeColor="text1"/>
        </w:rPr>
        <w:t>’</w:t>
      </w:r>
      <w:r w:rsidRPr="00CF6C2D">
        <w:rPr>
          <w:color w:val="000000" w:themeColor="text1"/>
        </w:rPr>
        <w:t xml:space="preserve"> adoption across the </w:t>
      </w:r>
      <w:r>
        <w:rPr>
          <w:color w:val="000000" w:themeColor="text1"/>
        </w:rPr>
        <w:t>entire</w:t>
      </w:r>
      <w:r w:rsidRPr="00CF6C2D">
        <w:rPr>
          <w:color w:val="000000" w:themeColor="text1"/>
        </w:rPr>
        <w:t xml:space="preserve"> compan</w:t>
      </w:r>
      <w:r>
        <w:rPr>
          <w:color w:val="000000" w:themeColor="text1"/>
        </w:rPr>
        <w:t>y</w:t>
      </w:r>
      <w:r w:rsidRPr="00CF6C2D">
        <w:rPr>
          <w:color w:val="000000" w:themeColor="text1"/>
        </w:rPr>
        <w:t xml:space="preserve"> and</w:t>
      </w:r>
      <w:r>
        <w:rPr>
          <w:color w:val="000000" w:themeColor="text1"/>
        </w:rPr>
        <w:t xml:space="preserve"> </w:t>
      </w:r>
      <w:r w:rsidRPr="00CF6C2D">
        <w:rPr>
          <w:color w:val="000000" w:themeColor="text1"/>
        </w:rPr>
        <w:t>supply chain (Re</w:t>
      </w:r>
      <w:r>
        <w:rPr>
          <w:color w:val="000000" w:themeColor="text1"/>
        </w:rPr>
        <w:t>commendations R2 and R3, Table 6</w:t>
      </w:r>
      <w:r w:rsidRPr="00CF6C2D">
        <w:rPr>
          <w:color w:val="000000" w:themeColor="text1"/>
        </w:rPr>
        <w:t>).</w:t>
      </w:r>
    </w:p>
    <w:p w14:paraId="22DAAA27" w14:textId="77777777" w:rsidR="00BC3405" w:rsidRDefault="00BC3405" w:rsidP="005035B4">
      <w:pPr>
        <w:pStyle w:val="Heading2"/>
      </w:pPr>
      <w:bookmarkStart w:id="171" w:name="_Toc157759548"/>
      <w:r>
        <w:t>Conclusions</w:t>
      </w:r>
      <w:bookmarkEnd w:id="171"/>
      <w:r>
        <w:t xml:space="preserve"> </w:t>
      </w:r>
    </w:p>
    <w:p w14:paraId="7942ECFB" w14:textId="77777777" w:rsidR="00A77110" w:rsidRDefault="00A77110" w:rsidP="00A77110">
      <w:r>
        <w:t xml:space="preserve">This paper sheds some light on the relationship between institutional pressures, supply chain integration and the adoption of Circular Economy practices. An initial framework, derived from academic literature and an analysis of corporate sustainability reports (presented in Calzolari et al., 2021), was challenged and refined through a consultation process with CE experts in a Delphi-like study. The analysis of the data collected through semi-structured interviews confirms that the identified concepts have a relationship; in particular, institutional pressures drive the adoption of Circular Economy practices, with supply chain integration having a complex interaction with this relationship. </w:t>
      </w:r>
    </w:p>
    <w:p w14:paraId="178A48C1" w14:textId="77777777" w:rsidR="00A77110" w:rsidRDefault="00A77110" w:rsidP="00A77110">
      <w:r>
        <w:t xml:space="preserve">The paper suggests different ways in which institutional pressures influence companies’ behaviour when adopting CE practices. Practitioners and academic experts also reflected on </w:t>
      </w:r>
      <w:r>
        <w:lastRenderedPageBreak/>
        <w:t xml:space="preserve">the role of supply chain integration. The type of interaction with institutional pressures (moderation or mediation) is contested. Also, some aspects of supply chain integration might reinforce supplier-buyer relationships in a linear perspective and become an obstacle for the most radical Circular Economy practices. The proposed qualitative framework also characterises two trajectories, which differ based on the type of reaction to pressures and the role played by supply chain integration. </w:t>
      </w:r>
    </w:p>
    <w:p w14:paraId="2F15D96C" w14:textId="77777777" w:rsidR="00A77110" w:rsidRDefault="00A77110" w:rsidP="00A77110">
      <w:r>
        <w:t>The study contributes to the theory by improving the understanding of the process of adoption of Circular Economy practices also from a supply chain management perspective. From a practical standpoint, the evidence from this study could offer policymakers a better understanding of how the external environment influences businesses to adopt CE practices. Policymakers can then incorporate these findings into the development process of regulatory guidelines or policy action plans.</w:t>
      </w:r>
    </w:p>
    <w:p w14:paraId="72134245" w14:textId="7442DEBF" w:rsidR="00BC3405" w:rsidRPr="003F435F" w:rsidRDefault="00A77110" w:rsidP="00A77110">
      <w:r>
        <w:t>Future research could test the final framework through a large-scale data collection process. Also, another interesting avenue for further investigations is related to the role of institutional pressures and supply chain integration in driving the adoption of more disruptive innovations in the transition towards a CE, along with the degree of circularity of resulting supply chains.</w:t>
      </w:r>
      <w:r w:rsidR="00BC3405" w:rsidRPr="00017039">
        <w:t xml:space="preserve"> </w:t>
      </w:r>
    </w:p>
    <w:p w14:paraId="67E23FE2" w14:textId="77777777" w:rsidR="00BC3405" w:rsidRDefault="00BC3405" w:rsidP="00116B90">
      <w:pPr>
        <w:pStyle w:val="Heading2"/>
        <w:numPr>
          <w:ilvl w:val="0"/>
          <w:numId w:val="0"/>
        </w:numPr>
        <w:ind w:left="357" w:hanging="357"/>
      </w:pPr>
      <w:bookmarkStart w:id="172" w:name="_Toc157759549"/>
      <w:r>
        <w:t>Acknowledgments</w:t>
      </w:r>
      <w:bookmarkEnd w:id="172"/>
    </w:p>
    <w:p w14:paraId="6DB9B3D0" w14:textId="77777777" w:rsidR="00BC3405" w:rsidRPr="0015624C" w:rsidRDefault="00BC3405" w:rsidP="002F7336">
      <w:pPr>
        <w:rPr>
          <w:lang w:eastAsia="zh-CN"/>
        </w:rPr>
      </w:pPr>
      <w:r>
        <w:rPr>
          <w:lang w:eastAsia="zh-CN"/>
        </w:rPr>
        <w:t>This research has been partially supported by the following European Commission’s research programmes: H2020-MSCA-ITN-2018 scheme, Grant agreement 814247 (ReTraCE project); H2020-MSCA-RISE-2018 scheme, Grant agreement 823967 (</w:t>
      </w:r>
      <w:proofErr w:type="spellStart"/>
      <w:r>
        <w:rPr>
          <w:lang w:eastAsia="zh-CN"/>
        </w:rPr>
        <w:t>ProCEedS</w:t>
      </w:r>
      <w:proofErr w:type="spellEnd"/>
      <w:r>
        <w:rPr>
          <w:lang w:eastAsia="zh-CN"/>
        </w:rPr>
        <w:t xml:space="preserve"> project).</w:t>
      </w:r>
    </w:p>
    <w:p w14:paraId="18BC3261" w14:textId="77777777" w:rsidR="003F435F" w:rsidRDefault="003F435F" w:rsidP="002F7336">
      <w:r>
        <w:br w:type="page"/>
      </w:r>
    </w:p>
    <w:p w14:paraId="06E573E8" w14:textId="77777777" w:rsidR="003F435F" w:rsidRDefault="003F435F" w:rsidP="002F7336">
      <w:pPr>
        <w:sectPr w:rsidR="003F435F" w:rsidSect="00116B90">
          <w:type w:val="continuous"/>
          <w:pgSz w:w="11906" w:h="16838"/>
          <w:pgMar w:top="1701" w:right="1701" w:bottom="1134" w:left="1701" w:header="720" w:footer="720" w:gutter="0"/>
          <w:cols w:space="720"/>
          <w:docGrid w:linePitch="299"/>
        </w:sectPr>
      </w:pPr>
    </w:p>
    <w:p w14:paraId="20F05830" w14:textId="77777777" w:rsidR="003F435F" w:rsidRDefault="003F435F" w:rsidP="002F7336">
      <w:pPr>
        <w:pStyle w:val="Figurecaption"/>
      </w:pPr>
      <w:r>
        <w:lastRenderedPageBreak/>
        <w:t>Table 6 – Issues to be considered when assessing the process of adoption of CE practices along with experts’ recommendations</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26"/>
        <w:gridCol w:w="1213"/>
        <w:gridCol w:w="2471"/>
        <w:gridCol w:w="5146"/>
      </w:tblGrid>
      <w:tr w:rsidR="003F435F" w:rsidRPr="003F435F" w14:paraId="0817B954" w14:textId="77777777" w:rsidTr="00116B90">
        <w:trPr>
          <w:trHeight w:val="274"/>
        </w:trPr>
        <w:tc>
          <w:tcPr>
            <w:tcW w:w="0" w:type="auto"/>
            <w:tcBorders>
              <w:top w:val="single" w:sz="4" w:space="0" w:color="000000"/>
              <w:left w:val="single" w:sz="4" w:space="0" w:color="000000"/>
              <w:bottom w:val="single" w:sz="4" w:space="0" w:color="000000"/>
              <w:right w:val="single" w:sz="4" w:space="0" w:color="000000"/>
            </w:tcBorders>
          </w:tcPr>
          <w:p w14:paraId="4B1B788A" w14:textId="77777777" w:rsidR="003F435F" w:rsidRPr="003F435F" w:rsidRDefault="003F435F" w:rsidP="00C9292B">
            <w:pPr>
              <w:pStyle w:val="Tabletext"/>
            </w:pPr>
            <w:r w:rsidRPr="003F435F">
              <w:t xml:space="preserve">Issue </w:t>
            </w:r>
          </w:p>
        </w:tc>
        <w:tc>
          <w:tcPr>
            <w:tcW w:w="0" w:type="auto"/>
            <w:tcBorders>
              <w:top w:val="single" w:sz="4" w:space="0" w:color="000000"/>
              <w:left w:val="single" w:sz="4" w:space="0" w:color="000000"/>
              <w:bottom w:val="single" w:sz="4" w:space="0" w:color="000000"/>
              <w:right w:val="single" w:sz="4" w:space="0" w:color="000000"/>
            </w:tcBorders>
          </w:tcPr>
          <w:p w14:paraId="77EC1C39" w14:textId="77777777" w:rsidR="003F435F" w:rsidRPr="003F435F" w:rsidRDefault="003F435F" w:rsidP="00C9292B">
            <w:pPr>
              <w:pStyle w:val="Tabletext"/>
            </w:pPr>
            <w:r w:rsidRPr="003F435F">
              <w:t>Source</w:t>
            </w:r>
          </w:p>
        </w:tc>
        <w:tc>
          <w:tcPr>
            <w:tcW w:w="0" w:type="auto"/>
            <w:tcBorders>
              <w:top w:val="single" w:sz="4" w:space="0" w:color="000000"/>
              <w:left w:val="single" w:sz="4" w:space="0" w:color="000000"/>
              <w:bottom w:val="single" w:sz="4" w:space="0" w:color="000000"/>
              <w:right w:val="single" w:sz="4" w:space="0" w:color="000000"/>
            </w:tcBorders>
          </w:tcPr>
          <w:p w14:paraId="3803AB99" w14:textId="77777777" w:rsidR="003F435F" w:rsidRPr="003F435F" w:rsidRDefault="003F435F" w:rsidP="00C9292B">
            <w:pPr>
              <w:pStyle w:val="Tabletext"/>
            </w:pPr>
            <w:r w:rsidRPr="003F435F">
              <w:t>Recommendation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FDACDD7" w14:textId="77777777" w:rsidR="003F435F" w:rsidRPr="003F435F" w:rsidRDefault="003F435F" w:rsidP="00C9292B">
            <w:pPr>
              <w:pStyle w:val="Tabletext"/>
            </w:pPr>
            <w:r w:rsidRPr="003F435F">
              <w:t>Detail</w:t>
            </w:r>
          </w:p>
        </w:tc>
      </w:tr>
      <w:tr w:rsidR="003F435F" w:rsidRPr="003F435F" w14:paraId="4AB75F4D" w14:textId="77777777" w:rsidTr="00116B90">
        <w:trPr>
          <w:trHeight w:val="274"/>
        </w:trPr>
        <w:tc>
          <w:tcPr>
            <w:tcW w:w="0" w:type="auto"/>
            <w:tcBorders>
              <w:top w:val="single" w:sz="4" w:space="0" w:color="000000"/>
              <w:left w:val="single" w:sz="4" w:space="0" w:color="000000"/>
              <w:bottom w:val="single" w:sz="4" w:space="0" w:color="000000"/>
              <w:right w:val="single" w:sz="4" w:space="0" w:color="000000"/>
            </w:tcBorders>
          </w:tcPr>
          <w:p w14:paraId="112D87B0" w14:textId="77777777" w:rsidR="003F435F" w:rsidRPr="003F435F" w:rsidRDefault="003F435F" w:rsidP="00C9292B">
            <w:pPr>
              <w:pStyle w:val="Tabletext"/>
            </w:pPr>
            <w:r w:rsidRPr="003F435F">
              <w:t xml:space="preserve">“The level of CE adoption is currently very low, on average, across industrial sectors. Most industries still work according to a linear logic and there is strong inertia towards change. Despite incumbents having some CE-inspired initiatives in place, they still have a strong reliance on energy-intensive, fossil fuel-based, consumeristic systems.” </w:t>
            </w:r>
          </w:p>
          <w:p w14:paraId="1ABB18F2" w14:textId="77777777" w:rsidR="003F435F" w:rsidRPr="003F435F" w:rsidRDefault="003F435F" w:rsidP="00C9292B">
            <w:pPr>
              <w:pStyle w:val="Tabletext"/>
            </w:pPr>
          </w:p>
        </w:tc>
        <w:tc>
          <w:tcPr>
            <w:tcW w:w="0" w:type="auto"/>
            <w:tcBorders>
              <w:top w:val="single" w:sz="4" w:space="0" w:color="000000"/>
              <w:left w:val="single" w:sz="4" w:space="0" w:color="000000"/>
              <w:bottom w:val="single" w:sz="4" w:space="0" w:color="000000"/>
              <w:right w:val="single" w:sz="4" w:space="0" w:color="000000"/>
            </w:tcBorders>
          </w:tcPr>
          <w:p w14:paraId="16B8C3A0" w14:textId="77777777" w:rsidR="003F435F" w:rsidRPr="003F435F" w:rsidRDefault="003F435F" w:rsidP="00C9292B">
            <w:pPr>
              <w:pStyle w:val="Tabletext"/>
            </w:pPr>
            <w:r w:rsidRPr="003F435F">
              <w:t>Practitioner</w:t>
            </w:r>
          </w:p>
        </w:tc>
        <w:tc>
          <w:tcPr>
            <w:tcW w:w="0" w:type="auto"/>
            <w:tcBorders>
              <w:top w:val="single" w:sz="4" w:space="0" w:color="000000"/>
              <w:left w:val="single" w:sz="4" w:space="0" w:color="000000"/>
              <w:bottom w:val="single" w:sz="4" w:space="0" w:color="000000"/>
              <w:right w:val="single" w:sz="4" w:space="0" w:color="000000"/>
            </w:tcBorders>
          </w:tcPr>
          <w:p w14:paraId="49357E15" w14:textId="77777777" w:rsidR="003F435F" w:rsidRPr="003F435F" w:rsidRDefault="003F435F" w:rsidP="00C9292B">
            <w:pPr>
              <w:pStyle w:val="Tabletext"/>
            </w:pPr>
            <w:r w:rsidRPr="003F435F">
              <w:t>Choose wisely what CE outcomes are to be measured (R1)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432C4DF" w14:textId="492660DC" w:rsidR="003F435F" w:rsidRPr="003F435F" w:rsidRDefault="003F435F" w:rsidP="00C9292B">
            <w:pPr>
              <w:pStyle w:val="Tabletext"/>
            </w:pPr>
            <w:r w:rsidRPr="003F435F">
              <w:t>Should we measure the adoption of some CE practices? Or, is it more important to focus on the sustainability performance in terms of some type of benefits they are expected to bring (e.g.</w:t>
            </w:r>
            <w:r w:rsidR="00F07293">
              <w:t>,</w:t>
            </w:r>
            <w:r w:rsidRPr="003F435F">
              <w:t xml:space="preserve"> environmental, economic and social)? This aspect is paramount and relates to the type of contribution studies want to achieve, and the debate they want to be part of. There is a dichotomy between the technical CE literature and the SCM literature. In the first case, the categorisation of different approaches could be more valuable; in the second one, the type of supply chain performance and outcome they can help to achieve could be of higher interest.  </w:t>
            </w:r>
          </w:p>
        </w:tc>
      </w:tr>
      <w:tr w:rsidR="003F435F" w:rsidRPr="003F435F" w14:paraId="53EEAF99" w14:textId="77777777" w:rsidTr="00116B90">
        <w:trPr>
          <w:trHeight w:val="274"/>
        </w:trPr>
        <w:tc>
          <w:tcPr>
            <w:tcW w:w="0" w:type="auto"/>
            <w:tcBorders>
              <w:top w:val="single" w:sz="4" w:space="0" w:color="000000"/>
              <w:left w:val="single" w:sz="4" w:space="0" w:color="000000"/>
              <w:bottom w:val="single" w:sz="4" w:space="0" w:color="000000"/>
              <w:right w:val="single" w:sz="4" w:space="0" w:color="000000"/>
            </w:tcBorders>
          </w:tcPr>
          <w:p w14:paraId="77CFE0F7" w14:textId="3EDDA5A8" w:rsidR="003F435F" w:rsidRPr="003F435F" w:rsidRDefault="003F435F" w:rsidP="00C9292B">
            <w:pPr>
              <w:pStyle w:val="Tabletext"/>
            </w:pPr>
            <w:r w:rsidRPr="003F435F">
              <w:t xml:space="preserve">“Companies tend to use the CE label for existing practices, rebranding activities/practices they have already in place. </w:t>
            </w:r>
            <w:r w:rsidR="00F07293" w:rsidRPr="003F435F">
              <w:t>Generally,</w:t>
            </w:r>
            <w:r w:rsidRPr="003F435F">
              <w:t xml:space="preserve"> they do not aim at minimising resource extraction and their reliance on fossil fuels.” </w:t>
            </w:r>
          </w:p>
        </w:tc>
        <w:tc>
          <w:tcPr>
            <w:tcW w:w="0" w:type="auto"/>
            <w:tcBorders>
              <w:top w:val="single" w:sz="4" w:space="0" w:color="000000"/>
              <w:left w:val="single" w:sz="4" w:space="0" w:color="000000"/>
              <w:bottom w:val="single" w:sz="4" w:space="0" w:color="000000"/>
              <w:right w:val="single" w:sz="4" w:space="0" w:color="000000"/>
            </w:tcBorders>
          </w:tcPr>
          <w:p w14:paraId="7CF65552" w14:textId="77777777" w:rsidR="003F435F" w:rsidRPr="003F435F" w:rsidRDefault="003F435F" w:rsidP="00C9292B">
            <w:pPr>
              <w:pStyle w:val="Tabletext"/>
            </w:pPr>
            <w:r w:rsidRPr="003F435F">
              <w:t>Academic</w:t>
            </w:r>
          </w:p>
        </w:tc>
        <w:tc>
          <w:tcPr>
            <w:tcW w:w="0" w:type="auto"/>
            <w:tcBorders>
              <w:top w:val="single" w:sz="4" w:space="0" w:color="000000"/>
              <w:left w:val="single" w:sz="4" w:space="0" w:color="000000"/>
              <w:bottom w:val="single" w:sz="4" w:space="0" w:color="000000"/>
              <w:right w:val="single" w:sz="4" w:space="0" w:color="000000"/>
            </w:tcBorders>
          </w:tcPr>
          <w:p w14:paraId="113412B8" w14:textId="77777777" w:rsidR="003F435F" w:rsidRPr="003F435F" w:rsidRDefault="003F435F" w:rsidP="00C9292B">
            <w:pPr>
              <w:pStyle w:val="Tabletext"/>
            </w:pPr>
            <w:r w:rsidRPr="003F435F">
              <w:t>Beware of greenwashing and symbolic actions (R2)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5BECDED" w14:textId="77777777" w:rsidR="003F435F" w:rsidRPr="003F435F" w:rsidRDefault="003F435F" w:rsidP="00C9292B">
            <w:pPr>
              <w:pStyle w:val="Tabletext"/>
            </w:pPr>
            <w:r w:rsidRPr="003F435F">
              <w:t xml:space="preserve">Researchers need to pay attention to greenwashing attempts: “circular” does not necessarily mean sustainable. For instance, fast fashion companies, while claiming to be </w:t>
            </w:r>
            <w:r w:rsidRPr="003F435F">
              <w:rPr>
                <w:i/>
              </w:rPr>
              <w:t>circular</w:t>
            </w:r>
            <w:r w:rsidRPr="003F435F">
              <w:t xml:space="preserve"> (as they are incentivising recycling and take back schemes) are still relying heavily on fossil fuels and promoting irresponsible consumption patterns. This might be highlight that the CE concept is being hijacked by the business community.</w:t>
            </w:r>
          </w:p>
        </w:tc>
      </w:tr>
      <w:tr w:rsidR="003F435F" w:rsidRPr="003F435F" w14:paraId="5C315EA2" w14:textId="77777777" w:rsidTr="00116B90">
        <w:trPr>
          <w:trHeight w:val="274"/>
        </w:trPr>
        <w:tc>
          <w:tcPr>
            <w:tcW w:w="0" w:type="auto"/>
            <w:tcBorders>
              <w:top w:val="single" w:sz="4" w:space="0" w:color="000000"/>
              <w:left w:val="single" w:sz="4" w:space="0" w:color="000000"/>
              <w:bottom w:val="single" w:sz="4" w:space="0" w:color="000000"/>
              <w:right w:val="single" w:sz="4" w:space="0" w:color="000000"/>
            </w:tcBorders>
          </w:tcPr>
          <w:p w14:paraId="06D36AC2" w14:textId="77777777" w:rsidR="003F435F" w:rsidRPr="003F435F" w:rsidRDefault="003F435F" w:rsidP="00C9292B">
            <w:pPr>
              <w:pStyle w:val="Tabletext"/>
            </w:pPr>
            <w:r w:rsidRPr="003F435F">
              <w:t xml:space="preserve">“Companies work on two parallel streams. On the one hand, they are experimenting with circular business models (trying them out in the market); on the other, they are still maintaining the linear ones as dominant.” </w:t>
            </w:r>
          </w:p>
          <w:p w14:paraId="77B356B6" w14:textId="77777777" w:rsidR="003F435F" w:rsidRPr="003F435F" w:rsidRDefault="003F435F" w:rsidP="00C9292B">
            <w:pPr>
              <w:pStyle w:val="Tabletext"/>
            </w:pPr>
          </w:p>
        </w:tc>
        <w:tc>
          <w:tcPr>
            <w:tcW w:w="0" w:type="auto"/>
            <w:tcBorders>
              <w:top w:val="single" w:sz="4" w:space="0" w:color="000000"/>
              <w:left w:val="single" w:sz="4" w:space="0" w:color="000000"/>
              <w:bottom w:val="single" w:sz="4" w:space="0" w:color="000000"/>
              <w:right w:val="single" w:sz="4" w:space="0" w:color="000000"/>
            </w:tcBorders>
          </w:tcPr>
          <w:p w14:paraId="361273D6" w14:textId="77777777" w:rsidR="003F435F" w:rsidRPr="003F435F" w:rsidRDefault="003F435F" w:rsidP="00C9292B">
            <w:pPr>
              <w:pStyle w:val="Tabletext"/>
            </w:pPr>
            <w:r w:rsidRPr="003F435F">
              <w:t>Practitioner</w:t>
            </w:r>
          </w:p>
        </w:tc>
        <w:tc>
          <w:tcPr>
            <w:tcW w:w="0" w:type="auto"/>
            <w:tcBorders>
              <w:top w:val="single" w:sz="4" w:space="0" w:color="000000"/>
              <w:left w:val="single" w:sz="4" w:space="0" w:color="000000"/>
              <w:bottom w:val="single" w:sz="4" w:space="0" w:color="000000"/>
              <w:right w:val="single" w:sz="4" w:space="0" w:color="000000"/>
            </w:tcBorders>
          </w:tcPr>
          <w:p w14:paraId="7CF2ABFC" w14:textId="77777777" w:rsidR="003F435F" w:rsidRPr="003F435F" w:rsidRDefault="003F435F" w:rsidP="00C9292B">
            <w:pPr>
              <w:pStyle w:val="Tabletext"/>
            </w:pPr>
            <w:r w:rsidRPr="003F435F">
              <w:t>Quantify CE practices adoption across the whole companies and supply chains (R3)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BCDB2F" w14:textId="77777777" w:rsidR="003F435F" w:rsidRPr="003F435F" w:rsidRDefault="003F435F" w:rsidP="00C9292B">
            <w:pPr>
              <w:pStyle w:val="Tabletext"/>
            </w:pPr>
            <w:r w:rsidRPr="003F435F">
              <w:t>It is important to take into account to what extent CE practices are being implemented at a whole-company and whole-supply chain level. There should be awareness about tokenistic approaches to CE implementation.</w:t>
            </w:r>
          </w:p>
        </w:tc>
      </w:tr>
      <w:tr w:rsidR="003F435F" w:rsidRPr="003F435F" w14:paraId="71F50852" w14:textId="77777777" w:rsidTr="00116B90">
        <w:trPr>
          <w:trHeight w:val="274"/>
        </w:trPr>
        <w:tc>
          <w:tcPr>
            <w:tcW w:w="0" w:type="auto"/>
            <w:tcBorders>
              <w:top w:val="single" w:sz="4" w:space="0" w:color="000000"/>
              <w:left w:val="single" w:sz="4" w:space="0" w:color="000000"/>
              <w:bottom w:val="single" w:sz="4" w:space="0" w:color="000000"/>
              <w:right w:val="single" w:sz="4" w:space="0" w:color="000000"/>
            </w:tcBorders>
          </w:tcPr>
          <w:p w14:paraId="6D084E68" w14:textId="77777777" w:rsidR="003F435F" w:rsidRPr="003F435F" w:rsidRDefault="003F435F" w:rsidP="00C9292B">
            <w:pPr>
              <w:pStyle w:val="Tabletext"/>
            </w:pPr>
            <w:r w:rsidRPr="003F435F">
              <w:t>“Companies most often focus on recycling, demonstrating a reductionist approach to CE, where higher R-imperatives (such as reduce and reuse) are not considered.”</w:t>
            </w:r>
          </w:p>
          <w:p w14:paraId="72B4D8A6" w14:textId="77777777" w:rsidR="003F435F" w:rsidRPr="003F435F" w:rsidRDefault="003F435F" w:rsidP="00C9292B">
            <w:pPr>
              <w:pStyle w:val="Tabletext"/>
            </w:pPr>
          </w:p>
        </w:tc>
        <w:tc>
          <w:tcPr>
            <w:tcW w:w="0" w:type="auto"/>
            <w:tcBorders>
              <w:top w:val="single" w:sz="4" w:space="0" w:color="000000"/>
              <w:left w:val="single" w:sz="4" w:space="0" w:color="000000"/>
              <w:bottom w:val="single" w:sz="4" w:space="0" w:color="000000"/>
              <w:right w:val="single" w:sz="4" w:space="0" w:color="000000"/>
            </w:tcBorders>
          </w:tcPr>
          <w:p w14:paraId="1EE855A9" w14:textId="77777777" w:rsidR="003F435F" w:rsidRPr="003F435F" w:rsidRDefault="003F435F" w:rsidP="00C9292B">
            <w:pPr>
              <w:pStyle w:val="Tabletext"/>
            </w:pPr>
            <w:r w:rsidRPr="003F435F">
              <w:t>Practitioner</w:t>
            </w:r>
          </w:p>
        </w:tc>
        <w:tc>
          <w:tcPr>
            <w:tcW w:w="0" w:type="auto"/>
            <w:tcBorders>
              <w:top w:val="single" w:sz="4" w:space="0" w:color="000000"/>
              <w:left w:val="single" w:sz="4" w:space="0" w:color="000000"/>
              <w:bottom w:val="single" w:sz="4" w:space="0" w:color="000000"/>
              <w:right w:val="single" w:sz="4" w:space="0" w:color="000000"/>
            </w:tcBorders>
          </w:tcPr>
          <w:p w14:paraId="522B09E3" w14:textId="77777777" w:rsidR="003F435F" w:rsidRPr="003F435F" w:rsidRDefault="003F435F" w:rsidP="00C9292B">
            <w:pPr>
              <w:pStyle w:val="Tabletext"/>
            </w:pPr>
            <w:r w:rsidRPr="003F435F">
              <w:t>Distinguish between incremental and transformative (and more disruptive) approaches (R4)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8272CF8" w14:textId="77777777" w:rsidR="003F435F" w:rsidRPr="003F435F" w:rsidRDefault="003F435F" w:rsidP="00C9292B">
            <w:pPr>
              <w:pStyle w:val="Tabletext"/>
            </w:pPr>
            <w:r w:rsidRPr="003F435F">
              <w:t xml:space="preserve">It is important to distinguish between transformative approaches, where business models and ownership paradigms are deeply revisited, from those that have a focus just on increasing recycling, waste management and efficiency. Evidence of this could be found in the CE </w:t>
            </w:r>
            <w:r w:rsidRPr="003F435F">
              <w:lastRenderedPageBreak/>
              <w:t>targets companies set, the type of organisation they collaborate with. Also, investments in R&amp;D could help recognising these differences.</w:t>
            </w:r>
          </w:p>
        </w:tc>
      </w:tr>
      <w:tr w:rsidR="003F435F" w:rsidRPr="003F435F" w14:paraId="1FE84F32" w14:textId="77777777" w:rsidTr="00116B90">
        <w:trPr>
          <w:trHeight w:val="274"/>
        </w:trPr>
        <w:tc>
          <w:tcPr>
            <w:tcW w:w="0" w:type="auto"/>
            <w:tcBorders>
              <w:top w:val="single" w:sz="4" w:space="0" w:color="000000"/>
              <w:left w:val="single" w:sz="4" w:space="0" w:color="000000"/>
              <w:right w:val="single" w:sz="4" w:space="0" w:color="000000"/>
            </w:tcBorders>
          </w:tcPr>
          <w:p w14:paraId="604D3703" w14:textId="77777777" w:rsidR="003F435F" w:rsidRPr="003F435F" w:rsidRDefault="003F435F" w:rsidP="00C9292B">
            <w:pPr>
              <w:pStyle w:val="Tabletext"/>
              <w:rPr>
                <w:i/>
              </w:rPr>
            </w:pPr>
            <w:r w:rsidRPr="003F435F">
              <w:lastRenderedPageBreak/>
              <w:t>“The effect of the adoption of CE practices strongly depends on supply chain stages.”</w:t>
            </w:r>
          </w:p>
        </w:tc>
        <w:tc>
          <w:tcPr>
            <w:tcW w:w="0" w:type="auto"/>
            <w:tcBorders>
              <w:top w:val="single" w:sz="4" w:space="0" w:color="000000"/>
              <w:left w:val="single" w:sz="4" w:space="0" w:color="000000"/>
              <w:right w:val="single" w:sz="4" w:space="0" w:color="000000"/>
            </w:tcBorders>
          </w:tcPr>
          <w:p w14:paraId="0D44466F" w14:textId="77777777" w:rsidR="003F435F" w:rsidRPr="003F435F" w:rsidRDefault="003F435F" w:rsidP="00C9292B">
            <w:pPr>
              <w:pStyle w:val="Tabletext"/>
            </w:pPr>
            <w:r w:rsidRPr="003F435F">
              <w:t>Practitioner</w:t>
            </w:r>
          </w:p>
        </w:tc>
        <w:tc>
          <w:tcPr>
            <w:tcW w:w="0" w:type="auto"/>
            <w:tcBorders>
              <w:top w:val="single" w:sz="4" w:space="0" w:color="000000"/>
              <w:left w:val="single" w:sz="4" w:space="0" w:color="000000"/>
              <w:right w:val="single" w:sz="4" w:space="0" w:color="000000"/>
            </w:tcBorders>
          </w:tcPr>
          <w:p w14:paraId="0F4EC9B9" w14:textId="77777777" w:rsidR="003F435F" w:rsidRPr="003F435F" w:rsidRDefault="003F435F" w:rsidP="00C9292B">
            <w:pPr>
              <w:pStyle w:val="Tabletext"/>
            </w:pPr>
            <w:r w:rsidRPr="003F435F">
              <w:t>Differentiate across contexts, sectors and stages in the supply chain (R5)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C9D76ED" w14:textId="77777777" w:rsidR="003F435F" w:rsidRPr="003F435F" w:rsidRDefault="003F435F" w:rsidP="00C9292B">
            <w:pPr>
              <w:pStyle w:val="Tabletext"/>
            </w:pPr>
            <w:r w:rsidRPr="003F435F">
              <w:t xml:space="preserve">Higher pressures are often placed on product manufacturers. Organisations operating upstream in the supply chain, might face different challenges. </w:t>
            </w:r>
          </w:p>
        </w:tc>
      </w:tr>
    </w:tbl>
    <w:p w14:paraId="7AC0B59F" w14:textId="77777777" w:rsidR="003F435F" w:rsidRDefault="003F435F" w:rsidP="002F7336">
      <w:pPr>
        <w:sectPr w:rsidR="003F435F" w:rsidSect="00116B90">
          <w:type w:val="continuous"/>
          <w:pgSz w:w="16838" w:h="11906" w:orient="landscape"/>
          <w:pgMar w:top="1701" w:right="1701" w:bottom="1701" w:left="1134" w:header="720" w:footer="720" w:gutter="0"/>
          <w:cols w:space="720"/>
          <w:docGrid w:linePitch="299"/>
        </w:sectPr>
      </w:pPr>
    </w:p>
    <w:p w14:paraId="52AA8F83" w14:textId="77777777" w:rsidR="003F435F" w:rsidRPr="003F435F" w:rsidRDefault="003F435F" w:rsidP="00116B90">
      <w:pPr>
        <w:pStyle w:val="Heading2"/>
        <w:numPr>
          <w:ilvl w:val="0"/>
          <w:numId w:val="0"/>
        </w:numPr>
        <w:ind w:left="357" w:hanging="357"/>
      </w:pPr>
      <w:bookmarkStart w:id="173" w:name="_Toc157759550"/>
      <w:r w:rsidRPr="003F435F">
        <w:lastRenderedPageBreak/>
        <w:t>References</w:t>
      </w:r>
      <w:bookmarkEnd w:id="173"/>
    </w:p>
    <w:p w14:paraId="7450710C" w14:textId="77777777" w:rsidR="003F435F" w:rsidRPr="003F435F" w:rsidRDefault="003F435F" w:rsidP="002F7336">
      <w:proofErr w:type="spellStart"/>
      <w:r w:rsidRPr="003F435F">
        <w:t>Agyabeng</w:t>
      </w:r>
      <w:proofErr w:type="spellEnd"/>
      <w:r w:rsidRPr="003F435F">
        <w:t xml:space="preserve">-Mensah, Y., </w:t>
      </w:r>
      <w:proofErr w:type="spellStart"/>
      <w:r w:rsidRPr="003F435F">
        <w:t>Afum</w:t>
      </w:r>
      <w:proofErr w:type="spellEnd"/>
      <w:r w:rsidRPr="003F435F">
        <w:t xml:space="preserve">, E., </w:t>
      </w:r>
      <w:proofErr w:type="spellStart"/>
      <w:r w:rsidRPr="003F435F">
        <w:t>Baah</w:t>
      </w:r>
      <w:proofErr w:type="spellEnd"/>
      <w:r w:rsidRPr="003F435F">
        <w:t xml:space="preserve">, C. and </w:t>
      </w:r>
      <w:proofErr w:type="spellStart"/>
      <w:r w:rsidRPr="003F435F">
        <w:t>Essel</w:t>
      </w:r>
      <w:proofErr w:type="spellEnd"/>
      <w:r w:rsidRPr="003F435F">
        <w:t xml:space="preserve">, D. (2022). Exploring the role of external pressure, environmental sustainability commitment, engagement, alliance and circular supply chain capability in circular economy performance. International Journal of Physical Distribution &amp; Logistics Management, 52(5/6), 431-455. </w:t>
      </w:r>
      <w:hyperlink r:id="rId86" w:history="1">
        <w:r w:rsidRPr="003F435F">
          <w:rPr>
            <w:rStyle w:val="Hyperlink"/>
          </w:rPr>
          <w:t>https://doi.org/10.1108/IJPDLM-12-2021-0514</w:t>
        </w:r>
      </w:hyperlink>
      <w:r w:rsidRPr="003F435F">
        <w:t xml:space="preserve"> </w:t>
      </w:r>
    </w:p>
    <w:p w14:paraId="4D0DDF1B" w14:textId="77777777" w:rsidR="003F435F" w:rsidRPr="003F435F" w:rsidRDefault="003F435F" w:rsidP="002F7336">
      <w:proofErr w:type="spellStart"/>
      <w:r w:rsidRPr="003F435F">
        <w:t>Arekrans</w:t>
      </w:r>
      <w:proofErr w:type="spellEnd"/>
      <w:r w:rsidRPr="003F435F">
        <w:t xml:space="preserve">, J., </w:t>
      </w:r>
      <w:proofErr w:type="spellStart"/>
      <w:r w:rsidRPr="003F435F">
        <w:t>Ritzén</w:t>
      </w:r>
      <w:proofErr w:type="spellEnd"/>
      <w:r w:rsidRPr="003F435F">
        <w:t xml:space="preserve">, S., &amp; </w:t>
      </w:r>
      <w:proofErr w:type="spellStart"/>
      <w:r w:rsidRPr="003F435F">
        <w:t>Laurenti</w:t>
      </w:r>
      <w:proofErr w:type="spellEnd"/>
      <w:r w:rsidRPr="003F435F">
        <w:t xml:space="preserve">, R. (2022). The role of radical innovation in circular strategy deployment. Business Strategy and the Environment, 1-21. </w:t>
      </w:r>
      <w:hyperlink r:id="rId87" w:history="1">
        <w:r w:rsidRPr="003F435F">
          <w:rPr>
            <w:rStyle w:val="Hyperlink"/>
          </w:rPr>
          <w:t>https://doi.org/10.1002/bse.3108</w:t>
        </w:r>
      </w:hyperlink>
      <w:r w:rsidRPr="003F435F">
        <w:t xml:space="preserve"> </w:t>
      </w:r>
    </w:p>
    <w:p w14:paraId="2834F17E" w14:textId="77777777" w:rsidR="003F435F" w:rsidRPr="003F435F" w:rsidRDefault="003F435F" w:rsidP="002F7336">
      <w:proofErr w:type="spellStart"/>
      <w:r w:rsidRPr="003F435F">
        <w:t>Arranz</w:t>
      </w:r>
      <w:proofErr w:type="spellEnd"/>
      <w:r w:rsidRPr="003F435F">
        <w:t xml:space="preserve">, C. F., </w:t>
      </w:r>
      <w:proofErr w:type="spellStart"/>
      <w:r w:rsidRPr="003F435F">
        <w:t>Sena</w:t>
      </w:r>
      <w:proofErr w:type="spellEnd"/>
      <w:r w:rsidRPr="003F435F">
        <w:t xml:space="preserve">, V., &amp; </w:t>
      </w:r>
      <w:proofErr w:type="spellStart"/>
      <w:r w:rsidRPr="003F435F">
        <w:t>Kwong</w:t>
      </w:r>
      <w:proofErr w:type="spellEnd"/>
      <w:r w:rsidRPr="003F435F">
        <w:t xml:space="preserve">, C. (2022). Institutional pressures as drivers of circular economy in firms: A machine learning approach. Journal of Cleaner Production, 355, 131738. </w:t>
      </w:r>
      <w:hyperlink r:id="rId88" w:history="1">
        <w:r w:rsidRPr="003F435F">
          <w:rPr>
            <w:rStyle w:val="Hyperlink"/>
          </w:rPr>
          <w:t>https://doi.org/10.1016/j.jclepro.2022.131738</w:t>
        </w:r>
      </w:hyperlink>
      <w:r w:rsidRPr="003F435F">
        <w:t xml:space="preserve"> </w:t>
      </w:r>
    </w:p>
    <w:p w14:paraId="12212AB8" w14:textId="77777777" w:rsidR="003F435F" w:rsidRPr="003F435F" w:rsidRDefault="003F435F" w:rsidP="002F7336">
      <w:proofErr w:type="spellStart"/>
      <w:r w:rsidRPr="003F435F">
        <w:t>Arsova</w:t>
      </w:r>
      <w:proofErr w:type="spellEnd"/>
      <w:r w:rsidRPr="003F435F">
        <w:t xml:space="preserve">, S., Genovese, A., &amp; </w:t>
      </w:r>
      <w:proofErr w:type="spellStart"/>
      <w:r w:rsidRPr="003F435F">
        <w:t>Ketikidis</w:t>
      </w:r>
      <w:proofErr w:type="spellEnd"/>
      <w:r w:rsidRPr="003F435F">
        <w:t xml:space="preserve">, P. H. (2022). Implementing circular economy in a regional context: A systematic literature review and a research agenda. Journal of Cleaner Production, 133117. </w:t>
      </w:r>
      <w:hyperlink r:id="rId89" w:history="1">
        <w:r w:rsidRPr="003F435F">
          <w:rPr>
            <w:rStyle w:val="Hyperlink"/>
          </w:rPr>
          <w:t>https://doi.org/10.1016/j.jclepro.2022.133117</w:t>
        </w:r>
      </w:hyperlink>
      <w:r w:rsidRPr="003F435F">
        <w:t xml:space="preserve"> </w:t>
      </w:r>
    </w:p>
    <w:p w14:paraId="1D70944F" w14:textId="77777777" w:rsidR="003F435F" w:rsidRPr="003F435F" w:rsidRDefault="003F435F" w:rsidP="002F7336">
      <w:r w:rsidRPr="003F435F">
        <w:t xml:space="preserve">Bag, S., </w:t>
      </w:r>
      <w:proofErr w:type="spellStart"/>
      <w:r w:rsidRPr="003F435F">
        <w:t>Dhamija</w:t>
      </w:r>
      <w:proofErr w:type="spellEnd"/>
      <w:r w:rsidRPr="003F435F">
        <w:t xml:space="preserve">, P., </w:t>
      </w:r>
      <w:proofErr w:type="spellStart"/>
      <w:r w:rsidRPr="003F435F">
        <w:t>Bryde</w:t>
      </w:r>
      <w:proofErr w:type="spellEnd"/>
      <w:r w:rsidRPr="003F435F">
        <w:t xml:space="preserve">, D. J., &amp; Singh, R. K. (2022). Effect of eco-innovation on green supply chain management, circular economy capability, and performance of small and medium enterprises. Journal of Business Research, 141, 60-72. </w:t>
      </w:r>
      <w:hyperlink r:id="rId90" w:history="1">
        <w:r w:rsidRPr="003F435F">
          <w:rPr>
            <w:rStyle w:val="Hyperlink"/>
          </w:rPr>
          <w:t>https://doi.org/10.1016/j.jbusres.2021.12.011</w:t>
        </w:r>
      </w:hyperlink>
      <w:r w:rsidRPr="003F435F">
        <w:t xml:space="preserve"> </w:t>
      </w:r>
    </w:p>
    <w:p w14:paraId="02F66EC6" w14:textId="77777777" w:rsidR="003F435F" w:rsidRPr="003F435F" w:rsidRDefault="003F435F" w:rsidP="002F7336">
      <w:r w:rsidRPr="003F435F">
        <w:t xml:space="preserve">Bag, S., &amp; Pretorius, J. H. C. (2022). Relationships between industry 4.0, sustainable manufacturing and circular economy: proposal of a research framework. International Journal of Organizational Analysis, 30(4), 864-898. </w:t>
      </w:r>
      <w:hyperlink r:id="rId91" w:history="1">
        <w:r w:rsidRPr="003F435F">
          <w:rPr>
            <w:rStyle w:val="Hyperlink"/>
          </w:rPr>
          <w:t>https://doi.org/10.1108/IJOA-04-2020-2120</w:t>
        </w:r>
      </w:hyperlink>
      <w:r w:rsidRPr="003F435F">
        <w:t xml:space="preserve"> </w:t>
      </w:r>
    </w:p>
    <w:p w14:paraId="43044DC3" w14:textId="77777777" w:rsidR="003F435F" w:rsidRPr="003F435F" w:rsidRDefault="003F435F" w:rsidP="002F7336">
      <w:r w:rsidRPr="003F435F">
        <w:t xml:space="preserve">Berardi, P. C., &amp; de Brito, R. P. (2021). Supply chain collaboration for a circular economy - From transition to continuous improvement. Journal of Cleaner Production, 328, 129511. </w:t>
      </w:r>
      <w:hyperlink r:id="rId92" w:history="1">
        <w:r w:rsidRPr="003F435F">
          <w:rPr>
            <w:rStyle w:val="Hyperlink"/>
          </w:rPr>
          <w:t>https://doi.org/10.1016/j.jclepro.2021.129511</w:t>
        </w:r>
      </w:hyperlink>
      <w:r w:rsidRPr="003F435F">
        <w:t xml:space="preserve"> </w:t>
      </w:r>
    </w:p>
    <w:p w14:paraId="172815A6" w14:textId="77777777" w:rsidR="003F435F" w:rsidRPr="003F435F" w:rsidRDefault="003F435F" w:rsidP="002F7336">
      <w:r w:rsidRPr="003F435F">
        <w:t>Bimpizas-Pinis, M., Calzolari, T., &amp; Genovese, A. (2022). Exploring the transition towards circular supply chains through the arcs of integration. International Journal of Production Economics, 250, 108666.</w:t>
      </w:r>
      <w:r w:rsidRPr="003F435F" w:rsidDel="00501304">
        <w:t xml:space="preserve"> </w:t>
      </w:r>
      <w:hyperlink r:id="rId93" w:history="1">
        <w:r w:rsidRPr="003F435F">
          <w:rPr>
            <w:rStyle w:val="Hyperlink"/>
          </w:rPr>
          <w:t>https://doi.org/10.1016/j.ijpe.2022.108666</w:t>
        </w:r>
      </w:hyperlink>
      <w:r w:rsidRPr="003F435F">
        <w:t xml:space="preserve"> </w:t>
      </w:r>
    </w:p>
    <w:p w14:paraId="77D349AF" w14:textId="77777777" w:rsidR="003F435F" w:rsidRPr="003F435F" w:rsidRDefault="003F435F" w:rsidP="002F7336">
      <w:proofErr w:type="spellStart"/>
      <w:r w:rsidRPr="003F435F">
        <w:lastRenderedPageBreak/>
        <w:t>Braz</w:t>
      </w:r>
      <w:proofErr w:type="spellEnd"/>
      <w:r w:rsidRPr="003F435F">
        <w:t xml:space="preserve">, A. C., &amp; de Mello, A. M. (2022). Circular economy supply network management: A complex adaptive system. International Journal of Production Economics, 243, 108317. </w:t>
      </w:r>
      <w:hyperlink r:id="rId94" w:history="1">
        <w:r w:rsidRPr="003F435F">
          <w:rPr>
            <w:rStyle w:val="Hyperlink"/>
          </w:rPr>
          <w:t>https://doi.org/10.1016/j.ijpe.2021.108317</w:t>
        </w:r>
      </w:hyperlink>
      <w:r w:rsidRPr="003F435F">
        <w:t xml:space="preserve"> </w:t>
      </w:r>
    </w:p>
    <w:p w14:paraId="7FBEAA3E" w14:textId="77777777" w:rsidR="003F435F" w:rsidRPr="003F435F" w:rsidRDefault="003F435F" w:rsidP="002F7336">
      <w:r w:rsidRPr="003F435F">
        <w:t xml:space="preserve">Bressanelli, G., </w:t>
      </w:r>
      <w:proofErr w:type="spellStart"/>
      <w:r w:rsidRPr="003F435F">
        <w:t>Perona</w:t>
      </w:r>
      <w:proofErr w:type="spellEnd"/>
      <w:r w:rsidRPr="003F435F">
        <w:t xml:space="preserve">, M., &amp; </w:t>
      </w:r>
      <w:proofErr w:type="spellStart"/>
      <w:r w:rsidRPr="003F435F">
        <w:t>Saccani</w:t>
      </w:r>
      <w:proofErr w:type="spellEnd"/>
      <w:r w:rsidRPr="003F435F">
        <w:t xml:space="preserve">, N. (2019). Challenges in supply chain redesign for the Circular Economy: a literature review and a multiple case study. International Journal of Production Research, 57(23), 7395-7422. </w:t>
      </w:r>
      <w:hyperlink r:id="rId95" w:history="1">
        <w:r w:rsidRPr="003F435F">
          <w:rPr>
            <w:rStyle w:val="Hyperlink"/>
          </w:rPr>
          <w:t>https://doi.org/10.1080/00207543.2018.1542176</w:t>
        </w:r>
      </w:hyperlink>
      <w:r w:rsidRPr="003F435F">
        <w:t xml:space="preserve"> </w:t>
      </w:r>
    </w:p>
    <w:p w14:paraId="50960D79" w14:textId="77777777" w:rsidR="003F435F" w:rsidRPr="003F435F" w:rsidRDefault="003F435F" w:rsidP="002F7336">
      <w:r w:rsidRPr="003F435F">
        <w:t xml:space="preserve">Bressanelli, G., </w:t>
      </w:r>
      <w:proofErr w:type="spellStart"/>
      <w:r w:rsidRPr="003F435F">
        <w:t>Visintin</w:t>
      </w:r>
      <w:proofErr w:type="spellEnd"/>
      <w:r w:rsidRPr="003F435F">
        <w:t xml:space="preserve">, F., &amp; </w:t>
      </w:r>
      <w:proofErr w:type="spellStart"/>
      <w:r w:rsidRPr="003F435F">
        <w:t>Saccani</w:t>
      </w:r>
      <w:proofErr w:type="spellEnd"/>
      <w:r w:rsidRPr="003F435F">
        <w:t xml:space="preserve">, N. (2022). Circular Economy and the evolution of industrial districts: A supply chain perspective. International Journal of Production Economics, 243, 108348. </w:t>
      </w:r>
      <w:hyperlink r:id="rId96" w:history="1">
        <w:r w:rsidRPr="003F435F">
          <w:rPr>
            <w:rStyle w:val="Hyperlink"/>
          </w:rPr>
          <w:t>https://doi.org/10.1016/j.ijpe.2021.108348</w:t>
        </w:r>
      </w:hyperlink>
      <w:r w:rsidRPr="003F435F">
        <w:t xml:space="preserve"> </w:t>
      </w:r>
    </w:p>
    <w:p w14:paraId="278FCC07" w14:textId="77777777" w:rsidR="003F435F" w:rsidRPr="003753F4" w:rsidRDefault="003F435F" w:rsidP="002F7336">
      <w:pPr>
        <w:rPr>
          <w:lang w:val="it-IT"/>
        </w:rPr>
      </w:pPr>
      <w:r w:rsidRPr="003F435F">
        <w:t xml:space="preserve">Brønn, P. S., &amp; Vidaver-Cohen, D. (2009). Corporate motives for social initiative: Legitimacy, sustainability, or the bottom line? Journal of Business Ethics, 87(Suppl. 1), 91-109. </w:t>
      </w:r>
      <w:hyperlink r:id="rId97" w:history="1">
        <w:r w:rsidRPr="003753F4">
          <w:rPr>
            <w:rStyle w:val="Hyperlink"/>
            <w:lang w:val="it-IT"/>
          </w:rPr>
          <w:t>https://doi.org/10.1007/s10551-008-9795-z</w:t>
        </w:r>
      </w:hyperlink>
      <w:r w:rsidRPr="003753F4">
        <w:rPr>
          <w:lang w:val="it-IT"/>
        </w:rPr>
        <w:t xml:space="preserve"> </w:t>
      </w:r>
    </w:p>
    <w:p w14:paraId="5292DFB0" w14:textId="77777777" w:rsidR="003F435F" w:rsidRPr="003F435F" w:rsidRDefault="003F435F" w:rsidP="002F7336">
      <w:r w:rsidRPr="003753F4">
        <w:rPr>
          <w:lang w:val="it-IT"/>
        </w:rPr>
        <w:t xml:space="preserve">Calzolari, T., Genovese, A., &amp; Brint, A. (2021). </w:t>
      </w:r>
      <w:r w:rsidRPr="003F435F">
        <w:t xml:space="preserve">The adoption of circular economy practices in supply chains–An assessment of European Multi-National Enterprises. Journal of Cleaner Production, 312, 127616. </w:t>
      </w:r>
      <w:hyperlink r:id="rId98" w:history="1">
        <w:r w:rsidRPr="003F435F">
          <w:rPr>
            <w:rStyle w:val="Hyperlink"/>
          </w:rPr>
          <w:t>https://doi.org/10.1016/j.jclepro.2021.127616</w:t>
        </w:r>
      </w:hyperlink>
      <w:r w:rsidRPr="003F435F">
        <w:t xml:space="preserve"> </w:t>
      </w:r>
    </w:p>
    <w:p w14:paraId="679C5726" w14:textId="77777777" w:rsidR="003F435F" w:rsidRPr="003F435F" w:rsidRDefault="003F435F" w:rsidP="002F7336">
      <w:proofErr w:type="spellStart"/>
      <w:r w:rsidRPr="003F435F">
        <w:t>Cricelli</w:t>
      </w:r>
      <w:proofErr w:type="spellEnd"/>
      <w:r w:rsidRPr="003F435F">
        <w:t xml:space="preserve">, L., Greco, M., &amp; </w:t>
      </w:r>
      <w:proofErr w:type="spellStart"/>
      <w:r w:rsidRPr="003F435F">
        <w:t>Grimaldi</w:t>
      </w:r>
      <w:proofErr w:type="spellEnd"/>
      <w:r w:rsidRPr="003F435F">
        <w:t xml:space="preserve">, M. (2021). An investigation on the effect of inter-organizational collaboration on reverse logistics. International Journal of Production Economics, 240, 108216. </w:t>
      </w:r>
      <w:hyperlink r:id="rId99" w:history="1">
        <w:r w:rsidRPr="003F435F">
          <w:rPr>
            <w:rStyle w:val="Hyperlink"/>
          </w:rPr>
          <w:t>https://doi.org/10.1016/j.ijpe.2021.108216</w:t>
        </w:r>
      </w:hyperlink>
      <w:r w:rsidRPr="003F435F">
        <w:t xml:space="preserve"> </w:t>
      </w:r>
    </w:p>
    <w:p w14:paraId="73C84270" w14:textId="77777777" w:rsidR="003F435F" w:rsidRPr="003F435F" w:rsidRDefault="003F435F" w:rsidP="002F7336">
      <w:proofErr w:type="spellStart"/>
      <w:r w:rsidRPr="003F435F">
        <w:t>Dagiliene</w:t>
      </w:r>
      <w:proofErr w:type="spellEnd"/>
      <w:r w:rsidRPr="003F435F">
        <w:t xml:space="preserve">, L., </w:t>
      </w:r>
      <w:proofErr w:type="spellStart"/>
      <w:r w:rsidRPr="003F435F">
        <w:t>Frendzel</w:t>
      </w:r>
      <w:proofErr w:type="spellEnd"/>
      <w:r w:rsidRPr="003F435F">
        <w:t xml:space="preserve">, M., </w:t>
      </w:r>
      <w:proofErr w:type="spellStart"/>
      <w:r w:rsidRPr="003F435F">
        <w:t>Sutiene</w:t>
      </w:r>
      <w:proofErr w:type="spellEnd"/>
      <w:r w:rsidRPr="003F435F">
        <w:t xml:space="preserve">, K., &amp; </w:t>
      </w:r>
      <w:proofErr w:type="spellStart"/>
      <w:r w:rsidRPr="003F435F">
        <w:t>Wnuk-Pel</w:t>
      </w:r>
      <w:proofErr w:type="spellEnd"/>
      <w:r w:rsidRPr="003F435F">
        <w:t xml:space="preserve">, T. (2020). Wise managers think about circular economy, wiser report and </w:t>
      </w:r>
      <w:proofErr w:type="spellStart"/>
      <w:r w:rsidRPr="003F435F">
        <w:t>analyze</w:t>
      </w:r>
      <w:proofErr w:type="spellEnd"/>
      <w:r w:rsidRPr="003F435F">
        <w:t xml:space="preserve"> it. Research of environmental reporting practices in EU manufacturing companies. Journal of Cleaner Production, 274, 121968. </w:t>
      </w:r>
      <w:hyperlink r:id="rId100" w:history="1">
        <w:r w:rsidRPr="003F435F">
          <w:rPr>
            <w:rStyle w:val="Hyperlink"/>
          </w:rPr>
          <w:t>https://doi.org/10.1016/j.jclepro.2020.121968</w:t>
        </w:r>
      </w:hyperlink>
      <w:r w:rsidRPr="003F435F">
        <w:t xml:space="preserve"> </w:t>
      </w:r>
    </w:p>
    <w:p w14:paraId="64A9C9A2" w14:textId="77777777" w:rsidR="003F435F" w:rsidRPr="003F435F" w:rsidRDefault="003F435F" w:rsidP="002F7336">
      <w:r w:rsidRPr="003F435F">
        <w:t xml:space="preserve">Danese, P., &amp; </w:t>
      </w:r>
      <w:proofErr w:type="spellStart"/>
      <w:r w:rsidRPr="003F435F">
        <w:t>Bortolotti</w:t>
      </w:r>
      <w:proofErr w:type="spellEnd"/>
      <w:r w:rsidRPr="003F435F">
        <w:t xml:space="preserve">, T. (2014). Supply chain integration patterns and operational performance: A plant-level survey-based analysis. International Journal of Production Research, 52(23), 7062-7083. </w:t>
      </w:r>
      <w:hyperlink r:id="rId101" w:history="1">
        <w:r w:rsidRPr="003F435F">
          <w:rPr>
            <w:rStyle w:val="Hyperlink"/>
          </w:rPr>
          <w:t>https://doi.org/10.1080/00207543.2014.935515</w:t>
        </w:r>
      </w:hyperlink>
      <w:r w:rsidRPr="003F435F">
        <w:t xml:space="preserve"> </w:t>
      </w:r>
    </w:p>
    <w:p w14:paraId="60A92AEF" w14:textId="77777777" w:rsidR="003F435F" w:rsidRPr="003F435F" w:rsidRDefault="003F435F" w:rsidP="002F7336">
      <w:proofErr w:type="gramStart"/>
      <w:r w:rsidRPr="003D2412">
        <w:t>de</w:t>
      </w:r>
      <w:proofErr w:type="gramEnd"/>
      <w:r w:rsidRPr="003D2412">
        <w:t xml:space="preserve"> Abreu, M. C. S., &amp; Ceglia, D. (2018). </w:t>
      </w:r>
      <w:r w:rsidRPr="003F435F">
        <w:t xml:space="preserve">On the implementation of a circular economy: The role of institutional capacity-building through industrial symbiosis. Resources, Conservation and Recycling, 138, 99-109. </w:t>
      </w:r>
      <w:hyperlink r:id="rId102" w:history="1">
        <w:r w:rsidRPr="003F435F">
          <w:rPr>
            <w:rStyle w:val="Hyperlink"/>
          </w:rPr>
          <w:t>https://doi.org/10.1016/j.resconrec.2018.07.001</w:t>
        </w:r>
      </w:hyperlink>
      <w:r w:rsidRPr="003F435F">
        <w:t xml:space="preserve"> </w:t>
      </w:r>
    </w:p>
    <w:p w14:paraId="54E0FFEB" w14:textId="77777777" w:rsidR="003F435F" w:rsidRPr="003F435F" w:rsidRDefault="003F435F" w:rsidP="002F7336">
      <w:r w:rsidRPr="003F435F">
        <w:lastRenderedPageBreak/>
        <w:t xml:space="preserve">De Angelis, R., Howard, M., &amp; </w:t>
      </w:r>
      <w:proofErr w:type="spellStart"/>
      <w:r w:rsidRPr="003F435F">
        <w:t>Miemczyk</w:t>
      </w:r>
      <w:proofErr w:type="spellEnd"/>
      <w:r w:rsidRPr="003F435F">
        <w:t xml:space="preserve">, J. (2018). Supply chain management and the circular economy: towards the circular supply chain. Production Planning &amp; Control, 29(6), 425-437. </w:t>
      </w:r>
      <w:hyperlink r:id="rId103" w:history="1">
        <w:r w:rsidRPr="003F435F">
          <w:rPr>
            <w:rStyle w:val="Hyperlink"/>
          </w:rPr>
          <w:t>https://doi.org/10.1080/09537287.2018.1449244</w:t>
        </w:r>
      </w:hyperlink>
      <w:r w:rsidRPr="003F435F">
        <w:t xml:space="preserve"> </w:t>
      </w:r>
    </w:p>
    <w:p w14:paraId="56C6C631" w14:textId="77777777" w:rsidR="003F435F" w:rsidRPr="003F435F" w:rsidRDefault="003F435F" w:rsidP="002F7336">
      <w:pPr>
        <w:rPr>
          <w:lang w:val="pt-PT"/>
        </w:rPr>
      </w:pPr>
      <w:proofErr w:type="gramStart"/>
      <w:r w:rsidRPr="00DB35FC">
        <w:t>de</w:t>
      </w:r>
      <w:proofErr w:type="gramEnd"/>
      <w:r w:rsidRPr="00DB35FC">
        <w:t xml:space="preserve"> Jesus, A., &amp; </w:t>
      </w:r>
      <w:proofErr w:type="spellStart"/>
      <w:r w:rsidRPr="00DB35FC">
        <w:t>Mendonça</w:t>
      </w:r>
      <w:proofErr w:type="spellEnd"/>
      <w:r w:rsidRPr="00DB35FC">
        <w:t xml:space="preserve">, S. (2018). </w:t>
      </w:r>
      <w:r w:rsidRPr="003F435F">
        <w:t xml:space="preserve">Lost in transition? Drivers and barriers in the eco- innovation road to the circular economy. </w:t>
      </w:r>
      <w:r w:rsidRPr="003F435F">
        <w:rPr>
          <w:lang w:val="pt-PT"/>
        </w:rPr>
        <w:t xml:space="preserve">Ecological Economics, 145, 75-89. </w:t>
      </w:r>
      <w:r w:rsidR="00C80BFD">
        <w:fldChar w:fldCharType="begin"/>
      </w:r>
      <w:r w:rsidR="00C80BFD">
        <w:instrText xml:space="preserve"> HYPERLINK "https://doi.org/10.1016/j.ecolecon.2017.08.001" </w:instrText>
      </w:r>
      <w:r w:rsidR="00C80BFD">
        <w:fldChar w:fldCharType="separate"/>
      </w:r>
      <w:r w:rsidRPr="003F435F">
        <w:rPr>
          <w:rStyle w:val="Hyperlink"/>
          <w:lang w:val="pt-PT"/>
        </w:rPr>
        <w:t>https://doi.org/10.1016/j.ecolecon.2017.08.001</w:t>
      </w:r>
      <w:r w:rsidR="00C80BFD">
        <w:rPr>
          <w:rStyle w:val="Hyperlink"/>
          <w:lang w:val="pt-PT"/>
        </w:rPr>
        <w:fldChar w:fldCharType="end"/>
      </w:r>
      <w:r w:rsidRPr="003F435F">
        <w:rPr>
          <w:lang w:val="pt-PT"/>
        </w:rPr>
        <w:t xml:space="preserve"> </w:t>
      </w:r>
    </w:p>
    <w:p w14:paraId="22AE2E41" w14:textId="77777777" w:rsidR="003F435F" w:rsidRPr="003F435F" w:rsidRDefault="003F435F" w:rsidP="002F7336">
      <w:r w:rsidRPr="003F435F">
        <w:rPr>
          <w:lang w:val="pt-PT"/>
        </w:rPr>
        <w:t xml:space="preserve">De Lima, F. A., &amp; Seuring, S. (2023). </w:t>
      </w:r>
      <w:r w:rsidRPr="003F435F">
        <w:t>A Delphi study examining risk and uncertainty management in circular supply chains. </w:t>
      </w:r>
      <w:r w:rsidRPr="003F435F">
        <w:rPr>
          <w:i/>
          <w:iCs/>
        </w:rPr>
        <w:t>International Journal of Production Economics</w:t>
      </w:r>
      <w:r w:rsidRPr="003F435F">
        <w:t>, </w:t>
      </w:r>
      <w:r w:rsidRPr="003F435F">
        <w:rPr>
          <w:i/>
          <w:iCs/>
        </w:rPr>
        <w:t>258</w:t>
      </w:r>
      <w:r w:rsidRPr="003F435F">
        <w:t xml:space="preserve">, 108810. </w:t>
      </w:r>
      <w:hyperlink r:id="rId104" w:history="1">
        <w:r w:rsidRPr="003F435F">
          <w:rPr>
            <w:rStyle w:val="Hyperlink"/>
          </w:rPr>
          <w:t>https://doi.org/10.1016/j.ijpe.2023.108810</w:t>
        </w:r>
      </w:hyperlink>
    </w:p>
    <w:p w14:paraId="0F312F09" w14:textId="77777777" w:rsidR="003F435F" w:rsidRPr="003F435F" w:rsidRDefault="003F435F" w:rsidP="002F7336">
      <w:pPr>
        <w:rPr>
          <w:lang w:val="it-IT"/>
        </w:rPr>
      </w:pPr>
      <w:r w:rsidRPr="003F435F">
        <w:t xml:space="preserve">de Sousa </w:t>
      </w:r>
      <w:proofErr w:type="spellStart"/>
      <w:r w:rsidRPr="003F435F">
        <w:t>Jabbour</w:t>
      </w:r>
      <w:proofErr w:type="spellEnd"/>
      <w:r w:rsidRPr="003F435F">
        <w:t xml:space="preserve">, A. B. L., Luiz, J. V. R., Luiz, O. R., </w:t>
      </w:r>
      <w:proofErr w:type="spellStart"/>
      <w:r w:rsidRPr="003F435F">
        <w:t>Jabbour</w:t>
      </w:r>
      <w:proofErr w:type="spellEnd"/>
      <w:r w:rsidRPr="003F435F">
        <w:t xml:space="preserve">, C. J. C., </w:t>
      </w:r>
      <w:proofErr w:type="spellStart"/>
      <w:r w:rsidRPr="003F435F">
        <w:t>Ndubisi</w:t>
      </w:r>
      <w:proofErr w:type="spellEnd"/>
      <w:r w:rsidRPr="003F435F">
        <w:t xml:space="preserve">, N. O., de Oliveira, J. H. C., &amp; Junior, F. H. (2019). Circular economy business models and operations management. Journal of Cleaner Production, 235, 1525-1539. </w:t>
      </w:r>
      <w:hyperlink r:id="rId105" w:history="1">
        <w:r w:rsidRPr="003F435F">
          <w:rPr>
            <w:rStyle w:val="Hyperlink"/>
            <w:lang w:val="it-IT"/>
          </w:rPr>
          <w:t>https://doi.org/10.1016/j.jclepro.2019.06.349</w:t>
        </w:r>
      </w:hyperlink>
      <w:r w:rsidRPr="003F435F">
        <w:rPr>
          <w:lang w:val="it-IT"/>
        </w:rPr>
        <w:t xml:space="preserve"> </w:t>
      </w:r>
    </w:p>
    <w:p w14:paraId="6CE62151" w14:textId="6628F3DB" w:rsidR="003F435F" w:rsidRPr="003F435F" w:rsidRDefault="003F435F" w:rsidP="002F7336">
      <w:r w:rsidRPr="003F435F">
        <w:rPr>
          <w:lang w:val="it-IT"/>
        </w:rPr>
        <w:t xml:space="preserve">Di Maria, E., &amp; De Marchi, V. (2022). </w:t>
      </w:r>
      <w:r w:rsidRPr="003F435F">
        <w:t xml:space="preserve">Industry </w:t>
      </w:r>
      <w:r w:rsidR="00F07293" w:rsidRPr="003F435F">
        <w:t>4.</w:t>
      </w:r>
      <w:r w:rsidRPr="003F435F">
        <w:t xml:space="preserve"> 0 technologies and circular </w:t>
      </w:r>
      <w:r w:rsidR="00F07293" w:rsidRPr="003F435F">
        <w:t>economy</w:t>
      </w:r>
      <w:r w:rsidR="00F07293" w:rsidRPr="003F435F">
        <w:rPr>
          <w:rFonts w:ascii="Times New Roman" w:hAnsi="Times New Roman" w:cs="Times New Roman"/>
        </w:rPr>
        <w:t>:</w:t>
      </w:r>
      <w:r w:rsidRPr="003F435F">
        <w:t xml:space="preserve"> The mediating role of supply chain integration. Business Strategy and the Environment, September 2020, 1-14. </w:t>
      </w:r>
      <w:hyperlink r:id="rId106" w:history="1">
        <w:r w:rsidRPr="003F435F">
          <w:rPr>
            <w:rStyle w:val="Hyperlink"/>
          </w:rPr>
          <w:t>https://doi.org/10.1002/bse.2940</w:t>
        </w:r>
      </w:hyperlink>
      <w:r w:rsidRPr="003F435F">
        <w:t xml:space="preserve"> </w:t>
      </w:r>
    </w:p>
    <w:p w14:paraId="53991158" w14:textId="77777777" w:rsidR="003F435F" w:rsidRPr="003F435F" w:rsidRDefault="003F435F" w:rsidP="002F7336">
      <w:r w:rsidRPr="003F435F">
        <w:rPr>
          <w:lang w:val="it-IT"/>
        </w:rPr>
        <w:t xml:space="preserve">Di Maria, E., De Marchi, V., &amp; Galeazzo, A. (2022). </w:t>
      </w:r>
      <w:r w:rsidRPr="003F435F">
        <w:t xml:space="preserve">Industry 4.0 technologies and circular economy: The mediating role of supply chain integration. Business Strategy and the Environment, 31(2), 619-632. </w:t>
      </w:r>
      <w:hyperlink r:id="rId107" w:history="1">
        <w:r w:rsidRPr="003F435F">
          <w:rPr>
            <w:rStyle w:val="Hyperlink"/>
          </w:rPr>
          <w:t>https://doi.org/10.1002/bse.2940</w:t>
        </w:r>
      </w:hyperlink>
      <w:r w:rsidRPr="003F435F">
        <w:t xml:space="preserve"> </w:t>
      </w:r>
    </w:p>
    <w:p w14:paraId="323B2C9E" w14:textId="77777777" w:rsidR="003F435F" w:rsidRPr="003F435F" w:rsidRDefault="003F435F" w:rsidP="002F7336">
      <w:pPr>
        <w:rPr>
          <w:lang w:val="it-IT"/>
        </w:rPr>
      </w:pPr>
      <w:r w:rsidRPr="00DB35FC">
        <w:t xml:space="preserve">DiMaggio, P. J., &amp; Powell, W. W. (1983). </w:t>
      </w:r>
      <w:r w:rsidRPr="003F435F">
        <w:t xml:space="preserve">The Iron Cage Revisited: Institutional Isomorphism and Collective Rationality in Organizational Fields. </w:t>
      </w:r>
      <w:r w:rsidRPr="003F435F">
        <w:rPr>
          <w:lang w:val="it-IT"/>
        </w:rPr>
        <w:t xml:space="preserve">American Sociological Review, 48(2), 147-160. </w:t>
      </w:r>
      <w:r w:rsidR="00C80BFD">
        <w:fldChar w:fldCharType="begin"/>
      </w:r>
      <w:r w:rsidR="00C80BFD">
        <w:instrText xml:space="preserve"> HYPERLINK "https://doi.org/10.2307/2095101" </w:instrText>
      </w:r>
      <w:r w:rsidR="00C80BFD">
        <w:fldChar w:fldCharType="separate"/>
      </w:r>
      <w:r w:rsidRPr="003F435F">
        <w:rPr>
          <w:rStyle w:val="Hyperlink"/>
          <w:lang w:val="it-IT"/>
        </w:rPr>
        <w:t>https://doi.org/10.2307/2095101</w:t>
      </w:r>
      <w:r w:rsidR="00C80BFD">
        <w:rPr>
          <w:rStyle w:val="Hyperlink"/>
          <w:lang w:val="it-IT"/>
        </w:rPr>
        <w:fldChar w:fldCharType="end"/>
      </w:r>
      <w:r w:rsidRPr="003F435F">
        <w:rPr>
          <w:lang w:val="it-IT"/>
        </w:rPr>
        <w:t xml:space="preserve"> </w:t>
      </w:r>
    </w:p>
    <w:p w14:paraId="232B8676" w14:textId="77777777" w:rsidR="003F435F" w:rsidRPr="003F435F" w:rsidRDefault="003F435F" w:rsidP="002F7336">
      <w:r w:rsidRPr="003F435F">
        <w:rPr>
          <w:lang w:val="it-IT"/>
        </w:rPr>
        <w:t xml:space="preserve">Do, Q., Mishra, N., Colicchia, C., Creazza, A., &amp; Ramudhin, A. (2022). </w:t>
      </w:r>
      <w:r w:rsidRPr="003F435F">
        <w:t xml:space="preserve">An extended institutional theory perspective on the adoption of circular economy practices: Insights from the seafood industry. International Journal of Production Economics, 247, 108400. </w:t>
      </w:r>
      <w:hyperlink r:id="rId108" w:history="1">
        <w:r w:rsidRPr="003F435F">
          <w:rPr>
            <w:rStyle w:val="Hyperlink"/>
          </w:rPr>
          <w:t>https://doi.org/10.1016/j.ijpe.2021.108400</w:t>
        </w:r>
      </w:hyperlink>
      <w:r w:rsidRPr="003F435F">
        <w:t xml:space="preserve"> </w:t>
      </w:r>
    </w:p>
    <w:p w14:paraId="57D22745" w14:textId="77777777" w:rsidR="003F435F" w:rsidRPr="003F435F" w:rsidRDefault="003F435F" w:rsidP="002F7336">
      <w:pPr>
        <w:rPr>
          <w:lang w:val="pt-PT"/>
        </w:rPr>
      </w:pPr>
      <w:proofErr w:type="spellStart"/>
      <w:r w:rsidRPr="00DB35FC">
        <w:t>Domenech</w:t>
      </w:r>
      <w:proofErr w:type="spellEnd"/>
      <w:r w:rsidRPr="00DB35FC">
        <w:t xml:space="preserve">, T., &amp; </w:t>
      </w:r>
      <w:proofErr w:type="spellStart"/>
      <w:r w:rsidRPr="00DB35FC">
        <w:t>Bahn-Walkowiak</w:t>
      </w:r>
      <w:proofErr w:type="spellEnd"/>
      <w:r w:rsidRPr="00DB35FC">
        <w:t xml:space="preserve">, B. (2019). </w:t>
      </w:r>
      <w:r w:rsidRPr="003F435F">
        <w:t xml:space="preserve">Transition towards a resource efficient circular economy in Europe: policy lessons from the EU and the member states. </w:t>
      </w:r>
      <w:r w:rsidRPr="003F435F">
        <w:rPr>
          <w:lang w:val="pt-PT"/>
        </w:rPr>
        <w:t xml:space="preserve">Ecological Economics, 155, 7-19. </w:t>
      </w:r>
      <w:r w:rsidR="00C80BFD">
        <w:fldChar w:fldCharType="begin"/>
      </w:r>
      <w:r w:rsidR="00C80BFD">
        <w:instrText xml:space="preserve"> HYPERLINK "https://doi.org/10.1016/j.ecolecon.2017.11.001" </w:instrText>
      </w:r>
      <w:r w:rsidR="00C80BFD">
        <w:fldChar w:fldCharType="separate"/>
      </w:r>
      <w:r w:rsidRPr="003F435F">
        <w:rPr>
          <w:rStyle w:val="Hyperlink"/>
          <w:lang w:val="pt-PT"/>
        </w:rPr>
        <w:t>https://doi.org/10.1016/j.ecolecon.2017.11.001</w:t>
      </w:r>
      <w:r w:rsidR="00C80BFD">
        <w:rPr>
          <w:rStyle w:val="Hyperlink"/>
          <w:lang w:val="pt-PT"/>
        </w:rPr>
        <w:fldChar w:fldCharType="end"/>
      </w:r>
      <w:r w:rsidRPr="003F435F">
        <w:rPr>
          <w:lang w:val="pt-PT"/>
        </w:rPr>
        <w:t xml:space="preserve"> </w:t>
      </w:r>
    </w:p>
    <w:p w14:paraId="34396A11" w14:textId="77777777" w:rsidR="003F435F" w:rsidRPr="003F435F" w:rsidRDefault="003F435F" w:rsidP="002F7336">
      <w:pPr>
        <w:rPr>
          <w:lang w:val="it-IT"/>
        </w:rPr>
      </w:pPr>
      <w:r w:rsidRPr="003F435F">
        <w:rPr>
          <w:lang w:val="pt-PT"/>
        </w:rPr>
        <w:lastRenderedPageBreak/>
        <w:t xml:space="preserve">Dou, Y., Zhu, Q., &amp; Sarkis, J. (2018). </w:t>
      </w:r>
      <w:r w:rsidRPr="003F435F">
        <w:t xml:space="preserve">Green multi-tier supply chain management: An enabler investigation. Journal of Purchasing and Supply Management, 24(2), 95-107. </w:t>
      </w:r>
      <w:hyperlink r:id="rId109" w:history="1">
        <w:r w:rsidRPr="003F435F">
          <w:rPr>
            <w:rStyle w:val="Hyperlink"/>
            <w:lang w:val="it-IT"/>
          </w:rPr>
          <w:t>https://doi.org/10.1016/j.pursup.2017.07.001</w:t>
        </w:r>
      </w:hyperlink>
      <w:r w:rsidRPr="003F435F">
        <w:rPr>
          <w:lang w:val="it-IT"/>
        </w:rPr>
        <w:t xml:space="preserve"> </w:t>
      </w:r>
    </w:p>
    <w:p w14:paraId="19A6EC83" w14:textId="77777777" w:rsidR="003F435F" w:rsidRPr="003F435F" w:rsidRDefault="003F435F" w:rsidP="002F7336">
      <w:r w:rsidRPr="003F435F">
        <w:rPr>
          <w:lang w:val="it-IT"/>
        </w:rPr>
        <w:t xml:space="preserve">Elia, V., Gnoni, M. G., &amp; Tornese, F. (2020). </w:t>
      </w:r>
      <w:r w:rsidRPr="003F435F">
        <w:t xml:space="preserve">Evaluating the adoption of circular economy practices in industrial supply chains: an empirical analysis. Journal of Cleaner Production, 273, 122966. </w:t>
      </w:r>
      <w:hyperlink r:id="rId110" w:history="1">
        <w:r w:rsidRPr="003F435F">
          <w:rPr>
            <w:rStyle w:val="Hyperlink"/>
          </w:rPr>
          <w:t>https://doi.org/10.1016/j.jclepro.2020.122966</w:t>
        </w:r>
      </w:hyperlink>
      <w:r w:rsidRPr="003F435F">
        <w:t xml:space="preserve"> </w:t>
      </w:r>
    </w:p>
    <w:p w14:paraId="33CC2B5E" w14:textId="77777777" w:rsidR="003F435F" w:rsidRPr="003F435F" w:rsidRDefault="003F435F" w:rsidP="002F7336">
      <w:r w:rsidRPr="003F435F">
        <w:t xml:space="preserve">Ellram, L. M., &amp; Tate, W. L. (2016). The use of secondary data in purchasing and supply management (P/SM) research. Journal of Purchasing and Supply Management, 22(4), 250-254. </w:t>
      </w:r>
      <w:hyperlink r:id="rId111" w:history="1">
        <w:r w:rsidRPr="003F435F">
          <w:rPr>
            <w:rStyle w:val="Hyperlink"/>
          </w:rPr>
          <w:t>https://doi.org/10.1016/j.pursup.2016.08.005</w:t>
        </w:r>
      </w:hyperlink>
      <w:r w:rsidRPr="003F435F">
        <w:t xml:space="preserve"> </w:t>
      </w:r>
    </w:p>
    <w:p w14:paraId="3AA87D74" w14:textId="77777777" w:rsidR="003F435F" w:rsidRPr="003F435F" w:rsidRDefault="003F435F" w:rsidP="002F7336">
      <w:r w:rsidRPr="003F435F">
        <w:t xml:space="preserve">European Commission. (2020). A new Circular Economy Action Plan For a cleaner and more competitive Europe. Available online at: </w:t>
      </w:r>
      <w:hyperlink r:id="rId112" w:history="1">
        <w:r w:rsidRPr="003F435F">
          <w:rPr>
            <w:rStyle w:val="Hyperlink"/>
          </w:rPr>
          <w:t>https://eur-lex.europa.eu/legal-content/EN/TXT/?qid=1583933814386&amp;uri=COM:2020:98:FIN</w:t>
        </w:r>
      </w:hyperlink>
      <w:r w:rsidRPr="003F435F">
        <w:t xml:space="preserve"> </w:t>
      </w:r>
      <w:proofErr w:type="gramStart"/>
      <w:r w:rsidRPr="003F435F">
        <w:t>Last</w:t>
      </w:r>
      <w:proofErr w:type="gramEnd"/>
      <w:r w:rsidRPr="003F435F">
        <w:t xml:space="preserve"> accessed: 11/06/2020. </w:t>
      </w:r>
    </w:p>
    <w:p w14:paraId="6CE1AFD8" w14:textId="77777777" w:rsidR="003F435F" w:rsidRPr="003F435F" w:rsidRDefault="003F435F" w:rsidP="002F7336">
      <w:r w:rsidRPr="003F435F">
        <w:t xml:space="preserve">Flynn, B. B., </w:t>
      </w:r>
      <w:proofErr w:type="spellStart"/>
      <w:r w:rsidRPr="003F435F">
        <w:t>Huo</w:t>
      </w:r>
      <w:proofErr w:type="spellEnd"/>
      <w:r w:rsidRPr="003F435F">
        <w:t xml:space="preserve">, B., &amp; Zhao, X. (2010). The impact of supply chain integration on performance: A contingency and configuration approach. Journal of Operations Management, 28(1), 58-71. </w:t>
      </w:r>
      <w:hyperlink r:id="rId113" w:history="1">
        <w:r w:rsidRPr="003F435F">
          <w:rPr>
            <w:rStyle w:val="Hyperlink"/>
          </w:rPr>
          <w:t>https://doi.org/10.1016/j.jom.2009.06.001</w:t>
        </w:r>
      </w:hyperlink>
      <w:r w:rsidRPr="003F435F">
        <w:t xml:space="preserve"> </w:t>
      </w:r>
    </w:p>
    <w:p w14:paraId="2923D01B" w14:textId="77777777" w:rsidR="003F435F" w:rsidRPr="003F435F" w:rsidRDefault="003F435F" w:rsidP="002F7336">
      <w:proofErr w:type="spellStart"/>
      <w:r w:rsidRPr="003F435F">
        <w:t>Frohlich</w:t>
      </w:r>
      <w:proofErr w:type="spellEnd"/>
      <w:r w:rsidRPr="003F435F">
        <w:t xml:space="preserve">, M. T., &amp; Westbrook, R. (2001). Arcs of integration: An international study of supply chain strategies. Journal of Operations Management, 19(2), 185-200. </w:t>
      </w:r>
      <w:hyperlink r:id="rId114" w:history="1">
        <w:r w:rsidRPr="003F435F">
          <w:rPr>
            <w:rStyle w:val="Hyperlink"/>
          </w:rPr>
          <w:t>https://doi.org/10.1016/S0272-6963(00)00055-3</w:t>
        </w:r>
      </w:hyperlink>
      <w:r w:rsidRPr="003F435F">
        <w:t xml:space="preserve"> </w:t>
      </w:r>
    </w:p>
    <w:p w14:paraId="5DF35F2B" w14:textId="3AF5EBC9" w:rsidR="003F435F" w:rsidRPr="003F435F" w:rsidRDefault="003F435F" w:rsidP="002F7336">
      <w:pPr>
        <w:rPr>
          <w:lang w:val="de-DE"/>
        </w:rPr>
      </w:pPr>
      <w:proofErr w:type="spellStart"/>
      <w:r w:rsidRPr="00EA16DC">
        <w:t>Geissdoerfer</w:t>
      </w:r>
      <w:proofErr w:type="spellEnd"/>
      <w:r w:rsidRPr="00EA16DC">
        <w:t xml:space="preserve">, M., </w:t>
      </w:r>
      <w:proofErr w:type="spellStart"/>
      <w:r w:rsidRPr="00EA16DC">
        <w:t>Savaget</w:t>
      </w:r>
      <w:proofErr w:type="spellEnd"/>
      <w:r w:rsidRPr="00EA16DC">
        <w:t xml:space="preserve">, P., </w:t>
      </w:r>
      <w:proofErr w:type="spellStart"/>
      <w:r w:rsidRPr="00EA16DC">
        <w:t>Bocken</w:t>
      </w:r>
      <w:proofErr w:type="spellEnd"/>
      <w:r w:rsidRPr="00EA16DC">
        <w:t xml:space="preserve">, N. M., &amp; </w:t>
      </w:r>
      <w:proofErr w:type="spellStart"/>
      <w:r w:rsidRPr="00EA16DC">
        <w:t>Hultink</w:t>
      </w:r>
      <w:proofErr w:type="spellEnd"/>
      <w:r w:rsidRPr="00EA16DC">
        <w:t xml:space="preserve">, E. J. (2017). </w:t>
      </w:r>
      <w:r w:rsidRPr="003F435F">
        <w:t xml:space="preserve">The Circular Economy-A new sustainability </w:t>
      </w:r>
      <w:r w:rsidR="00F07293" w:rsidRPr="003F435F">
        <w:t>paradigm?</w:t>
      </w:r>
      <w:r w:rsidRPr="003F435F">
        <w:t xml:space="preserve"> Journal of Cleaner Production, 143, 757-768. </w:t>
      </w:r>
      <w:hyperlink r:id="rId115" w:history="1">
        <w:r w:rsidRPr="003F435F">
          <w:rPr>
            <w:rStyle w:val="Hyperlink"/>
            <w:lang w:val="de-DE"/>
          </w:rPr>
          <w:t>https://doi.org/10.1016/j.jclepro.2016.12.048</w:t>
        </w:r>
      </w:hyperlink>
      <w:r w:rsidRPr="003F435F">
        <w:rPr>
          <w:lang w:val="de-DE"/>
        </w:rPr>
        <w:t xml:space="preserve"> </w:t>
      </w:r>
    </w:p>
    <w:p w14:paraId="5C96D9C6" w14:textId="77777777" w:rsidR="003F435F" w:rsidRPr="003F435F" w:rsidRDefault="003F435F" w:rsidP="002F7336">
      <w:r w:rsidRPr="003F435F">
        <w:rPr>
          <w:lang w:val="de-DE"/>
        </w:rPr>
        <w:t xml:space="preserve">Geng, Y., Zhu, Q., Doberstein, B., &amp; Fujita, T. (2009). </w:t>
      </w:r>
      <w:r w:rsidRPr="003F435F">
        <w:t xml:space="preserve">Implementing China’s circular economy concept at the regional level: A review of progress in Dalian, China. Waste Management, 29(2), 996-1002. </w:t>
      </w:r>
      <w:hyperlink r:id="rId116" w:history="1">
        <w:r w:rsidRPr="003F435F">
          <w:rPr>
            <w:rStyle w:val="Hyperlink"/>
          </w:rPr>
          <w:t>https://doi.org/10.1016/j.wasman.2008.06.036</w:t>
        </w:r>
      </w:hyperlink>
      <w:r w:rsidRPr="003F435F">
        <w:t xml:space="preserve"> </w:t>
      </w:r>
    </w:p>
    <w:p w14:paraId="222D6303" w14:textId="77777777" w:rsidR="003F435F" w:rsidRPr="003F435F" w:rsidRDefault="003F435F" w:rsidP="002F7336">
      <w:pPr>
        <w:rPr>
          <w:lang w:val="it-IT"/>
        </w:rPr>
      </w:pPr>
      <w:r w:rsidRPr="00DB35FC">
        <w:t xml:space="preserve">Genovese, A., </w:t>
      </w:r>
      <w:proofErr w:type="spellStart"/>
      <w:r w:rsidRPr="00DB35FC">
        <w:t>Acquaye</w:t>
      </w:r>
      <w:proofErr w:type="spellEnd"/>
      <w:r w:rsidRPr="00DB35FC">
        <w:t xml:space="preserve">, A. A., Figueroa, A., &amp; </w:t>
      </w:r>
      <w:proofErr w:type="spellStart"/>
      <w:r w:rsidRPr="00DB35FC">
        <w:t>Koh</w:t>
      </w:r>
      <w:proofErr w:type="spellEnd"/>
      <w:r w:rsidRPr="00DB35FC">
        <w:t xml:space="preserve">, S. L. (2017). </w:t>
      </w:r>
      <w:r w:rsidRPr="003F435F">
        <w:t xml:space="preserve">Sustainable supply chain management and the transition towards a circular economy: Evidence and some applications. </w:t>
      </w:r>
      <w:r w:rsidRPr="003F435F">
        <w:rPr>
          <w:lang w:val="it-IT"/>
        </w:rPr>
        <w:t xml:space="preserve">Omega, 66, 344-357. </w:t>
      </w:r>
      <w:r w:rsidR="00C80BFD">
        <w:fldChar w:fldCharType="begin"/>
      </w:r>
      <w:r w:rsidR="00C80BFD">
        <w:instrText xml:space="preserve"> HYPERLINK "https://doi.org/10.1016/j.omega.2015.05.015" </w:instrText>
      </w:r>
      <w:r w:rsidR="00C80BFD">
        <w:fldChar w:fldCharType="separate"/>
      </w:r>
      <w:r w:rsidRPr="003F435F">
        <w:rPr>
          <w:rStyle w:val="Hyperlink"/>
          <w:lang w:val="it-IT"/>
        </w:rPr>
        <w:t>https://doi.org/10.1016/j.omega.2015.05.015</w:t>
      </w:r>
      <w:r w:rsidR="00C80BFD">
        <w:rPr>
          <w:rStyle w:val="Hyperlink"/>
          <w:lang w:val="it-IT"/>
        </w:rPr>
        <w:fldChar w:fldCharType="end"/>
      </w:r>
      <w:r w:rsidRPr="003F435F">
        <w:rPr>
          <w:lang w:val="it-IT"/>
        </w:rPr>
        <w:t xml:space="preserve"> </w:t>
      </w:r>
    </w:p>
    <w:p w14:paraId="423C3B03" w14:textId="77777777" w:rsidR="003F435F" w:rsidRPr="003F435F" w:rsidRDefault="003F435F" w:rsidP="002F7336">
      <w:r w:rsidRPr="003F435F">
        <w:rPr>
          <w:lang w:val="it-IT"/>
        </w:rPr>
        <w:lastRenderedPageBreak/>
        <w:t xml:space="preserve">Gusmerotti, N. M., Testa, F., Corsini, F., Pretner, G., &amp; Iraldo, F. (2019). </w:t>
      </w:r>
      <w:r w:rsidRPr="003F435F">
        <w:t xml:space="preserve">Drivers and approaches to the circular economy in manufacturing firms. Journal of Cleaner Production, 230, 314–327. </w:t>
      </w:r>
      <w:hyperlink r:id="rId117" w:history="1">
        <w:r w:rsidRPr="003F435F">
          <w:rPr>
            <w:rStyle w:val="Hyperlink"/>
          </w:rPr>
          <w:t>https://doi.org/10.1016/j.jclepro.2019.05.044</w:t>
        </w:r>
      </w:hyperlink>
      <w:r w:rsidRPr="003F435F">
        <w:t xml:space="preserve"> </w:t>
      </w:r>
    </w:p>
    <w:p w14:paraId="1BB0C286" w14:textId="77777777" w:rsidR="003F435F" w:rsidRPr="003F435F" w:rsidRDefault="003F435F" w:rsidP="002F7336">
      <w:r w:rsidRPr="003F435F">
        <w:t xml:space="preserve">Henry, M., </w:t>
      </w:r>
      <w:proofErr w:type="spellStart"/>
      <w:r w:rsidRPr="003F435F">
        <w:t>Bauwens</w:t>
      </w:r>
      <w:proofErr w:type="spellEnd"/>
      <w:r w:rsidRPr="003F435F">
        <w:t xml:space="preserve">, T., </w:t>
      </w:r>
      <w:proofErr w:type="spellStart"/>
      <w:r w:rsidRPr="003F435F">
        <w:t>Hekkert</w:t>
      </w:r>
      <w:proofErr w:type="spellEnd"/>
      <w:r w:rsidRPr="003F435F">
        <w:t xml:space="preserve">, M., &amp; </w:t>
      </w:r>
      <w:proofErr w:type="spellStart"/>
      <w:r w:rsidRPr="003F435F">
        <w:t>Kirchherr</w:t>
      </w:r>
      <w:proofErr w:type="spellEnd"/>
      <w:r w:rsidRPr="003F435F">
        <w:t xml:space="preserve">, J. (2020). A typology of circular start-ups: An Analysis of 128 circular business models. Journal of Cleaner Production, 245, 118528. </w:t>
      </w:r>
      <w:hyperlink r:id="rId118" w:history="1">
        <w:r w:rsidRPr="003F435F">
          <w:rPr>
            <w:rStyle w:val="Hyperlink"/>
          </w:rPr>
          <w:t>https://doi.org/10.1016/j.jclepro.2019.118528</w:t>
        </w:r>
      </w:hyperlink>
      <w:r w:rsidRPr="003F435F">
        <w:t xml:space="preserve"> </w:t>
      </w:r>
    </w:p>
    <w:p w14:paraId="67235FC0" w14:textId="77777777" w:rsidR="003F435F" w:rsidRPr="003F435F" w:rsidRDefault="003F435F" w:rsidP="002F7336">
      <w:r w:rsidRPr="003F435F">
        <w:t xml:space="preserve">Herczeg, G., </w:t>
      </w:r>
      <w:proofErr w:type="spellStart"/>
      <w:r w:rsidRPr="003F435F">
        <w:t>Akkerman</w:t>
      </w:r>
      <w:proofErr w:type="spellEnd"/>
      <w:r w:rsidRPr="003F435F">
        <w:t xml:space="preserve">, R., &amp; </w:t>
      </w:r>
      <w:proofErr w:type="spellStart"/>
      <w:r w:rsidRPr="003F435F">
        <w:t>Hauschild</w:t>
      </w:r>
      <w:proofErr w:type="spellEnd"/>
      <w:r w:rsidRPr="003F435F">
        <w:t xml:space="preserve">, M. Z. (2018). Supply chain collaboration in industrial symbiosis networks. Journal of Cleaner Production, 171, 1058-1067. </w:t>
      </w:r>
      <w:hyperlink r:id="rId119" w:history="1">
        <w:r w:rsidRPr="003F435F">
          <w:rPr>
            <w:rStyle w:val="Hyperlink"/>
          </w:rPr>
          <w:t>https://doi.org/10.1016/j.jclepro.2017.10.046</w:t>
        </w:r>
      </w:hyperlink>
      <w:r w:rsidRPr="003F435F">
        <w:t xml:space="preserve"> </w:t>
      </w:r>
    </w:p>
    <w:p w14:paraId="531D371E" w14:textId="77777777" w:rsidR="003F435F" w:rsidRPr="003F435F" w:rsidRDefault="003F435F" w:rsidP="002F7336">
      <w:proofErr w:type="spellStart"/>
      <w:r w:rsidRPr="003F435F">
        <w:t>Hofstetter</w:t>
      </w:r>
      <w:proofErr w:type="spellEnd"/>
      <w:r w:rsidRPr="003F435F">
        <w:t xml:space="preserve">, J. S., De </w:t>
      </w:r>
      <w:proofErr w:type="spellStart"/>
      <w:r w:rsidRPr="003F435F">
        <w:t>Marchi</w:t>
      </w:r>
      <w:proofErr w:type="spellEnd"/>
      <w:r w:rsidRPr="003F435F">
        <w:t xml:space="preserve">, V., </w:t>
      </w:r>
      <w:proofErr w:type="spellStart"/>
      <w:r w:rsidRPr="003F435F">
        <w:t>Sarkis</w:t>
      </w:r>
      <w:proofErr w:type="spellEnd"/>
      <w:r w:rsidRPr="003F435F">
        <w:t xml:space="preserve">, J., Govindan, K., </w:t>
      </w:r>
      <w:proofErr w:type="spellStart"/>
      <w:r w:rsidRPr="003F435F">
        <w:t>Klassen</w:t>
      </w:r>
      <w:proofErr w:type="spellEnd"/>
      <w:r w:rsidRPr="003F435F">
        <w:t xml:space="preserve">, R., </w:t>
      </w:r>
      <w:proofErr w:type="spellStart"/>
      <w:r w:rsidRPr="003F435F">
        <w:t>Ometto</w:t>
      </w:r>
      <w:proofErr w:type="spellEnd"/>
      <w:r w:rsidRPr="003F435F">
        <w:t xml:space="preserve">, A. R., </w:t>
      </w:r>
      <w:proofErr w:type="spellStart"/>
      <w:r w:rsidRPr="003F435F">
        <w:t>Spraul</w:t>
      </w:r>
      <w:proofErr w:type="spellEnd"/>
      <w:r w:rsidRPr="003F435F">
        <w:t xml:space="preserve">, K. S., </w:t>
      </w:r>
      <w:proofErr w:type="spellStart"/>
      <w:r w:rsidRPr="003F435F">
        <w:t>Bocken</w:t>
      </w:r>
      <w:proofErr w:type="spellEnd"/>
      <w:r w:rsidRPr="003F435F">
        <w:t>, N., Ashton, W. S., Sharma, S., Jaeger-</w:t>
      </w:r>
      <w:proofErr w:type="spellStart"/>
      <w:r w:rsidRPr="003F435F">
        <w:t>Erben</w:t>
      </w:r>
      <w:proofErr w:type="spellEnd"/>
      <w:r w:rsidRPr="003F435F">
        <w:t xml:space="preserve">, M., Jensen, C., </w:t>
      </w:r>
      <w:proofErr w:type="spellStart"/>
      <w:r w:rsidRPr="003F435F">
        <w:t>Dewick</w:t>
      </w:r>
      <w:proofErr w:type="spellEnd"/>
      <w:r w:rsidRPr="003F435F">
        <w:t xml:space="preserve">, P., </w:t>
      </w:r>
      <w:proofErr w:type="spellStart"/>
      <w:r w:rsidRPr="003F435F">
        <w:t>Schröder</w:t>
      </w:r>
      <w:proofErr w:type="spellEnd"/>
      <w:r w:rsidRPr="003F435F">
        <w:t xml:space="preserve">, P., </w:t>
      </w:r>
      <w:proofErr w:type="spellStart"/>
      <w:r w:rsidRPr="003F435F">
        <w:t>Sinkovics</w:t>
      </w:r>
      <w:proofErr w:type="spellEnd"/>
      <w:r w:rsidRPr="003F435F">
        <w:t xml:space="preserve">, N., Ibrahim, S. E., Fiske, L., </w:t>
      </w:r>
      <w:proofErr w:type="spellStart"/>
      <w:r w:rsidRPr="003F435F">
        <w:t>Goerzen</w:t>
      </w:r>
      <w:proofErr w:type="spellEnd"/>
      <w:r w:rsidRPr="003F435F">
        <w:t>, A., &amp; Vazquez-</w:t>
      </w:r>
      <w:proofErr w:type="spellStart"/>
      <w:r w:rsidRPr="003F435F">
        <w:t>Brust</w:t>
      </w:r>
      <w:proofErr w:type="spellEnd"/>
      <w:r w:rsidRPr="003F435F">
        <w:t xml:space="preserve">, D. (2021). From sustainable global value chains to circular economy—different silos, different perspectives, but many opportunities to build bridges. Circular Economy and Sustainability, 1(1), 21-47. </w:t>
      </w:r>
      <w:hyperlink r:id="rId120" w:history="1">
        <w:r w:rsidRPr="003F435F">
          <w:rPr>
            <w:rStyle w:val="Hyperlink"/>
          </w:rPr>
          <w:t>https://doi.org/10.1007/s43615-021-00015-2</w:t>
        </w:r>
      </w:hyperlink>
      <w:r w:rsidRPr="003F435F">
        <w:t xml:space="preserve"> </w:t>
      </w:r>
    </w:p>
    <w:p w14:paraId="22D86918" w14:textId="77777777" w:rsidR="003F435F" w:rsidRPr="003F435F" w:rsidRDefault="003F435F" w:rsidP="002F7336">
      <w:proofErr w:type="spellStart"/>
      <w:r w:rsidRPr="003F435F">
        <w:t>Jabbour</w:t>
      </w:r>
      <w:proofErr w:type="spellEnd"/>
      <w:r w:rsidRPr="003F435F">
        <w:t xml:space="preserve">, C. J. C., Seuring, S., de Sousa </w:t>
      </w:r>
      <w:proofErr w:type="spellStart"/>
      <w:r w:rsidRPr="003F435F">
        <w:t>Jabbour</w:t>
      </w:r>
      <w:proofErr w:type="spellEnd"/>
      <w:r w:rsidRPr="003F435F">
        <w:t xml:space="preserve">, A. B. L., </w:t>
      </w:r>
      <w:proofErr w:type="spellStart"/>
      <w:r w:rsidRPr="003F435F">
        <w:t>Jugend</w:t>
      </w:r>
      <w:proofErr w:type="spellEnd"/>
      <w:r w:rsidRPr="003F435F">
        <w:t xml:space="preserve">, D., </w:t>
      </w:r>
      <w:proofErr w:type="spellStart"/>
      <w:r w:rsidRPr="003F435F">
        <w:t>Fiorini</w:t>
      </w:r>
      <w:proofErr w:type="spellEnd"/>
      <w:r w:rsidRPr="003F435F">
        <w:t xml:space="preserve">, P. D. C., </w:t>
      </w:r>
      <w:proofErr w:type="spellStart"/>
      <w:r w:rsidRPr="003F435F">
        <w:t>Latan</w:t>
      </w:r>
      <w:proofErr w:type="spellEnd"/>
      <w:r w:rsidRPr="003F435F">
        <w:t xml:space="preserve">, H., &amp; </w:t>
      </w:r>
      <w:proofErr w:type="spellStart"/>
      <w:r w:rsidRPr="003F435F">
        <w:t>Izeppi</w:t>
      </w:r>
      <w:proofErr w:type="spellEnd"/>
      <w:r w:rsidRPr="003F435F">
        <w:t xml:space="preserve">, W. C. (2020). Stakeholders, innovative business models for the circular economy and sustainable performance of firms in an emerging economy facing institutional voids. Journal of Environmental Management, 264, 110416. </w:t>
      </w:r>
      <w:hyperlink r:id="rId121" w:history="1">
        <w:r w:rsidRPr="003F435F">
          <w:rPr>
            <w:rStyle w:val="Hyperlink"/>
          </w:rPr>
          <w:t>https://doi.org/10.1016/j.jenvman.2020.110416</w:t>
        </w:r>
      </w:hyperlink>
      <w:r w:rsidRPr="003F435F">
        <w:t xml:space="preserve"> </w:t>
      </w:r>
    </w:p>
    <w:p w14:paraId="63448679" w14:textId="77777777" w:rsidR="003F435F" w:rsidRPr="003F435F" w:rsidRDefault="003F435F" w:rsidP="002F7336">
      <w:r w:rsidRPr="003F435F">
        <w:t xml:space="preserve">Jain, N. K., Panda, A., &amp; </w:t>
      </w:r>
      <w:proofErr w:type="spellStart"/>
      <w:r w:rsidRPr="003F435F">
        <w:t>Choudhary</w:t>
      </w:r>
      <w:proofErr w:type="spellEnd"/>
      <w:r w:rsidRPr="003F435F">
        <w:t xml:space="preserve">, P. (2020). Institutional pressures and circular economy performance: The role of environmental management system and organizational flexibility in oil and gas sector. Business Strategy and the Environment, 29(8), 3509-3525. </w:t>
      </w:r>
      <w:hyperlink r:id="rId122" w:history="1">
        <w:r w:rsidRPr="003F435F">
          <w:rPr>
            <w:rStyle w:val="Hyperlink"/>
          </w:rPr>
          <w:t>https://doi.org/10.1002/bse.2593</w:t>
        </w:r>
      </w:hyperlink>
      <w:r w:rsidRPr="003F435F">
        <w:t xml:space="preserve"> </w:t>
      </w:r>
    </w:p>
    <w:p w14:paraId="56E7B81B" w14:textId="77777777" w:rsidR="003F435F" w:rsidRPr="003F435F" w:rsidRDefault="003F435F" w:rsidP="002F7336">
      <w:proofErr w:type="spellStart"/>
      <w:r w:rsidRPr="003F435F">
        <w:t>Kauppi</w:t>
      </w:r>
      <w:proofErr w:type="spellEnd"/>
      <w:r w:rsidRPr="003F435F">
        <w:t xml:space="preserve">, K., &amp; Hannibal, C. (2017). Institutional pressures and sustainability assessment in supply chains. Supply Chain Management: An International Journal. 22(5), 458-472. </w:t>
      </w:r>
      <w:hyperlink r:id="rId123" w:history="1">
        <w:r w:rsidRPr="003F435F">
          <w:rPr>
            <w:rStyle w:val="Hyperlink"/>
          </w:rPr>
          <w:t>https://doi.org/10.1108/scm-01-2017-0004</w:t>
        </w:r>
      </w:hyperlink>
      <w:r w:rsidRPr="003F435F">
        <w:t xml:space="preserve"> </w:t>
      </w:r>
    </w:p>
    <w:p w14:paraId="128ED015" w14:textId="77777777" w:rsidR="003F435F" w:rsidRPr="003F435F" w:rsidRDefault="003F435F" w:rsidP="002F7336">
      <w:proofErr w:type="spellStart"/>
      <w:r w:rsidRPr="003F435F">
        <w:t>Kauppi</w:t>
      </w:r>
      <w:proofErr w:type="spellEnd"/>
      <w:r w:rsidRPr="003F435F">
        <w:t xml:space="preserve">, K., &amp; </w:t>
      </w:r>
      <w:proofErr w:type="spellStart"/>
      <w:r w:rsidRPr="003F435F">
        <w:t>Luzzini</w:t>
      </w:r>
      <w:proofErr w:type="spellEnd"/>
      <w:r w:rsidRPr="003F435F">
        <w:t xml:space="preserve">, D. (2022). Measuring institutional pressures in a supply chain context: scale development and testing. Supply Chain Management: An International Journal, 27(7), 79-107. </w:t>
      </w:r>
      <w:hyperlink r:id="rId124" w:history="1">
        <w:r w:rsidRPr="003F435F">
          <w:rPr>
            <w:rStyle w:val="Hyperlink"/>
          </w:rPr>
          <w:t>https://doi.org/10.1108/SCM-04-2021-0169</w:t>
        </w:r>
      </w:hyperlink>
      <w:r w:rsidRPr="003F435F">
        <w:t xml:space="preserve"> </w:t>
      </w:r>
    </w:p>
    <w:p w14:paraId="0BD17B2A" w14:textId="77777777" w:rsidR="003F435F" w:rsidRPr="003F435F" w:rsidRDefault="003F435F" w:rsidP="002F7336">
      <w:proofErr w:type="spellStart"/>
      <w:r w:rsidRPr="003F435F">
        <w:lastRenderedPageBreak/>
        <w:t>Ketchen</w:t>
      </w:r>
      <w:proofErr w:type="spellEnd"/>
      <w:r w:rsidRPr="003F435F">
        <w:t xml:space="preserve">, D. J., &amp; </w:t>
      </w:r>
      <w:proofErr w:type="spellStart"/>
      <w:r w:rsidRPr="003F435F">
        <w:t>Hult</w:t>
      </w:r>
      <w:proofErr w:type="spellEnd"/>
      <w:r w:rsidRPr="003F435F">
        <w:t xml:space="preserve">, G. T. M. (2007). Bridging organization theory and supply chain management: The case of best value supply chains. Journal of Operations Management, 25(2), 573-580. </w:t>
      </w:r>
      <w:hyperlink r:id="rId125" w:history="1">
        <w:r w:rsidRPr="003F435F">
          <w:rPr>
            <w:rStyle w:val="Hyperlink"/>
          </w:rPr>
          <w:t>https://doi.org/10.1016/j.jom.2006.05.010</w:t>
        </w:r>
      </w:hyperlink>
      <w:r w:rsidRPr="003F435F">
        <w:t xml:space="preserve"> </w:t>
      </w:r>
    </w:p>
    <w:p w14:paraId="7E6EC34F" w14:textId="77777777" w:rsidR="003F435F" w:rsidRPr="003F435F" w:rsidRDefault="003F435F" w:rsidP="002F7336">
      <w:proofErr w:type="spellStart"/>
      <w:r w:rsidRPr="003F435F">
        <w:t>Kirchherr</w:t>
      </w:r>
      <w:proofErr w:type="spellEnd"/>
      <w:r w:rsidRPr="003F435F">
        <w:t xml:space="preserve">, J., </w:t>
      </w:r>
      <w:proofErr w:type="spellStart"/>
      <w:r w:rsidRPr="003F435F">
        <w:t>Piscicelli</w:t>
      </w:r>
      <w:proofErr w:type="spellEnd"/>
      <w:r w:rsidRPr="003F435F">
        <w:t xml:space="preserve">, L., </w:t>
      </w:r>
      <w:proofErr w:type="spellStart"/>
      <w:r w:rsidRPr="003F435F">
        <w:t>Bour</w:t>
      </w:r>
      <w:proofErr w:type="spellEnd"/>
      <w:r w:rsidRPr="003F435F">
        <w:t xml:space="preserve">, R., </w:t>
      </w:r>
      <w:proofErr w:type="spellStart"/>
      <w:r w:rsidRPr="003F435F">
        <w:t>Kostense</w:t>
      </w:r>
      <w:proofErr w:type="spellEnd"/>
      <w:r w:rsidRPr="003F435F">
        <w:t xml:space="preserve">-Smit, E., Muller, J., </w:t>
      </w:r>
      <w:proofErr w:type="spellStart"/>
      <w:r w:rsidRPr="003F435F">
        <w:t>Huibrechtse-Truijens</w:t>
      </w:r>
      <w:proofErr w:type="spellEnd"/>
      <w:r w:rsidRPr="003F435F">
        <w:t xml:space="preserve">, A., &amp; </w:t>
      </w:r>
      <w:proofErr w:type="spellStart"/>
      <w:r w:rsidRPr="003F435F">
        <w:t>Hekkert</w:t>
      </w:r>
      <w:proofErr w:type="spellEnd"/>
      <w:r w:rsidRPr="003F435F">
        <w:t xml:space="preserve">, M. (2018). Barriers to the circular economy: Evidence from the European Union (EU). Ecological Economics, 150, 264-272. </w:t>
      </w:r>
      <w:hyperlink r:id="rId126" w:history="1">
        <w:r w:rsidRPr="003F435F">
          <w:rPr>
            <w:rStyle w:val="Hyperlink"/>
          </w:rPr>
          <w:t>https://doi.org/10.1016/j.ecolecon.2018.04.028</w:t>
        </w:r>
      </w:hyperlink>
      <w:r w:rsidRPr="003F435F">
        <w:t xml:space="preserve"> </w:t>
      </w:r>
    </w:p>
    <w:p w14:paraId="7A47B1B8" w14:textId="77777777" w:rsidR="003F435F" w:rsidRPr="003F435F" w:rsidRDefault="003F435F" w:rsidP="002F7336">
      <w:r w:rsidRPr="003F435F">
        <w:t xml:space="preserve">Korhonen, J., </w:t>
      </w:r>
      <w:proofErr w:type="spellStart"/>
      <w:r w:rsidRPr="003F435F">
        <w:t>Honkasalo</w:t>
      </w:r>
      <w:proofErr w:type="spellEnd"/>
      <w:r w:rsidRPr="003F435F">
        <w:t xml:space="preserve">, A., &amp; </w:t>
      </w:r>
      <w:proofErr w:type="spellStart"/>
      <w:r w:rsidRPr="003F435F">
        <w:t>Seppälä</w:t>
      </w:r>
      <w:proofErr w:type="spellEnd"/>
      <w:r w:rsidRPr="003F435F">
        <w:t xml:space="preserve">, J. (2018). Circular economy: The concept and its limitations. Ecological Economics, 143, 37-46. </w:t>
      </w:r>
      <w:hyperlink r:id="rId127" w:history="1">
        <w:r w:rsidRPr="003F435F">
          <w:rPr>
            <w:rStyle w:val="Hyperlink"/>
          </w:rPr>
          <w:t>https://doi.org/10.1016/j.ecolecon.2017.06.041</w:t>
        </w:r>
      </w:hyperlink>
      <w:r w:rsidRPr="003F435F">
        <w:t xml:space="preserve"> </w:t>
      </w:r>
    </w:p>
    <w:p w14:paraId="2B79E225" w14:textId="77777777" w:rsidR="003F435F" w:rsidRPr="003F435F" w:rsidRDefault="003F435F" w:rsidP="002F7336">
      <w:proofErr w:type="spellStart"/>
      <w:r w:rsidRPr="003F435F">
        <w:t>Leuschner</w:t>
      </w:r>
      <w:proofErr w:type="spellEnd"/>
      <w:r w:rsidRPr="003F435F">
        <w:t xml:space="preserve">, R., Rogers, D. S., &amp; </w:t>
      </w:r>
      <w:proofErr w:type="spellStart"/>
      <w:r w:rsidRPr="003F435F">
        <w:t>Charvet</w:t>
      </w:r>
      <w:proofErr w:type="spellEnd"/>
      <w:r w:rsidRPr="003F435F">
        <w:t xml:space="preserve">, F. F. (2013). A meta-analysis of supply chain integration and firm performance. Journal of Supply Chain Management, 49(2), 34-57. </w:t>
      </w:r>
      <w:hyperlink r:id="rId128" w:history="1">
        <w:r w:rsidRPr="003F435F">
          <w:rPr>
            <w:rStyle w:val="Hyperlink"/>
          </w:rPr>
          <w:t>https://doi.org/10.1111/jscm.12013</w:t>
        </w:r>
      </w:hyperlink>
      <w:r w:rsidRPr="003F435F">
        <w:t xml:space="preserve"> </w:t>
      </w:r>
    </w:p>
    <w:p w14:paraId="7DE57A7B" w14:textId="77777777" w:rsidR="003F435F" w:rsidRPr="003F435F" w:rsidRDefault="003F435F" w:rsidP="002F7336">
      <w:r w:rsidRPr="003F435F">
        <w:t xml:space="preserve">Liu, J., Feng, Y., Zhu, Q., &amp; </w:t>
      </w:r>
      <w:proofErr w:type="spellStart"/>
      <w:r w:rsidRPr="003F435F">
        <w:t>Sarkis</w:t>
      </w:r>
      <w:proofErr w:type="spellEnd"/>
      <w:r w:rsidRPr="003F435F">
        <w:t xml:space="preserve">, J. (2018). Green supply chain management and the circular economy: Reviewing theory for advancement of both fields. International Journal of Physical Distribution and Logistics Management, 48(8), 794-817. </w:t>
      </w:r>
      <w:hyperlink r:id="rId129" w:history="1">
        <w:r w:rsidRPr="003F435F">
          <w:rPr>
            <w:rStyle w:val="Hyperlink"/>
          </w:rPr>
          <w:t>https://doi.org/10.1108/IJPDLM-01-2017-0049</w:t>
        </w:r>
      </w:hyperlink>
      <w:r w:rsidRPr="003F435F">
        <w:t xml:space="preserve"> </w:t>
      </w:r>
    </w:p>
    <w:p w14:paraId="6798C71A" w14:textId="77777777" w:rsidR="003F435F" w:rsidRPr="003F435F" w:rsidRDefault="003F435F" w:rsidP="002F7336">
      <w:r w:rsidRPr="003F435F">
        <w:t xml:space="preserve">Mathews, J. A., &amp; Tan, H. (2011). Progress toward a circular economy in China: The drivers (and inhibitors) of eco-industrial initiative. Journal of Industrial Ecology, 15(3), 435-457. </w:t>
      </w:r>
      <w:hyperlink r:id="rId130" w:history="1">
        <w:r w:rsidRPr="003F435F">
          <w:rPr>
            <w:rStyle w:val="Hyperlink"/>
          </w:rPr>
          <w:t>https://doi.org/10.1111/j.1530-9290.2011.00332.x</w:t>
        </w:r>
      </w:hyperlink>
      <w:r w:rsidRPr="003F435F">
        <w:t xml:space="preserve"> </w:t>
      </w:r>
    </w:p>
    <w:p w14:paraId="6B1B2B8D" w14:textId="77777777" w:rsidR="003F435F" w:rsidRPr="003F435F" w:rsidRDefault="003F435F" w:rsidP="002F7336">
      <w:proofErr w:type="spellStart"/>
      <w:r w:rsidRPr="003F435F">
        <w:t>Mejías</w:t>
      </w:r>
      <w:proofErr w:type="spellEnd"/>
      <w:r w:rsidRPr="003F435F">
        <w:t xml:space="preserve">, A. M., </w:t>
      </w:r>
      <w:proofErr w:type="spellStart"/>
      <w:r w:rsidRPr="003F435F">
        <w:t>Bellas</w:t>
      </w:r>
      <w:proofErr w:type="spellEnd"/>
      <w:r w:rsidRPr="003F435F">
        <w:t xml:space="preserve">, R., Pardo, J. E., &amp; Paz, E. (2019). Traceability management systems and capacity building as new approaches for improving sustainability in the fashion multi-tier supply chain. International Journal of Production Economics, 217, 143-158. </w:t>
      </w:r>
      <w:hyperlink r:id="rId131" w:history="1">
        <w:r w:rsidRPr="003F435F">
          <w:rPr>
            <w:rStyle w:val="Hyperlink"/>
          </w:rPr>
          <w:t>https://doi.org/10.1016/j.ijpe.2019.03.022</w:t>
        </w:r>
      </w:hyperlink>
      <w:r w:rsidRPr="003F435F">
        <w:t xml:space="preserve"> </w:t>
      </w:r>
    </w:p>
    <w:p w14:paraId="0C62AAC6" w14:textId="77777777" w:rsidR="003F435F" w:rsidRPr="003F435F" w:rsidRDefault="003F435F" w:rsidP="002F7336">
      <w:proofErr w:type="spellStart"/>
      <w:r w:rsidRPr="003F435F">
        <w:t>Okoli</w:t>
      </w:r>
      <w:proofErr w:type="spellEnd"/>
      <w:r w:rsidRPr="003F435F">
        <w:t xml:space="preserve">, C., &amp; </w:t>
      </w:r>
      <w:proofErr w:type="spellStart"/>
      <w:r w:rsidRPr="003F435F">
        <w:t>Pawlowski</w:t>
      </w:r>
      <w:proofErr w:type="spellEnd"/>
      <w:r w:rsidRPr="003F435F">
        <w:t>, S. D. (2004). The Delphi method as a research tool: an example, design considerations and applications. </w:t>
      </w:r>
      <w:r w:rsidRPr="003F435F">
        <w:rPr>
          <w:i/>
          <w:iCs/>
        </w:rPr>
        <w:t>Information &amp; management</w:t>
      </w:r>
      <w:r w:rsidRPr="003F435F">
        <w:t>, </w:t>
      </w:r>
      <w:r w:rsidRPr="003F435F">
        <w:rPr>
          <w:i/>
          <w:iCs/>
        </w:rPr>
        <w:t>42</w:t>
      </w:r>
      <w:r w:rsidRPr="003F435F">
        <w:t xml:space="preserve">(1), 15-29. </w:t>
      </w:r>
      <w:hyperlink r:id="rId132" w:history="1">
        <w:r w:rsidRPr="003F435F">
          <w:rPr>
            <w:rStyle w:val="Hyperlink"/>
          </w:rPr>
          <w:t>https://doi.org/10.1016/j.im.2003.11.002</w:t>
        </w:r>
      </w:hyperlink>
    </w:p>
    <w:p w14:paraId="403E2CCB" w14:textId="77777777" w:rsidR="003F435F" w:rsidRPr="003F435F" w:rsidRDefault="003F435F" w:rsidP="002F7336">
      <w:r w:rsidRPr="003F435F">
        <w:t xml:space="preserve">Pinto, J. T., &amp; </w:t>
      </w:r>
      <w:proofErr w:type="spellStart"/>
      <w:r w:rsidRPr="003F435F">
        <w:t>Diemer</w:t>
      </w:r>
      <w:proofErr w:type="spellEnd"/>
      <w:r w:rsidRPr="003F435F">
        <w:t xml:space="preserve">, A. (2020). Supply chain integration strategies and circularity in the European steel industry. Resources, Conservation and Recycling, 153, 104517. </w:t>
      </w:r>
      <w:hyperlink r:id="rId133" w:history="1">
        <w:r w:rsidRPr="003F435F">
          <w:rPr>
            <w:rStyle w:val="Hyperlink"/>
          </w:rPr>
          <w:t>https://doi.org/10.1016/j.resconrec.2019.104517</w:t>
        </w:r>
      </w:hyperlink>
      <w:r w:rsidRPr="003F435F">
        <w:t xml:space="preserve"> </w:t>
      </w:r>
    </w:p>
    <w:p w14:paraId="2C4950CC" w14:textId="77777777" w:rsidR="003F435F" w:rsidRPr="003F435F" w:rsidRDefault="003F435F" w:rsidP="002F7336">
      <w:proofErr w:type="spellStart"/>
      <w:r w:rsidRPr="003F435F">
        <w:lastRenderedPageBreak/>
        <w:t>Ranta</w:t>
      </w:r>
      <w:proofErr w:type="spellEnd"/>
      <w:r w:rsidRPr="003F435F">
        <w:t xml:space="preserve">, V., </w:t>
      </w:r>
      <w:proofErr w:type="spellStart"/>
      <w:r w:rsidRPr="003F435F">
        <w:t>Aarikka-Stenroos</w:t>
      </w:r>
      <w:proofErr w:type="spellEnd"/>
      <w:r w:rsidRPr="003F435F">
        <w:t xml:space="preserve">, L., </w:t>
      </w:r>
      <w:proofErr w:type="spellStart"/>
      <w:r w:rsidRPr="003F435F">
        <w:t>Ritala</w:t>
      </w:r>
      <w:proofErr w:type="spellEnd"/>
      <w:r w:rsidRPr="003F435F">
        <w:t xml:space="preserve">, P., &amp; </w:t>
      </w:r>
      <w:proofErr w:type="spellStart"/>
      <w:r w:rsidRPr="003F435F">
        <w:t>Mäkinen</w:t>
      </w:r>
      <w:proofErr w:type="spellEnd"/>
      <w:r w:rsidRPr="003F435F">
        <w:t xml:space="preserve">, S. J. (2018). Exploring institutional drivers and barriers of the circular economy: A cross-regional comparison of China, the US, and Europe. Resources, Conservation and Recycling, 135, 70-82. </w:t>
      </w:r>
      <w:hyperlink r:id="rId134" w:history="1">
        <w:r w:rsidRPr="003F435F">
          <w:rPr>
            <w:rStyle w:val="Hyperlink"/>
          </w:rPr>
          <w:t>https://doi.org/10.1016/j.resconrec.2017.08.017</w:t>
        </w:r>
      </w:hyperlink>
      <w:r w:rsidRPr="003F435F">
        <w:t xml:space="preserve"> </w:t>
      </w:r>
    </w:p>
    <w:p w14:paraId="13AD6EEA" w14:textId="6419A176" w:rsidR="003F435F" w:rsidRPr="003F435F" w:rsidRDefault="003F435F" w:rsidP="002F7336">
      <w:proofErr w:type="spellStart"/>
      <w:r w:rsidRPr="00EA16DC">
        <w:t>Reike</w:t>
      </w:r>
      <w:proofErr w:type="spellEnd"/>
      <w:r w:rsidRPr="00EA16DC">
        <w:t xml:space="preserve">, D., </w:t>
      </w:r>
      <w:proofErr w:type="spellStart"/>
      <w:r w:rsidRPr="00EA16DC">
        <w:t>Vermeulen</w:t>
      </w:r>
      <w:proofErr w:type="spellEnd"/>
      <w:r w:rsidRPr="00EA16DC">
        <w:t xml:space="preserve">, W. J., &amp; </w:t>
      </w:r>
      <w:proofErr w:type="spellStart"/>
      <w:r w:rsidRPr="00EA16DC">
        <w:t>Witjes</w:t>
      </w:r>
      <w:proofErr w:type="spellEnd"/>
      <w:r w:rsidRPr="00EA16DC">
        <w:t xml:space="preserve">, S. (2018). </w:t>
      </w:r>
      <w:r w:rsidRPr="003F435F">
        <w:t xml:space="preserve">The circular economy: new or refurbished as CE </w:t>
      </w:r>
      <w:r w:rsidR="00F07293" w:rsidRPr="003F435F">
        <w:t>3.0? —</w:t>
      </w:r>
      <w:r w:rsidRPr="003F435F">
        <w:t xml:space="preserve">exploring controversies in the conceptualization of the circular economy through a focus on history and resource value retention options. Resources, Conservation and Recycling, 135, 246-264. </w:t>
      </w:r>
      <w:hyperlink r:id="rId135" w:history="1">
        <w:r w:rsidRPr="003F435F">
          <w:rPr>
            <w:rStyle w:val="Hyperlink"/>
          </w:rPr>
          <w:t>https://doi.org/10.1016/j.resconrec.2017.08.027</w:t>
        </w:r>
      </w:hyperlink>
      <w:r w:rsidRPr="003F435F">
        <w:t xml:space="preserve"> </w:t>
      </w:r>
    </w:p>
    <w:p w14:paraId="7F84C173" w14:textId="77777777" w:rsidR="003F435F" w:rsidRPr="003F435F" w:rsidRDefault="003F435F" w:rsidP="002F7336">
      <w:r w:rsidRPr="003F435F">
        <w:t xml:space="preserve">Rosa, P., </w:t>
      </w:r>
      <w:proofErr w:type="spellStart"/>
      <w:r w:rsidRPr="003F435F">
        <w:t>Sassanelli</w:t>
      </w:r>
      <w:proofErr w:type="spellEnd"/>
      <w:r w:rsidRPr="003F435F">
        <w:t xml:space="preserve">, C., &amp; Terzi, S. (2019). Towards Circular Business Models: A systematic literature review on classification frameworks and archetypes. Journal of Cleaner Production, 236, 117696. </w:t>
      </w:r>
      <w:hyperlink r:id="rId136" w:history="1">
        <w:r w:rsidRPr="003F435F">
          <w:rPr>
            <w:rStyle w:val="Hyperlink"/>
          </w:rPr>
          <w:t>https://doi.org/10.1016/j.jclepro.2019.117696</w:t>
        </w:r>
      </w:hyperlink>
      <w:r w:rsidRPr="003F435F">
        <w:t xml:space="preserve"> </w:t>
      </w:r>
    </w:p>
    <w:p w14:paraId="22FE4CB2" w14:textId="77777777" w:rsidR="003F435F" w:rsidRPr="003F435F" w:rsidRDefault="003F435F" w:rsidP="002F7336">
      <w:pPr>
        <w:rPr>
          <w:lang w:val="it-IT"/>
        </w:rPr>
      </w:pPr>
      <w:proofErr w:type="spellStart"/>
      <w:r w:rsidRPr="003F435F">
        <w:t>Rizos</w:t>
      </w:r>
      <w:proofErr w:type="spellEnd"/>
      <w:r w:rsidRPr="003F435F">
        <w:t xml:space="preserve">, V., Behrens, A., </w:t>
      </w:r>
      <w:proofErr w:type="spellStart"/>
      <w:r w:rsidRPr="003F435F">
        <w:t>Gaast</w:t>
      </w:r>
      <w:proofErr w:type="spellEnd"/>
      <w:r w:rsidRPr="003F435F">
        <w:t xml:space="preserve">, W. Van Der, Hofman, E., </w:t>
      </w:r>
      <w:proofErr w:type="spellStart"/>
      <w:r w:rsidRPr="003F435F">
        <w:t>Ioannou</w:t>
      </w:r>
      <w:proofErr w:type="spellEnd"/>
      <w:r w:rsidRPr="003F435F">
        <w:t xml:space="preserve">, A., </w:t>
      </w:r>
      <w:proofErr w:type="spellStart"/>
      <w:r w:rsidRPr="003F435F">
        <w:t>Hirschnitz-garbers</w:t>
      </w:r>
      <w:proofErr w:type="spellEnd"/>
      <w:r w:rsidRPr="003F435F">
        <w:t xml:space="preserve">, M., &amp; </w:t>
      </w:r>
      <w:proofErr w:type="spellStart"/>
      <w:r w:rsidRPr="003F435F">
        <w:t>Topi</w:t>
      </w:r>
      <w:proofErr w:type="spellEnd"/>
      <w:r w:rsidRPr="003F435F">
        <w:t xml:space="preserve">, C. (2016). Implementation of Circular Economy Business Models by Small and Medium-Sized Enterprises (SMEs): Barriers and Enablers. </w:t>
      </w:r>
      <w:r w:rsidRPr="003F435F">
        <w:rPr>
          <w:lang w:val="it-IT"/>
        </w:rPr>
        <w:t xml:space="preserve">Sustainability, 8, 1212. </w:t>
      </w:r>
      <w:r w:rsidR="00C80BFD">
        <w:fldChar w:fldCharType="begin"/>
      </w:r>
      <w:r w:rsidR="00C80BFD">
        <w:instrText xml:space="preserve"> HYPERLINK "https://doi.org/10.3390/su8111212" </w:instrText>
      </w:r>
      <w:r w:rsidR="00C80BFD">
        <w:fldChar w:fldCharType="separate"/>
      </w:r>
      <w:r w:rsidRPr="003F435F">
        <w:rPr>
          <w:rStyle w:val="Hyperlink"/>
          <w:lang w:val="it-IT"/>
        </w:rPr>
        <w:t>https://doi.org/10.3390/su8111212</w:t>
      </w:r>
      <w:r w:rsidR="00C80BFD">
        <w:rPr>
          <w:rStyle w:val="Hyperlink"/>
          <w:lang w:val="it-IT"/>
        </w:rPr>
        <w:fldChar w:fldCharType="end"/>
      </w:r>
      <w:r w:rsidRPr="003F435F">
        <w:rPr>
          <w:lang w:val="it-IT"/>
        </w:rPr>
        <w:t xml:space="preserve"> </w:t>
      </w:r>
    </w:p>
    <w:p w14:paraId="10D0FC25" w14:textId="77777777" w:rsidR="003F435F" w:rsidRPr="003F435F" w:rsidRDefault="003F435F" w:rsidP="002F7336">
      <w:r w:rsidRPr="003F435F">
        <w:rPr>
          <w:lang w:val="it-IT"/>
        </w:rPr>
        <w:t xml:space="preserve">Sancha, C., Longoni, A., &amp; Giménez, C. (2015). </w:t>
      </w:r>
      <w:r w:rsidRPr="003F435F">
        <w:t xml:space="preserve">Sustainable supplier development practices: Drivers and enablers in a global context. Journal of Purchasing and Supply Management, 21(2), 95-102. </w:t>
      </w:r>
      <w:hyperlink r:id="rId137" w:history="1">
        <w:r w:rsidRPr="003F435F">
          <w:rPr>
            <w:rStyle w:val="Hyperlink"/>
          </w:rPr>
          <w:t>https://doi.org/10.1016/j.pursup.2014.12.004</w:t>
        </w:r>
      </w:hyperlink>
      <w:r w:rsidRPr="003F435F">
        <w:t xml:space="preserve"> </w:t>
      </w:r>
    </w:p>
    <w:p w14:paraId="3C65C2C0" w14:textId="77777777" w:rsidR="003F435F" w:rsidRPr="003F435F" w:rsidRDefault="003F435F" w:rsidP="002F7336">
      <w:r w:rsidRPr="003F435F">
        <w:rPr>
          <w:lang w:val="de-DE"/>
        </w:rPr>
        <w:t xml:space="preserve">Schmidt, R., Lyytinen, K., Keil, M., &amp; Cule, P. (2001). </w:t>
      </w:r>
      <w:r w:rsidRPr="003F435F">
        <w:t>Identifying software project risks: An international Delphi study. </w:t>
      </w:r>
      <w:r w:rsidRPr="003F435F">
        <w:rPr>
          <w:i/>
          <w:iCs/>
        </w:rPr>
        <w:t>Journal of management information systems</w:t>
      </w:r>
      <w:r w:rsidRPr="003F435F">
        <w:t>, </w:t>
      </w:r>
      <w:r w:rsidRPr="003F435F">
        <w:rPr>
          <w:i/>
          <w:iCs/>
        </w:rPr>
        <w:t>17</w:t>
      </w:r>
      <w:r w:rsidRPr="003F435F">
        <w:t xml:space="preserve">(4), 5-36. </w:t>
      </w:r>
      <w:hyperlink r:id="rId138" w:history="1">
        <w:r w:rsidRPr="003F435F">
          <w:rPr>
            <w:rStyle w:val="Hyperlink"/>
          </w:rPr>
          <w:t>https://doi.org/10.1080/07421222.2001.11045662</w:t>
        </w:r>
      </w:hyperlink>
    </w:p>
    <w:p w14:paraId="26ED1924" w14:textId="77777777" w:rsidR="003F435F" w:rsidRPr="003F435F" w:rsidRDefault="003F435F" w:rsidP="002F7336">
      <w:r w:rsidRPr="003F435F">
        <w:t xml:space="preserve">Scott, W. R. (2003). Institutional carriers: reviewing modes of transporting ideas over time and space and considering their consequences. Industrial and Corporate Change, 12(4), 879-894. </w:t>
      </w:r>
      <w:hyperlink r:id="rId139" w:history="1">
        <w:r w:rsidRPr="003F435F">
          <w:rPr>
            <w:rStyle w:val="Hyperlink"/>
          </w:rPr>
          <w:t>https://doi.org/10.1093/icc/12.4.879</w:t>
        </w:r>
      </w:hyperlink>
      <w:r w:rsidRPr="003F435F">
        <w:t xml:space="preserve"> </w:t>
      </w:r>
    </w:p>
    <w:p w14:paraId="70EA484D" w14:textId="77777777" w:rsidR="003F435F" w:rsidRPr="003F435F" w:rsidRDefault="003F435F" w:rsidP="002F7336">
      <w:proofErr w:type="spellStart"/>
      <w:r w:rsidRPr="003F435F">
        <w:t>Sudusinghe</w:t>
      </w:r>
      <w:proofErr w:type="spellEnd"/>
      <w:r w:rsidRPr="003F435F">
        <w:t xml:space="preserve">, J. I., &amp; Seuring, S. (2021). Supply chain collaboration and sustainability performance in circular economy: A systematic literature review. International Journal of Production Economics, 245, 108402. </w:t>
      </w:r>
      <w:hyperlink r:id="rId140" w:history="1">
        <w:r w:rsidRPr="003F435F">
          <w:rPr>
            <w:rStyle w:val="Hyperlink"/>
          </w:rPr>
          <w:t>https://doi.org/10.1016/j.ijpe.2021.108402</w:t>
        </w:r>
      </w:hyperlink>
      <w:r w:rsidRPr="003F435F">
        <w:t xml:space="preserve"> </w:t>
      </w:r>
    </w:p>
    <w:p w14:paraId="66E4A416" w14:textId="77777777" w:rsidR="003F435F" w:rsidRPr="003F435F" w:rsidRDefault="003F435F" w:rsidP="002F7336">
      <w:proofErr w:type="spellStart"/>
      <w:r w:rsidRPr="003F435F">
        <w:t>Touboulic</w:t>
      </w:r>
      <w:proofErr w:type="spellEnd"/>
      <w:r w:rsidRPr="003F435F">
        <w:t xml:space="preserve">, A., &amp; Walker, H. (2015). Theories in sustainable supply chain management: a structured literature review. International Journal of Physical Distribution &amp; Logistics Management. 45(1/2), 16-42. </w:t>
      </w:r>
      <w:hyperlink r:id="rId141" w:history="1">
        <w:r w:rsidRPr="003F435F">
          <w:rPr>
            <w:rStyle w:val="Hyperlink"/>
          </w:rPr>
          <w:t>https://doi.org/10.1108/IJPDLM-05-2013-0106</w:t>
        </w:r>
      </w:hyperlink>
      <w:r w:rsidRPr="003F435F">
        <w:t xml:space="preserve">  </w:t>
      </w:r>
    </w:p>
    <w:p w14:paraId="6C77D268" w14:textId="77777777" w:rsidR="003F435F" w:rsidRPr="003F435F" w:rsidRDefault="003F435F" w:rsidP="002F7336">
      <w:proofErr w:type="spellStart"/>
      <w:r w:rsidRPr="003F435F">
        <w:lastRenderedPageBreak/>
        <w:t>Vanhamäki</w:t>
      </w:r>
      <w:proofErr w:type="spellEnd"/>
      <w:r w:rsidRPr="003F435F">
        <w:t xml:space="preserve">, S., Virtanen, M., </w:t>
      </w:r>
      <w:proofErr w:type="spellStart"/>
      <w:r w:rsidRPr="003F435F">
        <w:t>Luste</w:t>
      </w:r>
      <w:proofErr w:type="spellEnd"/>
      <w:r w:rsidRPr="003F435F">
        <w:t xml:space="preserve">, S., &amp; </w:t>
      </w:r>
      <w:proofErr w:type="spellStart"/>
      <w:r w:rsidRPr="003F435F">
        <w:t>Manskinen</w:t>
      </w:r>
      <w:proofErr w:type="spellEnd"/>
      <w:r w:rsidRPr="003F435F">
        <w:t xml:space="preserve">, K. (2020). Transition towards a circular economy at a regional level: A case study on closing biological loops. Resources, Conservation and Recycling, 156, 104716. </w:t>
      </w:r>
      <w:hyperlink r:id="rId142" w:history="1">
        <w:r w:rsidRPr="003F435F">
          <w:rPr>
            <w:rStyle w:val="Hyperlink"/>
          </w:rPr>
          <w:t>https://doi.org/10.1016/j.resconrec.2020.104716</w:t>
        </w:r>
      </w:hyperlink>
      <w:r w:rsidRPr="003F435F">
        <w:t xml:space="preserve"> </w:t>
      </w:r>
    </w:p>
    <w:p w14:paraId="4BCFC7A2" w14:textId="77777777" w:rsidR="003F435F" w:rsidRPr="003F435F" w:rsidRDefault="003F435F" w:rsidP="002F7336">
      <w:proofErr w:type="spellStart"/>
      <w:r w:rsidRPr="00293FC1">
        <w:t>Vegter</w:t>
      </w:r>
      <w:proofErr w:type="spellEnd"/>
      <w:r w:rsidRPr="00293FC1">
        <w:t xml:space="preserve">, D., van </w:t>
      </w:r>
      <w:proofErr w:type="spellStart"/>
      <w:r w:rsidRPr="00293FC1">
        <w:t>Hillegersberg</w:t>
      </w:r>
      <w:proofErr w:type="spellEnd"/>
      <w:r w:rsidRPr="00293FC1">
        <w:t xml:space="preserve">, J., &amp; </w:t>
      </w:r>
      <w:proofErr w:type="spellStart"/>
      <w:r w:rsidRPr="00293FC1">
        <w:t>Olthaar</w:t>
      </w:r>
      <w:proofErr w:type="spellEnd"/>
      <w:r w:rsidRPr="00293FC1">
        <w:t xml:space="preserve">, M. (2020). </w:t>
      </w:r>
      <w:r w:rsidRPr="003F435F">
        <w:t xml:space="preserve">Supply chains in circular business models: processes and performance objectives. Resources, Conservation and Recycling, 162, 105046. </w:t>
      </w:r>
      <w:hyperlink r:id="rId143" w:history="1">
        <w:r w:rsidRPr="003F435F">
          <w:rPr>
            <w:rStyle w:val="Hyperlink"/>
          </w:rPr>
          <w:t>https://doi.org/10.1016/j.resconrec.2020.105046</w:t>
        </w:r>
      </w:hyperlink>
      <w:r w:rsidRPr="003F435F">
        <w:t xml:space="preserve"> </w:t>
      </w:r>
    </w:p>
    <w:p w14:paraId="7D2A6265" w14:textId="77777777" w:rsidR="003F435F" w:rsidRPr="003F435F" w:rsidRDefault="003F435F" w:rsidP="002F7336">
      <w:proofErr w:type="spellStart"/>
      <w:r w:rsidRPr="003F435F">
        <w:t>Venkatesh</w:t>
      </w:r>
      <w:proofErr w:type="spellEnd"/>
      <w:r w:rsidRPr="003F435F">
        <w:t xml:space="preserve">, V. G., Zhang, A., </w:t>
      </w:r>
      <w:proofErr w:type="spellStart"/>
      <w:r w:rsidRPr="003F435F">
        <w:t>Deakins</w:t>
      </w:r>
      <w:proofErr w:type="spellEnd"/>
      <w:r w:rsidRPr="003F435F">
        <w:t xml:space="preserve">, E., &amp; Mani, V. (2020). Drivers of sub-supplier social sustainability compliance: an emerging economy perspective. Supply Chain Management: An International Journal. 25(6), 655-677. </w:t>
      </w:r>
      <w:hyperlink r:id="rId144" w:history="1">
        <w:r w:rsidRPr="003F435F">
          <w:rPr>
            <w:rStyle w:val="Hyperlink"/>
          </w:rPr>
          <w:t>https://doi.org/10.1108/scm-07-2019-0251</w:t>
        </w:r>
      </w:hyperlink>
      <w:r w:rsidRPr="003F435F">
        <w:t xml:space="preserve"> </w:t>
      </w:r>
    </w:p>
    <w:p w14:paraId="5E0DC702" w14:textId="77777777" w:rsidR="003F435F" w:rsidRPr="003F435F" w:rsidRDefault="003F435F" w:rsidP="002F7336">
      <w:r w:rsidRPr="003F435F">
        <w:t xml:space="preserve">Wiengarten, F., &amp; Longoni, A. (2015). A nuanced view on supply chain integration: A coordinative and collaborative approach to operational and sustainability performance improvement. Supply Chain Management, 20(2), 139–150. </w:t>
      </w:r>
      <w:hyperlink r:id="rId145" w:history="1">
        <w:r w:rsidRPr="003F435F">
          <w:rPr>
            <w:rStyle w:val="Hyperlink"/>
          </w:rPr>
          <w:t>https://doi.org/10.1108/SCM-04-2014-0120</w:t>
        </w:r>
      </w:hyperlink>
      <w:r w:rsidRPr="003F435F">
        <w:t xml:space="preserve"> </w:t>
      </w:r>
    </w:p>
    <w:p w14:paraId="51987D8E" w14:textId="77777777" w:rsidR="003F435F" w:rsidRPr="003F435F" w:rsidRDefault="003F435F" w:rsidP="002F7336">
      <w:r w:rsidRPr="003F435F">
        <w:t xml:space="preserve">Zeng, H., Chen, X., Xiao, X., &amp; Zhou, Z. (2017). Institutional pressures, sustainable supply chain management, and circular economy capability: Empirical evidence from Chinese eco-industrial park firms. Journal of Cleaner Production, 155, 54-65. </w:t>
      </w:r>
      <w:hyperlink r:id="rId146" w:history="1">
        <w:r w:rsidRPr="003F435F">
          <w:rPr>
            <w:rStyle w:val="Hyperlink"/>
          </w:rPr>
          <w:t>http://dx.doi.org/10.1016/j.jclepro.2016.10.093</w:t>
        </w:r>
      </w:hyperlink>
      <w:r w:rsidRPr="003F435F">
        <w:t xml:space="preserve"> </w:t>
      </w:r>
    </w:p>
    <w:p w14:paraId="621584A7" w14:textId="77777777" w:rsidR="003F435F" w:rsidRPr="003F435F" w:rsidRDefault="003F435F" w:rsidP="002F7336">
      <w:r w:rsidRPr="003F435F">
        <w:t xml:space="preserve">Zhu, Q., &amp; </w:t>
      </w:r>
      <w:proofErr w:type="spellStart"/>
      <w:r w:rsidRPr="003F435F">
        <w:t>Geng</w:t>
      </w:r>
      <w:proofErr w:type="spellEnd"/>
      <w:r w:rsidRPr="003F435F">
        <w:t xml:space="preserve">, Y. (2013). Drivers and barriers of extended supply chain practices for energy saving and emission reduction among Chinese manufacturers. Journal of Cleaner Production, 40, 6-12. </w:t>
      </w:r>
      <w:hyperlink r:id="rId147" w:history="1">
        <w:r w:rsidRPr="003F435F">
          <w:rPr>
            <w:rStyle w:val="Hyperlink"/>
          </w:rPr>
          <w:t>https://doi.org/10.1016/j.jclepro.2010.09.017</w:t>
        </w:r>
      </w:hyperlink>
      <w:r w:rsidRPr="003F435F">
        <w:t xml:space="preserve"> </w:t>
      </w:r>
    </w:p>
    <w:p w14:paraId="6E8EF33A" w14:textId="5DB16F98" w:rsidR="003F435F" w:rsidRDefault="003F435F" w:rsidP="002F7336">
      <w:r w:rsidRPr="003F435F">
        <w:t xml:space="preserve">Zhu, Q., </w:t>
      </w:r>
      <w:proofErr w:type="spellStart"/>
      <w:r w:rsidRPr="003F435F">
        <w:t>Geng</w:t>
      </w:r>
      <w:proofErr w:type="spellEnd"/>
      <w:r w:rsidRPr="003F435F">
        <w:t>, Y., &amp; Lai, K. H. (2011). Environmental supply chain cooperation and its effect on the circular economy practice</w:t>
      </w:r>
      <w:r w:rsidRPr="003F435F">
        <w:rPr>
          <w:rFonts w:ascii="Times New Roman" w:hAnsi="Times New Roman" w:cs="Times New Roman"/>
        </w:rPr>
        <w:t>‐</w:t>
      </w:r>
      <w:r w:rsidRPr="003F435F">
        <w:t xml:space="preserve">performance relationship among Chinese manufacturers. Journal of Industrial Ecology, 15(3), 405-419. </w:t>
      </w:r>
      <w:hyperlink r:id="rId148" w:history="1">
        <w:r w:rsidRPr="003F435F">
          <w:rPr>
            <w:rStyle w:val="Hyperlink"/>
          </w:rPr>
          <w:t>https://doi.org/10.1111/j.1530-9290.2011.00329.x</w:t>
        </w:r>
      </w:hyperlink>
      <w:r w:rsidRPr="003F435F">
        <w:t xml:space="preserve"> </w:t>
      </w:r>
    </w:p>
    <w:p w14:paraId="7B130C7B" w14:textId="24D2CAF6" w:rsidR="003F435F" w:rsidRDefault="003F435F" w:rsidP="002F7336"/>
    <w:p w14:paraId="1BC2D9FF" w14:textId="77777777" w:rsidR="003F435F" w:rsidRDefault="003F435F" w:rsidP="002F7336">
      <w:pPr>
        <w:sectPr w:rsidR="003F435F" w:rsidSect="00116B90">
          <w:type w:val="continuous"/>
          <w:pgSz w:w="11906" w:h="16838"/>
          <w:pgMar w:top="1701" w:right="1701" w:bottom="1134" w:left="1701" w:header="720" w:footer="720" w:gutter="0"/>
          <w:cols w:space="720"/>
          <w:docGrid w:linePitch="299"/>
        </w:sectPr>
      </w:pPr>
    </w:p>
    <w:p w14:paraId="51A06EBF" w14:textId="438F2FD1" w:rsidR="00525850" w:rsidRPr="00916886" w:rsidRDefault="00525850" w:rsidP="00116B90">
      <w:pPr>
        <w:pStyle w:val="Heading2"/>
        <w:numPr>
          <w:ilvl w:val="0"/>
          <w:numId w:val="0"/>
        </w:numPr>
        <w:ind w:left="357" w:hanging="357"/>
      </w:pPr>
      <w:bookmarkStart w:id="174" w:name="_Toc157759551"/>
      <w:r w:rsidRPr="00916886">
        <w:lastRenderedPageBreak/>
        <w:t xml:space="preserve">Appendix </w:t>
      </w:r>
      <w:r w:rsidR="00E87923">
        <w:t>5</w:t>
      </w:r>
      <w:r w:rsidRPr="00916886">
        <w:t>A</w:t>
      </w:r>
      <w:bookmarkEnd w:id="174"/>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23"/>
        <w:gridCol w:w="1531"/>
        <w:gridCol w:w="2039"/>
        <w:gridCol w:w="2982"/>
        <w:gridCol w:w="3212"/>
        <w:gridCol w:w="1035"/>
        <w:gridCol w:w="1031"/>
        <w:gridCol w:w="1045"/>
      </w:tblGrid>
      <w:tr w:rsidR="00AE3633" w:rsidRPr="00AE3633" w14:paraId="63126C1B" w14:textId="77777777" w:rsidTr="00AE3633">
        <w:trPr>
          <w:trHeight w:val="274"/>
        </w:trPr>
        <w:tc>
          <w:tcPr>
            <w:tcW w:w="0" w:type="auto"/>
          </w:tcPr>
          <w:p w14:paraId="59EC79AF"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color w:val="000000"/>
                <w:sz w:val="20"/>
                <w:szCs w:val="20"/>
                <w:lang w:eastAsia="en-US"/>
              </w:rPr>
            </w:pPr>
            <w:r w:rsidRPr="00AE3633">
              <w:rPr>
                <w:rFonts w:eastAsia="Times New Roman" w:cs="Times New Roman"/>
                <w:b/>
                <w:color w:val="000000"/>
                <w:sz w:val="20"/>
                <w:szCs w:val="20"/>
                <w:lang w:eastAsia="en-US"/>
              </w:rPr>
              <w:t>Type</w:t>
            </w:r>
          </w:p>
        </w:tc>
        <w:tc>
          <w:tcPr>
            <w:tcW w:w="0" w:type="auto"/>
          </w:tcPr>
          <w:p w14:paraId="60051AEB"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color w:val="000000"/>
                <w:sz w:val="20"/>
                <w:szCs w:val="20"/>
                <w:lang w:eastAsia="en-US"/>
              </w:rPr>
            </w:pPr>
            <w:r w:rsidRPr="00AE3633">
              <w:rPr>
                <w:rFonts w:eastAsia="Times New Roman" w:cs="Times New Roman"/>
                <w:b/>
                <w:color w:val="000000"/>
                <w:sz w:val="20"/>
                <w:szCs w:val="20"/>
                <w:lang w:eastAsia="en-US"/>
              </w:rPr>
              <w:t>Interviewee code</w:t>
            </w:r>
          </w:p>
        </w:tc>
        <w:tc>
          <w:tcPr>
            <w:tcW w:w="0" w:type="auto"/>
          </w:tcPr>
          <w:p w14:paraId="3EE69C3D"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color w:val="000000"/>
                <w:sz w:val="20"/>
                <w:szCs w:val="20"/>
                <w:lang w:eastAsia="en-US"/>
              </w:rPr>
            </w:pPr>
            <w:r w:rsidRPr="00AE3633">
              <w:rPr>
                <w:rFonts w:eastAsia="Times New Roman" w:cs="Times New Roman"/>
                <w:b/>
                <w:color w:val="000000"/>
                <w:sz w:val="20"/>
                <w:szCs w:val="20"/>
                <w:lang w:eastAsia="en-US"/>
              </w:rPr>
              <w:t>Job Position</w:t>
            </w:r>
          </w:p>
        </w:tc>
        <w:tc>
          <w:tcPr>
            <w:tcW w:w="0" w:type="auto"/>
          </w:tcPr>
          <w:p w14:paraId="30049518"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color w:val="000000"/>
                <w:sz w:val="20"/>
                <w:szCs w:val="20"/>
                <w:lang w:eastAsia="en-US"/>
              </w:rPr>
            </w:pPr>
            <w:r w:rsidRPr="00AE3633">
              <w:rPr>
                <w:rFonts w:eastAsia="Times New Roman" w:cs="Times New Roman"/>
                <w:b/>
                <w:color w:val="000000"/>
                <w:sz w:val="20"/>
                <w:szCs w:val="20"/>
                <w:lang w:eastAsia="en-US"/>
              </w:rPr>
              <w:t>Industry/Discipline/Sector</w:t>
            </w:r>
          </w:p>
        </w:tc>
        <w:tc>
          <w:tcPr>
            <w:tcW w:w="0" w:type="auto"/>
          </w:tcPr>
          <w:p w14:paraId="3AD897C1"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sz w:val="20"/>
                <w:szCs w:val="20"/>
                <w:lang w:eastAsia="en-US"/>
              </w:rPr>
            </w:pPr>
            <w:r w:rsidRPr="00AE3633">
              <w:rPr>
                <w:rFonts w:eastAsia="Times New Roman" w:cs="Times New Roman"/>
                <w:b/>
                <w:sz w:val="20"/>
                <w:szCs w:val="20"/>
                <w:lang w:eastAsia="en-US"/>
              </w:rPr>
              <w:t>Involvement with CE activities</w:t>
            </w:r>
          </w:p>
        </w:tc>
        <w:tc>
          <w:tcPr>
            <w:tcW w:w="0" w:type="auto"/>
          </w:tcPr>
          <w:p w14:paraId="22429F62"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color w:val="000000"/>
                <w:sz w:val="20"/>
                <w:szCs w:val="20"/>
                <w:lang w:eastAsia="en-US"/>
              </w:rPr>
            </w:pPr>
            <w:r w:rsidRPr="00AE3633">
              <w:rPr>
                <w:rFonts w:eastAsia="Times New Roman" w:cs="Times New Roman"/>
                <w:b/>
                <w:color w:val="000000"/>
                <w:sz w:val="20"/>
                <w:szCs w:val="20"/>
                <w:lang w:eastAsia="en-US"/>
              </w:rPr>
              <w:t xml:space="preserve">Mode </w:t>
            </w:r>
          </w:p>
        </w:tc>
        <w:tc>
          <w:tcPr>
            <w:tcW w:w="0" w:type="auto"/>
          </w:tcPr>
          <w:p w14:paraId="70E92507"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color w:val="000000"/>
                <w:sz w:val="20"/>
                <w:szCs w:val="20"/>
                <w:lang w:eastAsia="en-US"/>
              </w:rPr>
            </w:pPr>
            <w:r w:rsidRPr="00AE3633">
              <w:rPr>
                <w:rFonts w:eastAsia="Times New Roman" w:cs="Times New Roman"/>
                <w:b/>
                <w:color w:val="000000"/>
                <w:sz w:val="20"/>
                <w:szCs w:val="20"/>
                <w:lang w:eastAsia="en-US"/>
              </w:rPr>
              <w:t>Recorded</w:t>
            </w:r>
          </w:p>
        </w:tc>
        <w:tc>
          <w:tcPr>
            <w:tcW w:w="0" w:type="auto"/>
          </w:tcPr>
          <w:p w14:paraId="3B3E60C0" w14:textId="77777777" w:rsidR="00AE3633" w:rsidRPr="00AE3633" w:rsidRDefault="00AE3633" w:rsidP="00AE3633">
            <w:pPr>
              <w:pBdr>
                <w:top w:val="nil"/>
                <w:left w:val="nil"/>
                <w:bottom w:val="nil"/>
                <w:right w:val="nil"/>
                <w:between w:val="nil"/>
              </w:pBdr>
              <w:spacing w:after="0" w:line="240" w:lineRule="auto"/>
              <w:rPr>
                <w:rFonts w:eastAsia="Times New Roman" w:cs="Times New Roman"/>
                <w:b/>
                <w:color w:val="000000"/>
                <w:sz w:val="20"/>
                <w:szCs w:val="20"/>
                <w:lang w:eastAsia="en-US"/>
              </w:rPr>
            </w:pPr>
            <w:r w:rsidRPr="00AE3633">
              <w:rPr>
                <w:rFonts w:eastAsia="Times New Roman" w:cs="Times New Roman"/>
                <w:b/>
                <w:color w:val="000000"/>
                <w:sz w:val="20"/>
                <w:szCs w:val="20"/>
                <w:lang w:eastAsia="en-US"/>
              </w:rPr>
              <w:t>Duration</w:t>
            </w:r>
          </w:p>
        </w:tc>
      </w:tr>
      <w:tr w:rsidR="00AE3633" w:rsidRPr="00AE3633" w14:paraId="6CB2A9DC" w14:textId="77777777" w:rsidTr="00AE3633">
        <w:trPr>
          <w:trHeight w:val="274"/>
        </w:trPr>
        <w:tc>
          <w:tcPr>
            <w:tcW w:w="0" w:type="auto"/>
            <w:gridSpan w:val="8"/>
          </w:tcPr>
          <w:p w14:paraId="54CA372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b/>
                <w:sz w:val="20"/>
                <w:szCs w:val="20"/>
                <w:lang w:eastAsia="en-US"/>
              </w:rPr>
              <w:t>Round 1 &amp; Round 2 (n=30)</w:t>
            </w:r>
          </w:p>
        </w:tc>
      </w:tr>
      <w:tr w:rsidR="00AE3633" w:rsidRPr="00AE3633" w14:paraId="06E2DC94" w14:textId="77777777" w:rsidTr="00AE3633">
        <w:trPr>
          <w:trHeight w:val="274"/>
        </w:trPr>
        <w:tc>
          <w:tcPr>
            <w:tcW w:w="0" w:type="auto"/>
          </w:tcPr>
          <w:p w14:paraId="1D2B3CD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Practitioner </w:t>
            </w:r>
          </w:p>
        </w:tc>
        <w:tc>
          <w:tcPr>
            <w:tcW w:w="0" w:type="auto"/>
          </w:tcPr>
          <w:p w14:paraId="1EC97E0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PA</w:t>
            </w:r>
          </w:p>
        </w:tc>
        <w:tc>
          <w:tcPr>
            <w:tcW w:w="0" w:type="auto"/>
          </w:tcPr>
          <w:p w14:paraId="32F5042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Sustainability Manager</w:t>
            </w:r>
          </w:p>
        </w:tc>
        <w:tc>
          <w:tcPr>
            <w:tcW w:w="0" w:type="auto"/>
          </w:tcPr>
          <w:p w14:paraId="7CAC05D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Chemical </w:t>
            </w:r>
          </w:p>
        </w:tc>
        <w:tc>
          <w:tcPr>
            <w:tcW w:w="0" w:type="auto"/>
          </w:tcPr>
          <w:p w14:paraId="6E689DC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3E7A06F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6A699DD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70DA6F0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5BBDF2A3" w14:textId="77777777" w:rsidTr="00AE3633">
        <w:trPr>
          <w:trHeight w:val="274"/>
        </w:trPr>
        <w:tc>
          <w:tcPr>
            <w:tcW w:w="0" w:type="auto"/>
          </w:tcPr>
          <w:p w14:paraId="4834DCA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Practitioner </w:t>
            </w:r>
          </w:p>
        </w:tc>
        <w:tc>
          <w:tcPr>
            <w:tcW w:w="0" w:type="auto"/>
          </w:tcPr>
          <w:p w14:paraId="2F02BA8E"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PB</w:t>
            </w:r>
          </w:p>
        </w:tc>
        <w:tc>
          <w:tcPr>
            <w:tcW w:w="0" w:type="auto"/>
          </w:tcPr>
          <w:p w14:paraId="16BBAE0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Operations Manager</w:t>
            </w:r>
          </w:p>
        </w:tc>
        <w:tc>
          <w:tcPr>
            <w:tcW w:w="0" w:type="auto"/>
          </w:tcPr>
          <w:p w14:paraId="3910379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Automotive</w:t>
            </w:r>
          </w:p>
        </w:tc>
        <w:tc>
          <w:tcPr>
            <w:tcW w:w="0" w:type="auto"/>
          </w:tcPr>
          <w:p w14:paraId="3E311E5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7D65562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33A6131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05384BB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5885777D" w14:textId="77777777" w:rsidTr="00AE3633">
        <w:trPr>
          <w:trHeight w:val="274"/>
        </w:trPr>
        <w:tc>
          <w:tcPr>
            <w:tcW w:w="0" w:type="auto"/>
          </w:tcPr>
          <w:p w14:paraId="21124FC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Practitioner </w:t>
            </w:r>
          </w:p>
        </w:tc>
        <w:tc>
          <w:tcPr>
            <w:tcW w:w="0" w:type="auto"/>
          </w:tcPr>
          <w:p w14:paraId="568B42B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PC</w:t>
            </w:r>
          </w:p>
        </w:tc>
        <w:tc>
          <w:tcPr>
            <w:tcW w:w="0" w:type="auto"/>
          </w:tcPr>
          <w:p w14:paraId="378BFE0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Sustainability specialist</w:t>
            </w:r>
          </w:p>
        </w:tc>
        <w:tc>
          <w:tcPr>
            <w:tcW w:w="0" w:type="auto"/>
          </w:tcPr>
          <w:p w14:paraId="109D940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Material producer</w:t>
            </w:r>
          </w:p>
        </w:tc>
        <w:tc>
          <w:tcPr>
            <w:tcW w:w="0" w:type="auto"/>
          </w:tcPr>
          <w:p w14:paraId="0843EA6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3084CE9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71F6F1F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29AC780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 30 min</w:t>
            </w:r>
          </w:p>
        </w:tc>
      </w:tr>
      <w:tr w:rsidR="00AE3633" w:rsidRPr="00AE3633" w14:paraId="57B09628" w14:textId="77777777" w:rsidTr="00AE3633">
        <w:trPr>
          <w:trHeight w:val="274"/>
        </w:trPr>
        <w:tc>
          <w:tcPr>
            <w:tcW w:w="0" w:type="auto"/>
          </w:tcPr>
          <w:p w14:paraId="1345D32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Practitioner </w:t>
            </w:r>
          </w:p>
        </w:tc>
        <w:tc>
          <w:tcPr>
            <w:tcW w:w="0" w:type="auto"/>
          </w:tcPr>
          <w:p w14:paraId="78C313E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PD</w:t>
            </w:r>
          </w:p>
        </w:tc>
        <w:tc>
          <w:tcPr>
            <w:tcW w:w="0" w:type="auto"/>
          </w:tcPr>
          <w:p w14:paraId="6EDE70D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Sustainability Manager</w:t>
            </w:r>
          </w:p>
        </w:tc>
        <w:tc>
          <w:tcPr>
            <w:tcW w:w="0" w:type="auto"/>
          </w:tcPr>
          <w:p w14:paraId="669C84C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Motors and Electronics</w:t>
            </w:r>
          </w:p>
        </w:tc>
        <w:tc>
          <w:tcPr>
            <w:tcW w:w="0" w:type="auto"/>
          </w:tcPr>
          <w:p w14:paraId="1D9DE26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4D03D17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26880E6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4C9DAAD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692CD21A" w14:textId="77777777" w:rsidTr="00AE3633">
        <w:trPr>
          <w:trHeight w:val="294"/>
        </w:trPr>
        <w:tc>
          <w:tcPr>
            <w:tcW w:w="0" w:type="auto"/>
          </w:tcPr>
          <w:p w14:paraId="2C7D6D6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62D9C47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PE</w:t>
            </w:r>
          </w:p>
        </w:tc>
        <w:tc>
          <w:tcPr>
            <w:tcW w:w="0" w:type="auto"/>
          </w:tcPr>
          <w:p w14:paraId="57537CE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CEO</w:t>
            </w:r>
          </w:p>
        </w:tc>
        <w:tc>
          <w:tcPr>
            <w:tcW w:w="0" w:type="auto"/>
          </w:tcPr>
          <w:p w14:paraId="38EB51B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Sustainability Consulting</w:t>
            </w:r>
          </w:p>
        </w:tc>
        <w:tc>
          <w:tcPr>
            <w:tcW w:w="0" w:type="auto"/>
          </w:tcPr>
          <w:p w14:paraId="36AA518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3F06EB3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077B16F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182BF39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032884B5" w14:textId="77777777" w:rsidTr="00AE3633">
        <w:trPr>
          <w:trHeight w:val="294"/>
        </w:trPr>
        <w:tc>
          <w:tcPr>
            <w:tcW w:w="0" w:type="auto"/>
          </w:tcPr>
          <w:p w14:paraId="77851F0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4903A1B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PF</w:t>
            </w:r>
          </w:p>
        </w:tc>
        <w:tc>
          <w:tcPr>
            <w:tcW w:w="0" w:type="auto"/>
          </w:tcPr>
          <w:p w14:paraId="2B5EB07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CEO</w:t>
            </w:r>
          </w:p>
        </w:tc>
        <w:tc>
          <w:tcPr>
            <w:tcW w:w="0" w:type="auto"/>
          </w:tcPr>
          <w:p w14:paraId="6AA54CD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Think Tank</w:t>
            </w:r>
          </w:p>
        </w:tc>
        <w:tc>
          <w:tcPr>
            <w:tcW w:w="0" w:type="auto"/>
          </w:tcPr>
          <w:p w14:paraId="62813B4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12CCF47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5BCAED2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12F95B1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5875CB16" w14:textId="77777777" w:rsidTr="00AE3633">
        <w:trPr>
          <w:trHeight w:val="294"/>
        </w:trPr>
        <w:tc>
          <w:tcPr>
            <w:tcW w:w="0" w:type="auto"/>
          </w:tcPr>
          <w:p w14:paraId="4477D73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4487389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PG</w:t>
            </w:r>
          </w:p>
        </w:tc>
        <w:tc>
          <w:tcPr>
            <w:tcW w:w="0" w:type="auto"/>
          </w:tcPr>
          <w:p w14:paraId="1291BAE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Commercial Manager </w:t>
            </w:r>
          </w:p>
        </w:tc>
        <w:tc>
          <w:tcPr>
            <w:tcW w:w="0" w:type="auto"/>
          </w:tcPr>
          <w:p w14:paraId="7BBC6B3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Food</w:t>
            </w:r>
          </w:p>
        </w:tc>
        <w:tc>
          <w:tcPr>
            <w:tcW w:w="0" w:type="auto"/>
          </w:tcPr>
          <w:p w14:paraId="066AE0E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company’s business model is circular</w:t>
            </w:r>
          </w:p>
        </w:tc>
        <w:tc>
          <w:tcPr>
            <w:tcW w:w="0" w:type="auto"/>
          </w:tcPr>
          <w:p w14:paraId="4D42940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0E35741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33B2410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32E30E7F" w14:textId="77777777" w:rsidTr="00AE3633">
        <w:trPr>
          <w:trHeight w:val="294"/>
        </w:trPr>
        <w:tc>
          <w:tcPr>
            <w:tcW w:w="0" w:type="auto"/>
          </w:tcPr>
          <w:p w14:paraId="39FCFC8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396FE82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PH</w:t>
            </w:r>
          </w:p>
        </w:tc>
        <w:tc>
          <w:tcPr>
            <w:tcW w:w="0" w:type="auto"/>
          </w:tcPr>
          <w:p w14:paraId="152B2E9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Manager</w:t>
            </w:r>
          </w:p>
        </w:tc>
        <w:tc>
          <w:tcPr>
            <w:tcW w:w="0" w:type="auto"/>
          </w:tcPr>
          <w:p w14:paraId="34A61BD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Material producer</w:t>
            </w:r>
          </w:p>
        </w:tc>
        <w:tc>
          <w:tcPr>
            <w:tcW w:w="0" w:type="auto"/>
          </w:tcPr>
          <w:p w14:paraId="6386AC3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4088D0A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5BB8A1D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5526219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03055AC9" w14:textId="77777777" w:rsidTr="00AE3633">
        <w:trPr>
          <w:trHeight w:val="294"/>
        </w:trPr>
        <w:tc>
          <w:tcPr>
            <w:tcW w:w="0" w:type="auto"/>
          </w:tcPr>
          <w:p w14:paraId="4BAFEEE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376D332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PI</w:t>
            </w:r>
          </w:p>
        </w:tc>
        <w:tc>
          <w:tcPr>
            <w:tcW w:w="0" w:type="auto"/>
          </w:tcPr>
          <w:p w14:paraId="734FC56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Sustainability Manager</w:t>
            </w:r>
          </w:p>
        </w:tc>
        <w:tc>
          <w:tcPr>
            <w:tcW w:w="0" w:type="auto"/>
          </w:tcPr>
          <w:p w14:paraId="56547AF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Energy provider</w:t>
            </w:r>
          </w:p>
        </w:tc>
        <w:tc>
          <w:tcPr>
            <w:tcW w:w="0" w:type="auto"/>
          </w:tcPr>
          <w:p w14:paraId="01FD8C3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76F95FA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57D6F6D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6CC9566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7D765D27" w14:textId="77777777" w:rsidTr="00AE3633">
        <w:trPr>
          <w:trHeight w:val="294"/>
        </w:trPr>
        <w:tc>
          <w:tcPr>
            <w:tcW w:w="0" w:type="auto"/>
          </w:tcPr>
          <w:p w14:paraId="7F7873B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4AFBEAC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PL</w:t>
            </w:r>
          </w:p>
        </w:tc>
        <w:tc>
          <w:tcPr>
            <w:tcW w:w="0" w:type="auto"/>
          </w:tcPr>
          <w:p w14:paraId="3D6AC72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Manager</w:t>
            </w:r>
          </w:p>
        </w:tc>
        <w:tc>
          <w:tcPr>
            <w:tcW w:w="0" w:type="auto"/>
          </w:tcPr>
          <w:p w14:paraId="446734D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IT Software company</w:t>
            </w:r>
          </w:p>
        </w:tc>
        <w:tc>
          <w:tcPr>
            <w:tcW w:w="0" w:type="auto"/>
          </w:tcPr>
          <w:p w14:paraId="4662870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4CE3D5F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5B9523B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03876D3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5A67E491" w14:textId="77777777" w:rsidTr="00AE3633">
        <w:trPr>
          <w:trHeight w:val="294"/>
        </w:trPr>
        <w:tc>
          <w:tcPr>
            <w:tcW w:w="0" w:type="auto"/>
          </w:tcPr>
          <w:p w14:paraId="40E0908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0214C87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PM</w:t>
            </w:r>
          </w:p>
        </w:tc>
        <w:tc>
          <w:tcPr>
            <w:tcW w:w="0" w:type="auto"/>
          </w:tcPr>
          <w:p w14:paraId="725A11CE"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Manager</w:t>
            </w:r>
          </w:p>
        </w:tc>
        <w:tc>
          <w:tcPr>
            <w:tcW w:w="0" w:type="auto"/>
          </w:tcPr>
          <w:p w14:paraId="0469F09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Logistics Provider</w:t>
            </w:r>
          </w:p>
        </w:tc>
        <w:tc>
          <w:tcPr>
            <w:tcW w:w="0" w:type="auto"/>
          </w:tcPr>
          <w:p w14:paraId="6F40B3A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2038770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313B9A2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56962DC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53BDD7F3" w14:textId="77777777" w:rsidTr="00AE3633">
        <w:trPr>
          <w:trHeight w:val="294"/>
        </w:trPr>
        <w:tc>
          <w:tcPr>
            <w:tcW w:w="0" w:type="auto"/>
          </w:tcPr>
          <w:p w14:paraId="5EB8795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6615248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PN</w:t>
            </w:r>
          </w:p>
        </w:tc>
        <w:tc>
          <w:tcPr>
            <w:tcW w:w="0" w:type="auto"/>
          </w:tcPr>
          <w:p w14:paraId="542721E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Researcher and Consultant </w:t>
            </w:r>
          </w:p>
        </w:tc>
        <w:tc>
          <w:tcPr>
            <w:tcW w:w="0" w:type="auto"/>
          </w:tcPr>
          <w:p w14:paraId="7C4CE3C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2CCC087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2A6E752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6A915FE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661877EE"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27E61D8E" w14:textId="77777777" w:rsidTr="00AE3633">
        <w:trPr>
          <w:trHeight w:val="294"/>
        </w:trPr>
        <w:tc>
          <w:tcPr>
            <w:tcW w:w="0" w:type="auto"/>
          </w:tcPr>
          <w:p w14:paraId="3512741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1FFCAF5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PO</w:t>
            </w:r>
          </w:p>
        </w:tc>
        <w:tc>
          <w:tcPr>
            <w:tcW w:w="0" w:type="auto"/>
          </w:tcPr>
          <w:p w14:paraId="3BE032D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Manager</w:t>
            </w:r>
          </w:p>
        </w:tc>
        <w:tc>
          <w:tcPr>
            <w:tcW w:w="0" w:type="auto"/>
          </w:tcPr>
          <w:p w14:paraId="230A3FF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Logistics Provider</w:t>
            </w:r>
          </w:p>
        </w:tc>
        <w:tc>
          <w:tcPr>
            <w:tcW w:w="0" w:type="auto"/>
          </w:tcPr>
          <w:p w14:paraId="5B44978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7175399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392EDD6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55F15F6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45 min </w:t>
            </w:r>
          </w:p>
        </w:tc>
      </w:tr>
      <w:tr w:rsidR="00AE3633" w:rsidRPr="00AE3633" w14:paraId="1C0EB482" w14:textId="77777777" w:rsidTr="00AE3633">
        <w:trPr>
          <w:trHeight w:val="294"/>
        </w:trPr>
        <w:tc>
          <w:tcPr>
            <w:tcW w:w="0" w:type="auto"/>
          </w:tcPr>
          <w:p w14:paraId="4208A55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60BB721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PP</w:t>
            </w:r>
          </w:p>
        </w:tc>
        <w:tc>
          <w:tcPr>
            <w:tcW w:w="0" w:type="auto"/>
          </w:tcPr>
          <w:p w14:paraId="1213B4E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Product Manager</w:t>
            </w:r>
          </w:p>
        </w:tc>
        <w:tc>
          <w:tcPr>
            <w:tcW w:w="0" w:type="auto"/>
          </w:tcPr>
          <w:p w14:paraId="190F69F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Industrial Equipment Components</w:t>
            </w:r>
          </w:p>
        </w:tc>
        <w:tc>
          <w:tcPr>
            <w:tcW w:w="0" w:type="auto"/>
          </w:tcPr>
          <w:p w14:paraId="7F60179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2476024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5E42328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2C999C5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42E56BD4" w14:textId="77777777" w:rsidTr="00AE3633">
        <w:trPr>
          <w:trHeight w:val="294"/>
        </w:trPr>
        <w:tc>
          <w:tcPr>
            <w:tcW w:w="0" w:type="auto"/>
          </w:tcPr>
          <w:p w14:paraId="7B2F93F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6B4CB2D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PQ</w:t>
            </w:r>
          </w:p>
        </w:tc>
        <w:tc>
          <w:tcPr>
            <w:tcW w:w="0" w:type="auto"/>
          </w:tcPr>
          <w:p w14:paraId="7876A86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Manager</w:t>
            </w:r>
          </w:p>
        </w:tc>
        <w:tc>
          <w:tcPr>
            <w:tcW w:w="0" w:type="auto"/>
          </w:tcPr>
          <w:p w14:paraId="7B27EC8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Food production company</w:t>
            </w:r>
          </w:p>
        </w:tc>
        <w:tc>
          <w:tcPr>
            <w:tcW w:w="0" w:type="auto"/>
          </w:tcPr>
          <w:p w14:paraId="45A916C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02DB011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26C5CFC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0DC1123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49322A13" w14:textId="77777777" w:rsidTr="00AE3633">
        <w:trPr>
          <w:trHeight w:val="294"/>
        </w:trPr>
        <w:tc>
          <w:tcPr>
            <w:tcW w:w="0" w:type="auto"/>
          </w:tcPr>
          <w:p w14:paraId="76666A4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5208CDF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w:t>
            </w:r>
          </w:p>
        </w:tc>
        <w:tc>
          <w:tcPr>
            <w:tcW w:w="0" w:type="auto"/>
          </w:tcPr>
          <w:p w14:paraId="36D3177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Researcher</w:t>
            </w:r>
          </w:p>
        </w:tc>
        <w:tc>
          <w:tcPr>
            <w:tcW w:w="0" w:type="auto"/>
          </w:tcPr>
          <w:p w14:paraId="5B36E3D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Policy Think-Tank</w:t>
            </w:r>
          </w:p>
        </w:tc>
        <w:tc>
          <w:tcPr>
            <w:tcW w:w="0" w:type="auto"/>
          </w:tcPr>
          <w:p w14:paraId="63CF021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company is a leader in the CE  </w:t>
            </w:r>
          </w:p>
        </w:tc>
        <w:tc>
          <w:tcPr>
            <w:tcW w:w="0" w:type="auto"/>
          </w:tcPr>
          <w:p w14:paraId="178F666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735731A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731A0B5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043EDB22" w14:textId="77777777" w:rsidTr="00AE3633">
        <w:trPr>
          <w:trHeight w:val="294"/>
        </w:trPr>
        <w:tc>
          <w:tcPr>
            <w:tcW w:w="0" w:type="auto"/>
          </w:tcPr>
          <w:p w14:paraId="2485058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1E31D1B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PS</w:t>
            </w:r>
          </w:p>
        </w:tc>
        <w:tc>
          <w:tcPr>
            <w:tcW w:w="0" w:type="auto"/>
          </w:tcPr>
          <w:p w14:paraId="7847A38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Managing Director</w:t>
            </w:r>
          </w:p>
        </w:tc>
        <w:tc>
          <w:tcPr>
            <w:tcW w:w="0" w:type="auto"/>
          </w:tcPr>
          <w:p w14:paraId="6F5AA0B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Recovery of cooking oil</w:t>
            </w:r>
          </w:p>
        </w:tc>
        <w:tc>
          <w:tcPr>
            <w:tcW w:w="0" w:type="auto"/>
          </w:tcPr>
          <w:p w14:paraId="02D5027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company’s business model is circular</w:t>
            </w:r>
          </w:p>
        </w:tc>
        <w:tc>
          <w:tcPr>
            <w:tcW w:w="0" w:type="auto"/>
          </w:tcPr>
          <w:p w14:paraId="40CC9C0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 person</w:t>
            </w:r>
          </w:p>
        </w:tc>
        <w:tc>
          <w:tcPr>
            <w:tcW w:w="0" w:type="auto"/>
          </w:tcPr>
          <w:p w14:paraId="048A514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495CB2A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5CE755D9" w14:textId="77777777" w:rsidTr="00AE3633">
        <w:trPr>
          <w:trHeight w:val="294"/>
        </w:trPr>
        <w:tc>
          <w:tcPr>
            <w:tcW w:w="0" w:type="auto"/>
          </w:tcPr>
          <w:p w14:paraId="7A6963BE"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lastRenderedPageBreak/>
              <w:t>Practitioner</w:t>
            </w:r>
          </w:p>
        </w:tc>
        <w:tc>
          <w:tcPr>
            <w:tcW w:w="0" w:type="auto"/>
          </w:tcPr>
          <w:p w14:paraId="3824594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PT</w:t>
            </w:r>
          </w:p>
        </w:tc>
        <w:tc>
          <w:tcPr>
            <w:tcW w:w="0" w:type="auto"/>
          </w:tcPr>
          <w:p w14:paraId="65829A6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Sales &amp; Marketing Director</w:t>
            </w:r>
          </w:p>
        </w:tc>
        <w:tc>
          <w:tcPr>
            <w:tcW w:w="0" w:type="auto"/>
          </w:tcPr>
          <w:p w14:paraId="5E69C9B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Distribution of food</w:t>
            </w:r>
          </w:p>
        </w:tc>
        <w:tc>
          <w:tcPr>
            <w:tcW w:w="0" w:type="auto"/>
          </w:tcPr>
          <w:p w14:paraId="1B6D489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The company adopted some initial CE practices</w:t>
            </w:r>
          </w:p>
        </w:tc>
        <w:tc>
          <w:tcPr>
            <w:tcW w:w="0" w:type="auto"/>
          </w:tcPr>
          <w:p w14:paraId="4A86255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 person</w:t>
            </w:r>
          </w:p>
        </w:tc>
        <w:tc>
          <w:tcPr>
            <w:tcW w:w="0" w:type="auto"/>
          </w:tcPr>
          <w:p w14:paraId="175350B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724BB18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45 min</w:t>
            </w:r>
          </w:p>
        </w:tc>
      </w:tr>
      <w:tr w:rsidR="00AE3633" w:rsidRPr="00AE3633" w14:paraId="70DDE1C2" w14:textId="77777777" w:rsidTr="00AE3633">
        <w:trPr>
          <w:trHeight w:val="294"/>
        </w:trPr>
        <w:tc>
          <w:tcPr>
            <w:tcW w:w="0" w:type="auto"/>
          </w:tcPr>
          <w:p w14:paraId="31D547C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Academic </w:t>
            </w:r>
          </w:p>
        </w:tc>
        <w:tc>
          <w:tcPr>
            <w:tcW w:w="0" w:type="auto"/>
          </w:tcPr>
          <w:p w14:paraId="5E2EED3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AA</w:t>
            </w:r>
          </w:p>
        </w:tc>
        <w:tc>
          <w:tcPr>
            <w:tcW w:w="0" w:type="auto"/>
          </w:tcPr>
          <w:p w14:paraId="494E331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Lecturer</w:t>
            </w:r>
          </w:p>
        </w:tc>
        <w:tc>
          <w:tcPr>
            <w:tcW w:w="0" w:type="auto"/>
          </w:tcPr>
          <w:p w14:paraId="580BAFD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536659F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tcPr>
          <w:p w14:paraId="1896712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5E7F10B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4BB16E3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45 min </w:t>
            </w:r>
          </w:p>
        </w:tc>
      </w:tr>
      <w:tr w:rsidR="00AE3633" w:rsidRPr="00AE3633" w14:paraId="13913644" w14:textId="77777777" w:rsidTr="00AE3633">
        <w:trPr>
          <w:trHeight w:val="294"/>
        </w:trPr>
        <w:tc>
          <w:tcPr>
            <w:tcW w:w="0" w:type="auto"/>
          </w:tcPr>
          <w:p w14:paraId="0B2ACF0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Academic </w:t>
            </w:r>
          </w:p>
        </w:tc>
        <w:tc>
          <w:tcPr>
            <w:tcW w:w="0" w:type="auto"/>
          </w:tcPr>
          <w:p w14:paraId="0454393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AB</w:t>
            </w:r>
          </w:p>
        </w:tc>
        <w:tc>
          <w:tcPr>
            <w:tcW w:w="0" w:type="auto"/>
          </w:tcPr>
          <w:p w14:paraId="2E23193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 - Practitioner</w:t>
            </w:r>
          </w:p>
        </w:tc>
        <w:tc>
          <w:tcPr>
            <w:tcW w:w="0" w:type="auto"/>
          </w:tcPr>
          <w:p w14:paraId="138B3BF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Operations Management</w:t>
            </w:r>
          </w:p>
        </w:tc>
        <w:tc>
          <w:tcPr>
            <w:tcW w:w="0" w:type="auto"/>
          </w:tcPr>
          <w:p w14:paraId="5F87EBD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tcPr>
          <w:p w14:paraId="7C6F55A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563674A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022654D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212477A8" w14:textId="77777777" w:rsidTr="00AE3633">
        <w:trPr>
          <w:trHeight w:val="294"/>
        </w:trPr>
        <w:tc>
          <w:tcPr>
            <w:tcW w:w="0" w:type="auto"/>
          </w:tcPr>
          <w:p w14:paraId="44DB7BB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Academic </w:t>
            </w:r>
          </w:p>
        </w:tc>
        <w:tc>
          <w:tcPr>
            <w:tcW w:w="0" w:type="auto"/>
          </w:tcPr>
          <w:p w14:paraId="3326D28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w:t>
            </w:r>
          </w:p>
        </w:tc>
        <w:tc>
          <w:tcPr>
            <w:tcW w:w="0" w:type="auto"/>
          </w:tcPr>
          <w:p w14:paraId="73669EB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Associate Professor</w:t>
            </w:r>
          </w:p>
        </w:tc>
        <w:tc>
          <w:tcPr>
            <w:tcW w:w="0" w:type="auto"/>
          </w:tcPr>
          <w:p w14:paraId="42E2C17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Strategy and Corporate Responsibility</w:t>
            </w:r>
          </w:p>
        </w:tc>
        <w:tc>
          <w:tcPr>
            <w:tcW w:w="0" w:type="auto"/>
          </w:tcPr>
          <w:p w14:paraId="1025ECD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one of the main research interests</w:t>
            </w:r>
          </w:p>
        </w:tc>
        <w:tc>
          <w:tcPr>
            <w:tcW w:w="0" w:type="auto"/>
          </w:tcPr>
          <w:p w14:paraId="19FBEDC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70DE379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1808B56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1F4F845F" w14:textId="77777777" w:rsidTr="00AE3633">
        <w:trPr>
          <w:trHeight w:val="294"/>
        </w:trPr>
        <w:tc>
          <w:tcPr>
            <w:tcW w:w="0" w:type="auto"/>
          </w:tcPr>
          <w:p w14:paraId="0F0F1AD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51853D1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AD</w:t>
            </w:r>
          </w:p>
        </w:tc>
        <w:tc>
          <w:tcPr>
            <w:tcW w:w="0" w:type="auto"/>
          </w:tcPr>
          <w:p w14:paraId="7F8466E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156D835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25537F9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one of the main research interests</w:t>
            </w:r>
          </w:p>
        </w:tc>
        <w:tc>
          <w:tcPr>
            <w:tcW w:w="0" w:type="auto"/>
          </w:tcPr>
          <w:p w14:paraId="0F526A1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67BC007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3269C8F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64E315D6" w14:textId="77777777" w:rsidTr="00AE3633">
        <w:trPr>
          <w:trHeight w:val="294"/>
        </w:trPr>
        <w:tc>
          <w:tcPr>
            <w:tcW w:w="0" w:type="auto"/>
          </w:tcPr>
          <w:p w14:paraId="489605C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3E68984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AE</w:t>
            </w:r>
          </w:p>
        </w:tc>
        <w:tc>
          <w:tcPr>
            <w:tcW w:w="0" w:type="auto"/>
          </w:tcPr>
          <w:p w14:paraId="4DA5E43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7030A2F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14E9A6A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one of the main research interests</w:t>
            </w:r>
          </w:p>
        </w:tc>
        <w:tc>
          <w:tcPr>
            <w:tcW w:w="0" w:type="auto"/>
          </w:tcPr>
          <w:p w14:paraId="62ABB12E"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6FB9215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2C416C4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45 min </w:t>
            </w:r>
          </w:p>
        </w:tc>
      </w:tr>
      <w:tr w:rsidR="00AE3633" w:rsidRPr="00AE3633" w14:paraId="3532E1B0" w14:textId="77777777" w:rsidTr="00AE3633">
        <w:trPr>
          <w:trHeight w:val="294"/>
        </w:trPr>
        <w:tc>
          <w:tcPr>
            <w:tcW w:w="0" w:type="auto"/>
          </w:tcPr>
          <w:p w14:paraId="76C9A83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3147B21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AF</w:t>
            </w:r>
          </w:p>
        </w:tc>
        <w:tc>
          <w:tcPr>
            <w:tcW w:w="0" w:type="auto"/>
          </w:tcPr>
          <w:p w14:paraId="2687909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39C2DD3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Innovation studies</w:t>
            </w:r>
          </w:p>
        </w:tc>
        <w:tc>
          <w:tcPr>
            <w:tcW w:w="0" w:type="auto"/>
          </w:tcPr>
          <w:p w14:paraId="03ACE06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tcPr>
          <w:p w14:paraId="1A2947A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 person</w:t>
            </w:r>
          </w:p>
        </w:tc>
        <w:tc>
          <w:tcPr>
            <w:tcW w:w="0" w:type="auto"/>
          </w:tcPr>
          <w:p w14:paraId="3CADA32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6C59342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7068A485" w14:textId="77777777" w:rsidTr="00AE3633">
        <w:trPr>
          <w:trHeight w:val="294"/>
        </w:trPr>
        <w:tc>
          <w:tcPr>
            <w:tcW w:w="0" w:type="auto"/>
          </w:tcPr>
          <w:p w14:paraId="7C08D9D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7A9A73E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AG</w:t>
            </w:r>
          </w:p>
        </w:tc>
        <w:tc>
          <w:tcPr>
            <w:tcW w:w="0" w:type="auto"/>
          </w:tcPr>
          <w:p w14:paraId="125C905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0419974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64CDFB9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tcPr>
          <w:p w14:paraId="4D3A173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489A664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6651EFC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30 min</w:t>
            </w:r>
          </w:p>
        </w:tc>
      </w:tr>
      <w:tr w:rsidR="00AE3633" w:rsidRPr="00AE3633" w14:paraId="2D76E6DD" w14:textId="77777777" w:rsidTr="00AE3633">
        <w:trPr>
          <w:trHeight w:val="294"/>
        </w:trPr>
        <w:tc>
          <w:tcPr>
            <w:tcW w:w="0" w:type="auto"/>
          </w:tcPr>
          <w:p w14:paraId="797C6C7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355AE01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AH</w:t>
            </w:r>
          </w:p>
        </w:tc>
        <w:tc>
          <w:tcPr>
            <w:tcW w:w="0" w:type="auto"/>
          </w:tcPr>
          <w:p w14:paraId="7A537C6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6FD7DE5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4779C3E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tcPr>
          <w:p w14:paraId="255CC74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735623F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4AAEC2E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w:t>
            </w:r>
          </w:p>
        </w:tc>
      </w:tr>
      <w:tr w:rsidR="00AE3633" w:rsidRPr="00AE3633" w14:paraId="0FC57AFE" w14:textId="77777777" w:rsidTr="00AE3633">
        <w:trPr>
          <w:trHeight w:val="294"/>
        </w:trPr>
        <w:tc>
          <w:tcPr>
            <w:tcW w:w="0" w:type="auto"/>
          </w:tcPr>
          <w:p w14:paraId="45837DC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607E39A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AI</w:t>
            </w:r>
          </w:p>
        </w:tc>
        <w:tc>
          <w:tcPr>
            <w:tcW w:w="0" w:type="auto"/>
          </w:tcPr>
          <w:p w14:paraId="6576922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10D113B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3FEE4CD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tcPr>
          <w:p w14:paraId="34079E0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2345D03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w:t>
            </w:r>
          </w:p>
        </w:tc>
        <w:tc>
          <w:tcPr>
            <w:tcW w:w="0" w:type="auto"/>
          </w:tcPr>
          <w:p w14:paraId="4852139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45 min </w:t>
            </w:r>
          </w:p>
        </w:tc>
      </w:tr>
      <w:tr w:rsidR="00AE3633" w:rsidRPr="00AE3633" w14:paraId="5A1840BB" w14:textId="77777777" w:rsidTr="00AE3633">
        <w:trPr>
          <w:trHeight w:val="294"/>
        </w:trPr>
        <w:tc>
          <w:tcPr>
            <w:tcW w:w="0" w:type="auto"/>
          </w:tcPr>
          <w:p w14:paraId="260C298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3BA2164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AL</w:t>
            </w:r>
          </w:p>
        </w:tc>
        <w:tc>
          <w:tcPr>
            <w:tcW w:w="0" w:type="auto"/>
          </w:tcPr>
          <w:p w14:paraId="543D93C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Conference</w:t>
            </w:r>
          </w:p>
        </w:tc>
        <w:tc>
          <w:tcPr>
            <w:tcW w:w="0" w:type="auto"/>
          </w:tcPr>
          <w:p w14:paraId="595A5DE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Sustainable management</w:t>
            </w:r>
          </w:p>
        </w:tc>
        <w:tc>
          <w:tcPr>
            <w:tcW w:w="0" w:type="auto"/>
          </w:tcPr>
          <w:p w14:paraId="7AD069D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was part of the topics of the conference</w:t>
            </w:r>
          </w:p>
        </w:tc>
        <w:tc>
          <w:tcPr>
            <w:tcW w:w="0" w:type="auto"/>
          </w:tcPr>
          <w:p w14:paraId="287A170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 person</w:t>
            </w:r>
          </w:p>
        </w:tc>
        <w:tc>
          <w:tcPr>
            <w:tcW w:w="0" w:type="auto"/>
          </w:tcPr>
          <w:p w14:paraId="6ED350E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3BD4499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25 minutes</w:t>
            </w:r>
          </w:p>
        </w:tc>
      </w:tr>
      <w:tr w:rsidR="00AE3633" w:rsidRPr="00AE3633" w14:paraId="288FEE0D" w14:textId="77777777" w:rsidTr="00AE3633">
        <w:trPr>
          <w:trHeight w:val="294"/>
        </w:trPr>
        <w:tc>
          <w:tcPr>
            <w:tcW w:w="0" w:type="auto"/>
          </w:tcPr>
          <w:p w14:paraId="6F78311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70FFC2B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AM</w:t>
            </w:r>
          </w:p>
        </w:tc>
        <w:tc>
          <w:tcPr>
            <w:tcW w:w="0" w:type="auto"/>
          </w:tcPr>
          <w:p w14:paraId="1EDE3A2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Conference</w:t>
            </w:r>
          </w:p>
        </w:tc>
        <w:tc>
          <w:tcPr>
            <w:tcW w:w="0" w:type="auto"/>
          </w:tcPr>
          <w:p w14:paraId="4E69C94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Economics and Innovation</w:t>
            </w:r>
          </w:p>
        </w:tc>
        <w:tc>
          <w:tcPr>
            <w:tcW w:w="0" w:type="auto"/>
          </w:tcPr>
          <w:p w14:paraId="4B5A895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was part of the topics of the conference</w:t>
            </w:r>
          </w:p>
        </w:tc>
        <w:tc>
          <w:tcPr>
            <w:tcW w:w="0" w:type="auto"/>
          </w:tcPr>
          <w:p w14:paraId="6B53E0C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0BE38DD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33C5065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25 minutes</w:t>
            </w:r>
          </w:p>
        </w:tc>
      </w:tr>
      <w:tr w:rsidR="00AE3633" w:rsidRPr="00AE3633" w14:paraId="571940E7" w14:textId="77777777" w:rsidTr="00AE3633">
        <w:trPr>
          <w:trHeight w:val="294"/>
        </w:trPr>
        <w:tc>
          <w:tcPr>
            <w:tcW w:w="0" w:type="auto"/>
          </w:tcPr>
          <w:p w14:paraId="34AC2B0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4BFBC89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AN</w:t>
            </w:r>
          </w:p>
        </w:tc>
        <w:tc>
          <w:tcPr>
            <w:tcW w:w="0" w:type="auto"/>
          </w:tcPr>
          <w:p w14:paraId="154B3E4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02A0A8C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Innovation</w:t>
            </w:r>
          </w:p>
        </w:tc>
        <w:tc>
          <w:tcPr>
            <w:tcW w:w="0" w:type="auto"/>
          </w:tcPr>
          <w:p w14:paraId="68766C65"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one of the main research interests</w:t>
            </w:r>
          </w:p>
        </w:tc>
        <w:tc>
          <w:tcPr>
            <w:tcW w:w="0" w:type="auto"/>
          </w:tcPr>
          <w:p w14:paraId="222943B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Online</w:t>
            </w:r>
          </w:p>
        </w:tc>
        <w:tc>
          <w:tcPr>
            <w:tcW w:w="0" w:type="auto"/>
          </w:tcPr>
          <w:p w14:paraId="2416EED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Yes</w:t>
            </w:r>
          </w:p>
        </w:tc>
        <w:tc>
          <w:tcPr>
            <w:tcW w:w="0" w:type="auto"/>
          </w:tcPr>
          <w:p w14:paraId="1ED471A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30 min</w:t>
            </w:r>
          </w:p>
        </w:tc>
      </w:tr>
      <w:tr w:rsidR="00AE3633" w:rsidRPr="00AE3633" w14:paraId="342620F8" w14:textId="77777777" w:rsidTr="00AE3633">
        <w:trPr>
          <w:trHeight w:val="294"/>
        </w:trPr>
        <w:tc>
          <w:tcPr>
            <w:tcW w:w="0" w:type="auto"/>
            <w:gridSpan w:val="7"/>
          </w:tcPr>
          <w:p w14:paraId="7EDBB5F5" w14:textId="77777777" w:rsidR="00AE3633" w:rsidRPr="00AE3633" w:rsidRDefault="00AE3633" w:rsidP="00AE3633">
            <w:pPr>
              <w:pBdr>
                <w:top w:val="nil"/>
                <w:left w:val="nil"/>
                <w:bottom w:val="nil"/>
                <w:right w:val="nil"/>
                <w:between w:val="nil"/>
              </w:pBdr>
              <w:spacing w:after="0" w:line="240" w:lineRule="auto"/>
              <w:jc w:val="right"/>
              <w:rPr>
                <w:rFonts w:eastAsia="Times New Roman" w:cs="Times New Roman"/>
                <w:b/>
                <w:sz w:val="20"/>
                <w:szCs w:val="20"/>
                <w:lang w:eastAsia="en-US"/>
              </w:rPr>
            </w:pPr>
            <w:r w:rsidRPr="00AE3633">
              <w:rPr>
                <w:rFonts w:eastAsia="Times New Roman" w:cs="Times New Roman"/>
                <w:b/>
                <w:sz w:val="20"/>
                <w:szCs w:val="20"/>
                <w:lang w:eastAsia="en-US"/>
              </w:rPr>
              <w:t>Total</w:t>
            </w:r>
          </w:p>
        </w:tc>
        <w:tc>
          <w:tcPr>
            <w:tcW w:w="0" w:type="auto"/>
          </w:tcPr>
          <w:p w14:paraId="4DE0624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24h 20min</w:t>
            </w:r>
          </w:p>
        </w:tc>
      </w:tr>
      <w:tr w:rsidR="00AE3633" w:rsidRPr="00AE3633" w14:paraId="5F5D0501" w14:textId="77777777" w:rsidTr="00AE3633">
        <w:trPr>
          <w:trHeight w:val="294"/>
        </w:trPr>
        <w:tc>
          <w:tcPr>
            <w:tcW w:w="0" w:type="auto"/>
            <w:gridSpan w:val="8"/>
          </w:tcPr>
          <w:p w14:paraId="35CB9D4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b/>
                <w:sz w:val="20"/>
                <w:szCs w:val="20"/>
                <w:lang w:eastAsia="en-US"/>
              </w:rPr>
              <w:t>Round 3 (N=8)</w:t>
            </w:r>
          </w:p>
        </w:tc>
      </w:tr>
      <w:tr w:rsidR="00AE3633" w:rsidRPr="00AE3633" w14:paraId="77E727E3" w14:textId="77777777" w:rsidTr="00AE3633">
        <w:trPr>
          <w:trHeight w:val="294"/>
        </w:trPr>
        <w:tc>
          <w:tcPr>
            <w:tcW w:w="0" w:type="auto"/>
          </w:tcPr>
          <w:p w14:paraId="0E95E64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27AF453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PU</w:t>
            </w:r>
          </w:p>
        </w:tc>
        <w:tc>
          <w:tcPr>
            <w:tcW w:w="0" w:type="auto"/>
          </w:tcPr>
          <w:p w14:paraId="09FF6DF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Sustainability Specialist</w:t>
            </w:r>
          </w:p>
        </w:tc>
        <w:tc>
          <w:tcPr>
            <w:tcW w:w="0" w:type="auto"/>
          </w:tcPr>
          <w:p w14:paraId="272AFA9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Government Environmental Agency</w:t>
            </w:r>
          </w:p>
        </w:tc>
        <w:tc>
          <w:tcPr>
            <w:tcW w:w="0" w:type="auto"/>
          </w:tcPr>
          <w:p w14:paraId="36DC6CD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This agency works on the CE</w:t>
            </w:r>
          </w:p>
        </w:tc>
        <w:tc>
          <w:tcPr>
            <w:tcW w:w="0" w:type="auto"/>
            <w:vMerge w:val="restart"/>
          </w:tcPr>
          <w:p w14:paraId="414842D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Workshop </w:t>
            </w:r>
          </w:p>
          <w:p w14:paraId="0C39A1B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In person</w:t>
            </w:r>
          </w:p>
          <w:p w14:paraId="19FE321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p>
        </w:tc>
        <w:tc>
          <w:tcPr>
            <w:tcW w:w="0" w:type="auto"/>
            <w:vMerge w:val="restart"/>
          </w:tcPr>
          <w:p w14:paraId="47D3735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w:t>
            </w:r>
          </w:p>
        </w:tc>
        <w:tc>
          <w:tcPr>
            <w:tcW w:w="0" w:type="auto"/>
            <w:vMerge w:val="restart"/>
          </w:tcPr>
          <w:p w14:paraId="15FBCCA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1 hour</w:t>
            </w:r>
          </w:p>
        </w:tc>
      </w:tr>
      <w:tr w:rsidR="00AE3633" w:rsidRPr="00AE3633" w14:paraId="6D2EB47D" w14:textId="77777777" w:rsidTr="00AE3633">
        <w:trPr>
          <w:trHeight w:val="294"/>
        </w:trPr>
        <w:tc>
          <w:tcPr>
            <w:tcW w:w="0" w:type="auto"/>
          </w:tcPr>
          <w:p w14:paraId="79F22E0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5ADC47B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PV</w:t>
            </w:r>
          </w:p>
        </w:tc>
        <w:tc>
          <w:tcPr>
            <w:tcW w:w="0" w:type="auto"/>
          </w:tcPr>
          <w:p w14:paraId="4FB7FF7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Sustainability Specialist</w:t>
            </w:r>
          </w:p>
        </w:tc>
        <w:tc>
          <w:tcPr>
            <w:tcW w:w="0" w:type="auto"/>
          </w:tcPr>
          <w:p w14:paraId="60D1273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Government Environmental Agency</w:t>
            </w:r>
          </w:p>
        </w:tc>
        <w:tc>
          <w:tcPr>
            <w:tcW w:w="0" w:type="auto"/>
          </w:tcPr>
          <w:p w14:paraId="52DB3E47"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This agency works on the CE</w:t>
            </w:r>
          </w:p>
        </w:tc>
        <w:tc>
          <w:tcPr>
            <w:tcW w:w="0" w:type="auto"/>
            <w:vMerge/>
          </w:tcPr>
          <w:p w14:paraId="3FF111F2"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1E4A36D3"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20260230"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r>
      <w:tr w:rsidR="00AE3633" w:rsidRPr="00AE3633" w14:paraId="37303FB3" w14:textId="77777777" w:rsidTr="00AE3633">
        <w:trPr>
          <w:trHeight w:val="294"/>
        </w:trPr>
        <w:tc>
          <w:tcPr>
            <w:tcW w:w="0" w:type="auto"/>
          </w:tcPr>
          <w:p w14:paraId="33CF236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Practitioner</w:t>
            </w:r>
          </w:p>
        </w:tc>
        <w:tc>
          <w:tcPr>
            <w:tcW w:w="0" w:type="auto"/>
          </w:tcPr>
          <w:p w14:paraId="2C8F354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PZ</w:t>
            </w:r>
          </w:p>
        </w:tc>
        <w:tc>
          <w:tcPr>
            <w:tcW w:w="0" w:type="auto"/>
          </w:tcPr>
          <w:p w14:paraId="0CFB205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Programme Manager</w:t>
            </w:r>
          </w:p>
        </w:tc>
        <w:tc>
          <w:tcPr>
            <w:tcW w:w="0" w:type="auto"/>
          </w:tcPr>
          <w:p w14:paraId="19134FC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Non-Governmental Organisation</w:t>
            </w:r>
          </w:p>
        </w:tc>
        <w:tc>
          <w:tcPr>
            <w:tcW w:w="0" w:type="auto"/>
          </w:tcPr>
          <w:p w14:paraId="14E8D11A"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 xml:space="preserve">The NGO is a leader in the CE  </w:t>
            </w:r>
          </w:p>
        </w:tc>
        <w:tc>
          <w:tcPr>
            <w:tcW w:w="0" w:type="auto"/>
            <w:vMerge/>
          </w:tcPr>
          <w:p w14:paraId="42AA8852"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233C7C45"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62782BAC"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r>
      <w:tr w:rsidR="00AE3633" w:rsidRPr="00AE3633" w14:paraId="07EF5A5E" w14:textId="77777777" w:rsidTr="00AE3633">
        <w:trPr>
          <w:trHeight w:val="294"/>
        </w:trPr>
        <w:tc>
          <w:tcPr>
            <w:tcW w:w="0" w:type="auto"/>
          </w:tcPr>
          <w:p w14:paraId="5108842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 xml:space="preserve">Academic </w:t>
            </w:r>
          </w:p>
        </w:tc>
        <w:tc>
          <w:tcPr>
            <w:tcW w:w="0" w:type="auto"/>
          </w:tcPr>
          <w:p w14:paraId="4EC39D7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w:t>
            </w:r>
          </w:p>
        </w:tc>
        <w:tc>
          <w:tcPr>
            <w:tcW w:w="0" w:type="auto"/>
          </w:tcPr>
          <w:p w14:paraId="417DE13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Associate Professor</w:t>
            </w:r>
          </w:p>
        </w:tc>
        <w:tc>
          <w:tcPr>
            <w:tcW w:w="0" w:type="auto"/>
          </w:tcPr>
          <w:p w14:paraId="15369B4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Strategy and Corporate Responsibility</w:t>
            </w:r>
          </w:p>
        </w:tc>
        <w:tc>
          <w:tcPr>
            <w:tcW w:w="0" w:type="auto"/>
          </w:tcPr>
          <w:p w14:paraId="6AF0D76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vMerge/>
          </w:tcPr>
          <w:p w14:paraId="34836820"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303E5CFB"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6381DC5A"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r>
      <w:tr w:rsidR="00AE3633" w:rsidRPr="00AE3633" w14:paraId="6241C013" w14:textId="77777777" w:rsidTr="00AE3633">
        <w:trPr>
          <w:trHeight w:val="294"/>
        </w:trPr>
        <w:tc>
          <w:tcPr>
            <w:tcW w:w="0" w:type="auto"/>
          </w:tcPr>
          <w:p w14:paraId="046A6A5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017D78AD"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AN</w:t>
            </w:r>
          </w:p>
        </w:tc>
        <w:tc>
          <w:tcPr>
            <w:tcW w:w="0" w:type="auto"/>
          </w:tcPr>
          <w:p w14:paraId="458B30C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07DA46E4"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5BDE518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vMerge/>
          </w:tcPr>
          <w:p w14:paraId="7AEB54F4"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31270077"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40499764"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r>
      <w:tr w:rsidR="00AE3633" w:rsidRPr="00AE3633" w14:paraId="19585148" w14:textId="77777777" w:rsidTr="00AE3633">
        <w:trPr>
          <w:trHeight w:val="294"/>
        </w:trPr>
        <w:tc>
          <w:tcPr>
            <w:tcW w:w="0" w:type="auto"/>
          </w:tcPr>
          <w:p w14:paraId="0F72968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3A06B6E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AO</w:t>
            </w:r>
          </w:p>
        </w:tc>
        <w:tc>
          <w:tcPr>
            <w:tcW w:w="0" w:type="auto"/>
          </w:tcPr>
          <w:p w14:paraId="2EA2A1CB"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Researcher</w:t>
            </w:r>
          </w:p>
        </w:tc>
        <w:tc>
          <w:tcPr>
            <w:tcW w:w="0" w:type="auto"/>
          </w:tcPr>
          <w:p w14:paraId="3025AA3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3000903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one of the main research interests</w:t>
            </w:r>
          </w:p>
        </w:tc>
        <w:tc>
          <w:tcPr>
            <w:tcW w:w="0" w:type="auto"/>
            <w:vMerge/>
          </w:tcPr>
          <w:p w14:paraId="20A8A42F"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00AF66A3"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64011A3C"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r>
      <w:tr w:rsidR="00AE3633" w:rsidRPr="00AE3633" w14:paraId="4AB323BB" w14:textId="77777777" w:rsidTr="00AE3633">
        <w:trPr>
          <w:trHeight w:val="294"/>
        </w:trPr>
        <w:tc>
          <w:tcPr>
            <w:tcW w:w="0" w:type="auto"/>
          </w:tcPr>
          <w:p w14:paraId="6C330228"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lastRenderedPageBreak/>
              <w:t>Academic</w:t>
            </w:r>
          </w:p>
        </w:tc>
        <w:tc>
          <w:tcPr>
            <w:tcW w:w="0" w:type="auto"/>
          </w:tcPr>
          <w:p w14:paraId="7BE6B1E9"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AP</w:t>
            </w:r>
          </w:p>
        </w:tc>
        <w:tc>
          <w:tcPr>
            <w:tcW w:w="0" w:type="auto"/>
          </w:tcPr>
          <w:p w14:paraId="5C4441BC"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Professor</w:t>
            </w:r>
          </w:p>
        </w:tc>
        <w:tc>
          <w:tcPr>
            <w:tcW w:w="0" w:type="auto"/>
          </w:tcPr>
          <w:p w14:paraId="419AC082"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Supply Chain Management</w:t>
            </w:r>
          </w:p>
        </w:tc>
        <w:tc>
          <w:tcPr>
            <w:tcW w:w="0" w:type="auto"/>
          </w:tcPr>
          <w:p w14:paraId="68D814B0"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part of the research interests</w:t>
            </w:r>
          </w:p>
        </w:tc>
        <w:tc>
          <w:tcPr>
            <w:tcW w:w="0" w:type="auto"/>
            <w:vMerge/>
          </w:tcPr>
          <w:p w14:paraId="449E9F7F"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145992C5"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4B605BEB"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r>
      <w:tr w:rsidR="00AE3633" w:rsidRPr="00AE3633" w14:paraId="12B02BE9" w14:textId="77777777" w:rsidTr="00AE3633">
        <w:trPr>
          <w:trHeight w:val="294"/>
        </w:trPr>
        <w:tc>
          <w:tcPr>
            <w:tcW w:w="0" w:type="auto"/>
          </w:tcPr>
          <w:p w14:paraId="556EA336"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Academic</w:t>
            </w:r>
          </w:p>
        </w:tc>
        <w:tc>
          <w:tcPr>
            <w:tcW w:w="0" w:type="auto"/>
          </w:tcPr>
          <w:p w14:paraId="10782623"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AQ</w:t>
            </w:r>
          </w:p>
        </w:tc>
        <w:tc>
          <w:tcPr>
            <w:tcW w:w="0" w:type="auto"/>
          </w:tcPr>
          <w:p w14:paraId="6C5BC62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Researcher</w:t>
            </w:r>
          </w:p>
        </w:tc>
        <w:tc>
          <w:tcPr>
            <w:tcW w:w="0" w:type="auto"/>
          </w:tcPr>
          <w:p w14:paraId="17CEDF21"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color w:val="000000"/>
                <w:sz w:val="20"/>
                <w:szCs w:val="20"/>
                <w:lang w:eastAsia="en-US"/>
              </w:rPr>
            </w:pPr>
            <w:r w:rsidRPr="00AE3633">
              <w:rPr>
                <w:rFonts w:eastAsia="Times New Roman" w:cs="Times New Roman"/>
                <w:color w:val="000000"/>
                <w:sz w:val="20"/>
                <w:szCs w:val="20"/>
                <w:lang w:eastAsia="en-US"/>
              </w:rPr>
              <w:t>Circular Economy</w:t>
            </w:r>
          </w:p>
        </w:tc>
        <w:tc>
          <w:tcPr>
            <w:tcW w:w="0" w:type="auto"/>
          </w:tcPr>
          <w:p w14:paraId="7652B7BF" w14:textId="77777777" w:rsidR="00AE3633" w:rsidRPr="00AE3633" w:rsidRDefault="00AE3633" w:rsidP="00AE3633">
            <w:pPr>
              <w:pBdr>
                <w:top w:val="nil"/>
                <w:left w:val="nil"/>
                <w:bottom w:val="nil"/>
                <w:right w:val="nil"/>
                <w:between w:val="nil"/>
              </w:pBdr>
              <w:spacing w:after="0" w:line="240" w:lineRule="auto"/>
              <w:jc w:val="left"/>
              <w:rPr>
                <w:rFonts w:eastAsia="Times New Roman" w:cs="Times New Roman"/>
                <w:sz w:val="20"/>
                <w:szCs w:val="20"/>
                <w:lang w:eastAsia="en-US"/>
              </w:rPr>
            </w:pPr>
            <w:r w:rsidRPr="00AE3633">
              <w:rPr>
                <w:rFonts w:eastAsia="Times New Roman" w:cs="Times New Roman"/>
                <w:sz w:val="20"/>
                <w:szCs w:val="20"/>
                <w:lang w:eastAsia="en-US"/>
              </w:rPr>
              <w:t>CE is one of the main research interests</w:t>
            </w:r>
          </w:p>
        </w:tc>
        <w:tc>
          <w:tcPr>
            <w:tcW w:w="0" w:type="auto"/>
            <w:vMerge/>
          </w:tcPr>
          <w:p w14:paraId="5E601485"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27000F28"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c>
          <w:tcPr>
            <w:tcW w:w="0" w:type="auto"/>
            <w:vMerge/>
          </w:tcPr>
          <w:p w14:paraId="48522708" w14:textId="77777777" w:rsidR="00AE3633" w:rsidRPr="00AE3633" w:rsidRDefault="00AE3633" w:rsidP="00AE3633">
            <w:pPr>
              <w:widowControl w:val="0"/>
              <w:pBdr>
                <w:top w:val="nil"/>
                <w:left w:val="nil"/>
                <w:bottom w:val="nil"/>
                <w:right w:val="nil"/>
                <w:between w:val="nil"/>
              </w:pBdr>
              <w:spacing w:after="0" w:line="276" w:lineRule="auto"/>
              <w:jc w:val="left"/>
              <w:rPr>
                <w:rFonts w:eastAsia="Times New Roman" w:cs="Times New Roman"/>
                <w:color w:val="000000"/>
                <w:sz w:val="20"/>
                <w:szCs w:val="20"/>
                <w:lang w:eastAsia="en-US"/>
              </w:rPr>
            </w:pPr>
          </w:p>
        </w:tc>
      </w:tr>
    </w:tbl>
    <w:p w14:paraId="45C11802" w14:textId="1D31DA3D" w:rsidR="003F435F" w:rsidRDefault="003F435F" w:rsidP="002F7336"/>
    <w:p w14:paraId="1C8E1E65" w14:textId="1C04B543" w:rsidR="00460A0C" w:rsidRDefault="00460A0C">
      <w:pPr>
        <w:spacing w:line="259" w:lineRule="auto"/>
        <w:jc w:val="left"/>
      </w:pPr>
      <w:r>
        <w:br w:type="page"/>
      </w:r>
    </w:p>
    <w:p w14:paraId="2F8BD65F" w14:textId="77777777" w:rsidR="00DB1C55" w:rsidRDefault="00DB1C55" w:rsidP="00BD0997">
      <w:pPr>
        <w:pStyle w:val="Heading2"/>
        <w:numPr>
          <w:ilvl w:val="0"/>
          <w:numId w:val="0"/>
        </w:numPr>
        <w:ind w:left="357" w:hanging="357"/>
        <w:sectPr w:rsidR="00DB1C55" w:rsidSect="00116B90">
          <w:type w:val="continuous"/>
          <w:pgSz w:w="16838" w:h="11906" w:orient="landscape"/>
          <w:pgMar w:top="1701" w:right="1701" w:bottom="1701" w:left="1134" w:header="720" w:footer="720" w:gutter="0"/>
          <w:cols w:space="720"/>
          <w:docGrid w:linePitch="299"/>
        </w:sectPr>
      </w:pPr>
    </w:p>
    <w:p w14:paraId="7BAA8388" w14:textId="3E21BE3C" w:rsidR="003F435F" w:rsidRDefault="00460A0C" w:rsidP="00BD0997">
      <w:pPr>
        <w:pStyle w:val="Heading2"/>
        <w:numPr>
          <w:ilvl w:val="0"/>
          <w:numId w:val="0"/>
        </w:numPr>
        <w:ind w:left="357" w:hanging="357"/>
      </w:pPr>
      <w:bookmarkStart w:id="175" w:name="_Toc157759552"/>
      <w:r>
        <w:lastRenderedPageBreak/>
        <w:t>Appendix 5B</w:t>
      </w:r>
      <w:bookmarkEnd w:id="175"/>
    </w:p>
    <w:p w14:paraId="31D2DE08" w14:textId="77777777" w:rsidR="00DB1C55" w:rsidRPr="00236091" w:rsidRDefault="00DB1C55" w:rsidP="00DB1C55">
      <w:pPr>
        <w:rPr>
          <w:b/>
          <w:bCs/>
        </w:rPr>
      </w:pPr>
      <w:r w:rsidRPr="00236091">
        <w:rPr>
          <w:b/>
          <w:bCs/>
        </w:rPr>
        <w:t xml:space="preserve">Interview questions </w:t>
      </w:r>
    </w:p>
    <w:p w14:paraId="6F186DE2" w14:textId="77777777" w:rsidR="00DB1C55" w:rsidRPr="00236091" w:rsidRDefault="00DB1C55" w:rsidP="00DB1C55">
      <w:pPr>
        <w:rPr>
          <w:b/>
          <w:bCs/>
        </w:rPr>
      </w:pPr>
      <w:r w:rsidRPr="00236091">
        <w:rPr>
          <w:b/>
          <w:bCs/>
        </w:rPr>
        <w:t>Round 1 – Preliminary observation</w:t>
      </w:r>
    </w:p>
    <w:p w14:paraId="0127DD30" w14:textId="77777777" w:rsidR="00DB1C55" w:rsidRDefault="00DB1C55" w:rsidP="00DB1C55">
      <w:r>
        <w:t>I. Do you think there is a relationship between institutional pressures and the adoption of circular economy practices? (</w:t>
      </w:r>
      <w:proofErr w:type="gramStart"/>
      <w:r>
        <w:t>support</w:t>
      </w:r>
      <w:proofErr w:type="gramEnd"/>
      <w:r>
        <w:t>, partially support, reject)</w:t>
      </w:r>
    </w:p>
    <w:p w14:paraId="715D21B2" w14:textId="77777777" w:rsidR="00DB1C55" w:rsidRDefault="00DB1C55" w:rsidP="00DB1C55">
      <w:r>
        <w:t>II. Do you support/reject the existence of a relationship between supply chain integration and the relationship between institutional pressures and the adoption of circular economy practices? (</w:t>
      </w:r>
      <w:proofErr w:type="gramStart"/>
      <w:r>
        <w:t>support</w:t>
      </w:r>
      <w:proofErr w:type="gramEnd"/>
      <w:r>
        <w:t>, partially support, reject)</w:t>
      </w:r>
    </w:p>
    <w:p w14:paraId="1CE2B0C3" w14:textId="77777777" w:rsidR="00DB1C55" w:rsidRDefault="00DB1C55" w:rsidP="00DB1C55">
      <w:r>
        <w:t>III. Do you see any challenge/improvement point? (</w:t>
      </w:r>
      <w:proofErr w:type="gramStart"/>
      <w:r>
        <w:t>briefly</w:t>
      </w:r>
      <w:proofErr w:type="gramEnd"/>
      <w:r>
        <w:t xml:space="preserve"> mention them)</w:t>
      </w:r>
    </w:p>
    <w:p w14:paraId="10E26C14" w14:textId="77777777" w:rsidR="00DB1C55" w:rsidRPr="00236091" w:rsidRDefault="00DB1C55" w:rsidP="00DB1C55">
      <w:pPr>
        <w:rPr>
          <w:b/>
          <w:bCs/>
        </w:rPr>
      </w:pPr>
      <w:r w:rsidRPr="00236091">
        <w:rPr>
          <w:b/>
          <w:bCs/>
        </w:rPr>
        <w:t>Round 2 – Qualitative exploration</w:t>
      </w:r>
    </w:p>
    <w:p w14:paraId="437B4451" w14:textId="77777777" w:rsidR="00DB1C55" w:rsidRDefault="00DB1C55" w:rsidP="00DB1C55">
      <w:r>
        <w:t xml:space="preserve">I. Details and anecdotes to support/reject the existence of a relationship between institutional pressures and the adoption of circular economy practices: </w:t>
      </w:r>
    </w:p>
    <w:p w14:paraId="6AF8B11D" w14:textId="6DE7F440" w:rsidR="00DB1C55" w:rsidRDefault="00DB1C55" w:rsidP="00DB1C55">
      <w:pPr>
        <w:pStyle w:val="ListParagraph"/>
        <w:numPr>
          <w:ilvl w:val="0"/>
          <w:numId w:val="8"/>
        </w:numPr>
      </w:pPr>
      <w:r>
        <w:t xml:space="preserve">How do you think coercive market pressures affect the adoption of circular economy practices? </w:t>
      </w:r>
    </w:p>
    <w:p w14:paraId="61AF8FA2" w14:textId="03DD5FEA" w:rsidR="00DB1C55" w:rsidRDefault="00DB1C55" w:rsidP="00DB1C55">
      <w:pPr>
        <w:pStyle w:val="ListParagraph"/>
        <w:numPr>
          <w:ilvl w:val="0"/>
          <w:numId w:val="8"/>
        </w:numPr>
      </w:pPr>
      <w:r>
        <w:t>How do you think coercive regulatory pressures affect the adoption of circular economy practices?</w:t>
      </w:r>
    </w:p>
    <w:p w14:paraId="27261B7C" w14:textId="472E8743" w:rsidR="00DB1C55" w:rsidRDefault="00DB1C55" w:rsidP="00DB1C55">
      <w:pPr>
        <w:pStyle w:val="ListParagraph"/>
        <w:numPr>
          <w:ilvl w:val="0"/>
          <w:numId w:val="8"/>
        </w:numPr>
      </w:pPr>
      <w:r>
        <w:t>How do you think normative pressures affect the adoption of circular economy practices?</w:t>
      </w:r>
    </w:p>
    <w:p w14:paraId="7BF93185" w14:textId="7FB69B88" w:rsidR="00DB1C55" w:rsidRDefault="00DB1C55" w:rsidP="00DB1C55">
      <w:pPr>
        <w:pStyle w:val="ListParagraph"/>
        <w:numPr>
          <w:ilvl w:val="0"/>
          <w:numId w:val="8"/>
        </w:numPr>
      </w:pPr>
      <w:r>
        <w:t>How do you think mimetic pressures affect the adoption of circular economy practices?</w:t>
      </w:r>
    </w:p>
    <w:p w14:paraId="37317B38" w14:textId="77777777" w:rsidR="00DB1C55" w:rsidRDefault="00DB1C55" w:rsidP="00DB1C55">
      <w:r>
        <w:t xml:space="preserve">II. Details and anecdotes support/reject the existence of a relationship between supply chain integration and the relationship between institutional pressures and the adoption of circular economy practices. </w:t>
      </w:r>
    </w:p>
    <w:p w14:paraId="0050F774" w14:textId="29548FAE" w:rsidR="00DB1C55" w:rsidRDefault="00DB1C55" w:rsidP="00DB1C55">
      <w:pPr>
        <w:pStyle w:val="ListParagraph"/>
        <w:numPr>
          <w:ilvl w:val="0"/>
          <w:numId w:val="8"/>
        </w:numPr>
      </w:pPr>
      <w:r>
        <w:t>How do you think sharing information with suppliers and customers can affect the relationship between institutional pressures and the adoption of circular economy practices?</w:t>
      </w:r>
    </w:p>
    <w:p w14:paraId="3D31C407" w14:textId="74C23B92" w:rsidR="00DB1C55" w:rsidRDefault="00DB1C55" w:rsidP="00DB1C55">
      <w:pPr>
        <w:pStyle w:val="ListParagraph"/>
        <w:numPr>
          <w:ilvl w:val="0"/>
          <w:numId w:val="8"/>
        </w:numPr>
      </w:pPr>
      <w:r>
        <w:t>How do you think coupling systems with suppliers and customers can affect the relationship between institutional pressures and the adoption of circular economy practices?</w:t>
      </w:r>
    </w:p>
    <w:p w14:paraId="393A24CD" w14:textId="7E52E18D" w:rsidR="00DB1C55" w:rsidRDefault="00DB1C55" w:rsidP="00DB1C55">
      <w:pPr>
        <w:pStyle w:val="ListParagraph"/>
        <w:numPr>
          <w:ilvl w:val="0"/>
          <w:numId w:val="8"/>
        </w:numPr>
      </w:pPr>
      <w:r>
        <w:lastRenderedPageBreak/>
        <w:t>How do you think collaborative approaches with suppliers and customers can affect the relationship between institutional pressures and the adoption of circular economy practices?</w:t>
      </w:r>
    </w:p>
    <w:p w14:paraId="06A28FB0" w14:textId="0068351B" w:rsidR="00DB1C55" w:rsidRDefault="00DB1C55" w:rsidP="00DB1C55">
      <w:pPr>
        <w:pStyle w:val="ListParagraph"/>
        <w:numPr>
          <w:ilvl w:val="0"/>
          <w:numId w:val="8"/>
        </w:numPr>
      </w:pPr>
      <w:r>
        <w:t>How do you think joint decision making with suppliers and customers can affect the relationship between institutional pressures and the adoption of circular economy practices?</w:t>
      </w:r>
    </w:p>
    <w:p w14:paraId="2EF146B5" w14:textId="77777777" w:rsidR="00DB1C55" w:rsidRDefault="00DB1C55" w:rsidP="00DB1C55">
      <w:r>
        <w:t>III. Can you elaborate on the following challenges/criticisms to the framework emerging from Round 1?</w:t>
      </w:r>
    </w:p>
    <w:p w14:paraId="79325DED" w14:textId="3F3059B3" w:rsidR="00DB1C55" w:rsidRDefault="00DB1C55" w:rsidP="00DB1C55">
      <w:pPr>
        <w:pStyle w:val="ListParagraph"/>
        <w:numPr>
          <w:ilvl w:val="0"/>
          <w:numId w:val="8"/>
        </w:numPr>
      </w:pPr>
      <w:r>
        <w:t>Existence of other internal drivers to the adoption of circular economy practices</w:t>
      </w:r>
    </w:p>
    <w:p w14:paraId="1C4A3493" w14:textId="22CE54D4" w:rsidR="00DB1C55" w:rsidRDefault="00DB1C55" w:rsidP="00DB1C55">
      <w:pPr>
        <w:pStyle w:val="ListParagraph"/>
        <w:numPr>
          <w:ilvl w:val="0"/>
          <w:numId w:val="8"/>
        </w:numPr>
      </w:pPr>
      <w:r>
        <w:t>Existence of other external drivers to the adoption of circular economy practices</w:t>
      </w:r>
    </w:p>
    <w:p w14:paraId="65CFBF65" w14:textId="0CC06BB1" w:rsidR="00DB1C55" w:rsidRDefault="00DB1C55" w:rsidP="00DB1C55">
      <w:pPr>
        <w:pStyle w:val="ListParagraph"/>
        <w:numPr>
          <w:ilvl w:val="0"/>
          <w:numId w:val="8"/>
        </w:numPr>
      </w:pPr>
      <w:r>
        <w:t>Institutional pressures have no influence on the adoption of circular economy practices</w:t>
      </w:r>
    </w:p>
    <w:p w14:paraId="6DEE7748" w14:textId="2A55C87B" w:rsidR="00DB1C55" w:rsidRDefault="00DB1C55" w:rsidP="00DB1C55">
      <w:pPr>
        <w:pStyle w:val="ListParagraph"/>
        <w:numPr>
          <w:ilvl w:val="0"/>
          <w:numId w:val="8"/>
        </w:numPr>
      </w:pPr>
      <w:r>
        <w:t>There is a relationship between Institutional pressures and supply chain integration</w:t>
      </w:r>
    </w:p>
    <w:p w14:paraId="7062ED14" w14:textId="325F15DA" w:rsidR="00DB1C55" w:rsidRDefault="00DB1C55" w:rsidP="00DB1C55">
      <w:pPr>
        <w:pStyle w:val="ListParagraph"/>
        <w:numPr>
          <w:ilvl w:val="0"/>
          <w:numId w:val="8"/>
        </w:numPr>
      </w:pPr>
      <w:r>
        <w:t>Adoption of circular economy practices has a feedback effect on supply chain integration</w:t>
      </w:r>
    </w:p>
    <w:p w14:paraId="1E2E1613" w14:textId="7917AA63" w:rsidR="00DB1C55" w:rsidRDefault="00DB1C55" w:rsidP="00DB1C55">
      <w:pPr>
        <w:pStyle w:val="ListParagraph"/>
        <w:numPr>
          <w:ilvl w:val="0"/>
          <w:numId w:val="8"/>
        </w:numPr>
      </w:pPr>
      <w:r>
        <w:t>Focus on circular economy performance rather than adoption</w:t>
      </w:r>
    </w:p>
    <w:p w14:paraId="6911897A" w14:textId="099371AC" w:rsidR="00DB1C55" w:rsidRDefault="00DB1C55" w:rsidP="00DB1C55">
      <w:pPr>
        <w:pStyle w:val="ListParagraph"/>
        <w:numPr>
          <w:ilvl w:val="0"/>
          <w:numId w:val="8"/>
        </w:numPr>
      </w:pPr>
      <w:r>
        <w:t>Need to distinguish between Disruptive vs Incremental circular economy practices</w:t>
      </w:r>
    </w:p>
    <w:p w14:paraId="60D3FE76" w14:textId="7D5D15D6" w:rsidR="00DB1C55" w:rsidRDefault="00DB1C55" w:rsidP="00DB1C55">
      <w:pPr>
        <w:pStyle w:val="ListParagraph"/>
        <w:numPr>
          <w:ilvl w:val="0"/>
          <w:numId w:val="8"/>
        </w:numPr>
      </w:pPr>
      <w:r>
        <w:t>Need to be aware of circular economy practices used for greenwashing</w:t>
      </w:r>
    </w:p>
    <w:p w14:paraId="50450891" w14:textId="09FFF511" w:rsidR="003F435F" w:rsidRDefault="00DB1C55" w:rsidP="00DB1C55">
      <w:r>
        <w:t>IV. Do you want to add any additional insights?</w:t>
      </w:r>
      <w:r w:rsidR="003F435F">
        <w:br w:type="page"/>
      </w:r>
    </w:p>
    <w:p w14:paraId="2C831452" w14:textId="77777777" w:rsidR="00525850" w:rsidRDefault="00525850" w:rsidP="002F7336">
      <w:pPr>
        <w:sectPr w:rsidR="00525850" w:rsidSect="00DB1C55">
          <w:pgSz w:w="11906" w:h="16838"/>
          <w:pgMar w:top="1701" w:right="1701" w:bottom="1134" w:left="1701" w:header="720" w:footer="720" w:gutter="0"/>
          <w:cols w:space="720"/>
          <w:docGrid w:linePitch="299"/>
        </w:sectPr>
      </w:pPr>
    </w:p>
    <w:p w14:paraId="4A668CEB" w14:textId="27A02CA3" w:rsidR="0085669A" w:rsidRPr="002228F5" w:rsidRDefault="00BF5F4D" w:rsidP="00C528D7">
      <w:pPr>
        <w:pStyle w:val="Heading1"/>
      </w:pPr>
      <w:bookmarkStart w:id="176" w:name="_Hlk129683179"/>
      <w:bookmarkStart w:id="177" w:name="_Toc157759553"/>
      <w:r w:rsidRPr="00BF5F4D">
        <w:lastRenderedPageBreak/>
        <w:t>An Investigation into the Relationship among Institutional Pressures, Supply Chain Integration and the Adoption of Circular Economy</w:t>
      </w:r>
      <w:bookmarkEnd w:id="176"/>
      <w:r w:rsidRPr="00BF5F4D">
        <w:t xml:space="preserve"> Practices</w:t>
      </w:r>
      <w:bookmarkEnd w:id="177"/>
    </w:p>
    <w:p w14:paraId="342468F1" w14:textId="77777777" w:rsidR="0085669A" w:rsidRPr="00601817" w:rsidRDefault="0085669A" w:rsidP="002F7336"/>
    <w:p w14:paraId="73DABCD7" w14:textId="6F91EF2D" w:rsidR="0085669A" w:rsidRPr="00F93608" w:rsidRDefault="0085669A" w:rsidP="002F7336">
      <w:pPr>
        <w:rPr>
          <w:b/>
          <w:bCs/>
        </w:rPr>
      </w:pPr>
      <w:r w:rsidRPr="00F93608">
        <w:rPr>
          <w:b/>
          <w:bCs/>
        </w:rPr>
        <w:t xml:space="preserve">Abstract: </w:t>
      </w:r>
    </w:p>
    <w:p w14:paraId="2688012D" w14:textId="77777777" w:rsidR="00814E3E" w:rsidRPr="00814E3E" w:rsidRDefault="00814E3E" w:rsidP="002F7336">
      <w:r w:rsidRPr="00814E3E">
        <w:rPr>
          <w:b/>
          <w:bCs/>
        </w:rPr>
        <w:t>Purpose</w:t>
      </w:r>
      <w:r w:rsidRPr="00814E3E">
        <w:rPr>
          <w:b/>
        </w:rPr>
        <w:t xml:space="preserve"> – </w:t>
      </w:r>
      <w:r w:rsidRPr="00814E3E">
        <w:t xml:space="preserve">This paper investigates the role of Institutional Pressures (IPs) and Supply Chain Integration (SCI) in driving the adoption of Circular Economy (CE) practices. Given the acknowledged role of supply chains in the transition to a CE, it is hypothesised that higher IPs might also drive higher levels of SCI in the attempt to implement CE practices. </w:t>
      </w:r>
    </w:p>
    <w:p w14:paraId="4AA1E41A" w14:textId="77777777" w:rsidR="00814E3E" w:rsidRPr="00814E3E" w:rsidRDefault="00814E3E" w:rsidP="002F7336">
      <w:r w:rsidRPr="00814E3E">
        <w:rPr>
          <w:b/>
          <w:bCs/>
        </w:rPr>
        <w:t>Design/methodology/approach</w:t>
      </w:r>
      <w:r w:rsidRPr="00814E3E">
        <w:rPr>
          <w:b/>
        </w:rPr>
        <w:t xml:space="preserve"> – </w:t>
      </w:r>
      <w:r w:rsidRPr="00814E3E">
        <w:t xml:space="preserve">A conceptual framework is developed and tested in a cross sectional sample of MNEs. Textual content from Corporate Sustainability reports is used to measure the constructs of interest through an advanced coding approach. </w:t>
      </w:r>
    </w:p>
    <w:p w14:paraId="3FB8A199" w14:textId="77777777" w:rsidR="00814E3E" w:rsidRPr="00814E3E" w:rsidRDefault="00814E3E" w:rsidP="002F7336">
      <w:r w:rsidRPr="00814E3E">
        <w:rPr>
          <w:b/>
          <w:bCs/>
        </w:rPr>
        <w:t>Findings</w:t>
      </w:r>
      <w:r w:rsidRPr="00814E3E">
        <w:rPr>
          <w:b/>
        </w:rPr>
        <w:t xml:space="preserve"> – </w:t>
      </w:r>
      <w:r w:rsidRPr="00814E3E">
        <w:t xml:space="preserve">Findings </w:t>
      </w:r>
      <w:bookmarkStart w:id="178" w:name="_Hlk137559237"/>
      <w:r w:rsidRPr="00814E3E">
        <w:t xml:space="preserve">show that IPs are driving the adoption of CE practices primarily through the mediation of SCI; the prominent role of coercive and normative pressures is also highlighted. Coercive pressures influence on CE practices is partially mediated by SCI, with normative pressures being fully mediated by it. </w:t>
      </w:r>
    </w:p>
    <w:bookmarkEnd w:id="178"/>
    <w:p w14:paraId="291C307E" w14:textId="77777777" w:rsidR="00814E3E" w:rsidRPr="00814E3E" w:rsidRDefault="00814E3E" w:rsidP="002F7336">
      <w:r w:rsidRPr="00814E3E">
        <w:rPr>
          <w:b/>
          <w:bCs/>
        </w:rPr>
        <w:t>Practical implications</w:t>
      </w:r>
      <w:r w:rsidRPr="00814E3E">
        <w:rPr>
          <w:b/>
        </w:rPr>
        <w:t xml:space="preserve"> – </w:t>
      </w:r>
      <w:r w:rsidRPr="00814E3E">
        <w:t xml:space="preserve">The study shows that SCI is a key mechanism that lies in between IPs and CE practices. As such managers need to be aware of the pressures and of the capabilities associated with SCI. </w:t>
      </w:r>
    </w:p>
    <w:p w14:paraId="397D174F" w14:textId="77777777" w:rsidR="00814E3E" w:rsidRPr="00814E3E" w:rsidRDefault="00814E3E" w:rsidP="002F7336">
      <w:r w:rsidRPr="00814E3E">
        <w:rPr>
          <w:b/>
          <w:bCs/>
        </w:rPr>
        <w:t>Originality/value</w:t>
      </w:r>
      <w:r w:rsidRPr="00814E3E">
        <w:rPr>
          <w:b/>
        </w:rPr>
        <w:t xml:space="preserve"> – </w:t>
      </w:r>
      <w:r w:rsidRPr="00814E3E">
        <w:t xml:space="preserve">This empirical study is the first large scale analysis of Multi-National Enterprises (MNEs) that tries to conceptualise how MNEs driven supply chains adopt CE practices in an attempt to generalise theory. The study empirically validates the model and identify research avenues in SCM research to support the adoption of CE practices. </w:t>
      </w:r>
    </w:p>
    <w:p w14:paraId="0EF3FAC2" w14:textId="77777777" w:rsidR="00814E3E" w:rsidRPr="00814E3E" w:rsidRDefault="00814E3E" w:rsidP="002F7336">
      <w:r w:rsidRPr="00814E3E">
        <w:rPr>
          <w:b/>
        </w:rPr>
        <w:t xml:space="preserve">Keywords: </w:t>
      </w:r>
      <w:r w:rsidRPr="00814E3E">
        <w:t>Circular Economy, Supply Chain Integration, Institutional Theory, Sustainable Supply Chain Management, Multi-National Enterprises</w:t>
      </w:r>
    </w:p>
    <w:p w14:paraId="40E79BC6" w14:textId="77777777" w:rsidR="00814E3E" w:rsidRPr="00814E3E" w:rsidRDefault="00814E3E" w:rsidP="002F7336">
      <w:pPr>
        <w:rPr>
          <w:b/>
        </w:rPr>
      </w:pPr>
      <w:r w:rsidRPr="00814E3E">
        <w:rPr>
          <w:b/>
          <w:bCs/>
        </w:rPr>
        <w:t>Paper type</w:t>
      </w:r>
      <w:r w:rsidRPr="00814E3E">
        <w:rPr>
          <w:b/>
        </w:rPr>
        <w:t xml:space="preserve"> </w:t>
      </w:r>
      <w:r w:rsidRPr="00814E3E">
        <w:t>Research paper</w:t>
      </w:r>
    </w:p>
    <w:p w14:paraId="1CDB6431" w14:textId="279F78AE" w:rsidR="004F1B60" w:rsidRDefault="004F1B60" w:rsidP="002F7336"/>
    <w:p w14:paraId="699644B0" w14:textId="77777777" w:rsidR="00BF5F4D" w:rsidRDefault="00BF5F4D" w:rsidP="002F7336">
      <w:r>
        <w:br w:type="page"/>
      </w:r>
    </w:p>
    <w:p w14:paraId="0D223B85" w14:textId="204066A4" w:rsidR="005A4110" w:rsidRDefault="005A4110" w:rsidP="005035B4">
      <w:pPr>
        <w:pStyle w:val="Heading2"/>
      </w:pPr>
      <w:bookmarkStart w:id="179" w:name="_Toc157759554"/>
      <w:r w:rsidRPr="005A4110">
        <w:lastRenderedPageBreak/>
        <w:t>Introduction</w:t>
      </w:r>
      <w:bookmarkEnd w:id="179"/>
      <w:r w:rsidRPr="005A4110">
        <w:t xml:space="preserve"> </w:t>
      </w:r>
    </w:p>
    <w:p w14:paraId="24ABC509" w14:textId="77777777" w:rsidR="0036626F" w:rsidRDefault="0036626F" w:rsidP="0036626F">
      <w:r>
        <w:t>The Circular economy (CE) concept is becoming increasingly important for its potential to address grand societal challenges like climate change, waste generation, resource scarcity, and has been incorporated in policy discussion (European Commission, 2020), as well as corporate sustainability plans in the last decade (</w:t>
      </w:r>
      <w:proofErr w:type="spellStart"/>
      <w:r>
        <w:t>Sehnem</w:t>
      </w:r>
      <w:proofErr w:type="spellEnd"/>
      <w:r>
        <w:t xml:space="preserve"> et al., 2019). The political push for a CE is stimulating the development of new production systems where materials and products are reused, remanufactured and recycled, leading to positive environmental, social and economic outcomes (Batista et al., 2023). In order operationalise CE principles, it is crucial to establish Circular Supply Chains (CSCs). CSCs go beyond the traditional linear flow of materials from suppliers to customers, and instead involve new actors such as collectors, sorters, re-processors and remanufacturers (Bimpizas-Pinis et al., 2022). By expanding the scope of collaboration horizontally across different sectors, CSCs help to promote the implementation of CE principles in practice (De Angelis et al., 2018). CSCs can foster the spread of CE-inspired business models – such as, for example enhancing markets of secondary products and materials and promoting servitisation – which constitute a huge green growth opportunity (EMF, 2015).</w:t>
      </w:r>
    </w:p>
    <w:p w14:paraId="6CB2B2F3" w14:textId="77777777" w:rsidR="0036626F" w:rsidRDefault="0036626F" w:rsidP="0036626F">
      <w:r>
        <w:t xml:space="preserve">In this context, a major contribution is expected from Multi-National Enterprises (MNEs), as these organisations coordinate resource-intensive global supply networks (Calzolari et al., 2021). MNEs, both (either private or state-owned), significantly influence resources allocation, investments, materials selection, and product design both in EU and China (Bawens et al., 2020). MNEs are key players to foster upstream-downstream collaborations in CSCs, to support the recovery and sourcing of secondary raw materials, to integrate flows of secondary raw materials with flows of primary raw materials. This means investing in infrastructure for remanufacturing and repair activities, operationalising recycled material and by-product flows, designing product-service systems. As such, it makes sense to start scrutinising them, taking advantage of the vast amount of unstructured data they are already obliged to publish every year, following pressures from governments, which are requesting more detailed disclosure on commitments, targets and </w:t>
      </w:r>
      <w:proofErr w:type="gramStart"/>
      <w:r>
        <w:t>indicators .</w:t>
      </w:r>
      <w:proofErr w:type="gramEnd"/>
      <w:r>
        <w:t xml:space="preserve"> </w:t>
      </w:r>
    </w:p>
    <w:p w14:paraId="1E87F576" w14:textId="77777777" w:rsidR="0036626F" w:rsidRDefault="0036626F" w:rsidP="0036626F">
      <w:r>
        <w:t>Institutional pressures (IPs), of a coercive, normative and mimetic nature, have been recognized as a crucial factor in driving the transition towards more sustainable futures (</w:t>
      </w:r>
      <w:proofErr w:type="spellStart"/>
      <w:r>
        <w:t>Venkatesh</w:t>
      </w:r>
      <w:proofErr w:type="spellEnd"/>
      <w:r>
        <w:t xml:space="preserve"> et al., 2020), and as important drivers to adopt CE practices (</w:t>
      </w:r>
      <w:proofErr w:type="spellStart"/>
      <w:r>
        <w:t>Ranta</w:t>
      </w:r>
      <w:proofErr w:type="spellEnd"/>
      <w:r>
        <w:t xml:space="preserve"> et al., 2018). At the same time, in order to achieve a transition towards CSCs, it is crucial to enhance the capacity of companies to share knowledge and information with their partners (Cousins et al., 2019; Herczeg et al., 2018). CE </w:t>
      </w:r>
      <w:r>
        <w:lastRenderedPageBreak/>
        <w:t>practices cannot be implemented, in isolation, at a single firm level, but require the collaboration of many actors (Chavez et al., 2023). This can help to reduce uncertainty and resource dependency (Silva et al., 2023). In order to develop such capabilities, improving Supply Chain Integration (SCI) has been recognised as a key strategy for promoting collaboration across CSC networks (Calzolari et al., 2021).</w:t>
      </w:r>
    </w:p>
    <w:p w14:paraId="60E079F8" w14:textId="77777777" w:rsidR="0036626F" w:rsidRDefault="0036626F" w:rsidP="0036626F">
      <w:r>
        <w:t xml:space="preserve">This study, based on MNEs in Asian and European countries, examines the impact of external pressures on the adoption of CE-oriented practices. In particular, it examines the direct effect of external pressures on the adoption of CE-oriented practices and the mediating effect of SCI. </w:t>
      </w:r>
    </w:p>
    <w:p w14:paraId="1EB41196" w14:textId="77777777" w:rsidR="0036626F" w:rsidRDefault="0036626F" w:rsidP="0036626F">
      <w:r>
        <w:t xml:space="preserve">This paper argues that SCI plays a key role in influencing responses to IPs for CE. Sustainability is embedded in the circular capabilities of supply chains: the bi-directionality of resource flows across supplier-consumer nodes of a CSC requires alignment with further actors external to the focal supply chain to enable the circular flow of resources (Bimpizas-Pinis et al., 2022). This change cannot come from a single organisation, but rather from a concerted effort of supply chain actors; as such, different aspects of SCI are required to respond to these pressures as a supply chain, which include the implementation of new technologies to couple systems and improve information sharing (De Giovanni, 2022). </w:t>
      </w:r>
    </w:p>
    <w:p w14:paraId="7D136FF2" w14:textId="77777777" w:rsidR="0036626F" w:rsidRDefault="0036626F" w:rsidP="0036626F">
      <w:r>
        <w:t>Within this study, a conceptual framework derived from the literature will be tested, through a purpose-built databank. Doing this, the study also answers to recent calls for more empirical research, to explore how organisations are approaching the CE with a perspective on supply chain and operations management aspects (Batista et al., 2023). In particular, the study advances the theoretical understanding of CE field from an institutional theory perspective by borrowing the SCI concept used from SCM literature (Batista et al., 2023). It does so by exploring the role of SCI and how it interacts with IPs in the transition towards the CE in (MNEs managed) supply chains.</w:t>
      </w:r>
    </w:p>
    <w:p w14:paraId="61AE72A6" w14:textId="065AA064" w:rsidR="001418C0" w:rsidRPr="001418C0" w:rsidRDefault="0036626F" w:rsidP="0036626F">
      <w:r>
        <w:t>The remainder of the paper is organised as follows. Section 2 introduces the literature review and the research hypothesis. The research method is described in Section 3. Section 4 reports the results. Section 5 discusses the research findings, and presents the theoretical and practical implications. Section 6 includes the conclusions, the future research avenues, as well as the limitations of the study.</w:t>
      </w:r>
    </w:p>
    <w:p w14:paraId="45BE5375" w14:textId="3F81F88B" w:rsidR="005A4110" w:rsidRDefault="005A4110" w:rsidP="005035B4">
      <w:pPr>
        <w:pStyle w:val="Heading2"/>
      </w:pPr>
      <w:bookmarkStart w:id="180" w:name="_Toc157759555"/>
      <w:r w:rsidRPr="005A4110">
        <w:t>Literature Review</w:t>
      </w:r>
      <w:bookmarkEnd w:id="180"/>
    </w:p>
    <w:p w14:paraId="1E0EF311" w14:textId="2733CE9E" w:rsidR="00277266" w:rsidRDefault="00537C94" w:rsidP="005035B4">
      <w:pPr>
        <w:pStyle w:val="Heading3"/>
      </w:pPr>
      <w:bookmarkStart w:id="181" w:name="_Toc157759556"/>
      <w:r>
        <w:lastRenderedPageBreak/>
        <w:t>Theoretical foundations</w:t>
      </w:r>
      <w:bookmarkEnd w:id="181"/>
      <w:r>
        <w:t xml:space="preserve"> </w:t>
      </w:r>
    </w:p>
    <w:p w14:paraId="5ACF6751" w14:textId="56F20650" w:rsidR="001418C0" w:rsidRDefault="0036626F" w:rsidP="0036626F">
      <w:r w:rsidRPr="0036626F">
        <w:t>The transition towards more sustainable production and consumption systems is primarily a supply chain challenge. The implementation of CE principles could incentivize companies to keep existing resources in the loop; design, produce, and market regenerative products; allow them to slow down their innovation processes; and still enable them to be profitable via the services sold. Supply chains operate within the political economy boundaries and are intertwined with changing social norms. Using management theories and SCM concepts can help analysing how major supply chains are gradually adopting CE practices (</w:t>
      </w:r>
      <w:proofErr w:type="spellStart"/>
      <w:r w:rsidRPr="0036626F">
        <w:t>Sehnem</w:t>
      </w:r>
      <w:proofErr w:type="spellEnd"/>
      <w:r w:rsidRPr="0036626F">
        <w:t xml:space="preserve"> et al., 2019). To do this, the concepts of institutional theory and SCI are introduced. These two ideas can contribute in different ways to build hypotheses. In essence, institutional theory helps understanding why supply chains take decisions to adopt CE and sustainable practices, while SCI gives an idea of how supply chains are organised. This paper builds and tests a theoretical model based on Institutional theory and SCI that contributes to better understand the process of adoption of CE practices. In doing so the paper contributes to the literature that has studied supply chains as institutional fields and better explain how SCI interacts with IPs in MNEs.</w:t>
      </w:r>
    </w:p>
    <w:p w14:paraId="61BB81BD" w14:textId="499C4CA5" w:rsidR="001418C0" w:rsidRDefault="00043537" w:rsidP="002F7336">
      <w:pPr>
        <w:pStyle w:val="Heading4Paragraph"/>
      </w:pPr>
      <w:r>
        <w:t>2.1.1 In</w:t>
      </w:r>
      <w:r w:rsidR="001418C0">
        <w:t xml:space="preserve">stitutional theory </w:t>
      </w:r>
    </w:p>
    <w:p w14:paraId="22950037" w14:textId="7158FB9D" w:rsidR="00011C4D" w:rsidRDefault="00011C4D" w:rsidP="00011C4D">
      <w:r>
        <w:t xml:space="preserve">Institutional theory explains how organisations respond to societal demands and pursue objectives dictated by the external environment in order to gain stability and legitimacy (DiMaggio &amp; Powell, 1983). Organizations tend to adopt similar practices to other entities operating in the same institutional field, driven by coercive, normative, and mimetic pressures (DiMaggio &amp; Powell, 1983). Coercive pressures can arise from regulatory bodies (Coercive Regulatory Pressures, CRPs) or other organizations in the supply chain (Coercive Market Pressures, CMPs), while normative pressures (NPs) stem from shared values within an industry. Mimetic pressures (MPs) involve imitation of best practices from successful social actors. </w:t>
      </w:r>
    </w:p>
    <w:p w14:paraId="4935F175" w14:textId="77777777" w:rsidR="00011C4D" w:rsidRDefault="00011C4D" w:rsidP="00011C4D">
      <w:r>
        <w:t>In today’s globalised production systems, IPs occur at a supply chain level rather than at a firm one (</w:t>
      </w:r>
      <w:proofErr w:type="spellStart"/>
      <w:r>
        <w:t>Ketchen</w:t>
      </w:r>
      <w:proofErr w:type="spellEnd"/>
      <w:r>
        <w:t xml:space="preserve"> &amp; </w:t>
      </w:r>
      <w:proofErr w:type="spellStart"/>
      <w:r>
        <w:t>Hult</w:t>
      </w:r>
      <w:proofErr w:type="spellEnd"/>
      <w:r>
        <w:t>, 2007). The literature has investigated how these pressures work outside the single organisation’s boundaries and create coercive, normative and mimetic isomorphism at the supply chain level (</w:t>
      </w:r>
      <w:proofErr w:type="spellStart"/>
      <w:r>
        <w:t>Kauppi</w:t>
      </w:r>
      <w:proofErr w:type="spellEnd"/>
      <w:r>
        <w:t xml:space="preserve">, 2013). Supply chains are considered spaces where participating actors influence each other and promote their values (Wu &amp; </w:t>
      </w:r>
      <w:proofErr w:type="spellStart"/>
      <w:r>
        <w:t>Jia</w:t>
      </w:r>
      <w:proofErr w:type="spellEnd"/>
      <w:r>
        <w:t>, 2018). This happens for example in buyer-suppliers’ relationships – when suppliers need to comply with environmental clauses. Some actors have a greater urgency, as well as responsibility and power, to enforce their system of values across the supply chain to reduce risks from upstream stages (</w:t>
      </w:r>
      <w:proofErr w:type="spellStart"/>
      <w:r>
        <w:t>Busse</w:t>
      </w:r>
      <w:proofErr w:type="spellEnd"/>
      <w:r>
        <w:t xml:space="preserve"> et al., 2016). Focal Firms, often MNEs, </w:t>
      </w:r>
      <w:r>
        <w:lastRenderedPageBreak/>
        <w:t>are believed to play a fundamental role in spreading these pressures in their multi-tier supply chains, also through coercive mechanisms, especially in absence of strong regulatory institutions. This is also the reason why in the recent conceptualisation of IPs for supply chains, CMPs were kept separate from CRPs (</w:t>
      </w:r>
      <w:proofErr w:type="spellStart"/>
      <w:r>
        <w:t>Kauppi</w:t>
      </w:r>
      <w:proofErr w:type="spellEnd"/>
      <w:r>
        <w:t xml:space="preserve"> &amp; </w:t>
      </w:r>
      <w:proofErr w:type="spellStart"/>
      <w:r>
        <w:t>Luzzini</w:t>
      </w:r>
      <w:proofErr w:type="spellEnd"/>
      <w:r>
        <w:t>, 2022).</w:t>
      </w:r>
    </w:p>
    <w:p w14:paraId="357CE72D" w14:textId="77777777" w:rsidR="00011C4D" w:rsidRDefault="00011C4D" w:rsidP="00011C4D">
      <w:r>
        <w:t xml:space="preserve">Some authors have tried to establish the concept of institutional field in a SC context (Wu &amp; </w:t>
      </w:r>
      <w:proofErr w:type="spellStart"/>
      <w:r>
        <w:t>Jia</w:t>
      </w:r>
      <w:proofErr w:type="spellEnd"/>
      <w:r>
        <w:t xml:space="preserve">, 2018; </w:t>
      </w:r>
      <w:proofErr w:type="spellStart"/>
      <w:r>
        <w:t>Kelling</w:t>
      </w:r>
      <w:proofErr w:type="spellEnd"/>
      <w:r>
        <w:t xml:space="preserve"> et al., 2021). In most cases, however, the whole supply chain cannot be considered a uniform and linear institutional field. In multi-tier supply chains, organisations at different supply chain echelons deal with different institutions, some of which connected with their geographies, or the sector they belong, or with their customers, and all these different institutions might promote contrasting values and compete (</w:t>
      </w:r>
      <w:proofErr w:type="spellStart"/>
      <w:r>
        <w:t>Busse</w:t>
      </w:r>
      <w:proofErr w:type="spellEnd"/>
      <w:r>
        <w:t xml:space="preserve"> et al., 2016). This requires engaging and involving suppliers with different strategies (Sauer &amp; Seuring, 2018). </w:t>
      </w:r>
    </w:p>
    <w:p w14:paraId="2968B38C" w14:textId="13BD82BD" w:rsidR="001418C0" w:rsidRDefault="00011C4D" w:rsidP="00011C4D">
      <w:r>
        <w:t>Institutional pressures are thought to be playing a role when studying the adoption of CE practices from a SCM perspective (De Angelis et al., 2018; Liu et al., 2018). Much research suggests that pressures to adopt sustainable practices, structures, or technologies are intense (</w:t>
      </w:r>
      <w:proofErr w:type="spellStart"/>
      <w:r>
        <w:t>Adebanjo</w:t>
      </w:r>
      <w:proofErr w:type="spellEnd"/>
      <w:r>
        <w:t xml:space="preserve"> et al., 2016) and are associated with stakeholders (e.g., customers, regulators, and NGOs) requiring firms to reduce their environmental impact and enhance their social responsibility. The adoption of these practices in supply chain management (SCM) may be associated with reputation gains, reduced risk, and increased customer loyalty (Paulraj et al., 2017). Looking at specific types of practices, research has shown that organisations approach sustainability mainly as a mean to adhere to legislation requirements and to improve brand image rather than as profit-seekers (Paulraj et al., 2017). As such, IPs are one of the main drivers of sustainable practices in organisations and their supply chains, reflecting the corporations’ alignment with triple-bottom-line strategies (Tate et al., 2010).  </w:t>
      </w:r>
    </w:p>
    <w:p w14:paraId="30BCC90B" w14:textId="3F2056B7" w:rsidR="001418C0" w:rsidRDefault="00043537" w:rsidP="002F7336">
      <w:pPr>
        <w:pStyle w:val="Heading4Paragraph"/>
      </w:pPr>
      <w:r>
        <w:t xml:space="preserve">2.1.2 </w:t>
      </w:r>
      <w:r w:rsidR="001418C0">
        <w:t xml:space="preserve">Supply Chain Integration </w:t>
      </w:r>
    </w:p>
    <w:p w14:paraId="09A0D4BB" w14:textId="77777777" w:rsidR="00951237" w:rsidRDefault="00951237" w:rsidP="00951237">
      <w:r>
        <w:t>In order to explain how supply chains are organised, SCM literature has widely employed the SCI concept. SCI involves a set of constructs including information exchange, the presence of collaborative activities, and the alignment of strategic interests with key suppliers and customers (</w:t>
      </w:r>
      <w:proofErr w:type="spellStart"/>
      <w:r>
        <w:t>Frohlich</w:t>
      </w:r>
      <w:proofErr w:type="spellEnd"/>
      <w:r>
        <w:t xml:space="preserve"> &amp; Westbrook, 2001). </w:t>
      </w:r>
    </w:p>
    <w:p w14:paraId="7A0DC26D" w14:textId="77777777" w:rsidR="00951237" w:rsidRDefault="00951237" w:rsidP="00951237">
      <w:r>
        <w:t>The “Arcs of integration” framework conceptualised SCI distinguishing between upstream suppliers and downstream customers and across and 4 aspects of integration: sharing information, developing collaborative approaches, taking decisions jointly and coupling systems (</w:t>
      </w:r>
      <w:proofErr w:type="spellStart"/>
      <w:r>
        <w:t>Frohlich</w:t>
      </w:r>
      <w:proofErr w:type="spellEnd"/>
      <w:r>
        <w:t xml:space="preserve"> &amp; Westbrook, 2001). Later conceptualisations leverage on this framework, with the aspects being </w:t>
      </w:r>
      <w:r>
        <w:lastRenderedPageBreak/>
        <w:t>aggregated into 2 sub-dimensions highlighting the cooperative and collaborative aspects of SCI in a nuanced explanation (Wiengarten &amp; Longoni, 2015). SCI was also reconceptualised differently, distinguishing types of integration: technological, logistical and relational (</w:t>
      </w:r>
      <w:proofErr w:type="spellStart"/>
      <w:r>
        <w:t>Leuschner</w:t>
      </w:r>
      <w:proofErr w:type="spellEnd"/>
      <w:r>
        <w:t xml:space="preserve"> et al., 2013), even though often empirical research on the topic has more often referred to the seminal measurement scales introduced by </w:t>
      </w:r>
      <w:proofErr w:type="spellStart"/>
      <w:r>
        <w:t>Frohlich</w:t>
      </w:r>
      <w:proofErr w:type="spellEnd"/>
      <w:r>
        <w:t xml:space="preserve"> and Westbrook (2001) (see, for instance: Chaudhuri et al., 2018).</w:t>
      </w:r>
    </w:p>
    <w:p w14:paraId="7CE8CE26" w14:textId="77777777" w:rsidR="00951237" w:rsidRDefault="00951237" w:rsidP="00951237">
      <w:r>
        <w:t>The key argument behind collaborative paradigm in SCM is that interdependent relationships and strategic integration can improve supply chain performance and lower transaction costs (Cao &amp; Zhang, 2011). Higher levels of SCI were usually linked with better operational performance (</w:t>
      </w:r>
      <w:proofErr w:type="spellStart"/>
      <w:r>
        <w:t>Schoenherr</w:t>
      </w:r>
      <w:proofErr w:type="spellEnd"/>
      <w:r>
        <w:t xml:space="preserve"> &amp; </w:t>
      </w:r>
      <w:proofErr w:type="spellStart"/>
      <w:r>
        <w:t>Swink</w:t>
      </w:r>
      <w:proofErr w:type="spellEnd"/>
      <w:r>
        <w:t xml:space="preserve">, 2012). Research also highlighted the importance to develop all the aspects of integration jointly (Danese et al., 2014), as well as the need to develop also internal integration on the side of external one, to achieve improvements in operational performance (Flynn et al., 2010). </w:t>
      </w:r>
    </w:p>
    <w:p w14:paraId="0A398011" w14:textId="77777777" w:rsidR="00951237" w:rsidRDefault="00951237" w:rsidP="00951237">
      <w:r>
        <w:t>Recent literature has identified collaboration and coordination as fundamental components of a systemic transition to a CE (</w:t>
      </w:r>
      <w:proofErr w:type="spellStart"/>
      <w:r>
        <w:t>Cricelli</w:t>
      </w:r>
      <w:proofErr w:type="spellEnd"/>
      <w:r>
        <w:t xml:space="preserve"> et al., 2021). CE requires a collaborative approach that involves all actors in the supply chain, including suppliers, manufacturers, distributors, and customers. SCI is considered as imperative to increase the capacity of companies involved in the supply chain to share information and knowledge in order to reduce uncertainty and resource dependency (</w:t>
      </w:r>
      <w:proofErr w:type="spellStart"/>
      <w:r>
        <w:t>Bimpizas</w:t>
      </w:r>
      <w:proofErr w:type="spellEnd"/>
      <w:r>
        <w:t xml:space="preserve"> et al., 2022). This is in line with the literature that identifies digital technologies and business analytics as key mechanisms to track and trace products and materials, share environmental information, and increase transparency and traceability (</w:t>
      </w:r>
      <w:proofErr w:type="spellStart"/>
      <w:r>
        <w:t>Rosca</w:t>
      </w:r>
      <w:proofErr w:type="spellEnd"/>
      <w:r>
        <w:t xml:space="preserve"> et al. 2023). These key capabilities seem to be key factors in affecting the effectiveness of green or CE practices leading to sustainability performance improvements (Cousins et al., 2019). </w:t>
      </w:r>
    </w:p>
    <w:p w14:paraId="098A3C59" w14:textId="5AF2D42E" w:rsidR="001418C0" w:rsidRPr="001418C0" w:rsidRDefault="00951237" w:rsidP="00951237">
      <w:r>
        <w:t>SCI is related to better coordination of materials, financial and information flows along the supply chain, and has even an extended scope in the CE because it includes by-products and multiple directional flows (</w:t>
      </w:r>
      <w:proofErr w:type="spellStart"/>
      <w:r>
        <w:t>Bimpizas</w:t>
      </w:r>
      <w:proofErr w:type="spellEnd"/>
      <w:r>
        <w:t xml:space="preserve"> et al., 2022). In this context, downstream and upstream flows are coordinated in such a way primary production is replaced by secondary production (</w:t>
      </w:r>
      <w:proofErr w:type="spellStart"/>
      <w:r>
        <w:t>Bimpizas</w:t>
      </w:r>
      <w:proofErr w:type="spellEnd"/>
      <w:r>
        <w:t xml:space="preserve"> et al., 2022). The ultimate goal of coordination in a CSC could lead to the absence of rebound effects, where CE practices benefits are not offset by increases in overall production (Batista et al., 2023). Recent papers are extending the SCI concept in order to include new actors (such as waste collectors and remanufacturers) and the presence of flows of different direction and type (Bimpizas-Pinis et al., 2022; </w:t>
      </w:r>
      <w:proofErr w:type="spellStart"/>
      <w:r>
        <w:t>Braz</w:t>
      </w:r>
      <w:proofErr w:type="spellEnd"/>
      <w:r>
        <w:t xml:space="preserve"> &amp; de Mello, 2022).</w:t>
      </w:r>
    </w:p>
    <w:p w14:paraId="6BF6D51E" w14:textId="2F561CAF" w:rsidR="000A7F62" w:rsidRDefault="001418C0" w:rsidP="005035B4">
      <w:pPr>
        <w:pStyle w:val="Heading3"/>
      </w:pPr>
      <w:bookmarkStart w:id="182" w:name="_Toc157759557"/>
      <w:r>
        <w:lastRenderedPageBreak/>
        <w:t>H</w:t>
      </w:r>
      <w:r w:rsidR="000A7F62">
        <w:t>ypothes</w:t>
      </w:r>
      <w:r>
        <w:t>i</w:t>
      </w:r>
      <w:r w:rsidR="000A7F62">
        <w:t>s development</w:t>
      </w:r>
      <w:bookmarkEnd w:id="182"/>
      <w:r w:rsidR="000A7F62">
        <w:t xml:space="preserve"> </w:t>
      </w:r>
    </w:p>
    <w:p w14:paraId="46A2D773" w14:textId="61464421" w:rsidR="001418C0" w:rsidRDefault="001418C0" w:rsidP="002F7336">
      <w:pPr>
        <w:pStyle w:val="Heading4Paragraph"/>
      </w:pPr>
      <w:r>
        <w:t>2.2.1 Linking institutional pressures to the adoption of Circular Economy practices</w:t>
      </w:r>
    </w:p>
    <w:p w14:paraId="31F120C5" w14:textId="77777777" w:rsidR="00951237" w:rsidRDefault="00951237" w:rsidP="00951237">
      <w:r>
        <w:t>Coercive pressures to adopt CE practices come from environmental regulations and restrictions imposed on companies and from the associated monitoring and inspection activities (</w:t>
      </w:r>
      <w:proofErr w:type="spellStart"/>
      <w:r>
        <w:t>Kauppi</w:t>
      </w:r>
      <w:proofErr w:type="spellEnd"/>
      <w:r>
        <w:t xml:space="preserve"> &amp; </w:t>
      </w:r>
      <w:proofErr w:type="spellStart"/>
      <w:r>
        <w:t>Luzzini</w:t>
      </w:r>
      <w:proofErr w:type="spellEnd"/>
      <w:r>
        <w:t xml:space="preserve">, 2022). More stringent environmental regulations have been initially identified as a key factor in pushing production systems towards a cleaner pathway, especially in contexts where a more prominent role is played by economic planning (Mathews &amp; Tan, 2011). </w:t>
      </w:r>
    </w:p>
    <w:p w14:paraId="0A82F871" w14:textId="77777777" w:rsidR="00951237" w:rsidRDefault="00951237" w:rsidP="00951237">
      <w:r>
        <w:t xml:space="preserve">In the European Union (EU), CRPs can be associated with regulations imposing fines or bans. EU Directive 2018/852/EC, which tries to address the issue of plastic waste, is a prominent example of this, but also specific national legislations on food waste. French law 138 (2016) for example, bans supermarkets from throwing away or destroying unsold food; this has pushed companies to reduce systematically waste streams leveraging on multiple strategies: donating surplus food (to charitable trusts, food banks, and other types of organisations which provide redistribution services), establishing dynamic pricing in their sale points, reducing packaging waste (Calzolari et al., 2021). </w:t>
      </w:r>
    </w:p>
    <w:p w14:paraId="5D81B67B" w14:textId="77777777" w:rsidR="00951237" w:rsidRDefault="00951237" w:rsidP="00951237">
      <w:r>
        <w:t>The other source of coercive pressures is the market, in the form of powerful external customers or suppliers making requests to adopt certain environmental practices or initiatives or withholding their contracts if such requests are not met (</w:t>
      </w:r>
      <w:proofErr w:type="spellStart"/>
      <w:r>
        <w:t>Kauppi</w:t>
      </w:r>
      <w:proofErr w:type="spellEnd"/>
      <w:r>
        <w:t xml:space="preserve"> &amp; </w:t>
      </w:r>
      <w:proofErr w:type="spellStart"/>
      <w:r>
        <w:t>Luzzini</w:t>
      </w:r>
      <w:proofErr w:type="spellEnd"/>
      <w:r>
        <w:t>, 2022). CMPs are about private actors making use of their integrated structures to enforce their supply chain partners to comply with certain standards, values or practices (</w:t>
      </w:r>
      <w:proofErr w:type="spellStart"/>
      <w:r>
        <w:t>Kelling</w:t>
      </w:r>
      <w:proofErr w:type="spellEnd"/>
      <w:r>
        <w:t xml:space="preserve"> et al., 2021).</w:t>
      </w:r>
    </w:p>
    <w:p w14:paraId="544265B3" w14:textId="77777777" w:rsidR="00951237" w:rsidRDefault="00951237" w:rsidP="00951237">
      <w:r>
        <w:t>Research argues that a combination of more institutional pillars, rather than legislation alone, favours a more systemic adoption of CE initiatives (</w:t>
      </w:r>
      <w:proofErr w:type="spellStart"/>
      <w:r>
        <w:t>Ranta</w:t>
      </w:r>
      <w:proofErr w:type="spellEnd"/>
      <w:r>
        <w:t xml:space="preserve"> et al., 2018; Jain et al., 2020). Normative factors play an important role in driving isomorphic actions and CE adoption. Organisations might showcase CE approaches in their reporting to legitimise their position, giving more importance to standards, certifications, and the industry's best practices rather than to legislation (</w:t>
      </w:r>
      <w:proofErr w:type="spellStart"/>
      <w:r>
        <w:t>Dagiliene</w:t>
      </w:r>
      <w:proofErr w:type="spellEnd"/>
      <w:r>
        <w:t xml:space="preserve"> et al., 2020). </w:t>
      </w:r>
    </w:p>
    <w:p w14:paraId="124455C7" w14:textId="77777777" w:rsidR="00951237" w:rsidRDefault="00951237" w:rsidP="00951237">
      <w:r>
        <w:t>The work of powerful NGOs, non-profit organisations, consulting companies or external auditors on best environmental management practices and initiatives is part of this (</w:t>
      </w:r>
      <w:proofErr w:type="spellStart"/>
      <w:r>
        <w:t>Kauppi</w:t>
      </w:r>
      <w:proofErr w:type="spellEnd"/>
      <w:r>
        <w:t xml:space="preserve"> &amp; </w:t>
      </w:r>
      <w:proofErr w:type="spellStart"/>
      <w:r>
        <w:t>Luzzini</w:t>
      </w:r>
      <w:proofErr w:type="spellEnd"/>
      <w:r>
        <w:t xml:space="preserve">, 2022). Employees might be influenced by the procedures and tools advocated by some of these associations. Academic research on environmental management and sustainable supply chain management (SSCM) is also paramount to learn about environmental management practices and </w:t>
      </w:r>
      <w:r>
        <w:lastRenderedPageBreak/>
        <w:t xml:space="preserve">initiatives to implement. The consequence is that certain environmental management practices and initiatives become a norm within industries. </w:t>
      </w:r>
    </w:p>
    <w:p w14:paraId="629B6D49" w14:textId="77777777" w:rsidR="00951237" w:rsidRDefault="00951237" w:rsidP="00951237">
      <w:r>
        <w:t xml:space="preserve">New standards have been developed to use materials more efficiently, for example recovering end-of-life products, and closing material loops (e.g., aluminium, steel, plastic). The Global Battery, Aluminium Stewardship, and Responsible Steel initiatives are all powerful examples of current attempts, which are defining norms and standards for a transparent and sustainable supply chain, promoting the adoption of CE practices. The work of Ellen MacArthur Foundation and WBCSD, in developing standard tools to measure the progress towards the CE at the organisational level, like Circulytics and Circular Transition Indicator (CTI), represents another relevant example of NPs. </w:t>
      </w:r>
    </w:p>
    <w:p w14:paraId="7FBC79FC" w14:textId="77777777" w:rsidR="00951237" w:rsidRDefault="00951237" w:rsidP="00951237">
      <w:r>
        <w:t>A company could adopt CE practices to follow the example of industry peers. MPs are about monitoring and benchmarking the environmental management practices and tools that appear to benefit and are adopted by competitors and peers (</w:t>
      </w:r>
      <w:proofErr w:type="spellStart"/>
      <w:r>
        <w:t>Kauppi</w:t>
      </w:r>
      <w:proofErr w:type="spellEnd"/>
      <w:r>
        <w:t xml:space="preserve"> &amp; </w:t>
      </w:r>
      <w:proofErr w:type="spellStart"/>
      <w:r>
        <w:t>Luzzini</w:t>
      </w:r>
      <w:proofErr w:type="spellEnd"/>
      <w:r>
        <w:t>, 2022). The most successful and respected companies are driven by concerns about legitimacy and competitiveness (DiMaggio &amp; Powell 1983). Mimetic isomorphism occurs at all levels of the supply chain and across competitors when companies copy from each other the adoption of innovations and new technology.</w:t>
      </w:r>
    </w:p>
    <w:p w14:paraId="7CA0AB09" w14:textId="77777777" w:rsidR="00951237" w:rsidRDefault="00951237" w:rsidP="00951237">
      <w:r>
        <w:t>For example, financial institutions that are starting to divest from the coal sector or other polluting assets, might be facing MPs from more proactive competitors that have already specific long term targets in place. Similarly, automotive companies launching similar Product-as-a-Service models (like Daimler, Volkswagen, Renault) are likely to be driven by the existence of market opportunities and are facing mimetic isomorphism (Calzolari et al., 2021).</w:t>
      </w:r>
    </w:p>
    <w:p w14:paraId="3ACE6717" w14:textId="77777777" w:rsidR="00951237" w:rsidRDefault="00951237" w:rsidP="00951237">
      <w:r>
        <w:t xml:space="preserve">Some studies are starting to test the relationship between IPs and the adoption of CE practices. Although relevant publications have included CE and IPs in the same conceptual framework, they have not explored their direct relationship (Bag &amp; Pretorius, 2022), while others have conceptualised CE as a performance construct devoid of any explicit reference to the implementation of specific industrial practices (Jain et al., 2020). </w:t>
      </w:r>
    </w:p>
    <w:p w14:paraId="1B55A9B6" w14:textId="77777777" w:rsidR="00951237" w:rsidRDefault="00951237" w:rsidP="00951237">
      <w:r>
        <w:t>This paper aims to explore the extent to which the adoption of CE practices by companies is affected by IPs, also clarifying the roles played by different categories of pressures. This leads to the formulation of the first hypothesis:</w:t>
      </w:r>
    </w:p>
    <w:p w14:paraId="5FB08632" w14:textId="405C621D" w:rsidR="00951237" w:rsidRPr="00951237" w:rsidRDefault="00951237" w:rsidP="00951237">
      <w:r>
        <w:lastRenderedPageBreak/>
        <w:t>Hp1 – Coercive market pressures (a), coercive regulatory pressures (b), normative pressures (c), and mimetic pressures (d), have a positive influence on the adoption of CE practices</w:t>
      </w:r>
    </w:p>
    <w:p w14:paraId="78515490" w14:textId="77777777" w:rsidR="001418C0" w:rsidRPr="001418C0" w:rsidRDefault="001418C0" w:rsidP="002F7336">
      <w:pPr>
        <w:pStyle w:val="Heading4Paragraph"/>
      </w:pPr>
      <w:r>
        <w:t>2.2.2 Linking Supply Chain Integration to the adoption of Circular Economy practices</w:t>
      </w:r>
    </w:p>
    <w:p w14:paraId="6F5B5148" w14:textId="77777777" w:rsidR="00951237" w:rsidRDefault="00951237" w:rsidP="00951237">
      <w:r>
        <w:t>Several studies have emphasized the significance of SCI or of some of its dimensions, in facilitating the transition towards CSCs leading to a subsequent improvement in sustainability performance (</w:t>
      </w:r>
      <w:proofErr w:type="spellStart"/>
      <w:r>
        <w:t>Sudusinghe</w:t>
      </w:r>
      <w:proofErr w:type="spellEnd"/>
      <w:r>
        <w:t xml:space="preserve"> &amp; Seuring, 2022). Inter-organisational collaboration and trust are an important source of innovation in reverse logistics (</w:t>
      </w:r>
      <w:proofErr w:type="spellStart"/>
      <w:r>
        <w:t>Cricelli</w:t>
      </w:r>
      <w:proofErr w:type="spellEnd"/>
      <w:r>
        <w:t xml:space="preserve"> et al., 2021). Empirical papers have found SCI being associated with higher adoption of CE practices (Elia et al., 2020; Pinto &amp; </w:t>
      </w:r>
      <w:proofErr w:type="spellStart"/>
      <w:r>
        <w:t>Diemer</w:t>
      </w:r>
      <w:proofErr w:type="spellEnd"/>
      <w:r>
        <w:t xml:space="preserve">, 2020). SCI can mediate the effect of the adoption of Industry 4.0 technologies on the improvement of CE performance (Di Maria &amp; De </w:t>
      </w:r>
      <w:proofErr w:type="spellStart"/>
      <w:r>
        <w:t>Marchi</w:t>
      </w:r>
      <w:proofErr w:type="spellEnd"/>
      <w:r>
        <w:t xml:space="preserve">, 2022). </w:t>
      </w:r>
    </w:p>
    <w:p w14:paraId="1D4A23A8" w14:textId="77777777" w:rsidR="00951237" w:rsidRDefault="00951237" w:rsidP="00951237">
      <w:r>
        <w:t xml:space="preserve">In general CE-related literature has placed a strong emphasis on different aspects of SCI (e.g., information sharing among supply chain partners, product design for circularity, and the use of advanced technologies) as strategies to overcome the main risks and uncertainties of CSCs (De Lima, and Seuring, 2023). Information and technological integration, through the use of digital technologies (e.g., </w:t>
      </w:r>
      <w:proofErr w:type="spellStart"/>
      <w:r>
        <w:t>blockchain</w:t>
      </w:r>
      <w:proofErr w:type="spellEnd"/>
      <w:r>
        <w:t>, smart contracts, and digital platforms) might facilitate the coordination of multi-tier supply chains for addressing major societal challenges (</w:t>
      </w:r>
      <w:proofErr w:type="spellStart"/>
      <w:r>
        <w:t>Rosca</w:t>
      </w:r>
      <w:proofErr w:type="spellEnd"/>
      <w:r>
        <w:t xml:space="preserve"> et al., 2022).</w:t>
      </w:r>
    </w:p>
    <w:p w14:paraId="4046981B" w14:textId="77777777" w:rsidR="00951237" w:rsidRDefault="00951237" w:rsidP="00951237">
      <w:r>
        <w:t>Major obstacles to the transition to a CE can arise when companies have little influence on their extremely fragmented and global supply chains (Berardi and de Brito, 2021), due to the misalignment of incentives and limited visibility beyond the first tier (</w:t>
      </w:r>
      <w:proofErr w:type="spellStart"/>
      <w:r>
        <w:t>Mejías</w:t>
      </w:r>
      <w:proofErr w:type="spellEnd"/>
      <w:r>
        <w:t xml:space="preserve"> et al., 2019) or uncertainties concerning the quality of secondary materials (Masi et al., 2018). Reducing these barriers and improving ties between companies can support the adoption of CE practices, similarly to the case of industrial symbiosis networks (Herczeg et al., 2018) or industrial districts (Bressanelli et al., 2022). </w:t>
      </w:r>
    </w:p>
    <w:p w14:paraId="6F4626DC" w14:textId="77777777" w:rsidR="00951237" w:rsidRDefault="00951237" w:rsidP="00951237">
      <w:r>
        <w:t>Overall, Supplier Integration (SI) and Customer Integration (CI) seem to drive aspects of CE in supply chains. This leads to the formulation of the second hypothesis.</w:t>
      </w:r>
    </w:p>
    <w:p w14:paraId="29CA38CF" w14:textId="097CE24A" w:rsidR="001418C0" w:rsidRDefault="00951237" w:rsidP="00951237">
      <w:r>
        <w:t xml:space="preserve">Hp2 – SCI has a positive influence on the adoption of CE practices; </w:t>
      </w:r>
      <w:proofErr w:type="gramStart"/>
      <w:r>
        <w:t>SI(</w:t>
      </w:r>
      <w:proofErr w:type="gramEnd"/>
      <w:r>
        <w:t>Hp2a); CI (Hp2b)</w:t>
      </w:r>
    </w:p>
    <w:p w14:paraId="4DF21CF6" w14:textId="77777777" w:rsidR="001418C0" w:rsidRDefault="001418C0" w:rsidP="002F7336">
      <w:pPr>
        <w:pStyle w:val="Heading4Paragraph"/>
      </w:pPr>
      <w:r>
        <w:t>2.2.3 The mediating effect of Supply Chain Integration in the relationship between Institutional pressures and the adoption of Circular Economy practices</w:t>
      </w:r>
    </w:p>
    <w:p w14:paraId="1D48F4B0" w14:textId="77777777" w:rsidR="00951237" w:rsidRDefault="00951237" w:rsidP="00951237">
      <w:r>
        <w:lastRenderedPageBreak/>
        <w:t>The literature does not agree on whether SCI is a prerequisite for the adoption of CE practices, or a driver of them. Despite recognising its importance, literature has not explicitly considered what role SCI plays in the relationship between IPs and the adoption of CE practices. Considering it as a specific capability of firms, studies have highlighted SCI as an enabling factor to the adoption of sustainable supplier development practices, which can also interact with institutional pressures (</w:t>
      </w:r>
      <w:proofErr w:type="spellStart"/>
      <w:r>
        <w:t>Sancha</w:t>
      </w:r>
      <w:proofErr w:type="spellEnd"/>
      <w:r>
        <w:t xml:space="preserve"> et al., 2015). The conceptual framework proposed by Calzolari et al. (2021) was centred around the idea that institutional pressures are drivers of the adoption of CE practices, and that higher integration with suppliers and customers amplifies the effect of IPs on supply chains. </w:t>
      </w:r>
    </w:p>
    <w:p w14:paraId="12DFBACA" w14:textId="77777777" w:rsidR="00951237" w:rsidRDefault="00951237" w:rsidP="00951237">
      <w:r>
        <w:t xml:space="preserve">The literature on multi-tier SSCM highlights that SCs constitute a relational space where value systems can be transmitted (Sauer &amp; Seuring, 2018; Wu &amp; </w:t>
      </w:r>
      <w:proofErr w:type="spellStart"/>
      <w:r>
        <w:t>Jia</w:t>
      </w:r>
      <w:proofErr w:type="spellEnd"/>
      <w:r>
        <w:t>, 2018). SCI is increasingly recognized as an important mechanism for overcoming institutional distance and facilitating the coordination of activities across multiple supply chain partners: in the context of MNEs, SCI is considered as a powerful alignment mechanism that can mitigate the effect of sub-national institutional distance (Dong et al., 2016). Also, other research fields (e.g., organisational science) recognise how coordination mechanisms could play a role in influencing institutional pressures (</w:t>
      </w:r>
      <w:proofErr w:type="spellStart"/>
      <w:r>
        <w:t>Kostova</w:t>
      </w:r>
      <w:proofErr w:type="spellEnd"/>
      <w:r>
        <w:t xml:space="preserve"> et al., 2008).  </w:t>
      </w:r>
    </w:p>
    <w:p w14:paraId="2C0D895D" w14:textId="77777777" w:rsidR="00951237" w:rsidRDefault="00951237" w:rsidP="00951237">
      <w:r>
        <w:t>Some authors argued that IPs may influence a company choice about the level of integration with suppliers and customers (</w:t>
      </w:r>
      <w:proofErr w:type="spellStart"/>
      <w:r>
        <w:t>Kauppi</w:t>
      </w:r>
      <w:proofErr w:type="spellEnd"/>
      <w:r>
        <w:t xml:space="preserve">, 2013; Danese et al., 2020); IPs might be then a driver of SCI (Wong et al., 2008; </w:t>
      </w:r>
      <w:proofErr w:type="spellStart"/>
      <w:r>
        <w:t>Turkulainen</w:t>
      </w:r>
      <w:proofErr w:type="spellEnd"/>
      <w:r>
        <w:t xml:space="preserve"> et al., 2017). It could be then hypothesised that, in the process of driving the implementation of CE practices, IPs also contribute to the implementation of higher degrees of SCI, which, in turn, will be also beneficial to the adoption of CE practices themselves. This leads to the formulation of the third hypothesis: </w:t>
      </w:r>
    </w:p>
    <w:p w14:paraId="5C4DF94F" w14:textId="3C83D144" w:rsidR="00951237" w:rsidRPr="009B79E2" w:rsidRDefault="00951237" w:rsidP="00951237">
      <w:r>
        <w:t>Hp3 – SCI mediates the relationship between IPs and the adoption of CE practices</w:t>
      </w:r>
    </w:p>
    <w:p w14:paraId="37C696EA" w14:textId="745C94C4" w:rsidR="00951237" w:rsidRDefault="00951237" w:rsidP="00951237">
      <w:pPr>
        <w:pStyle w:val="Heading3"/>
      </w:pPr>
      <w:bookmarkStart w:id="183" w:name="_Toc157759558"/>
      <w:r>
        <w:t>Paper contribution</w:t>
      </w:r>
      <w:bookmarkEnd w:id="183"/>
    </w:p>
    <w:p w14:paraId="487A84A9" w14:textId="511BEFAD" w:rsidR="00BA28AC" w:rsidRPr="009B79E2" w:rsidRDefault="00951237" w:rsidP="00BA28AC">
      <w:r w:rsidRPr="00951237">
        <w:t xml:space="preserve">Testing these research hypothesis has both theoretical and practical relevance. At a theoretical level, the paper aims at establishing whether IPs are acting at a company level, or rather favouring the implementation of higher degrees of SCI, which then acts as a further driver for the implementation of CE practices (Figure 1). Such understanding is also important from a practical point of view, as it can inform policymakers about ways to maximise the effectiveness of their interventions, and managers about the best way to respond to pressures deriving from their institutional environment. In detail, this study will attempt to provide some insights into the ways that SCI can drive the </w:t>
      </w:r>
      <w:r w:rsidRPr="00951237">
        <w:lastRenderedPageBreak/>
        <w:t>adoption of CE practices, highlighting the need for supply chain visibility and transparency as well as the important role of key suppliers and customers.</w:t>
      </w:r>
    </w:p>
    <w:p w14:paraId="50BFC8CE" w14:textId="206FC1DE" w:rsidR="001418C0" w:rsidRDefault="00F9283B" w:rsidP="00F9283B">
      <w:pPr>
        <w:jc w:val="center"/>
      </w:pPr>
      <w:r w:rsidRPr="00B17222">
        <w:rPr>
          <w:rFonts w:ascii="Arial" w:hAnsi="Arial" w:cs="Arial"/>
          <w:noProof/>
          <w:lang w:eastAsia="zh-CN"/>
        </w:rPr>
        <w:drawing>
          <wp:inline distT="0" distB="0" distL="0" distR="0" wp14:anchorId="7A6D1918" wp14:editId="46689771">
            <wp:extent cx="5335039" cy="28036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46089" cy="2809429"/>
                    </a:xfrm>
                    <a:prstGeom prst="rect">
                      <a:avLst/>
                    </a:prstGeom>
                    <a:noFill/>
                  </pic:spPr>
                </pic:pic>
              </a:graphicData>
            </a:graphic>
          </wp:inline>
        </w:drawing>
      </w:r>
    </w:p>
    <w:p w14:paraId="5D6DC1B1" w14:textId="77777777" w:rsidR="00F9283B" w:rsidRDefault="00F9283B" w:rsidP="00F9283B">
      <w:pPr>
        <w:pStyle w:val="Figurecaption"/>
      </w:pPr>
      <w:r w:rsidRPr="00F9283B">
        <w:t>Figure 1- The analytical model. Institutional pressures have a direct effect on the adoption of Circular Economy practices (Hp1); Supply Chain Integration has a direct effect on the adoption of Circular Economy practices (Hp2); Supply Chain Integration mediates the effect of Institutional Pressures on the adoption of Circular Economy practices (Hp3)</w:t>
      </w:r>
    </w:p>
    <w:p w14:paraId="45A288F0" w14:textId="5FE132FB" w:rsidR="005A4110" w:rsidRDefault="005A4110" w:rsidP="00F9283B">
      <w:pPr>
        <w:pStyle w:val="Heading2"/>
      </w:pPr>
      <w:bookmarkStart w:id="184" w:name="_Toc157759559"/>
      <w:r w:rsidRPr="005A4110">
        <w:t>Methods</w:t>
      </w:r>
      <w:bookmarkEnd w:id="184"/>
    </w:p>
    <w:p w14:paraId="60F0026B" w14:textId="77777777" w:rsidR="00F9283B" w:rsidRDefault="00F9283B" w:rsidP="00F9283B">
      <w:r>
        <w:t xml:space="preserve">Considering the purpose of the analysis, we tested the theoretical framework (Figure 1) by examining publicly available Corporate Sustainability (CS) Reports for a representative sample of 150 MNEs for the year 2021. A “directed content analysis” approach was employed, where raw messages (the content of reports) are coded according to a classification scheme that is deductively predefined (Seuring &amp; Gold, 2012). The coding scheme in this case includes both the variables and the hypothesised relationship between them, which is theoretically grounded. </w:t>
      </w:r>
    </w:p>
    <w:p w14:paraId="7299BAFA" w14:textId="77777777" w:rsidR="00F9283B" w:rsidRDefault="00F9283B" w:rsidP="00F9283B">
      <w:r>
        <w:t>Using CS reports as a data source is becoming common in SCM research (</w:t>
      </w:r>
      <w:proofErr w:type="spellStart"/>
      <w:r>
        <w:t>Mejías</w:t>
      </w:r>
      <w:proofErr w:type="spellEnd"/>
      <w:r>
        <w:t xml:space="preserve"> et al., 2019; </w:t>
      </w:r>
      <w:proofErr w:type="spellStart"/>
      <w:r>
        <w:t>Piecyk</w:t>
      </w:r>
      <w:proofErr w:type="spellEnd"/>
      <w:r>
        <w:t xml:space="preserve"> &amp; </w:t>
      </w:r>
      <w:proofErr w:type="spellStart"/>
      <w:r>
        <w:t>Björklund</w:t>
      </w:r>
      <w:proofErr w:type="spellEnd"/>
      <w:r>
        <w:t xml:space="preserve">, 2014; </w:t>
      </w:r>
      <w:proofErr w:type="spellStart"/>
      <w:r>
        <w:t>Sancha</w:t>
      </w:r>
      <w:proofErr w:type="spellEnd"/>
      <w:r>
        <w:t xml:space="preserve"> et al., 2022), with different techniques being used, e.g., automated text extraction processes like text mining, or the creation of purpose built quantitative databanks (</w:t>
      </w:r>
      <w:proofErr w:type="spellStart"/>
      <w:r>
        <w:t>Sancha</w:t>
      </w:r>
      <w:proofErr w:type="spellEnd"/>
      <w:r>
        <w:t xml:space="preserve"> et al., 2022).</w:t>
      </w:r>
    </w:p>
    <w:p w14:paraId="0EA70F8B" w14:textId="77777777" w:rsidR="00F9283B" w:rsidRDefault="00F9283B" w:rsidP="00F9283B">
      <w:r>
        <w:t xml:space="preserve">The reasons behind this choice are multiple: CS reports are validated sources of information, scrutinised by multiple stakeholders; companies with a sustainability orientation aim to signal the practices they have adopted. Governments are increasingly relying on public disclosure to achieve </w:t>
      </w:r>
      <w:r>
        <w:lastRenderedPageBreak/>
        <w:t>macro-level objectives, as demonstrated by recent regulation on sustainability reporting in the EU. Also, the use of CS reports can help overcoming the limitations of survey research, when it comes to individual responses and self-assessments on both sustainability practices and supply chain concepts (</w:t>
      </w:r>
      <w:proofErr w:type="spellStart"/>
      <w:r>
        <w:t>Ketokivi</w:t>
      </w:r>
      <w:proofErr w:type="spellEnd"/>
      <w:r>
        <w:t xml:space="preserve">, 2019). </w:t>
      </w:r>
    </w:p>
    <w:p w14:paraId="3A0C11C0" w14:textId="77777777" w:rsidR="00F9283B" w:rsidRDefault="00F9283B" w:rsidP="00F9283B">
      <w:r>
        <w:t xml:space="preserve">Disadvantages of using these sources are linked to potential discrepancies between information reported and real action (e.g., greenwashing), as the writing of these reports is often contracted to consulting companies, and with the low specificity of available information, especially on SCM aspects. At the least, the use of these data source can give some complementary and unique insights to survey based research in analysing companies’ transition towards more sustainable pathways (Tate et al., 2010). </w:t>
      </w:r>
    </w:p>
    <w:p w14:paraId="7C11CCCF" w14:textId="77777777" w:rsidR="00F9283B" w:rsidRDefault="00F9283B" w:rsidP="00F9283B">
      <w:r>
        <w:t>This study uses a whole CS report as a unit of analysis, to analyse, through a coding procedure, how concepts derived in the literature review are disclosed. The concepts are measured through very well established measurement scales in the literature. The final measurement is applied to a cross-sectional sample of 150 MNEs. The measurement process does not focus on keywords searches, but on reading the whole report for each one of the MNEs, identifying relevant content extracts and evaluating them in order to measure the identified concepts. The process was not automated in order to achieve a higher degree of precision. In this way, the research team could manually identify all the parts of the reports that were relevant for the analysis. This choice also required some actions to improve the reliability of different phases of data collection.</w:t>
      </w:r>
    </w:p>
    <w:p w14:paraId="1CAF0501" w14:textId="51EB2E23" w:rsidR="00F9283B" w:rsidRDefault="00F9283B" w:rsidP="00F9283B">
      <w:r>
        <w:t>Steps highlighted in Figure 2 were followed to codify content, following approaches employed in similar analyses (</w:t>
      </w:r>
      <w:proofErr w:type="spellStart"/>
      <w:r>
        <w:t>Piecyk</w:t>
      </w:r>
      <w:proofErr w:type="spellEnd"/>
      <w:r>
        <w:t xml:space="preserve"> &amp; </w:t>
      </w:r>
      <w:proofErr w:type="spellStart"/>
      <w:r>
        <w:t>Björklund</w:t>
      </w:r>
      <w:proofErr w:type="spellEnd"/>
      <w:r>
        <w:t>, 2014). The following subsections explain, in detail, the processes adopted in each step.</w:t>
      </w:r>
    </w:p>
    <w:p w14:paraId="727E4E05" w14:textId="559A54AB" w:rsidR="009B79E2" w:rsidRDefault="009B79E2" w:rsidP="002F7336">
      <w:r>
        <w:rPr>
          <w:noProof/>
          <w:lang w:eastAsia="zh-CN"/>
        </w:rPr>
        <w:lastRenderedPageBreak/>
        <w:drawing>
          <wp:inline distT="0" distB="0" distL="0" distR="0" wp14:anchorId="6447E844" wp14:editId="0CD827E4">
            <wp:extent cx="5657850" cy="2993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57850" cy="2993390"/>
                    </a:xfrm>
                    <a:prstGeom prst="rect">
                      <a:avLst/>
                    </a:prstGeom>
                    <a:noFill/>
                  </pic:spPr>
                </pic:pic>
              </a:graphicData>
            </a:graphic>
          </wp:inline>
        </w:drawing>
      </w:r>
    </w:p>
    <w:p w14:paraId="718185E2" w14:textId="67A6C322" w:rsidR="009B79E2" w:rsidRPr="009B79E2" w:rsidRDefault="009B79E2" w:rsidP="002F7336">
      <w:pPr>
        <w:pStyle w:val="Figurecaption"/>
      </w:pPr>
      <w:r w:rsidRPr="009B79E2">
        <w:t>Figure 2 – Characterisation of the four steps of the Method (2a); Detail of the data produced after each step of the analysis (2b).</w:t>
      </w:r>
    </w:p>
    <w:p w14:paraId="59383C88" w14:textId="29BFCD00" w:rsidR="00767ED3" w:rsidRDefault="00767ED3" w:rsidP="005035B4">
      <w:pPr>
        <w:pStyle w:val="Heading3"/>
      </w:pPr>
      <w:bookmarkStart w:id="185" w:name="_Toc157759560"/>
      <w:r w:rsidRPr="009B79E2">
        <w:t>Sampling</w:t>
      </w:r>
      <w:bookmarkEnd w:id="185"/>
      <w:r w:rsidRPr="00D152CE">
        <w:t xml:space="preserve"> </w:t>
      </w:r>
    </w:p>
    <w:p w14:paraId="5B6AC2CB" w14:textId="1F2B0186" w:rsidR="009B79E2" w:rsidRPr="00D152CE" w:rsidRDefault="00F9283B" w:rsidP="002F7336">
      <w:r w:rsidRPr="00F9283B">
        <w:t xml:space="preserve">A database of MNEs was created based on the Global Fortune 500 list (year 2021); 150 MNEs were chosen by selecting the largest ones headquartered in Asia or Europe. The decision to restrict the study to these two macro-areas is related to the fact that the CE agenda has become central to policymaking in many national states and supranational entities within these </w:t>
      </w:r>
      <w:proofErr w:type="gramStart"/>
      <w:r w:rsidRPr="00F9283B">
        <w:t>areas .</w:t>
      </w:r>
      <w:proofErr w:type="gramEnd"/>
      <w:r w:rsidRPr="00F9283B">
        <w:t xml:space="preserve"> The only inclusion criteria were related to the presence of a public CS report, or, at least, of an annual report that included sustainability information. For each of the selected companies we checked the presence of a CS report in their company website and on the repository corporateregister.com. Only reports published in English were considered, and if the report was in another language (two cases) the company was not considered. The sample includes MNEs from different industries, which facilitates the generalisability of the results. The entire CS report was used as the unit of analysis in this research. Additional information was collected for each MNE (type of </w:t>
      </w:r>
      <w:proofErr w:type="gramStart"/>
      <w:r w:rsidRPr="00F9283B">
        <w:t>ownership ,</w:t>
      </w:r>
      <w:proofErr w:type="gramEnd"/>
      <w:r w:rsidRPr="00F9283B">
        <w:t xml:space="preserve"> headquarter location, industrial sector, type of sustainability report); annual reports and websites were used in order to gather this information. The full sample is available in Appendix A.</w:t>
      </w:r>
    </w:p>
    <w:p w14:paraId="47392116" w14:textId="44967048" w:rsidR="00FD54BB" w:rsidRDefault="00FD54BB" w:rsidP="005035B4">
      <w:pPr>
        <w:pStyle w:val="Heading3"/>
      </w:pPr>
      <w:bookmarkStart w:id="186" w:name="_Toc157759561"/>
      <w:r w:rsidRPr="009B79E2">
        <w:t>Categorisation</w:t>
      </w:r>
      <w:bookmarkEnd w:id="186"/>
      <w:r w:rsidR="00F34FDB" w:rsidRPr="00D152CE">
        <w:t xml:space="preserve"> </w:t>
      </w:r>
    </w:p>
    <w:p w14:paraId="263B35B3" w14:textId="77777777" w:rsidR="00F9283B" w:rsidRDefault="00F9283B" w:rsidP="00F9283B">
      <w:r>
        <w:t xml:space="preserve">In this phase, the concepts identified in the literature review were used as pre-defined categories to identify textual content in each report for the purpose of our analysis. The extracted content was scrutinised to identify smaller units of code to measure the different aspects of the constructs, </w:t>
      </w:r>
      <w:r>
        <w:lastRenderedPageBreak/>
        <w:t>following the measurement scales chosen. We started by choosing the most appropriate measurement scales in the literature for the three concepts, also considering the limitations highlighted in different papers, especially when measuring institutional pressures (</w:t>
      </w:r>
      <w:proofErr w:type="spellStart"/>
      <w:r>
        <w:t>Kauppi</w:t>
      </w:r>
      <w:proofErr w:type="spellEnd"/>
      <w:r>
        <w:t xml:space="preserve"> &amp; </w:t>
      </w:r>
      <w:proofErr w:type="spellStart"/>
      <w:r>
        <w:t>Luzzini</w:t>
      </w:r>
      <w:proofErr w:type="spellEnd"/>
      <w:r>
        <w:t xml:space="preserve">, 2022) and SCI (Wiengarten &amp; Longoni, 2015). </w:t>
      </w:r>
    </w:p>
    <w:p w14:paraId="4887D3F1" w14:textId="77777777" w:rsidR="00F9283B" w:rsidRDefault="00F9283B" w:rsidP="00F9283B">
      <w:r w:rsidRPr="00F9283B">
        <w:rPr>
          <w:i/>
          <w:iCs/>
        </w:rPr>
        <w:t>Institutional pressures</w:t>
      </w:r>
      <w:r>
        <w:t xml:space="preserve"> – Literature demonstrates that CS reports are the representation themselves of institutional pressures (Tate et al., 2010), as they represent the direct answer to specific institutional pressures that push organisations towards some sustainability direction. As such, it is considered applicable to use CS reports content to measure institutional pressures. To measure institutional pressures, we used the scales from </w:t>
      </w:r>
      <w:proofErr w:type="spellStart"/>
      <w:r>
        <w:t>Kauppi</w:t>
      </w:r>
      <w:proofErr w:type="spellEnd"/>
      <w:r>
        <w:t xml:space="preserve"> and </w:t>
      </w:r>
      <w:proofErr w:type="spellStart"/>
      <w:r>
        <w:t>Luzzini</w:t>
      </w:r>
      <w:proofErr w:type="spellEnd"/>
      <w:r>
        <w:t xml:space="preserve">, 2022 (Table 1), which provide empirical measures that distinguish the different elements within each pressure and new guidelines on how to measure in a standard and rigorous way institutional pressures in a SCM context. As clarified by authors, such scales “can be adapted to the specific type of supply chain practice”. In practice, measurement items questions were just adapted to the type of measurement and data sources. Basically, each “survey question” was re-phrased to measure the existence/absence in their CS reports of comments about that item. As an example, the first item for Coercive Market Pressure from </w:t>
      </w:r>
      <w:proofErr w:type="spellStart"/>
      <w:r>
        <w:t>Kauppi</w:t>
      </w:r>
      <w:proofErr w:type="spellEnd"/>
      <w:r>
        <w:t xml:space="preserve"> and </w:t>
      </w:r>
      <w:proofErr w:type="spellStart"/>
      <w:r>
        <w:t>Luzzini</w:t>
      </w:r>
      <w:proofErr w:type="spellEnd"/>
      <w:r>
        <w:t xml:space="preserve"> (2022), “Our major external customers frequently make requests for us to adopt certain practices or initiatives in our purchasing procedures”, was adapted as follows, “Comments about requests from customers to adopt certain environmental management practices (or initiatives)”.</w:t>
      </w:r>
    </w:p>
    <w:p w14:paraId="02F8A4C2" w14:textId="07F98081" w:rsidR="00F9283B" w:rsidRDefault="00F9283B" w:rsidP="00EB311E">
      <w:r w:rsidRPr="00F9283B">
        <w:rPr>
          <w:i/>
          <w:iCs/>
        </w:rPr>
        <w:t>Supply Chain Integration</w:t>
      </w:r>
      <w:r>
        <w:t xml:space="preserve"> – MNEs provide in their CS reports information about their supply chain relationships with suppliers and customers. The applicability of this data source comes from the fact that MNEs are expected to be signalling to their stakeholders’ positive supply chain practices. Following previous literature, we measure SCI through </w:t>
      </w:r>
      <w:proofErr w:type="spellStart"/>
      <w:r>
        <w:t>Frohlich</w:t>
      </w:r>
      <w:proofErr w:type="spellEnd"/>
      <w:r>
        <w:t xml:space="preserve"> &amp; Westbrook (2001) seminal conceptualisation. These scales were widely used to measure SCI in manufacturing contexts, especially looking at the plant level. In this case the unit of analysis is different, because we looked at the MNE level, measuring how external SCI four different aspects are disclosed in the context of CS reporting. We disaggregated the SCI construct into upstream SI and downstream CI in line with studies that keep the two directions of integration separate (</w:t>
      </w:r>
      <w:proofErr w:type="spellStart"/>
      <w:r>
        <w:t>Blome</w:t>
      </w:r>
      <w:proofErr w:type="spellEnd"/>
      <w:r>
        <w:t xml:space="preserve"> et al., 2014; </w:t>
      </w:r>
      <w:proofErr w:type="spellStart"/>
      <w:r>
        <w:t>Frohlich</w:t>
      </w:r>
      <w:proofErr w:type="spellEnd"/>
      <w:r>
        <w:t xml:space="preserve"> &amp; Westbrook, 2001). Also, in this case the measurement scales were re-phrased and adapted to the context of this analysis in an analogy to what we did with </w:t>
      </w:r>
      <w:proofErr w:type="spellStart"/>
      <w:r>
        <w:t>Kauppi</w:t>
      </w:r>
      <w:proofErr w:type="spellEnd"/>
      <w:r>
        <w:t xml:space="preserve"> &amp; </w:t>
      </w:r>
      <w:proofErr w:type="spellStart"/>
      <w:r>
        <w:t>Luzzini</w:t>
      </w:r>
      <w:proofErr w:type="spellEnd"/>
      <w:r>
        <w:t xml:space="preserve"> (2022) scales (Table 1).</w:t>
      </w:r>
    </w:p>
    <w:p w14:paraId="00496851" w14:textId="77777777" w:rsidR="00EB311E" w:rsidRDefault="00EB311E" w:rsidP="00EB311E">
      <w:r>
        <w:lastRenderedPageBreak/>
        <w:t>Adoption of CE practices – Companies provide in their reports descriptive information about their CE actions. The scales to measure the adoption of CE practices were based on previous literature (Calzolari et al., 2021). CE practices are conceptualised according to a 5-Rs framework, which based on the 4-Rs Waste Hierarchy Framework (e.g. reduce, reuse, recycle, recover) from the European Commission. The fifth type of practice (renewable energy &amp; resource efficiency) includes incremental improvements of the efficiency in production systems, and the adoption of renewables sources of energy. The rationale behind this distinction refers to the fact that these are quite commonly mentioned in CS reports. In this way these incremental approaches are distinguished from other types of CE practices.</w:t>
      </w:r>
    </w:p>
    <w:p w14:paraId="70E7CD68" w14:textId="77777777" w:rsidR="009B79E2" w:rsidRPr="009B79E2" w:rsidRDefault="009B79E2" w:rsidP="002F7336">
      <w:pPr>
        <w:pStyle w:val="Figurecaption"/>
      </w:pPr>
      <w:r w:rsidRPr="009B79E2">
        <w:t>Table 1 – Adapting measurement items to the scope of the analysis</w:t>
      </w:r>
    </w:p>
    <w:tbl>
      <w:tblPr>
        <w:tblStyle w:val="TableGrid2"/>
        <w:tblW w:w="0" w:type="auto"/>
        <w:tblLook w:val="04A0" w:firstRow="1" w:lastRow="0" w:firstColumn="1" w:lastColumn="0" w:noHBand="0" w:noVBand="1"/>
      </w:tblPr>
      <w:tblGrid>
        <w:gridCol w:w="1559"/>
        <w:gridCol w:w="5865"/>
        <w:gridCol w:w="1638"/>
      </w:tblGrid>
      <w:tr w:rsidR="009B79E2" w:rsidRPr="009B79E2" w14:paraId="0B90B987" w14:textId="77777777" w:rsidTr="00116B90">
        <w:tc>
          <w:tcPr>
            <w:tcW w:w="0" w:type="auto"/>
          </w:tcPr>
          <w:p w14:paraId="2AFF1812" w14:textId="77777777" w:rsidR="009B79E2" w:rsidRPr="009B79E2" w:rsidRDefault="009B79E2" w:rsidP="007C4B17">
            <w:pPr>
              <w:pStyle w:val="Tabletext"/>
            </w:pPr>
            <w:r w:rsidRPr="009B79E2">
              <w:t>Construct</w:t>
            </w:r>
          </w:p>
        </w:tc>
        <w:tc>
          <w:tcPr>
            <w:tcW w:w="0" w:type="auto"/>
          </w:tcPr>
          <w:p w14:paraId="174B2ECD" w14:textId="77777777" w:rsidR="009B79E2" w:rsidRPr="009B79E2" w:rsidRDefault="009B79E2" w:rsidP="007C4B17">
            <w:pPr>
              <w:pStyle w:val="Tabletext"/>
            </w:pPr>
            <w:r w:rsidRPr="009B79E2">
              <w:t>Measurement item</w:t>
            </w:r>
          </w:p>
        </w:tc>
        <w:tc>
          <w:tcPr>
            <w:tcW w:w="0" w:type="auto"/>
          </w:tcPr>
          <w:p w14:paraId="3A4F3428" w14:textId="77777777" w:rsidR="009B79E2" w:rsidRPr="009B79E2" w:rsidRDefault="009B79E2" w:rsidP="007C4B17">
            <w:pPr>
              <w:pStyle w:val="Tabletext"/>
            </w:pPr>
            <w:r w:rsidRPr="009B79E2">
              <w:t>Literature</w:t>
            </w:r>
          </w:p>
        </w:tc>
      </w:tr>
      <w:tr w:rsidR="009B79E2" w:rsidRPr="009B79E2" w14:paraId="74C8593B" w14:textId="77777777" w:rsidTr="00116B90">
        <w:tc>
          <w:tcPr>
            <w:tcW w:w="0" w:type="auto"/>
            <w:vMerge w:val="restart"/>
          </w:tcPr>
          <w:p w14:paraId="4A2A1F19" w14:textId="77777777" w:rsidR="009B79E2" w:rsidRPr="009B79E2" w:rsidRDefault="009B79E2" w:rsidP="007C4B17">
            <w:pPr>
              <w:pStyle w:val="Tabletext"/>
            </w:pPr>
            <w:r w:rsidRPr="009B79E2">
              <w:t>Coercive Market Pressure</w:t>
            </w:r>
          </w:p>
        </w:tc>
        <w:tc>
          <w:tcPr>
            <w:tcW w:w="0" w:type="auto"/>
            <w:vAlign w:val="bottom"/>
          </w:tcPr>
          <w:p w14:paraId="4CF7DE9E" w14:textId="77777777" w:rsidR="009B79E2" w:rsidRPr="009B79E2" w:rsidRDefault="009B79E2" w:rsidP="007C4B17">
            <w:pPr>
              <w:pStyle w:val="Tabletext"/>
            </w:pPr>
            <w:r w:rsidRPr="009B79E2">
              <w:t>CMP1. Comments about requests from customers to adopt certain environmental practices (or initiatives)</w:t>
            </w:r>
          </w:p>
        </w:tc>
        <w:tc>
          <w:tcPr>
            <w:tcW w:w="0" w:type="auto"/>
            <w:vMerge w:val="restart"/>
          </w:tcPr>
          <w:p w14:paraId="5C2439C0" w14:textId="77777777" w:rsidR="009B79E2" w:rsidRPr="009B79E2" w:rsidRDefault="009B79E2" w:rsidP="007C4B17">
            <w:pPr>
              <w:pStyle w:val="Tabletext"/>
            </w:pPr>
            <w:proofErr w:type="spellStart"/>
            <w:r w:rsidRPr="009B79E2">
              <w:t>Kauppi</w:t>
            </w:r>
            <w:proofErr w:type="spellEnd"/>
            <w:r w:rsidRPr="009B79E2">
              <w:t xml:space="preserve"> and </w:t>
            </w:r>
            <w:proofErr w:type="spellStart"/>
            <w:r w:rsidRPr="009B79E2">
              <w:t>Luzzini</w:t>
            </w:r>
            <w:proofErr w:type="spellEnd"/>
            <w:r w:rsidRPr="009B79E2">
              <w:t>, 2022</w:t>
            </w:r>
          </w:p>
        </w:tc>
      </w:tr>
      <w:tr w:rsidR="009B79E2" w:rsidRPr="009B79E2" w14:paraId="333E47DB" w14:textId="77777777" w:rsidTr="00116B90">
        <w:trPr>
          <w:trHeight w:val="786"/>
        </w:trPr>
        <w:tc>
          <w:tcPr>
            <w:tcW w:w="0" w:type="auto"/>
            <w:vMerge/>
          </w:tcPr>
          <w:p w14:paraId="45142E82" w14:textId="77777777" w:rsidR="009B79E2" w:rsidRPr="009B79E2" w:rsidRDefault="009B79E2" w:rsidP="007C4B17">
            <w:pPr>
              <w:pStyle w:val="Tabletext"/>
            </w:pPr>
          </w:p>
        </w:tc>
        <w:tc>
          <w:tcPr>
            <w:tcW w:w="0" w:type="auto"/>
            <w:vAlign w:val="bottom"/>
          </w:tcPr>
          <w:p w14:paraId="324917A8" w14:textId="77777777" w:rsidR="009B79E2" w:rsidRPr="009B79E2" w:rsidRDefault="009B79E2" w:rsidP="007C4B17">
            <w:pPr>
              <w:pStyle w:val="Tabletext"/>
            </w:pPr>
            <w:r w:rsidRPr="009B79E2">
              <w:t>CMP2. Comments about major customers withholding their contracts if the firm does not meet their requests CMP3. to adopt certain environmental practices</w:t>
            </w:r>
          </w:p>
        </w:tc>
        <w:tc>
          <w:tcPr>
            <w:tcW w:w="0" w:type="auto"/>
            <w:vMerge/>
          </w:tcPr>
          <w:p w14:paraId="391D471F" w14:textId="77777777" w:rsidR="009B79E2" w:rsidRPr="009B79E2" w:rsidRDefault="009B79E2" w:rsidP="007C4B17">
            <w:pPr>
              <w:pStyle w:val="Tabletext"/>
            </w:pPr>
          </w:p>
        </w:tc>
      </w:tr>
      <w:tr w:rsidR="009B79E2" w:rsidRPr="009B79E2" w14:paraId="7F68E6CC" w14:textId="77777777" w:rsidTr="00116B90">
        <w:trPr>
          <w:trHeight w:val="458"/>
        </w:trPr>
        <w:tc>
          <w:tcPr>
            <w:tcW w:w="0" w:type="auto"/>
            <w:vMerge/>
          </w:tcPr>
          <w:p w14:paraId="77575CFE" w14:textId="77777777" w:rsidR="009B79E2" w:rsidRPr="009B79E2" w:rsidRDefault="009B79E2" w:rsidP="007C4B17">
            <w:pPr>
              <w:pStyle w:val="Tabletext"/>
            </w:pPr>
          </w:p>
        </w:tc>
        <w:tc>
          <w:tcPr>
            <w:tcW w:w="0" w:type="auto"/>
            <w:vAlign w:val="bottom"/>
          </w:tcPr>
          <w:p w14:paraId="6D978491" w14:textId="77777777" w:rsidR="009B79E2" w:rsidRPr="009B79E2" w:rsidRDefault="009B79E2" w:rsidP="007C4B17">
            <w:pPr>
              <w:pStyle w:val="Tabletext"/>
            </w:pPr>
            <w:r w:rsidRPr="009B79E2">
              <w:t>CMP3. Comments about major suppliers withholding their contracts if the firm does not meet their requests to adopt certain environmental practices</w:t>
            </w:r>
          </w:p>
        </w:tc>
        <w:tc>
          <w:tcPr>
            <w:tcW w:w="0" w:type="auto"/>
            <w:vMerge/>
          </w:tcPr>
          <w:p w14:paraId="68C59819" w14:textId="77777777" w:rsidR="009B79E2" w:rsidRPr="009B79E2" w:rsidRDefault="009B79E2" w:rsidP="007C4B17">
            <w:pPr>
              <w:pStyle w:val="Tabletext"/>
            </w:pPr>
          </w:p>
        </w:tc>
      </w:tr>
      <w:tr w:rsidR="009B79E2" w:rsidRPr="009B79E2" w14:paraId="707B2EC4" w14:textId="77777777" w:rsidTr="00116B90">
        <w:tc>
          <w:tcPr>
            <w:tcW w:w="0" w:type="auto"/>
            <w:vMerge w:val="restart"/>
          </w:tcPr>
          <w:p w14:paraId="766B19A4" w14:textId="77777777" w:rsidR="009B79E2" w:rsidRPr="009B79E2" w:rsidRDefault="009B79E2" w:rsidP="007C4B17">
            <w:pPr>
              <w:pStyle w:val="Tabletext"/>
            </w:pPr>
            <w:r w:rsidRPr="009B79E2">
              <w:t>Coercive Regulatory Pressure</w:t>
            </w:r>
          </w:p>
        </w:tc>
        <w:tc>
          <w:tcPr>
            <w:tcW w:w="0" w:type="auto"/>
            <w:vAlign w:val="bottom"/>
          </w:tcPr>
          <w:p w14:paraId="05C39A66" w14:textId="77777777" w:rsidR="009B79E2" w:rsidRPr="009B79E2" w:rsidRDefault="009B79E2" w:rsidP="007C4B17">
            <w:pPr>
              <w:pStyle w:val="Tabletext"/>
            </w:pPr>
            <w:r w:rsidRPr="009B79E2">
              <w:t>CRP1. Comments about the presence of a large number of environmental regulations and restrictions imposed on my company’s industry that also impact our procedures/ decision making?</w:t>
            </w:r>
          </w:p>
        </w:tc>
        <w:tc>
          <w:tcPr>
            <w:tcW w:w="0" w:type="auto"/>
            <w:vMerge/>
          </w:tcPr>
          <w:p w14:paraId="3C06EB3C" w14:textId="77777777" w:rsidR="009B79E2" w:rsidRPr="009B79E2" w:rsidRDefault="009B79E2" w:rsidP="007C4B17">
            <w:pPr>
              <w:pStyle w:val="Tabletext"/>
            </w:pPr>
          </w:p>
        </w:tc>
      </w:tr>
      <w:tr w:rsidR="009B79E2" w:rsidRPr="009B79E2" w14:paraId="2C1592EB" w14:textId="77777777" w:rsidTr="00116B90">
        <w:tc>
          <w:tcPr>
            <w:tcW w:w="0" w:type="auto"/>
            <w:vMerge/>
          </w:tcPr>
          <w:p w14:paraId="40BE0A77" w14:textId="77777777" w:rsidR="009B79E2" w:rsidRPr="009B79E2" w:rsidRDefault="009B79E2" w:rsidP="007C4B17">
            <w:pPr>
              <w:pStyle w:val="Tabletext"/>
            </w:pPr>
          </w:p>
        </w:tc>
        <w:tc>
          <w:tcPr>
            <w:tcW w:w="0" w:type="auto"/>
            <w:vAlign w:val="bottom"/>
          </w:tcPr>
          <w:p w14:paraId="55A45B69" w14:textId="77777777" w:rsidR="009B79E2" w:rsidRPr="009B79E2" w:rsidRDefault="009B79E2" w:rsidP="007C4B17">
            <w:pPr>
              <w:pStyle w:val="Tabletext"/>
            </w:pPr>
            <w:r w:rsidRPr="009B79E2">
              <w:t>CRP2. Comments about government environmental regulation impacting our decision making</w:t>
            </w:r>
          </w:p>
        </w:tc>
        <w:tc>
          <w:tcPr>
            <w:tcW w:w="0" w:type="auto"/>
            <w:vMerge/>
          </w:tcPr>
          <w:p w14:paraId="1D539F5E" w14:textId="77777777" w:rsidR="009B79E2" w:rsidRPr="009B79E2" w:rsidRDefault="009B79E2" w:rsidP="007C4B17">
            <w:pPr>
              <w:pStyle w:val="Tabletext"/>
            </w:pPr>
          </w:p>
        </w:tc>
      </w:tr>
      <w:tr w:rsidR="009B79E2" w:rsidRPr="009B79E2" w14:paraId="5A472851" w14:textId="77777777" w:rsidTr="00116B90">
        <w:tc>
          <w:tcPr>
            <w:tcW w:w="0" w:type="auto"/>
            <w:vMerge/>
          </w:tcPr>
          <w:p w14:paraId="52B21CEF" w14:textId="77777777" w:rsidR="009B79E2" w:rsidRPr="009B79E2" w:rsidRDefault="009B79E2" w:rsidP="007C4B17">
            <w:pPr>
              <w:pStyle w:val="Tabletext"/>
            </w:pPr>
          </w:p>
        </w:tc>
        <w:tc>
          <w:tcPr>
            <w:tcW w:w="0" w:type="auto"/>
            <w:vAlign w:val="bottom"/>
          </w:tcPr>
          <w:p w14:paraId="160CD551" w14:textId="77777777" w:rsidR="009B79E2" w:rsidRPr="009B79E2" w:rsidRDefault="009B79E2" w:rsidP="007C4B17">
            <w:pPr>
              <w:pStyle w:val="Tabletext"/>
            </w:pPr>
            <w:r w:rsidRPr="009B79E2">
              <w:t>CRP3. Comments about (frequent) government inspections or audits on our company’s environmental practices to ensure we comply with laws and regulations</w:t>
            </w:r>
          </w:p>
        </w:tc>
        <w:tc>
          <w:tcPr>
            <w:tcW w:w="0" w:type="auto"/>
            <w:vMerge/>
          </w:tcPr>
          <w:p w14:paraId="05604BC3" w14:textId="77777777" w:rsidR="009B79E2" w:rsidRPr="009B79E2" w:rsidRDefault="009B79E2" w:rsidP="007C4B17">
            <w:pPr>
              <w:pStyle w:val="Tabletext"/>
            </w:pPr>
          </w:p>
        </w:tc>
      </w:tr>
      <w:tr w:rsidR="009B79E2" w:rsidRPr="009B79E2" w14:paraId="185D7C04" w14:textId="77777777" w:rsidTr="00116B90">
        <w:tc>
          <w:tcPr>
            <w:tcW w:w="0" w:type="auto"/>
            <w:vMerge w:val="restart"/>
          </w:tcPr>
          <w:p w14:paraId="76E29945" w14:textId="77777777" w:rsidR="009B79E2" w:rsidRPr="009B79E2" w:rsidRDefault="009B79E2" w:rsidP="007C4B17">
            <w:pPr>
              <w:pStyle w:val="Tabletext"/>
            </w:pPr>
            <w:r w:rsidRPr="009B79E2">
              <w:t>Normative Pressure</w:t>
            </w:r>
          </w:p>
        </w:tc>
        <w:tc>
          <w:tcPr>
            <w:tcW w:w="0" w:type="auto"/>
          </w:tcPr>
          <w:p w14:paraId="6E1ED0D8" w14:textId="4F971620" w:rsidR="009B79E2" w:rsidRPr="009B79E2" w:rsidRDefault="009B79E2" w:rsidP="002F5FD8">
            <w:pPr>
              <w:pStyle w:val="Tabletext"/>
            </w:pPr>
            <w:r w:rsidRPr="009B79E2">
              <w:t xml:space="preserve">NP1. </w:t>
            </w:r>
            <w:r w:rsidR="002F5FD8" w:rsidRPr="009B79E2">
              <w:t xml:space="preserve">Comments about following academic research on environmental practices (management?) to learn about environmental procedures to implement </w:t>
            </w:r>
          </w:p>
        </w:tc>
        <w:tc>
          <w:tcPr>
            <w:tcW w:w="0" w:type="auto"/>
            <w:vMerge/>
          </w:tcPr>
          <w:p w14:paraId="2F3ED426" w14:textId="77777777" w:rsidR="009B79E2" w:rsidRPr="009B79E2" w:rsidRDefault="009B79E2" w:rsidP="007C4B17">
            <w:pPr>
              <w:pStyle w:val="Tabletext"/>
            </w:pPr>
          </w:p>
        </w:tc>
      </w:tr>
      <w:tr w:rsidR="009B79E2" w:rsidRPr="009B79E2" w14:paraId="20058CBB" w14:textId="77777777" w:rsidTr="00116B90">
        <w:tc>
          <w:tcPr>
            <w:tcW w:w="0" w:type="auto"/>
            <w:vMerge/>
          </w:tcPr>
          <w:p w14:paraId="556B607F" w14:textId="77777777" w:rsidR="009B79E2" w:rsidRPr="009B79E2" w:rsidRDefault="009B79E2" w:rsidP="007C4B17">
            <w:pPr>
              <w:pStyle w:val="Tabletext"/>
            </w:pPr>
          </w:p>
        </w:tc>
        <w:tc>
          <w:tcPr>
            <w:tcW w:w="0" w:type="auto"/>
          </w:tcPr>
          <w:p w14:paraId="1361C713" w14:textId="16DEEEB5" w:rsidR="009B79E2" w:rsidRPr="009B79E2" w:rsidRDefault="009B79E2" w:rsidP="002F5FD8">
            <w:pPr>
              <w:pStyle w:val="Tabletext"/>
            </w:pPr>
            <w:r w:rsidRPr="009B79E2">
              <w:t xml:space="preserve">NP2. </w:t>
            </w:r>
            <w:r w:rsidR="002F5FD8" w:rsidRPr="009B79E2">
              <w:t>Comments about certain environmental procedures becoming a norm within our industry</w:t>
            </w:r>
          </w:p>
        </w:tc>
        <w:tc>
          <w:tcPr>
            <w:tcW w:w="0" w:type="auto"/>
            <w:vMerge/>
          </w:tcPr>
          <w:p w14:paraId="291EDCB3" w14:textId="77777777" w:rsidR="009B79E2" w:rsidRPr="009B79E2" w:rsidRDefault="009B79E2" w:rsidP="007C4B17">
            <w:pPr>
              <w:pStyle w:val="Tabletext"/>
            </w:pPr>
          </w:p>
        </w:tc>
      </w:tr>
      <w:tr w:rsidR="009B79E2" w:rsidRPr="009B79E2" w14:paraId="2E5F242A" w14:textId="77777777" w:rsidTr="00116B90">
        <w:tc>
          <w:tcPr>
            <w:tcW w:w="0" w:type="auto"/>
            <w:vMerge/>
          </w:tcPr>
          <w:p w14:paraId="0FF4A346" w14:textId="77777777" w:rsidR="009B79E2" w:rsidRPr="009B79E2" w:rsidRDefault="009B79E2" w:rsidP="007C4B17">
            <w:pPr>
              <w:pStyle w:val="Tabletext"/>
            </w:pPr>
          </w:p>
        </w:tc>
        <w:tc>
          <w:tcPr>
            <w:tcW w:w="0" w:type="auto"/>
          </w:tcPr>
          <w:p w14:paraId="372876E4" w14:textId="024F946D" w:rsidR="009B79E2" w:rsidRPr="009B79E2" w:rsidRDefault="009B79E2" w:rsidP="002F5FD8">
            <w:pPr>
              <w:pStyle w:val="Tabletext"/>
            </w:pPr>
            <w:r w:rsidRPr="009B79E2">
              <w:t xml:space="preserve">NP3. </w:t>
            </w:r>
            <w:r w:rsidR="002F5FD8" w:rsidRPr="009B79E2">
              <w:t>Comments about opinions of consulting companies and external auditors on the best practices influencing our environmental procedures</w:t>
            </w:r>
          </w:p>
        </w:tc>
        <w:tc>
          <w:tcPr>
            <w:tcW w:w="0" w:type="auto"/>
            <w:vMerge/>
          </w:tcPr>
          <w:p w14:paraId="2665E717" w14:textId="77777777" w:rsidR="009B79E2" w:rsidRPr="009B79E2" w:rsidRDefault="009B79E2" w:rsidP="007C4B17">
            <w:pPr>
              <w:pStyle w:val="Tabletext"/>
            </w:pPr>
          </w:p>
        </w:tc>
      </w:tr>
      <w:tr w:rsidR="009B79E2" w:rsidRPr="009B79E2" w14:paraId="66EFCCCB" w14:textId="77777777" w:rsidTr="00116B90">
        <w:tc>
          <w:tcPr>
            <w:tcW w:w="0" w:type="auto"/>
            <w:vMerge/>
          </w:tcPr>
          <w:p w14:paraId="12FB2BB0" w14:textId="77777777" w:rsidR="009B79E2" w:rsidRPr="009B79E2" w:rsidRDefault="009B79E2" w:rsidP="007C4B17">
            <w:pPr>
              <w:pStyle w:val="Tabletext"/>
            </w:pPr>
          </w:p>
        </w:tc>
        <w:tc>
          <w:tcPr>
            <w:tcW w:w="0" w:type="auto"/>
          </w:tcPr>
          <w:p w14:paraId="48C7BCE7" w14:textId="77777777" w:rsidR="009B79E2" w:rsidRPr="009B79E2" w:rsidRDefault="009B79E2" w:rsidP="007C4B17">
            <w:pPr>
              <w:pStyle w:val="Tabletext"/>
            </w:pPr>
            <w:r w:rsidRPr="009B79E2">
              <w:t>NP4. Comments about employees being influenced by the procedures and tools advocated by industry bodies</w:t>
            </w:r>
          </w:p>
        </w:tc>
        <w:tc>
          <w:tcPr>
            <w:tcW w:w="0" w:type="auto"/>
            <w:vMerge/>
          </w:tcPr>
          <w:p w14:paraId="31A6CC13" w14:textId="77777777" w:rsidR="009B79E2" w:rsidRPr="009B79E2" w:rsidRDefault="009B79E2" w:rsidP="007C4B17">
            <w:pPr>
              <w:pStyle w:val="Tabletext"/>
            </w:pPr>
          </w:p>
        </w:tc>
      </w:tr>
      <w:tr w:rsidR="009B79E2" w:rsidRPr="009B79E2" w14:paraId="00B4AA60" w14:textId="77777777" w:rsidTr="00116B90">
        <w:tc>
          <w:tcPr>
            <w:tcW w:w="0" w:type="auto"/>
            <w:vMerge w:val="restart"/>
          </w:tcPr>
          <w:p w14:paraId="1890640F" w14:textId="77777777" w:rsidR="009B79E2" w:rsidRPr="009B79E2" w:rsidRDefault="009B79E2" w:rsidP="007C4B17">
            <w:pPr>
              <w:pStyle w:val="Tabletext"/>
            </w:pPr>
            <w:r w:rsidRPr="009B79E2">
              <w:t>Mimetic Pressure</w:t>
            </w:r>
          </w:p>
        </w:tc>
        <w:tc>
          <w:tcPr>
            <w:tcW w:w="0" w:type="auto"/>
          </w:tcPr>
          <w:p w14:paraId="765B64E5" w14:textId="373727E7" w:rsidR="009B79E2" w:rsidRPr="009B79E2" w:rsidRDefault="009B79E2" w:rsidP="002F5FD8">
            <w:pPr>
              <w:pStyle w:val="Tabletext"/>
            </w:pPr>
            <w:r w:rsidRPr="009B79E2">
              <w:t xml:space="preserve">MP1. </w:t>
            </w:r>
            <w:r w:rsidR="002F5FD8" w:rsidRPr="009B79E2">
              <w:t>Comments about paying attention to the environmental practices and tools that appear to benefit our competitors and peers</w:t>
            </w:r>
          </w:p>
        </w:tc>
        <w:tc>
          <w:tcPr>
            <w:tcW w:w="0" w:type="auto"/>
            <w:vMerge/>
          </w:tcPr>
          <w:p w14:paraId="2B3A900A" w14:textId="77777777" w:rsidR="009B79E2" w:rsidRPr="009B79E2" w:rsidRDefault="009B79E2" w:rsidP="007C4B17">
            <w:pPr>
              <w:pStyle w:val="Tabletext"/>
            </w:pPr>
          </w:p>
        </w:tc>
      </w:tr>
      <w:tr w:rsidR="009B79E2" w:rsidRPr="009B79E2" w14:paraId="78E5AE05" w14:textId="77777777" w:rsidTr="00116B90">
        <w:tc>
          <w:tcPr>
            <w:tcW w:w="0" w:type="auto"/>
            <w:vMerge/>
          </w:tcPr>
          <w:p w14:paraId="2DF8D714" w14:textId="77777777" w:rsidR="009B79E2" w:rsidRPr="009B79E2" w:rsidRDefault="009B79E2" w:rsidP="007C4B17">
            <w:pPr>
              <w:pStyle w:val="Tabletext"/>
            </w:pPr>
          </w:p>
        </w:tc>
        <w:tc>
          <w:tcPr>
            <w:tcW w:w="0" w:type="auto"/>
          </w:tcPr>
          <w:p w14:paraId="3E5FE891" w14:textId="292932F3" w:rsidR="009B79E2" w:rsidRPr="009B79E2" w:rsidRDefault="009B79E2" w:rsidP="002F5FD8">
            <w:pPr>
              <w:pStyle w:val="Tabletext"/>
            </w:pPr>
            <w:r w:rsidRPr="009B79E2">
              <w:t xml:space="preserve">MP2. </w:t>
            </w:r>
            <w:r w:rsidR="002F5FD8" w:rsidRPr="009B79E2">
              <w:t xml:space="preserve">Comments about actively benchmarking the environmental practices and performance of our main competitors and peers </w:t>
            </w:r>
          </w:p>
        </w:tc>
        <w:tc>
          <w:tcPr>
            <w:tcW w:w="0" w:type="auto"/>
            <w:vMerge/>
          </w:tcPr>
          <w:p w14:paraId="0069E0E7" w14:textId="77777777" w:rsidR="009B79E2" w:rsidRPr="009B79E2" w:rsidRDefault="009B79E2" w:rsidP="007C4B17">
            <w:pPr>
              <w:pStyle w:val="Tabletext"/>
            </w:pPr>
          </w:p>
        </w:tc>
      </w:tr>
      <w:tr w:rsidR="009B79E2" w:rsidRPr="009B79E2" w14:paraId="0E29BE74" w14:textId="77777777" w:rsidTr="00116B90">
        <w:tc>
          <w:tcPr>
            <w:tcW w:w="0" w:type="auto"/>
            <w:vMerge/>
          </w:tcPr>
          <w:p w14:paraId="1E51E730" w14:textId="77777777" w:rsidR="009B79E2" w:rsidRPr="009B79E2" w:rsidRDefault="009B79E2" w:rsidP="007C4B17">
            <w:pPr>
              <w:pStyle w:val="Tabletext"/>
            </w:pPr>
          </w:p>
        </w:tc>
        <w:tc>
          <w:tcPr>
            <w:tcW w:w="0" w:type="auto"/>
          </w:tcPr>
          <w:p w14:paraId="471ED78E" w14:textId="3EE03776" w:rsidR="009B79E2" w:rsidRPr="009B79E2" w:rsidRDefault="009B79E2" w:rsidP="002F5FD8">
            <w:pPr>
              <w:pStyle w:val="Tabletext"/>
            </w:pPr>
            <w:r w:rsidRPr="009B79E2">
              <w:t xml:space="preserve">MP3. </w:t>
            </w:r>
            <w:r w:rsidR="002F5FD8" w:rsidRPr="009B79E2">
              <w:t xml:space="preserve">Comments about paying attention to the environmental practices and tools used and adopted by our key competitors </w:t>
            </w:r>
          </w:p>
        </w:tc>
        <w:tc>
          <w:tcPr>
            <w:tcW w:w="0" w:type="auto"/>
            <w:vMerge/>
          </w:tcPr>
          <w:p w14:paraId="0540487E" w14:textId="77777777" w:rsidR="009B79E2" w:rsidRPr="009B79E2" w:rsidRDefault="009B79E2" w:rsidP="007C4B17">
            <w:pPr>
              <w:pStyle w:val="Tabletext"/>
            </w:pPr>
          </w:p>
        </w:tc>
      </w:tr>
      <w:tr w:rsidR="009B79E2" w:rsidRPr="009B79E2" w14:paraId="7725C1A5" w14:textId="77777777" w:rsidTr="00116B90">
        <w:tc>
          <w:tcPr>
            <w:tcW w:w="0" w:type="auto"/>
            <w:vMerge w:val="restart"/>
          </w:tcPr>
          <w:p w14:paraId="727C0FDA" w14:textId="77777777" w:rsidR="009B79E2" w:rsidRPr="009B79E2" w:rsidRDefault="009B79E2" w:rsidP="007C4B17">
            <w:pPr>
              <w:pStyle w:val="Tabletext"/>
            </w:pPr>
            <w:r w:rsidRPr="009B79E2">
              <w:lastRenderedPageBreak/>
              <w:t>Suppliers integration</w:t>
            </w:r>
          </w:p>
        </w:tc>
        <w:tc>
          <w:tcPr>
            <w:tcW w:w="0" w:type="auto"/>
          </w:tcPr>
          <w:p w14:paraId="1C790260" w14:textId="77777777" w:rsidR="009B79E2" w:rsidRPr="009B79E2" w:rsidRDefault="009B79E2" w:rsidP="007C4B17">
            <w:pPr>
              <w:pStyle w:val="Tabletext"/>
            </w:pPr>
            <w:r w:rsidRPr="009B79E2">
              <w:t>SI1. Comments about sharing information with key suppliers (about sales forecast, production plans, order tracking and tracing, delivery status, stock level)</w:t>
            </w:r>
          </w:p>
        </w:tc>
        <w:tc>
          <w:tcPr>
            <w:tcW w:w="0" w:type="auto"/>
            <w:vMerge w:val="restart"/>
          </w:tcPr>
          <w:p w14:paraId="695CF12B" w14:textId="77777777" w:rsidR="009B79E2" w:rsidRPr="009B79E2" w:rsidRDefault="009B79E2" w:rsidP="007C4B17">
            <w:pPr>
              <w:pStyle w:val="Tabletext"/>
            </w:pPr>
            <w:proofErr w:type="spellStart"/>
            <w:r w:rsidRPr="009B79E2">
              <w:t>Frohlich</w:t>
            </w:r>
            <w:proofErr w:type="spellEnd"/>
            <w:r w:rsidRPr="009B79E2">
              <w:t xml:space="preserve"> and Westbrook, 2001</w:t>
            </w:r>
          </w:p>
          <w:p w14:paraId="2D9CE5B9" w14:textId="77777777" w:rsidR="009B79E2" w:rsidRPr="009B79E2" w:rsidRDefault="009B79E2" w:rsidP="007C4B17">
            <w:pPr>
              <w:pStyle w:val="Tabletext"/>
            </w:pPr>
            <w:r w:rsidRPr="009B79E2">
              <w:t>IMSS</w:t>
            </w:r>
          </w:p>
        </w:tc>
      </w:tr>
      <w:tr w:rsidR="009B79E2" w:rsidRPr="009B79E2" w14:paraId="47FEF86A" w14:textId="77777777" w:rsidTr="00116B90">
        <w:tc>
          <w:tcPr>
            <w:tcW w:w="0" w:type="auto"/>
            <w:vMerge/>
          </w:tcPr>
          <w:p w14:paraId="7E82D62B" w14:textId="77777777" w:rsidR="009B79E2" w:rsidRPr="009B79E2" w:rsidRDefault="009B79E2" w:rsidP="007C4B17">
            <w:pPr>
              <w:pStyle w:val="Tabletext"/>
            </w:pPr>
          </w:p>
        </w:tc>
        <w:tc>
          <w:tcPr>
            <w:tcW w:w="0" w:type="auto"/>
          </w:tcPr>
          <w:p w14:paraId="7C5F19F1" w14:textId="77777777" w:rsidR="009B79E2" w:rsidRPr="009B79E2" w:rsidRDefault="009B79E2" w:rsidP="007C4B17">
            <w:pPr>
              <w:pStyle w:val="Tabletext"/>
            </w:pPr>
            <w:r w:rsidRPr="009B79E2">
              <w:t>SI2. Comments about developing collaborative approaches with key suppliers (e.g., supplier development, risk/ revenue sharing, long-term agreements)</w:t>
            </w:r>
          </w:p>
        </w:tc>
        <w:tc>
          <w:tcPr>
            <w:tcW w:w="0" w:type="auto"/>
            <w:vMerge/>
          </w:tcPr>
          <w:p w14:paraId="67732929" w14:textId="77777777" w:rsidR="009B79E2" w:rsidRPr="009B79E2" w:rsidRDefault="009B79E2" w:rsidP="007C4B17">
            <w:pPr>
              <w:pStyle w:val="Tabletext"/>
            </w:pPr>
          </w:p>
        </w:tc>
      </w:tr>
      <w:tr w:rsidR="009B79E2" w:rsidRPr="009B79E2" w14:paraId="0FF51107" w14:textId="77777777" w:rsidTr="00116B90">
        <w:tc>
          <w:tcPr>
            <w:tcW w:w="0" w:type="auto"/>
            <w:vMerge/>
          </w:tcPr>
          <w:p w14:paraId="1B8CD147" w14:textId="77777777" w:rsidR="009B79E2" w:rsidRPr="009B79E2" w:rsidRDefault="009B79E2" w:rsidP="007C4B17">
            <w:pPr>
              <w:pStyle w:val="Tabletext"/>
            </w:pPr>
          </w:p>
        </w:tc>
        <w:tc>
          <w:tcPr>
            <w:tcW w:w="0" w:type="auto"/>
          </w:tcPr>
          <w:p w14:paraId="0445514F" w14:textId="77777777" w:rsidR="009B79E2" w:rsidRPr="009B79E2" w:rsidRDefault="009B79E2" w:rsidP="007C4B17">
            <w:pPr>
              <w:pStyle w:val="Tabletext"/>
            </w:pPr>
            <w:r w:rsidRPr="009B79E2">
              <w:t>SI3. Comments about joint decision-making with key suppliers (about product design/modifications, process design/modifications, quality improvement and cost control)</w:t>
            </w:r>
          </w:p>
        </w:tc>
        <w:tc>
          <w:tcPr>
            <w:tcW w:w="0" w:type="auto"/>
            <w:vMerge/>
          </w:tcPr>
          <w:p w14:paraId="724D063C" w14:textId="77777777" w:rsidR="009B79E2" w:rsidRPr="009B79E2" w:rsidRDefault="009B79E2" w:rsidP="007C4B17">
            <w:pPr>
              <w:pStyle w:val="Tabletext"/>
            </w:pPr>
          </w:p>
        </w:tc>
      </w:tr>
      <w:tr w:rsidR="009B79E2" w:rsidRPr="009B79E2" w14:paraId="7D4EAE0F" w14:textId="77777777" w:rsidTr="00116B90">
        <w:tc>
          <w:tcPr>
            <w:tcW w:w="0" w:type="auto"/>
            <w:vMerge/>
          </w:tcPr>
          <w:p w14:paraId="479AFC4E" w14:textId="77777777" w:rsidR="009B79E2" w:rsidRPr="009B79E2" w:rsidRDefault="009B79E2" w:rsidP="007C4B17">
            <w:pPr>
              <w:pStyle w:val="Tabletext"/>
            </w:pPr>
          </w:p>
        </w:tc>
        <w:tc>
          <w:tcPr>
            <w:tcW w:w="0" w:type="auto"/>
          </w:tcPr>
          <w:p w14:paraId="1FCE101C" w14:textId="77E5CE51" w:rsidR="009B79E2" w:rsidRPr="009B79E2" w:rsidRDefault="009B79E2" w:rsidP="007C4B17">
            <w:pPr>
              <w:pStyle w:val="Tabletext"/>
            </w:pPr>
            <w:r w:rsidRPr="009B79E2">
              <w:t>SI4. Comments about system coupling with key suppliers (</w:t>
            </w:r>
            <w:r w:rsidR="00F07293" w:rsidRPr="009B79E2">
              <w:t>e.g.,</w:t>
            </w:r>
            <w:r w:rsidRPr="009B79E2">
              <w:t xml:space="preserve"> vendor managed inventory, just-in-time, Kanban, continuous replenishment)</w:t>
            </w:r>
          </w:p>
        </w:tc>
        <w:tc>
          <w:tcPr>
            <w:tcW w:w="0" w:type="auto"/>
            <w:vMerge/>
          </w:tcPr>
          <w:p w14:paraId="3F4CB87F" w14:textId="77777777" w:rsidR="009B79E2" w:rsidRPr="009B79E2" w:rsidRDefault="009B79E2" w:rsidP="007C4B17">
            <w:pPr>
              <w:pStyle w:val="Tabletext"/>
            </w:pPr>
          </w:p>
        </w:tc>
      </w:tr>
      <w:tr w:rsidR="009B79E2" w:rsidRPr="009B79E2" w14:paraId="170E602C" w14:textId="77777777" w:rsidTr="00116B90">
        <w:tc>
          <w:tcPr>
            <w:tcW w:w="0" w:type="auto"/>
            <w:vMerge w:val="restart"/>
          </w:tcPr>
          <w:p w14:paraId="4E78720E" w14:textId="77777777" w:rsidR="009B79E2" w:rsidRPr="009B79E2" w:rsidRDefault="009B79E2" w:rsidP="007C4B17">
            <w:pPr>
              <w:pStyle w:val="Tabletext"/>
            </w:pPr>
            <w:r w:rsidRPr="009B79E2">
              <w:t>Customers integration</w:t>
            </w:r>
          </w:p>
        </w:tc>
        <w:tc>
          <w:tcPr>
            <w:tcW w:w="0" w:type="auto"/>
          </w:tcPr>
          <w:p w14:paraId="7DBC5F9E" w14:textId="77777777" w:rsidR="009B79E2" w:rsidRPr="009B79E2" w:rsidRDefault="009B79E2" w:rsidP="007C4B17">
            <w:pPr>
              <w:pStyle w:val="Tabletext"/>
            </w:pPr>
            <w:r w:rsidRPr="009B79E2">
              <w:t>CI1. Comments about sharing information with key customers (about sales forecast, production plans, order tracking and tracing, delivery status, stock level)</w:t>
            </w:r>
          </w:p>
        </w:tc>
        <w:tc>
          <w:tcPr>
            <w:tcW w:w="0" w:type="auto"/>
            <w:vMerge/>
          </w:tcPr>
          <w:p w14:paraId="3EAD3D1D" w14:textId="77777777" w:rsidR="009B79E2" w:rsidRPr="009B79E2" w:rsidRDefault="009B79E2" w:rsidP="007C4B17">
            <w:pPr>
              <w:pStyle w:val="Tabletext"/>
            </w:pPr>
          </w:p>
        </w:tc>
      </w:tr>
      <w:tr w:rsidR="009B79E2" w:rsidRPr="009B79E2" w14:paraId="7E065FAF" w14:textId="77777777" w:rsidTr="00116B90">
        <w:tc>
          <w:tcPr>
            <w:tcW w:w="0" w:type="auto"/>
            <w:vMerge/>
          </w:tcPr>
          <w:p w14:paraId="1D8C3B46" w14:textId="77777777" w:rsidR="009B79E2" w:rsidRPr="009B79E2" w:rsidRDefault="009B79E2" w:rsidP="007C4B17">
            <w:pPr>
              <w:pStyle w:val="Tabletext"/>
            </w:pPr>
          </w:p>
        </w:tc>
        <w:tc>
          <w:tcPr>
            <w:tcW w:w="0" w:type="auto"/>
          </w:tcPr>
          <w:p w14:paraId="27CAA441" w14:textId="77777777" w:rsidR="009B79E2" w:rsidRPr="009B79E2" w:rsidRDefault="009B79E2" w:rsidP="007C4B17">
            <w:pPr>
              <w:pStyle w:val="Tabletext"/>
            </w:pPr>
            <w:r w:rsidRPr="009B79E2">
              <w:t>CI2. Comments about developing collaborative approaches with key customers (e.g., risk/revenue sharing, long-term agreements)</w:t>
            </w:r>
          </w:p>
        </w:tc>
        <w:tc>
          <w:tcPr>
            <w:tcW w:w="0" w:type="auto"/>
            <w:vMerge/>
          </w:tcPr>
          <w:p w14:paraId="240C1174" w14:textId="77777777" w:rsidR="009B79E2" w:rsidRPr="009B79E2" w:rsidRDefault="009B79E2" w:rsidP="007C4B17">
            <w:pPr>
              <w:pStyle w:val="Tabletext"/>
            </w:pPr>
          </w:p>
        </w:tc>
      </w:tr>
      <w:tr w:rsidR="009B79E2" w:rsidRPr="009B79E2" w14:paraId="635182A4" w14:textId="77777777" w:rsidTr="00116B90">
        <w:tc>
          <w:tcPr>
            <w:tcW w:w="0" w:type="auto"/>
            <w:vMerge/>
          </w:tcPr>
          <w:p w14:paraId="5591C6E4" w14:textId="77777777" w:rsidR="009B79E2" w:rsidRPr="009B79E2" w:rsidRDefault="009B79E2" w:rsidP="007C4B17">
            <w:pPr>
              <w:pStyle w:val="Tabletext"/>
            </w:pPr>
          </w:p>
        </w:tc>
        <w:tc>
          <w:tcPr>
            <w:tcW w:w="0" w:type="auto"/>
          </w:tcPr>
          <w:p w14:paraId="5487FEA8" w14:textId="77777777" w:rsidR="009B79E2" w:rsidRPr="009B79E2" w:rsidRDefault="009B79E2" w:rsidP="007C4B17">
            <w:pPr>
              <w:pStyle w:val="Tabletext"/>
            </w:pPr>
            <w:r w:rsidRPr="009B79E2">
              <w:t>CI3. Comments about joint decision-making with key customers (about product design/modifications, process design/modifications, quality improvement and cost control)</w:t>
            </w:r>
          </w:p>
        </w:tc>
        <w:tc>
          <w:tcPr>
            <w:tcW w:w="0" w:type="auto"/>
            <w:vMerge/>
          </w:tcPr>
          <w:p w14:paraId="0041471B" w14:textId="77777777" w:rsidR="009B79E2" w:rsidRPr="009B79E2" w:rsidRDefault="009B79E2" w:rsidP="007C4B17">
            <w:pPr>
              <w:pStyle w:val="Tabletext"/>
            </w:pPr>
          </w:p>
        </w:tc>
      </w:tr>
      <w:tr w:rsidR="009B79E2" w:rsidRPr="009B79E2" w14:paraId="5AE32EAA" w14:textId="77777777" w:rsidTr="00116B90">
        <w:tc>
          <w:tcPr>
            <w:tcW w:w="0" w:type="auto"/>
            <w:vMerge/>
          </w:tcPr>
          <w:p w14:paraId="490DB162" w14:textId="77777777" w:rsidR="009B79E2" w:rsidRPr="009B79E2" w:rsidRDefault="009B79E2" w:rsidP="007C4B17">
            <w:pPr>
              <w:pStyle w:val="Tabletext"/>
            </w:pPr>
          </w:p>
        </w:tc>
        <w:tc>
          <w:tcPr>
            <w:tcW w:w="0" w:type="auto"/>
          </w:tcPr>
          <w:p w14:paraId="2D5AE2BB" w14:textId="700D169D" w:rsidR="009B79E2" w:rsidRPr="009B79E2" w:rsidRDefault="009B79E2" w:rsidP="007C4B17">
            <w:pPr>
              <w:pStyle w:val="Tabletext"/>
            </w:pPr>
            <w:r w:rsidRPr="009B79E2">
              <w:t>CI4. Comments about system coupling with key customers (</w:t>
            </w:r>
            <w:r w:rsidR="00F07293" w:rsidRPr="009B79E2">
              <w:t>e.g.,</w:t>
            </w:r>
            <w:r w:rsidRPr="009B79E2">
              <w:t xml:space="preserve"> vendor managed inventory, just-in-time, Kanban, continuous replenishment)</w:t>
            </w:r>
          </w:p>
        </w:tc>
        <w:tc>
          <w:tcPr>
            <w:tcW w:w="0" w:type="auto"/>
            <w:vMerge/>
          </w:tcPr>
          <w:p w14:paraId="12B8E984" w14:textId="77777777" w:rsidR="009B79E2" w:rsidRPr="009B79E2" w:rsidRDefault="009B79E2" w:rsidP="007C4B17">
            <w:pPr>
              <w:pStyle w:val="Tabletext"/>
            </w:pPr>
          </w:p>
        </w:tc>
      </w:tr>
      <w:tr w:rsidR="009B79E2" w:rsidRPr="009B79E2" w14:paraId="35EDE29D" w14:textId="77777777" w:rsidTr="00116B90">
        <w:trPr>
          <w:trHeight w:val="249"/>
        </w:trPr>
        <w:tc>
          <w:tcPr>
            <w:tcW w:w="0" w:type="auto"/>
            <w:vMerge w:val="restart"/>
          </w:tcPr>
          <w:p w14:paraId="5882150F" w14:textId="77777777" w:rsidR="009B79E2" w:rsidRPr="009B79E2" w:rsidRDefault="009B79E2" w:rsidP="007C4B17">
            <w:pPr>
              <w:pStyle w:val="Tabletext"/>
            </w:pPr>
            <w:r w:rsidRPr="009B79E2">
              <w:t>Adoption of CE practices</w:t>
            </w:r>
          </w:p>
        </w:tc>
        <w:tc>
          <w:tcPr>
            <w:tcW w:w="0" w:type="auto"/>
          </w:tcPr>
          <w:p w14:paraId="116ED078" w14:textId="77777777" w:rsidR="009B79E2" w:rsidRPr="009B79E2" w:rsidRDefault="009B79E2" w:rsidP="007C4B17">
            <w:pPr>
              <w:pStyle w:val="Tabletext"/>
            </w:pPr>
            <w:r w:rsidRPr="009B79E2">
              <w:t>CE1. Comments on the adoption of “reduce” practices</w:t>
            </w:r>
          </w:p>
        </w:tc>
        <w:tc>
          <w:tcPr>
            <w:tcW w:w="0" w:type="auto"/>
            <w:vMerge w:val="restart"/>
          </w:tcPr>
          <w:p w14:paraId="63405446" w14:textId="77777777" w:rsidR="009B79E2" w:rsidRPr="009B79E2" w:rsidRDefault="009B79E2" w:rsidP="007C4B17">
            <w:pPr>
              <w:pStyle w:val="Tabletext"/>
            </w:pPr>
            <w:r w:rsidRPr="009B79E2">
              <w:t>Calzolari et al., 2021</w:t>
            </w:r>
          </w:p>
        </w:tc>
      </w:tr>
      <w:tr w:rsidR="009B79E2" w:rsidRPr="009B79E2" w14:paraId="676F9E44" w14:textId="77777777" w:rsidTr="00116B90">
        <w:tc>
          <w:tcPr>
            <w:tcW w:w="0" w:type="auto"/>
            <w:vMerge/>
          </w:tcPr>
          <w:p w14:paraId="021B6B12" w14:textId="77777777" w:rsidR="009B79E2" w:rsidRPr="009B79E2" w:rsidRDefault="009B79E2" w:rsidP="007C4B17">
            <w:pPr>
              <w:pStyle w:val="Tabletext"/>
            </w:pPr>
          </w:p>
        </w:tc>
        <w:tc>
          <w:tcPr>
            <w:tcW w:w="0" w:type="auto"/>
          </w:tcPr>
          <w:p w14:paraId="70E73055" w14:textId="77777777" w:rsidR="009B79E2" w:rsidRPr="009B79E2" w:rsidRDefault="009B79E2" w:rsidP="007C4B17">
            <w:pPr>
              <w:pStyle w:val="Tabletext"/>
            </w:pPr>
            <w:r w:rsidRPr="009B79E2">
              <w:t>CE2. Comments on the adoption of “reuse” practices</w:t>
            </w:r>
          </w:p>
        </w:tc>
        <w:tc>
          <w:tcPr>
            <w:tcW w:w="0" w:type="auto"/>
            <w:vMerge/>
          </w:tcPr>
          <w:p w14:paraId="70361FD2" w14:textId="77777777" w:rsidR="009B79E2" w:rsidRPr="009B79E2" w:rsidRDefault="009B79E2" w:rsidP="007C4B17">
            <w:pPr>
              <w:pStyle w:val="Tabletext"/>
            </w:pPr>
          </w:p>
        </w:tc>
      </w:tr>
      <w:tr w:rsidR="009B79E2" w:rsidRPr="009B79E2" w14:paraId="700048DB" w14:textId="77777777" w:rsidTr="00116B90">
        <w:tc>
          <w:tcPr>
            <w:tcW w:w="0" w:type="auto"/>
            <w:vMerge/>
          </w:tcPr>
          <w:p w14:paraId="401794F5" w14:textId="77777777" w:rsidR="009B79E2" w:rsidRPr="009B79E2" w:rsidRDefault="009B79E2" w:rsidP="007C4B17">
            <w:pPr>
              <w:pStyle w:val="Tabletext"/>
            </w:pPr>
          </w:p>
        </w:tc>
        <w:tc>
          <w:tcPr>
            <w:tcW w:w="0" w:type="auto"/>
          </w:tcPr>
          <w:p w14:paraId="63BA5750" w14:textId="77777777" w:rsidR="009B79E2" w:rsidRPr="009B79E2" w:rsidRDefault="009B79E2" w:rsidP="007C4B17">
            <w:pPr>
              <w:pStyle w:val="Tabletext"/>
            </w:pPr>
            <w:r w:rsidRPr="009B79E2">
              <w:t>CE3. Comments on the adoption of “recycle” practices</w:t>
            </w:r>
          </w:p>
        </w:tc>
        <w:tc>
          <w:tcPr>
            <w:tcW w:w="0" w:type="auto"/>
            <w:vMerge/>
          </w:tcPr>
          <w:p w14:paraId="7EB48FDF" w14:textId="77777777" w:rsidR="009B79E2" w:rsidRPr="009B79E2" w:rsidRDefault="009B79E2" w:rsidP="007C4B17">
            <w:pPr>
              <w:pStyle w:val="Tabletext"/>
            </w:pPr>
          </w:p>
        </w:tc>
      </w:tr>
      <w:tr w:rsidR="009B79E2" w:rsidRPr="009B79E2" w14:paraId="54B8A0BB" w14:textId="77777777" w:rsidTr="00116B90">
        <w:tc>
          <w:tcPr>
            <w:tcW w:w="0" w:type="auto"/>
            <w:vMerge/>
          </w:tcPr>
          <w:p w14:paraId="55F7FAA9" w14:textId="77777777" w:rsidR="009B79E2" w:rsidRPr="009B79E2" w:rsidRDefault="009B79E2" w:rsidP="007C4B17">
            <w:pPr>
              <w:pStyle w:val="Tabletext"/>
            </w:pPr>
          </w:p>
        </w:tc>
        <w:tc>
          <w:tcPr>
            <w:tcW w:w="0" w:type="auto"/>
          </w:tcPr>
          <w:p w14:paraId="2557FE09" w14:textId="77777777" w:rsidR="009B79E2" w:rsidRPr="009B79E2" w:rsidRDefault="009B79E2" w:rsidP="007C4B17">
            <w:pPr>
              <w:pStyle w:val="Tabletext"/>
            </w:pPr>
            <w:r w:rsidRPr="009B79E2">
              <w:t>CE4. Comments on the adoption of “renewable energy and energy efficiency” practices</w:t>
            </w:r>
          </w:p>
        </w:tc>
        <w:tc>
          <w:tcPr>
            <w:tcW w:w="0" w:type="auto"/>
            <w:vMerge/>
          </w:tcPr>
          <w:p w14:paraId="3BB9748A" w14:textId="77777777" w:rsidR="009B79E2" w:rsidRPr="009B79E2" w:rsidRDefault="009B79E2" w:rsidP="007C4B17">
            <w:pPr>
              <w:pStyle w:val="Tabletext"/>
            </w:pPr>
          </w:p>
        </w:tc>
      </w:tr>
      <w:tr w:rsidR="009B79E2" w:rsidRPr="009B79E2" w14:paraId="09ABB2A3" w14:textId="77777777" w:rsidTr="00116B90">
        <w:tc>
          <w:tcPr>
            <w:tcW w:w="0" w:type="auto"/>
            <w:vMerge/>
          </w:tcPr>
          <w:p w14:paraId="49FB1487" w14:textId="77777777" w:rsidR="009B79E2" w:rsidRPr="009B79E2" w:rsidRDefault="009B79E2" w:rsidP="007C4B17">
            <w:pPr>
              <w:pStyle w:val="Tabletext"/>
            </w:pPr>
          </w:p>
        </w:tc>
        <w:tc>
          <w:tcPr>
            <w:tcW w:w="0" w:type="auto"/>
          </w:tcPr>
          <w:p w14:paraId="404F5CC7" w14:textId="77777777" w:rsidR="009B79E2" w:rsidRPr="009B79E2" w:rsidRDefault="009B79E2" w:rsidP="007C4B17">
            <w:pPr>
              <w:pStyle w:val="Tabletext"/>
            </w:pPr>
            <w:r w:rsidRPr="009B79E2">
              <w:t>CE5. Comments on the adoption of “recover” practices</w:t>
            </w:r>
          </w:p>
        </w:tc>
        <w:tc>
          <w:tcPr>
            <w:tcW w:w="0" w:type="auto"/>
            <w:vMerge/>
          </w:tcPr>
          <w:p w14:paraId="3FA7210C" w14:textId="77777777" w:rsidR="009B79E2" w:rsidRPr="009B79E2" w:rsidRDefault="009B79E2" w:rsidP="007C4B17">
            <w:pPr>
              <w:pStyle w:val="Tabletext"/>
            </w:pPr>
          </w:p>
        </w:tc>
      </w:tr>
    </w:tbl>
    <w:p w14:paraId="3DAC62A5" w14:textId="0441135F" w:rsidR="009B79E2" w:rsidRDefault="009B79E2" w:rsidP="002F7336"/>
    <w:p w14:paraId="09E821F5" w14:textId="77777777" w:rsidR="00EB311E" w:rsidRDefault="00EB311E" w:rsidP="00EB311E">
      <w:r>
        <w:t xml:space="preserve">Once defined the categories and the individual measurements, we read each MNE report in its entirety to identify all the content that was significant for the analysis, containing evidence on the existence of IPs in the MNE, as well as of SCI aspects and CE practices. We used the adapted formulation of each construct’s item as a guide to understand where in their reports MNEs were giving any evidence of the constructs of we want to measure. All the unstructured content was firstly mapped and then assigned to themes in a predefined template. Each extract was classified by macro-themes (IPs, SCI, and CE) in a preliminary database. At this stage, every possible text extract was included and stored using the NVivo software. The following stages will mostly refer to the text that was extracted in this preliminary phase. </w:t>
      </w:r>
    </w:p>
    <w:p w14:paraId="296B58DF" w14:textId="77777777" w:rsidR="00EB311E" w:rsidRDefault="00EB311E" w:rsidP="00EB311E">
      <w:r>
        <w:t xml:space="preserve">In the next stage, we worked on the extracted content and categorised it further. We followed multiple waves of coding to make the amount of unstructured content fit for measuring the constructs in the theoretical model. All the text assigned to a macro-theme was scrutinised, to identify single units of code that were in some way giving evidence of more specific aspects of that </w:t>
      </w:r>
      <w:r>
        <w:lastRenderedPageBreak/>
        <w:t xml:space="preserve">macro-theme, referring to the level of detail of the measurement items. After this, single units of coding were assigned to measurement items of the three constructs. In the supplementary material the steps followed during the coding for one of the extracts that included three unit codes to measure three different items are exemplified. </w:t>
      </w:r>
    </w:p>
    <w:p w14:paraId="163D2494" w14:textId="77777777" w:rsidR="00EB311E" w:rsidRDefault="00EB311E" w:rsidP="00EB311E">
      <w:r>
        <w:t>Subsequently, data was coded using a pre-defined MS Excel template as exemplified in the previous Table 1. This process was repeated for each company in the sample. A third wave of coding was conducted to perform a final keyword check for each report, with the aim of enhancing the homogeneity of the extracted text and codes across companies within the same sector/geographical area. This process involved utilizing specific keywords to identify and capture potentially missing text from reports of companies operating within the same sector, considering the assumption that such companies might share similar vocabulary in their reports. The output of this stage was a MS Excel worksheet containing 150 rows, each representing a MNE, and multiple columns representing the various measurement items. The worksheet was enriched with unit codes specific to each measurement item and MNE (Supplementary materials provide an example of the coding process followed).</w:t>
      </w:r>
    </w:p>
    <w:p w14:paraId="4F90DFAE" w14:textId="42B0F2C5" w:rsidR="009B79E2" w:rsidRDefault="00EB311E" w:rsidP="00EB311E">
      <w:r>
        <w:t>To ensure the reliability of the different phases in the coding procedure (Table 2), two main actions were undertaken. The first one was concerned with the mapping of the text in a report. Two authors performed the same process into a subset of reports. After this, we calculated a k-agreement coefficient. The following phase (textual data refinement) consisted in recognising in each text extract single units of code and in assigning each unit of code to a measurement item. Similarly, the same two authors coded the same content; disagreements were measured. In both phases, disagreements occurred in less than 5% of cases. Each disagreement was discussed by the authors in order to reach an agreement.</w:t>
      </w:r>
    </w:p>
    <w:p w14:paraId="68BF7019" w14:textId="77777777" w:rsidR="00EB311E" w:rsidRPr="005B5E4B" w:rsidRDefault="00EB311E" w:rsidP="00EB311E">
      <w:pPr>
        <w:pStyle w:val="Heading3"/>
      </w:pPr>
      <w:bookmarkStart w:id="187" w:name="_Toc157759562"/>
      <w:r w:rsidRPr="005B5E4B">
        <w:t>Measurement</w:t>
      </w:r>
      <w:bookmarkEnd w:id="187"/>
    </w:p>
    <w:p w14:paraId="133C646C" w14:textId="19D5FBA4" w:rsidR="00EB311E" w:rsidRDefault="00EB311E" w:rsidP="00EB311E">
      <w:r w:rsidRPr="00EB311E">
        <w:t>To measure the three constructs in a quantitative way, a structured coding approach was used to convert textual data into binary variables, assigning a single binary score to each item in the template, rewarding with a 1 the presence of information regarding a specific item, and penalising the absence of them with a 0. We followed similar approaches also in SCM literature that aim to use the unstructured textual content in a quantitative way also to test theoretical models (Ancarani et al., 2019).</w:t>
      </w:r>
      <w:r>
        <w:t xml:space="preserve"> </w:t>
      </w:r>
    </w:p>
    <w:p w14:paraId="3E498673" w14:textId="016EFB8E" w:rsidR="005B5E4B" w:rsidRPr="005B5E4B" w:rsidRDefault="00931D6C" w:rsidP="002F7336">
      <w:pPr>
        <w:pStyle w:val="Figurecaption"/>
      </w:pPr>
      <w:r>
        <w:t>Table 2</w:t>
      </w:r>
      <w:r w:rsidR="005B5E4B" w:rsidRPr="005B5E4B">
        <w:t xml:space="preserve"> - Reliability tests taken in different phases and actions taken</w:t>
      </w:r>
    </w:p>
    <w:tbl>
      <w:tblPr>
        <w:tblStyle w:val="TableGrid4"/>
        <w:tblW w:w="0" w:type="auto"/>
        <w:tblLook w:val="04A0" w:firstRow="1" w:lastRow="0" w:firstColumn="1" w:lastColumn="0" w:noHBand="0" w:noVBand="1"/>
      </w:tblPr>
      <w:tblGrid>
        <w:gridCol w:w="2184"/>
        <w:gridCol w:w="1890"/>
        <w:gridCol w:w="2239"/>
        <w:gridCol w:w="2181"/>
      </w:tblGrid>
      <w:tr w:rsidR="009B79E2" w:rsidRPr="009B79E2" w14:paraId="06EA4288" w14:textId="77777777" w:rsidTr="005B5E4B">
        <w:tc>
          <w:tcPr>
            <w:tcW w:w="2184" w:type="dxa"/>
          </w:tcPr>
          <w:p w14:paraId="017BB6E5" w14:textId="77777777" w:rsidR="009B79E2" w:rsidRPr="009B79E2" w:rsidRDefault="009B79E2" w:rsidP="007C4B17">
            <w:pPr>
              <w:pStyle w:val="Tabletext"/>
            </w:pPr>
            <w:r w:rsidRPr="009B79E2">
              <w:lastRenderedPageBreak/>
              <w:t>Phase</w:t>
            </w:r>
          </w:p>
        </w:tc>
        <w:tc>
          <w:tcPr>
            <w:tcW w:w="1890" w:type="dxa"/>
          </w:tcPr>
          <w:p w14:paraId="02243315" w14:textId="77777777" w:rsidR="009B79E2" w:rsidRPr="009B79E2" w:rsidRDefault="009B79E2" w:rsidP="007C4B17">
            <w:pPr>
              <w:pStyle w:val="Tabletext"/>
            </w:pPr>
            <w:r w:rsidRPr="009B79E2">
              <w:t>Description</w:t>
            </w:r>
          </w:p>
        </w:tc>
        <w:tc>
          <w:tcPr>
            <w:tcW w:w="2239" w:type="dxa"/>
          </w:tcPr>
          <w:p w14:paraId="41C84F79" w14:textId="77777777" w:rsidR="009B79E2" w:rsidRPr="009B79E2" w:rsidRDefault="009B79E2" w:rsidP="007C4B17">
            <w:pPr>
              <w:pStyle w:val="Tabletext"/>
            </w:pPr>
            <w:r w:rsidRPr="009B79E2">
              <w:t>Actions taken</w:t>
            </w:r>
          </w:p>
        </w:tc>
        <w:tc>
          <w:tcPr>
            <w:tcW w:w="2181" w:type="dxa"/>
          </w:tcPr>
          <w:p w14:paraId="3C9DA5B1" w14:textId="77777777" w:rsidR="009B79E2" w:rsidRPr="009B79E2" w:rsidRDefault="009B79E2" w:rsidP="007C4B17">
            <w:pPr>
              <w:pStyle w:val="Tabletext"/>
            </w:pPr>
            <w:r w:rsidRPr="009B79E2">
              <w:t>Reliability measure</w:t>
            </w:r>
          </w:p>
        </w:tc>
      </w:tr>
      <w:tr w:rsidR="009B79E2" w:rsidRPr="009B79E2" w14:paraId="163ECCFB" w14:textId="77777777" w:rsidTr="005B5E4B">
        <w:trPr>
          <w:trHeight w:val="1341"/>
        </w:trPr>
        <w:tc>
          <w:tcPr>
            <w:tcW w:w="2184" w:type="dxa"/>
          </w:tcPr>
          <w:p w14:paraId="64071CF7" w14:textId="77777777" w:rsidR="009B79E2" w:rsidRPr="009B79E2" w:rsidRDefault="009B79E2" w:rsidP="007C4B17">
            <w:pPr>
              <w:pStyle w:val="Tabletext"/>
            </w:pPr>
            <w:r w:rsidRPr="009B79E2">
              <w:t>Text mapping</w:t>
            </w:r>
          </w:p>
          <w:p w14:paraId="7FEF2D75" w14:textId="77777777" w:rsidR="009B79E2" w:rsidRPr="009B79E2" w:rsidRDefault="009B79E2" w:rsidP="007C4B17">
            <w:pPr>
              <w:pStyle w:val="Tabletext"/>
            </w:pPr>
          </w:p>
          <w:p w14:paraId="15AFD9C4" w14:textId="77777777" w:rsidR="009B79E2" w:rsidRPr="009B79E2" w:rsidRDefault="009B79E2" w:rsidP="007C4B17">
            <w:pPr>
              <w:pStyle w:val="Tabletext"/>
            </w:pPr>
          </w:p>
        </w:tc>
        <w:tc>
          <w:tcPr>
            <w:tcW w:w="1890" w:type="dxa"/>
          </w:tcPr>
          <w:p w14:paraId="1641FC36" w14:textId="77777777" w:rsidR="009B79E2" w:rsidRPr="009B79E2" w:rsidRDefault="009B79E2" w:rsidP="007C4B17">
            <w:pPr>
              <w:pStyle w:val="Tabletext"/>
            </w:pPr>
            <w:r w:rsidRPr="009B79E2">
              <w:t xml:space="preserve">Recognising in a report the relevant content. </w:t>
            </w:r>
          </w:p>
          <w:p w14:paraId="7C756C72" w14:textId="77777777" w:rsidR="009B79E2" w:rsidRPr="009B79E2" w:rsidRDefault="009B79E2" w:rsidP="007C4B17">
            <w:pPr>
              <w:pStyle w:val="Tabletext"/>
            </w:pPr>
            <w:r w:rsidRPr="009B79E2">
              <w:t xml:space="preserve">Decide whether to include or exclude text. </w:t>
            </w:r>
          </w:p>
          <w:p w14:paraId="3FCE4088" w14:textId="77777777" w:rsidR="009B79E2" w:rsidRPr="009B79E2" w:rsidRDefault="009B79E2" w:rsidP="007C4B17">
            <w:pPr>
              <w:pStyle w:val="Tabletext"/>
            </w:pPr>
            <w:r w:rsidRPr="009B79E2">
              <w:t>Assign text to macro-themes.</w:t>
            </w:r>
          </w:p>
        </w:tc>
        <w:tc>
          <w:tcPr>
            <w:tcW w:w="2239" w:type="dxa"/>
          </w:tcPr>
          <w:p w14:paraId="668E89A1" w14:textId="77777777" w:rsidR="009B79E2" w:rsidRPr="009B79E2" w:rsidRDefault="009B79E2" w:rsidP="007C4B17">
            <w:pPr>
              <w:pStyle w:val="Tabletext"/>
            </w:pPr>
            <w:r w:rsidRPr="009B79E2">
              <w:t xml:space="preserve">2 authors did the same job into a set of reports. </w:t>
            </w:r>
          </w:p>
          <w:p w14:paraId="0542D8BB" w14:textId="77777777" w:rsidR="009B79E2" w:rsidRPr="009B79E2" w:rsidRDefault="009B79E2" w:rsidP="007C4B17">
            <w:pPr>
              <w:pStyle w:val="Tabletext"/>
            </w:pPr>
          </w:p>
          <w:p w14:paraId="70813F58" w14:textId="77777777" w:rsidR="009B79E2" w:rsidRPr="009B79E2" w:rsidRDefault="009B79E2" w:rsidP="007C4B17">
            <w:pPr>
              <w:pStyle w:val="Tabletext"/>
            </w:pPr>
            <w:r w:rsidRPr="009B79E2">
              <w:t>Discuss on every disagreement.</w:t>
            </w:r>
          </w:p>
        </w:tc>
        <w:tc>
          <w:tcPr>
            <w:tcW w:w="2181" w:type="dxa"/>
          </w:tcPr>
          <w:p w14:paraId="296802C3" w14:textId="3135D76E" w:rsidR="009B79E2" w:rsidRPr="009B79E2" w:rsidRDefault="00EB311E" w:rsidP="007C4B17">
            <w:pPr>
              <w:pStyle w:val="Tabletext"/>
            </w:pPr>
            <w:r w:rsidRPr="00EB311E">
              <w:t>K-agreement coefficient (disagreements were observed in less than 5% of cases)</w:t>
            </w:r>
          </w:p>
        </w:tc>
      </w:tr>
      <w:tr w:rsidR="009B79E2" w:rsidRPr="009B79E2" w14:paraId="7DB102B1" w14:textId="77777777" w:rsidTr="005B5E4B">
        <w:tc>
          <w:tcPr>
            <w:tcW w:w="2184" w:type="dxa"/>
          </w:tcPr>
          <w:p w14:paraId="024A805F" w14:textId="77777777" w:rsidR="009B79E2" w:rsidRPr="009B79E2" w:rsidRDefault="009B79E2" w:rsidP="007C4B17">
            <w:pPr>
              <w:pStyle w:val="Tabletext"/>
            </w:pPr>
            <w:r w:rsidRPr="009B79E2">
              <w:t>Textual data refinement</w:t>
            </w:r>
          </w:p>
        </w:tc>
        <w:tc>
          <w:tcPr>
            <w:tcW w:w="1890" w:type="dxa"/>
          </w:tcPr>
          <w:p w14:paraId="7F2B5F0D" w14:textId="77777777" w:rsidR="009B79E2" w:rsidRPr="009B79E2" w:rsidRDefault="009B79E2" w:rsidP="007C4B17">
            <w:pPr>
              <w:pStyle w:val="Tabletext"/>
            </w:pPr>
            <w:r w:rsidRPr="009B79E2">
              <w:t xml:space="preserve">Recognising in each text extract single units of code. </w:t>
            </w:r>
          </w:p>
          <w:p w14:paraId="3DEA6BD0" w14:textId="77777777" w:rsidR="009B79E2" w:rsidRPr="009B79E2" w:rsidRDefault="009B79E2" w:rsidP="007C4B17">
            <w:pPr>
              <w:pStyle w:val="Tabletext"/>
            </w:pPr>
            <w:r w:rsidRPr="009B79E2">
              <w:t xml:space="preserve">Assign each unit of code to a measurement item. </w:t>
            </w:r>
          </w:p>
        </w:tc>
        <w:tc>
          <w:tcPr>
            <w:tcW w:w="2239" w:type="dxa"/>
          </w:tcPr>
          <w:p w14:paraId="6536DF4E" w14:textId="77777777" w:rsidR="009B79E2" w:rsidRPr="009B79E2" w:rsidRDefault="009B79E2" w:rsidP="007C4B17">
            <w:pPr>
              <w:pStyle w:val="Tabletext"/>
            </w:pPr>
            <w:r w:rsidRPr="009B79E2">
              <w:t>2 authors did the same job into a set of extracts.</w:t>
            </w:r>
          </w:p>
          <w:p w14:paraId="05219DE3" w14:textId="77777777" w:rsidR="009B79E2" w:rsidRPr="009B79E2" w:rsidRDefault="009B79E2" w:rsidP="007C4B17">
            <w:pPr>
              <w:pStyle w:val="Tabletext"/>
            </w:pPr>
          </w:p>
          <w:p w14:paraId="75B2CC2D" w14:textId="77777777" w:rsidR="009B79E2" w:rsidRPr="009B79E2" w:rsidRDefault="009B79E2" w:rsidP="007C4B17">
            <w:pPr>
              <w:pStyle w:val="Tabletext"/>
            </w:pPr>
            <w:proofErr w:type="gramStart"/>
            <w:r w:rsidRPr="009B79E2">
              <w:t>discuss</w:t>
            </w:r>
            <w:proofErr w:type="gramEnd"/>
            <w:r w:rsidRPr="009B79E2">
              <w:t xml:space="preserve"> on every disagreement to reach an agreement.</w:t>
            </w:r>
          </w:p>
        </w:tc>
        <w:tc>
          <w:tcPr>
            <w:tcW w:w="2181" w:type="dxa"/>
          </w:tcPr>
          <w:p w14:paraId="674FDBD2" w14:textId="7C7DF07D" w:rsidR="009B79E2" w:rsidRPr="009B79E2" w:rsidRDefault="00EB311E" w:rsidP="007C4B17">
            <w:pPr>
              <w:pStyle w:val="Tabletext"/>
            </w:pPr>
            <w:r w:rsidRPr="00EB311E">
              <w:t>K-agreement coefficient (disagreements were observed in less than 5% of cases)</w:t>
            </w:r>
          </w:p>
        </w:tc>
      </w:tr>
    </w:tbl>
    <w:p w14:paraId="4CC827C3" w14:textId="4493E32B" w:rsidR="00EB311E" w:rsidRDefault="00EB311E" w:rsidP="00EB311E"/>
    <w:p w14:paraId="787EB592" w14:textId="07404CAB" w:rsidR="00EB311E" w:rsidRDefault="00EB311E" w:rsidP="00EB311E">
      <w:r w:rsidRPr="00EB311E">
        <w:t>As a last step, aggregated construct level scores are built as the sum of the single binary items they represent. As a result, 7 construct level scores were obtained for each company (CMP, CRP, NP, MP, SI, CI, adoption of CE practices). These are all ordinal variables with a range that varies from 0-3, to 0-5. Additional information (mentioned in the previous sub-sections) was the basis for some control variables. The outcome of the whole analysis is a DB with Company Name, Indicators, binary scores assigned to each indicator, and construct level scores.</w:t>
      </w:r>
    </w:p>
    <w:p w14:paraId="7E3054A1" w14:textId="2FD30088" w:rsidR="005B5E4B" w:rsidRDefault="005B5E4B" w:rsidP="005035B4">
      <w:pPr>
        <w:pStyle w:val="Heading3"/>
      </w:pPr>
      <w:bookmarkStart w:id="188" w:name="_Toc157759563"/>
      <w:r w:rsidRPr="005B5E4B">
        <w:t>Statistical analysis</w:t>
      </w:r>
      <w:bookmarkEnd w:id="188"/>
    </w:p>
    <w:p w14:paraId="051BBB32" w14:textId="6B58D5C5" w:rsidR="00EB311E" w:rsidRDefault="00EB311E" w:rsidP="00EB311E">
      <w:r w:rsidRPr="00EB311E">
        <w:t xml:space="preserve">The analysis employs linear regression considering construct level scores. We ensured data validity by utilising measurement scales that are widely accepted in the academic community (Table 1). These 7 ordinal variables were considered as continuous with respect the assumptions of linear </w:t>
      </w:r>
      <w:proofErr w:type="gramStart"/>
      <w:r w:rsidRPr="00EB311E">
        <w:t>regression .</w:t>
      </w:r>
      <w:proofErr w:type="gramEnd"/>
      <w:r w:rsidRPr="00EB311E">
        <w:t xml:space="preserve"> The procedure followed is articulated in Figure 3.</w:t>
      </w:r>
    </w:p>
    <w:p w14:paraId="4A0DCF2A" w14:textId="6D0B60A4" w:rsidR="00EB311E" w:rsidRDefault="00EB311E" w:rsidP="00EB311E">
      <w:r w:rsidRPr="00EB311E">
        <w:t xml:space="preserve">The relationship between IPs and CE was firstly tested, followed by the direct relationship of SCI on CE. As a last thing the indirect effects of SCI on the relationship between IPs and CE were assessed. Indirect effects were measured through a linear regression using the PROCESS macro on </w:t>
      </w:r>
      <w:proofErr w:type="gramStart"/>
      <w:r w:rsidRPr="00EB311E">
        <w:t>SPSS .</w:t>
      </w:r>
      <w:proofErr w:type="gramEnd"/>
      <w:r w:rsidRPr="00EB311E">
        <w:t xml:space="preserve"> Regressions included some control variables. The literature and some interactions with experts have identified some factors that are likely to influence the outcome variable. Control variables are both industry-specific and firm-specific. Specifically, industry-specific variables were captured by two dummy variables. The first one isolates manufacturing companies from all the others, as these companies are more frequently involved in CE actions; the second one isolates service companies, which are typically late-adopters. Firm-specific variables include the type of </w:t>
      </w:r>
      <w:r w:rsidRPr="00EB311E">
        <w:lastRenderedPageBreak/>
        <w:t>ownership (e.g., state-owned vs privately-owned), the geographical location of the headquarters, and the presence of a CS report.</w:t>
      </w:r>
    </w:p>
    <w:p w14:paraId="1C3F755B" w14:textId="77777777" w:rsidR="008F250C" w:rsidRPr="005B5E4B" w:rsidRDefault="008F250C" w:rsidP="008F250C">
      <w:pPr>
        <w:jc w:val="center"/>
      </w:pPr>
      <w:r w:rsidRPr="005B5E4B">
        <w:rPr>
          <w:noProof/>
          <w:lang w:eastAsia="zh-CN"/>
        </w:rPr>
        <w:drawing>
          <wp:inline distT="0" distB="0" distL="0" distR="0" wp14:anchorId="3361BE20" wp14:editId="47C7A685">
            <wp:extent cx="1933303" cy="25971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39328" cy="2605264"/>
                    </a:xfrm>
                    <a:prstGeom prst="rect">
                      <a:avLst/>
                    </a:prstGeom>
                    <a:noFill/>
                    <a:ln>
                      <a:noFill/>
                    </a:ln>
                  </pic:spPr>
                </pic:pic>
              </a:graphicData>
            </a:graphic>
          </wp:inline>
        </w:drawing>
      </w:r>
    </w:p>
    <w:p w14:paraId="4985F701" w14:textId="77777777" w:rsidR="008F250C" w:rsidRPr="005B5E4B" w:rsidRDefault="008F250C" w:rsidP="008F250C">
      <w:pPr>
        <w:pStyle w:val="Figurecaption"/>
      </w:pPr>
      <w:r w:rsidRPr="005B5E4B">
        <w:t>Figure 3 – Data analysis description</w:t>
      </w:r>
    </w:p>
    <w:p w14:paraId="037EC0F1" w14:textId="77777777" w:rsidR="002F6BFD" w:rsidRPr="005A4110" w:rsidRDefault="002F6BFD" w:rsidP="002F6BFD">
      <w:pPr>
        <w:pStyle w:val="Heading2"/>
      </w:pPr>
      <w:bookmarkStart w:id="189" w:name="_Toc157759564"/>
      <w:r w:rsidRPr="005A4110">
        <w:t>Results</w:t>
      </w:r>
      <w:bookmarkEnd w:id="189"/>
      <w:r w:rsidRPr="005A4110">
        <w:t xml:space="preserve"> </w:t>
      </w:r>
    </w:p>
    <w:p w14:paraId="30BC9406" w14:textId="77777777" w:rsidR="002F6BFD" w:rsidRDefault="002F6BFD" w:rsidP="002F6BFD">
      <w:pPr>
        <w:pStyle w:val="Heading3"/>
        <w:rPr>
          <w:lang w:val="en-US"/>
        </w:rPr>
      </w:pPr>
      <w:bookmarkStart w:id="190" w:name="_Toc157759565"/>
      <w:r w:rsidRPr="005A4110">
        <w:rPr>
          <w:lang w:val="en-US"/>
        </w:rPr>
        <w:t>Samp</w:t>
      </w:r>
      <w:r>
        <w:rPr>
          <w:lang w:val="en-US"/>
        </w:rPr>
        <w:t>l</w:t>
      </w:r>
      <w:r w:rsidRPr="005A4110">
        <w:rPr>
          <w:lang w:val="en-US"/>
        </w:rPr>
        <w:t>e characteristics</w:t>
      </w:r>
      <w:bookmarkEnd w:id="190"/>
    </w:p>
    <w:p w14:paraId="28EF96CD" w14:textId="17E96A16" w:rsidR="008F250C" w:rsidRDefault="008F250C" w:rsidP="008F250C">
      <w:pPr>
        <w:rPr>
          <w:lang w:val="en-US"/>
        </w:rPr>
      </w:pPr>
      <w:r w:rsidRPr="008F250C">
        <w:rPr>
          <w:lang w:val="en-US"/>
        </w:rPr>
        <w:t xml:space="preserve">Sectors represented in the sample are shown in Table 3, along with countries of incorporation of the MNEs. Notably, one third of the sample is represented by state-owned companies (including MNEs with some form of State participation). Around half of the MNEs have published a CS report in 2021. </w:t>
      </w:r>
    </w:p>
    <w:p w14:paraId="2365FF9B" w14:textId="18550D1E" w:rsidR="00931D6C" w:rsidRPr="005B5E4B" w:rsidRDefault="00931D6C" w:rsidP="00931D6C">
      <w:pPr>
        <w:pStyle w:val="Figurecaption"/>
      </w:pPr>
      <w:r>
        <w:t>Table 3</w:t>
      </w:r>
      <w:r w:rsidRPr="005B5E4B">
        <w:t xml:space="preserve"> – Sample </w:t>
      </w:r>
      <w:proofErr w:type="spellStart"/>
      <w:r w:rsidRPr="005B5E4B">
        <w:t>descriptives</w:t>
      </w:r>
      <w:proofErr w:type="spellEnd"/>
      <w:r w:rsidRPr="005B5E4B">
        <w:t xml:space="preserve"> (n=150) </w:t>
      </w:r>
    </w:p>
    <w:tbl>
      <w:tblPr>
        <w:tblStyle w:val="TableGrid5"/>
        <w:tblW w:w="0" w:type="auto"/>
        <w:jc w:val="center"/>
        <w:tblLook w:val="04A0" w:firstRow="1" w:lastRow="0" w:firstColumn="1" w:lastColumn="0" w:noHBand="0" w:noVBand="1"/>
      </w:tblPr>
      <w:tblGrid>
        <w:gridCol w:w="3079"/>
        <w:gridCol w:w="587"/>
        <w:gridCol w:w="1164"/>
      </w:tblGrid>
      <w:tr w:rsidR="00931D6C" w:rsidRPr="005B5E4B" w14:paraId="2582FF3C" w14:textId="77777777" w:rsidTr="00931D6C">
        <w:trPr>
          <w:jc w:val="center"/>
        </w:trPr>
        <w:tc>
          <w:tcPr>
            <w:tcW w:w="0" w:type="auto"/>
          </w:tcPr>
          <w:p w14:paraId="1B0B93A2" w14:textId="77777777" w:rsidR="00931D6C" w:rsidRPr="005B5E4B" w:rsidRDefault="00931D6C" w:rsidP="00931D6C">
            <w:pPr>
              <w:pStyle w:val="Tabletext"/>
            </w:pPr>
            <w:r w:rsidRPr="005B5E4B">
              <w:t>Variable</w:t>
            </w:r>
          </w:p>
        </w:tc>
        <w:tc>
          <w:tcPr>
            <w:tcW w:w="586" w:type="dxa"/>
          </w:tcPr>
          <w:p w14:paraId="262B7BC7" w14:textId="77777777" w:rsidR="00931D6C" w:rsidRPr="005B5E4B" w:rsidRDefault="00931D6C" w:rsidP="00931D6C">
            <w:pPr>
              <w:pStyle w:val="Tabletext"/>
            </w:pPr>
            <w:r w:rsidRPr="005B5E4B">
              <w:t>n</w:t>
            </w:r>
          </w:p>
        </w:tc>
        <w:tc>
          <w:tcPr>
            <w:tcW w:w="0" w:type="auto"/>
          </w:tcPr>
          <w:p w14:paraId="6D385788" w14:textId="77777777" w:rsidR="00931D6C" w:rsidRPr="005B5E4B" w:rsidRDefault="00931D6C" w:rsidP="00931D6C">
            <w:pPr>
              <w:pStyle w:val="Tabletext"/>
            </w:pPr>
            <w:r w:rsidRPr="005B5E4B">
              <w:t>Proportion</w:t>
            </w:r>
          </w:p>
        </w:tc>
      </w:tr>
      <w:tr w:rsidR="00931D6C" w:rsidRPr="005B5E4B" w14:paraId="16364947" w14:textId="77777777" w:rsidTr="00931D6C">
        <w:trPr>
          <w:trHeight w:val="70"/>
          <w:jc w:val="center"/>
        </w:trPr>
        <w:tc>
          <w:tcPr>
            <w:tcW w:w="4830" w:type="dxa"/>
            <w:gridSpan w:val="3"/>
          </w:tcPr>
          <w:p w14:paraId="2D8659F8" w14:textId="77777777" w:rsidR="00931D6C" w:rsidRPr="005B5E4B" w:rsidRDefault="00931D6C" w:rsidP="00931D6C">
            <w:pPr>
              <w:pStyle w:val="Tabletext"/>
            </w:pPr>
            <w:r w:rsidRPr="005B5E4B">
              <w:t>Industry</w:t>
            </w:r>
          </w:p>
        </w:tc>
      </w:tr>
      <w:tr w:rsidR="00931D6C" w:rsidRPr="005B5E4B" w14:paraId="348B3EB3" w14:textId="77777777" w:rsidTr="00931D6C">
        <w:trPr>
          <w:jc w:val="center"/>
        </w:trPr>
        <w:tc>
          <w:tcPr>
            <w:tcW w:w="0" w:type="auto"/>
          </w:tcPr>
          <w:p w14:paraId="3BA5D587" w14:textId="77777777" w:rsidR="00931D6C" w:rsidRPr="005B5E4B" w:rsidRDefault="00931D6C" w:rsidP="00931D6C">
            <w:pPr>
              <w:pStyle w:val="Tabletext"/>
            </w:pPr>
            <w:r w:rsidRPr="005B5E4B">
              <w:t>Services</w:t>
            </w:r>
          </w:p>
        </w:tc>
        <w:tc>
          <w:tcPr>
            <w:tcW w:w="586" w:type="dxa"/>
          </w:tcPr>
          <w:p w14:paraId="63FD6060" w14:textId="77777777" w:rsidR="00931D6C" w:rsidRPr="005B5E4B" w:rsidRDefault="00931D6C" w:rsidP="00931D6C">
            <w:pPr>
              <w:pStyle w:val="Tabletext"/>
            </w:pPr>
            <w:r w:rsidRPr="005B5E4B">
              <w:t>55</w:t>
            </w:r>
          </w:p>
        </w:tc>
        <w:tc>
          <w:tcPr>
            <w:tcW w:w="0" w:type="auto"/>
          </w:tcPr>
          <w:p w14:paraId="0A6735E5" w14:textId="77777777" w:rsidR="00931D6C" w:rsidRPr="005B5E4B" w:rsidRDefault="00931D6C" w:rsidP="00931D6C">
            <w:pPr>
              <w:pStyle w:val="Tabletext"/>
            </w:pPr>
            <w:r w:rsidRPr="005B5E4B">
              <w:t>37%</w:t>
            </w:r>
          </w:p>
        </w:tc>
      </w:tr>
      <w:tr w:rsidR="00931D6C" w:rsidRPr="005B5E4B" w14:paraId="3981BEFD" w14:textId="77777777" w:rsidTr="00931D6C">
        <w:trPr>
          <w:jc w:val="center"/>
        </w:trPr>
        <w:tc>
          <w:tcPr>
            <w:tcW w:w="0" w:type="auto"/>
          </w:tcPr>
          <w:p w14:paraId="5CF12ED2" w14:textId="77777777" w:rsidR="00931D6C" w:rsidRPr="005B5E4B" w:rsidRDefault="00931D6C" w:rsidP="00931D6C">
            <w:pPr>
              <w:pStyle w:val="Tabletext"/>
            </w:pPr>
            <w:r w:rsidRPr="005B5E4B">
              <w:t>Manufacturing</w:t>
            </w:r>
          </w:p>
        </w:tc>
        <w:tc>
          <w:tcPr>
            <w:tcW w:w="586" w:type="dxa"/>
          </w:tcPr>
          <w:p w14:paraId="2B9E074E" w14:textId="77777777" w:rsidR="00931D6C" w:rsidRPr="005B5E4B" w:rsidRDefault="00931D6C" w:rsidP="00931D6C">
            <w:pPr>
              <w:pStyle w:val="Tabletext"/>
            </w:pPr>
            <w:r w:rsidRPr="005B5E4B">
              <w:t>36</w:t>
            </w:r>
          </w:p>
        </w:tc>
        <w:tc>
          <w:tcPr>
            <w:tcW w:w="0" w:type="auto"/>
          </w:tcPr>
          <w:p w14:paraId="688B0D15" w14:textId="77777777" w:rsidR="00931D6C" w:rsidRPr="005B5E4B" w:rsidRDefault="00931D6C" w:rsidP="00931D6C">
            <w:pPr>
              <w:pStyle w:val="Tabletext"/>
            </w:pPr>
            <w:r w:rsidRPr="005B5E4B">
              <w:t>24%</w:t>
            </w:r>
          </w:p>
        </w:tc>
      </w:tr>
      <w:tr w:rsidR="00931D6C" w:rsidRPr="005B5E4B" w14:paraId="101D61C6" w14:textId="77777777" w:rsidTr="00931D6C">
        <w:trPr>
          <w:jc w:val="center"/>
        </w:trPr>
        <w:tc>
          <w:tcPr>
            <w:tcW w:w="0" w:type="auto"/>
          </w:tcPr>
          <w:p w14:paraId="4188BA04" w14:textId="77777777" w:rsidR="00931D6C" w:rsidRPr="005B5E4B" w:rsidRDefault="00931D6C" w:rsidP="00931D6C">
            <w:pPr>
              <w:pStyle w:val="Tabletext"/>
            </w:pPr>
            <w:r w:rsidRPr="005B5E4B">
              <w:t>Energy</w:t>
            </w:r>
          </w:p>
        </w:tc>
        <w:tc>
          <w:tcPr>
            <w:tcW w:w="586" w:type="dxa"/>
          </w:tcPr>
          <w:p w14:paraId="3554F795" w14:textId="77777777" w:rsidR="00931D6C" w:rsidRPr="005B5E4B" w:rsidRDefault="00931D6C" w:rsidP="00931D6C">
            <w:pPr>
              <w:pStyle w:val="Tabletext"/>
            </w:pPr>
            <w:r w:rsidRPr="005B5E4B">
              <w:t>28</w:t>
            </w:r>
          </w:p>
        </w:tc>
        <w:tc>
          <w:tcPr>
            <w:tcW w:w="0" w:type="auto"/>
          </w:tcPr>
          <w:p w14:paraId="17AAD796" w14:textId="77777777" w:rsidR="00931D6C" w:rsidRPr="005B5E4B" w:rsidRDefault="00931D6C" w:rsidP="00931D6C">
            <w:pPr>
              <w:pStyle w:val="Tabletext"/>
            </w:pPr>
            <w:r w:rsidRPr="005B5E4B">
              <w:t>19%</w:t>
            </w:r>
          </w:p>
        </w:tc>
      </w:tr>
      <w:tr w:rsidR="00931D6C" w:rsidRPr="005B5E4B" w14:paraId="7D8F2060" w14:textId="77777777" w:rsidTr="00931D6C">
        <w:trPr>
          <w:jc w:val="center"/>
        </w:trPr>
        <w:tc>
          <w:tcPr>
            <w:tcW w:w="0" w:type="auto"/>
          </w:tcPr>
          <w:p w14:paraId="523C98F5" w14:textId="77777777" w:rsidR="00931D6C" w:rsidRPr="005B5E4B" w:rsidRDefault="00931D6C" w:rsidP="00931D6C">
            <w:pPr>
              <w:pStyle w:val="Tabletext"/>
            </w:pPr>
            <w:r w:rsidRPr="005B5E4B">
              <w:t>Agri-food</w:t>
            </w:r>
          </w:p>
        </w:tc>
        <w:tc>
          <w:tcPr>
            <w:tcW w:w="586" w:type="dxa"/>
          </w:tcPr>
          <w:p w14:paraId="79C4D966" w14:textId="77777777" w:rsidR="00931D6C" w:rsidRPr="005B5E4B" w:rsidRDefault="00931D6C" w:rsidP="00931D6C">
            <w:pPr>
              <w:pStyle w:val="Tabletext"/>
            </w:pPr>
            <w:r w:rsidRPr="005B5E4B">
              <w:t>13</w:t>
            </w:r>
          </w:p>
        </w:tc>
        <w:tc>
          <w:tcPr>
            <w:tcW w:w="0" w:type="auto"/>
          </w:tcPr>
          <w:p w14:paraId="0FD51B90" w14:textId="77777777" w:rsidR="00931D6C" w:rsidRPr="005B5E4B" w:rsidRDefault="00931D6C" w:rsidP="00931D6C">
            <w:pPr>
              <w:pStyle w:val="Tabletext"/>
            </w:pPr>
            <w:r w:rsidRPr="005B5E4B">
              <w:t>9%</w:t>
            </w:r>
          </w:p>
        </w:tc>
      </w:tr>
      <w:tr w:rsidR="00931D6C" w:rsidRPr="005B5E4B" w14:paraId="0F8C9280" w14:textId="77777777" w:rsidTr="00931D6C">
        <w:trPr>
          <w:jc w:val="center"/>
        </w:trPr>
        <w:tc>
          <w:tcPr>
            <w:tcW w:w="0" w:type="auto"/>
          </w:tcPr>
          <w:p w14:paraId="76DA047F" w14:textId="77777777" w:rsidR="00931D6C" w:rsidRPr="005B5E4B" w:rsidRDefault="00931D6C" w:rsidP="00931D6C">
            <w:pPr>
              <w:pStyle w:val="Tabletext"/>
            </w:pPr>
            <w:r w:rsidRPr="005B5E4B">
              <w:t>Materials</w:t>
            </w:r>
          </w:p>
        </w:tc>
        <w:tc>
          <w:tcPr>
            <w:tcW w:w="586" w:type="dxa"/>
          </w:tcPr>
          <w:p w14:paraId="24EB85A2" w14:textId="77777777" w:rsidR="00931D6C" w:rsidRPr="005B5E4B" w:rsidRDefault="00931D6C" w:rsidP="00931D6C">
            <w:pPr>
              <w:pStyle w:val="Tabletext"/>
            </w:pPr>
            <w:r w:rsidRPr="005B5E4B">
              <w:t>7</w:t>
            </w:r>
          </w:p>
        </w:tc>
        <w:tc>
          <w:tcPr>
            <w:tcW w:w="0" w:type="auto"/>
          </w:tcPr>
          <w:p w14:paraId="7A725750" w14:textId="77777777" w:rsidR="00931D6C" w:rsidRPr="005B5E4B" w:rsidRDefault="00931D6C" w:rsidP="00931D6C">
            <w:pPr>
              <w:pStyle w:val="Tabletext"/>
            </w:pPr>
            <w:r w:rsidRPr="005B5E4B">
              <w:t>5%</w:t>
            </w:r>
          </w:p>
        </w:tc>
      </w:tr>
      <w:tr w:rsidR="00931D6C" w:rsidRPr="005B5E4B" w14:paraId="7617D334" w14:textId="77777777" w:rsidTr="00931D6C">
        <w:trPr>
          <w:jc w:val="center"/>
        </w:trPr>
        <w:tc>
          <w:tcPr>
            <w:tcW w:w="0" w:type="auto"/>
          </w:tcPr>
          <w:p w14:paraId="1EDCE47C" w14:textId="77777777" w:rsidR="00931D6C" w:rsidRPr="005B5E4B" w:rsidRDefault="00931D6C" w:rsidP="00931D6C">
            <w:pPr>
              <w:pStyle w:val="Tabletext"/>
            </w:pPr>
            <w:r w:rsidRPr="005B5E4B">
              <w:t>Construction</w:t>
            </w:r>
          </w:p>
        </w:tc>
        <w:tc>
          <w:tcPr>
            <w:tcW w:w="586" w:type="dxa"/>
          </w:tcPr>
          <w:p w14:paraId="1B36346D" w14:textId="77777777" w:rsidR="00931D6C" w:rsidRPr="005B5E4B" w:rsidRDefault="00931D6C" w:rsidP="00931D6C">
            <w:pPr>
              <w:pStyle w:val="Tabletext"/>
            </w:pPr>
            <w:r w:rsidRPr="005B5E4B">
              <w:t>7</w:t>
            </w:r>
          </w:p>
        </w:tc>
        <w:tc>
          <w:tcPr>
            <w:tcW w:w="0" w:type="auto"/>
          </w:tcPr>
          <w:p w14:paraId="0986091A" w14:textId="77777777" w:rsidR="00931D6C" w:rsidRPr="005B5E4B" w:rsidRDefault="00931D6C" w:rsidP="00931D6C">
            <w:pPr>
              <w:pStyle w:val="Tabletext"/>
            </w:pPr>
            <w:r w:rsidRPr="005B5E4B">
              <w:t>5%</w:t>
            </w:r>
          </w:p>
        </w:tc>
      </w:tr>
      <w:tr w:rsidR="00931D6C" w:rsidRPr="005B5E4B" w14:paraId="32088C7F" w14:textId="77777777" w:rsidTr="00931D6C">
        <w:trPr>
          <w:jc w:val="center"/>
        </w:trPr>
        <w:tc>
          <w:tcPr>
            <w:tcW w:w="0" w:type="auto"/>
          </w:tcPr>
          <w:p w14:paraId="0B0E6AE7" w14:textId="77777777" w:rsidR="00931D6C" w:rsidRPr="005B5E4B" w:rsidRDefault="00931D6C" w:rsidP="00931D6C">
            <w:pPr>
              <w:pStyle w:val="Tabletext"/>
            </w:pPr>
            <w:r w:rsidRPr="005B5E4B">
              <w:t>Conglomerates</w:t>
            </w:r>
          </w:p>
        </w:tc>
        <w:tc>
          <w:tcPr>
            <w:tcW w:w="586" w:type="dxa"/>
          </w:tcPr>
          <w:p w14:paraId="4327E0E2" w14:textId="77777777" w:rsidR="00931D6C" w:rsidRPr="005B5E4B" w:rsidRDefault="00931D6C" w:rsidP="00931D6C">
            <w:pPr>
              <w:pStyle w:val="Tabletext"/>
            </w:pPr>
            <w:r w:rsidRPr="005B5E4B">
              <w:t>4</w:t>
            </w:r>
          </w:p>
        </w:tc>
        <w:tc>
          <w:tcPr>
            <w:tcW w:w="0" w:type="auto"/>
          </w:tcPr>
          <w:p w14:paraId="6BEB0415" w14:textId="77777777" w:rsidR="00931D6C" w:rsidRPr="005B5E4B" w:rsidRDefault="00931D6C" w:rsidP="00931D6C">
            <w:pPr>
              <w:pStyle w:val="Tabletext"/>
            </w:pPr>
            <w:r w:rsidRPr="005B5E4B">
              <w:t>3%</w:t>
            </w:r>
          </w:p>
        </w:tc>
      </w:tr>
      <w:tr w:rsidR="00931D6C" w:rsidRPr="005B5E4B" w14:paraId="3A1FD572" w14:textId="77777777" w:rsidTr="00931D6C">
        <w:trPr>
          <w:jc w:val="center"/>
        </w:trPr>
        <w:tc>
          <w:tcPr>
            <w:tcW w:w="4830" w:type="dxa"/>
            <w:gridSpan w:val="3"/>
          </w:tcPr>
          <w:p w14:paraId="0D02A926" w14:textId="77777777" w:rsidR="00931D6C" w:rsidRPr="005B5E4B" w:rsidRDefault="00931D6C" w:rsidP="00931D6C">
            <w:pPr>
              <w:pStyle w:val="Tabletext"/>
            </w:pPr>
            <w:r w:rsidRPr="005B5E4B">
              <w:t>Report type</w:t>
            </w:r>
          </w:p>
        </w:tc>
      </w:tr>
      <w:tr w:rsidR="00931D6C" w:rsidRPr="005B5E4B" w14:paraId="674E8546" w14:textId="77777777" w:rsidTr="00931D6C">
        <w:trPr>
          <w:jc w:val="center"/>
        </w:trPr>
        <w:tc>
          <w:tcPr>
            <w:tcW w:w="0" w:type="auto"/>
          </w:tcPr>
          <w:p w14:paraId="724C4A8E" w14:textId="77777777" w:rsidR="00931D6C" w:rsidRPr="005B5E4B" w:rsidRDefault="00931D6C" w:rsidP="00931D6C">
            <w:pPr>
              <w:pStyle w:val="Tabletext"/>
            </w:pPr>
            <w:r w:rsidRPr="005B5E4B">
              <w:t>Sustainability Report</w:t>
            </w:r>
          </w:p>
        </w:tc>
        <w:tc>
          <w:tcPr>
            <w:tcW w:w="586" w:type="dxa"/>
          </w:tcPr>
          <w:p w14:paraId="73D5291C" w14:textId="77777777" w:rsidR="00931D6C" w:rsidRPr="005B5E4B" w:rsidRDefault="00931D6C" w:rsidP="00931D6C">
            <w:pPr>
              <w:pStyle w:val="Tabletext"/>
            </w:pPr>
            <w:r w:rsidRPr="005B5E4B">
              <w:t>75</w:t>
            </w:r>
          </w:p>
        </w:tc>
        <w:tc>
          <w:tcPr>
            <w:tcW w:w="0" w:type="auto"/>
          </w:tcPr>
          <w:p w14:paraId="53971D5E" w14:textId="77777777" w:rsidR="00931D6C" w:rsidRPr="005B5E4B" w:rsidRDefault="00931D6C" w:rsidP="00931D6C">
            <w:pPr>
              <w:pStyle w:val="Tabletext"/>
            </w:pPr>
            <w:r w:rsidRPr="005B5E4B">
              <w:t>50%</w:t>
            </w:r>
          </w:p>
        </w:tc>
      </w:tr>
      <w:tr w:rsidR="00931D6C" w:rsidRPr="005B5E4B" w14:paraId="1F3CD8C4" w14:textId="77777777" w:rsidTr="00931D6C">
        <w:trPr>
          <w:jc w:val="center"/>
        </w:trPr>
        <w:tc>
          <w:tcPr>
            <w:tcW w:w="0" w:type="auto"/>
          </w:tcPr>
          <w:p w14:paraId="4A5BBE5F" w14:textId="77777777" w:rsidR="00931D6C" w:rsidRPr="005B5E4B" w:rsidRDefault="00931D6C" w:rsidP="00931D6C">
            <w:pPr>
              <w:pStyle w:val="Tabletext"/>
            </w:pPr>
            <w:r w:rsidRPr="005B5E4B">
              <w:t>ESG report</w:t>
            </w:r>
          </w:p>
        </w:tc>
        <w:tc>
          <w:tcPr>
            <w:tcW w:w="586" w:type="dxa"/>
          </w:tcPr>
          <w:p w14:paraId="3CA32A96" w14:textId="77777777" w:rsidR="00931D6C" w:rsidRPr="005B5E4B" w:rsidRDefault="00931D6C" w:rsidP="00931D6C">
            <w:pPr>
              <w:pStyle w:val="Tabletext"/>
            </w:pPr>
            <w:r w:rsidRPr="005B5E4B">
              <w:t>25</w:t>
            </w:r>
          </w:p>
        </w:tc>
        <w:tc>
          <w:tcPr>
            <w:tcW w:w="0" w:type="auto"/>
          </w:tcPr>
          <w:p w14:paraId="5AA5A1CB" w14:textId="77777777" w:rsidR="00931D6C" w:rsidRPr="005B5E4B" w:rsidRDefault="00931D6C" w:rsidP="00931D6C">
            <w:pPr>
              <w:pStyle w:val="Tabletext"/>
            </w:pPr>
            <w:r w:rsidRPr="005B5E4B">
              <w:t>17%</w:t>
            </w:r>
          </w:p>
        </w:tc>
      </w:tr>
      <w:tr w:rsidR="00931D6C" w:rsidRPr="005B5E4B" w14:paraId="6AF56A40" w14:textId="77777777" w:rsidTr="00931D6C">
        <w:trPr>
          <w:jc w:val="center"/>
        </w:trPr>
        <w:tc>
          <w:tcPr>
            <w:tcW w:w="0" w:type="auto"/>
          </w:tcPr>
          <w:p w14:paraId="7C549FE1" w14:textId="77777777" w:rsidR="00931D6C" w:rsidRPr="005B5E4B" w:rsidRDefault="00931D6C" w:rsidP="00931D6C">
            <w:pPr>
              <w:pStyle w:val="Tabletext"/>
            </w:pPr>
            <w:r w:rsidRPr="005B5E4B">
              <w:t>CSR report</w:t>
            </w:r>
          </w:p>
        </w:tc>
        <w:tc>
          <w:tcPr>
            <w:tcW w:w="586" w:type="dxa"/>
          </w:tcPr>
          <w:p w14:paraId="55868248" w14:textId="77777777" w:rsidR="00931D6C" w:rsidRPr="005B5E4B" w:rsidRDefault="00931D6C" w:rsidP="00931D6C">
            <w:pPr>
              <w:pStyle w:val="Tabletext"/>
            </w:pPr>
            <w:r w:rsidRPr="005B5E4B">
              <w:t>20</w:t>
            </w:r>
          </w:p>
        </w:tc>
        <w:tc>
          <w:tcPr>
            <w:tcW w:w="0" w:type="auto"/>
          </w:tcPr>
          <w:p w14:paraId="2440F4A0" w14:textId="77777777" w:rsidR="00931D6C" w:rsidRPr="005B5E4B" w:rsidRDefault="00931D6C" w:rsidP="00931D6C">
            <w:pPr>
              <w:pStyle w:val="Tabletext"/>
            </w:pPr>
            <w:r w:rsidRPr="005B5E4B">
              <w:t>13%</w:t>
            </w:r>
          </w:p>
        </w:tc>
      </w:tr>
      <w:tr w:rsidR="00931D6C" w:rsidRPr="005B5E4B" w14:paraId="09AC15B8" w14:textId="77777777" w:rsidTr="00931D6C">
        <w:trPr>
          <w:jc w:val="center"/>
        </w:trPr>
        <w:tc>
          <w:tcPr>
            <w:tcW w:w="0" w:type="auto"/>
          </w:tcPr>
          <w:p w14:paraId="63FA0811" w14:textId="77777777" w:rsidR="00931D6C" w:rsidRPr="005B5E4B" w:rsidRDefault="00931D6C" w:rsidP="00931D6C">
            <w:pPr>
              <w:pStyle w:val="Tabletext"/>
            </w:pPr>
            <w:r w:rsidRPr="005B5E4B">
              <w:t>Annual report</w:t>
            </w:r>
          </w:p>
        </w:tc>
        <w:tc>
          <w:tcPr>
            <w:tcW w:w="586" w:type="dxa"/>
          </w:tcPr>
          <w:p w14:paraId="0A1466E5" w14:textId="77777777" w:rsidR="00931D6C" w:rsidRPr="005B5E4B" w:rsidRDefault="00931D6C" w:rsidP="00931D6C">
            <w:pPr>
              <w:pStyle w:val="Tabletext"/>
            </w:pPr>
            <w:r w:rsidRPr="005B5E4B">
              <w:t>13</w:t>
            </w:r>
          </w:p>
        </w:tc>
        <w:tc>
          <w:tcPr>
            <w:tcW w:w="0" w:type="auto"/>
          </w:tcPr>
          <w:p w14:paraId="4BBC1630" w14:textId="77777777" w:rsidR="00931D6C" w:rsidRPr="005B5E4B" w:rsidRDefault="00931D6C" w:rsidP="00931D6C">
            <w:pPr>
              <w:pStyle w:val="Tabletext"/>
            </w:pPr>
            <w:r w:rsidRPr="005B5E4B">
              <w:t>9%</w:t>
            </w:r>
          </w:p>
        </w:tc>
      </w:tr>
      <w:tr w:rsidR="00931D6C" w:rsidRPr="005B5E4B" w14:paraId="7E2F19EA" w14:textId="77777777" w:rsidTr="00931D6C">
        <w:trPr>
          <w:jc w:val="center"/>
        </w:trPr>
        <w:tc>
          <w:tcPr>
            <w:tcW w:w="0" w:type="auto"/>
          </w:tcPr>
          <w:p w14:paraId="29C9E500" w14:textId="77777777" w:rsidR="00931D6C" w:rsidRPr="005B5E4B" w:rsidRDefault="00931D6C" w:rsidP="00931D6C">
            <w:pPr>
              <w:pStyle w:val="Tabletext"/>
            </w:pPr>
            <w:r w:rsidRPr="005B5E4B">
              <w:t>Integrated report</w:t>
            </w:r>
          </w:p>
        </w:tc>
        <w:tc>
          <w:tcPr>
            <w:tcW w:w="586" w:type="dxa"/>
          </w:tcPr>
          <w:p w14:paraId="4162EA78" w14:textId="77777777" w:rsidR="00931D6C" w:rsidRPr="005B5E4B" w:rsidRDefault="00931D6C" w:rsidP="00931D6C">
            <w:pPr>
              <w:pStyle w:val="Tabletext"/>
            </w:pPr>
            <w:r w:rsidRPr="005B5E4B">
              <w:t>11</w:t>
            </w:r>
          </w:p>
        </w:tc>
        <w:tc>
          <w:tcPr>
            <w:tcW w:w="0" w:type="auto"/>
          </w:tcPr>
          <w:p w14:paraId="0AC9E3A6" w14:textId="77777777" w:rsidR="00931D6C" w:rsidRPr="005B5E4B" w:rsidRDefault="00931D6C" w:rsidP="00931D6C">
            <w:pPr>
              <w:pStyle w:val="Tabletext"/>
            </w:pPr>
            <w:r w:rsidRPr="005B5E4B">
              <w:t>7%</w:t>
            </w:r>
          </w:p>
        </w:tc>
      </w:tr>
      <w:tr w:rsidR="00931D6C" w:rsidRPr="005B5E4B" w14:paraId="49FF6463" w14:textId="77777777" w:rsidTr="00931D6C">
        <w:trPr>
          <w:jc w:val="center"/>
        </w:trPr>
        <w:tc>
          <w:tcPr>
            <w:tcW w:w="0" w:type="auto"/>
          </w:tcPr>
          <w:p w14:paraId="70021234" w14:textId="77777777" w:rsidR="00931D6C" w:rsidRPr="005B5E4B" w:rsidRDefault="00931D6C" w:rsidP="00931D6C">
            <w:pPr>
              <w:pStyle w:val="Tabletext"/>
            </w:pPr>
            <w:r w:rsidRPr="005B5E4B">
              <w:lastRenderedPageBreak/>
              <w:t>Universal Registration Document</w:t>
            </w:r>
          </w:p>
        </w:tc>
        <w:tc>
          <w:tcPr>
            <w:tcW w:w="586" w:type="dxa"/>
          </w:tcPr>
          <w:p w14:paraId="1A8139D2" w14:textId="77777777" w:rsidR="00931D6C" w:rsidRPr="005B5E4B" w:rsidRDefault="00931D6C" w:rsidP="00931D6C">
            <w:pPr>
              <w:pStyle w:val="Tabletext"/>
            </w:pPr>
            <w:r w:rsidRPr="005B5E4B">
              <w:t>5</w:t>
            </w:r>
          </w:p>
        </w:tc>
        <w:tc>
          <w:tcPr>
            <w:tcW w:w="0" w:type="auto"/>
          </w:tcPr>
          <w:p w14:paraId="6A93FA8A" w14:textId="77777777" w:rsidR="00931D6C" w:rsidRPr="005B5E4B" w:rsidRDefault="00931D6C" w:rsidP="00931D6C">
            <w:pPr>
              <w:pStyle w:val="Tabletext"/>
            </w:pPr>
            <w:r w:rsidRPr="005B5E4B">
              <w:t>3%</w:t>
            </w:r>
          </w:p>
        </w:tc>
      </w:tr>
      <w:tr w:rsidR="00931D6C" w:rsidRPr="005B5E4B" w14:paraId="73F4E245" w14:textId="77777777" w:rsidTr="00931D6C">
        <w:trPr>
          <w:jc w:val="center"/>
        </w:trPr>
        <w:tc>
          <w:tcPr>
            <w:tcW w:w="0" w:type="auto"/>
          </w:tcPr>
          <w:p w14:paraId="65BB0527" w14:textId="77777777" w:rsidR="00931D6C" w:rsidRPr="005B5E4B" w:rsidRDefault="00931D6C" w:rsidP="00931D6C">
            <w:pPr>
              <w:pStyle w:val="Tabletext"/>
            </w:pPr>
            <w:r w:rsidRPr="005B5E4B">
              <w:t>Climate report</w:t>
            </w:r>
          </w:p>
        </w:tc>
        <w:tc>
          <w:tcPr>
            <w:tcW w:w="586" w:type="dxa"/>
          </w:tcPr>
          <w:p w14:paraId="52C1852E" w14:textId="77777777" w:rsidR="00931D6C" w:rsidRPr="005B5E4B" w:rsidRDefault="00931D6C" w:rsidP="00931D6C">
            <w:pPr>
              <w:pStyle w:val="Tabletext"/>
            </w:pPr>
            <w:r w:rsidRPr="005B5E4B">
              <w:t>1</w:t>
            </w:r>
          </w:p>
        </w:tc>
        <w:tc>
          <w:tcPr>
            <w:tcW w:w="0" w:type="auto"/>
          </w:tcPr>
          <w:p w14:paraId="651F11A5" w14:textId="77777777" w:rsidR="00931D6C" w:rsidRPr="005B5E4B" w:rsidRDefault="00931D6C" w:rsidP="00931D6C">
            <w:pPr>
              <w:pStyle w:val="Tabletext"/>
            </w:pPr>
            <w:r w:rsidRPr="005B5E4B">
              <w:t>1%</w:t>
            </w:r>
          </w:p>
        </w:tc>
      </w:tr>
      <w:tr w:rsidR="00931D6C" w:rsidRPr="005B5E4B" w14:paraId="5D7E771B" w14:textId="77777777" w:rsidTr="00931D6C">
        <w:trPr>
          <w:jc w:val="center"/>
        </w:trPr>
        <w:tc>
          <w:tcPr>
            <w:tcW w:w="4830" w:type="dxa"/>
            <w:gridSpan w:val="3"/>
          </w:tcPr>
          <w:p w14:paraId="14997086" w14:textId="77777777" w:rsidR="00931D6C" w:rsidRPr="005B5E4B" w:rsidRDefault="00931D6C" w:rsidP="00931D6C">
            <w:pPr>
              <w:pStyle w:val="Tabletext"/>
            </w:pPr>
            <w:r w:rsidRPr="005B5E4B">
              <w:t>Property</w:t>
            </w:r>
          </w:p>
        </w:tc>
      </w:tr>
      <w:tr w:rsidR="00931D6C" w:rsidRPr="005B5E4B" w14:paraId="5320B831" w14:textId="77777777" w:rsidTr="00931D6C">
        <w:trPr>
          <w:jc w:val="center"/>
        </w:trPr>
        <w:tc>
          <w:tcPr>
            <w:tcW w:w="0" w:type="auto"/>
          </w:tcPr>
          <w:p w14:paraId="57AC2A03" w14:textId="77777777" w:rsidR="00931D6C" w:rsidRPr="005B5E4B" w:rsidRDefault="00931D6C" w:rsidP="00931D6C">
            <w:pPr>
              <w:pStyle w:val="Tabletext"/>
            </w:pPr>
            <w:r w:rsidRPr="005B5E4B">
              <w:t>Private</w:t>
            </w:r>
          </w:p>
        </w:tc>
        <w:tc>
          <w:tcPr>
            <w:tcW w:w="586" w:type="dxa"/>
          </w:tcPr>
          <w:p w14:paraId="02D4A1D1" w14:textId="77777777" w:rsidR="00931D6C" w:rsidRPr="005B5E4B" w:rsidRDefault="00931D6C" w:rsidP="00931D6C">
            <w:pPr>
              <w:pStyle w:val="Tabletext"/>
              <w:rPr>
                <w:color w:val="000000"/>
              </w:rPr>
            </w:pPr>
            <w:r w:rsidRPr="005B5E4B">
              <w:t>92</w:t>
            </w:r>
          </w:p>
        </w:tc>
        <w:tc>
          <w:tcPr>
            <w:tcW w:w="0" w:type="auto"/>
          </w:tcPr>
          <w:p w14:paraId="3250718B" w14:textId="77777777" w:rsidR="00931D6C" w:rsidRPr="005B5E4B" w:rsidRDefault="00931D6C" w:rsidP="00931D6C">
            <w:pPr>
              <w:pStyle w:val="Tabletext"/>
            </w:pPr>
            <w:r w:rsidRPr="005B5E4B">
              <w:t>61%</w:t>
            </w:r>
          </w:p>
        </w:tc>
      </w:tr>
      <w:tr w:rsidR="00931D6C" w:rsidRPr="005B5E4B" w14:paraId="2D4DB2A9" w14:textId="77777777" w:rsidTr="00931D6C">
        <w:trPr>
          <w:jc w:val="center"/>
        </w:trPr>
        <w:tc>
          <w:tcPr>
            <w:tcW w:w="0" w:type="auto"/>
          </w:tcPr>
          <w:p w14:paraId="2947005A" w14:textId="77777777" w:rsidR="00931D6C" w:rsidRPr="005B5E4B" w:rsidRDefault="00931D6C" w:rsidP="00931D6C">
            <w:pPr>
              <w:pStyle w:val="Tabletext"/>
            </w:pPr>
            <w:r w:rsidRPr="005B5E4B">
              <w:t>State-owned</w:t>
            </w:r>
          </w:p>
        </w:tc>
        <w:tc>
          <w:tcPr>
            <w:tcW w:w="586" w:type="dxa"/>
          </w:tcPr>
          <w:p w14:paraId="23E53A4A" w14:textId="77777777" w:rsidR="00931D6C" w:rsidRPr="005B5E4B" w:rsidRDefault="00931D6C" w:rsidP="00931D6C">
            <w:pPr>
              <w:pStyle w:val="Tabletext"/>
              <w:rPr>
                <w:color w:val="000000"/>
              </w:rPr>
            </w:pPr>
            <w:r w:rsidRPr="005B5E4B">
              <w:t>58</w:t>
            </w:r>
          </w:p>
        </w:tc>
        <w:tc>
          <w:tcPr>
            <w:tcW w:w="0" w:type="auto"/>
          </w:tcPr>
          <w:p w14:paraId="2BF9E833" w14:textId="77777777" w:rsidR="00931D6C" w:rsidRPr="005B5E4B" w:rsidRDefault="00931D6C" w:rsidP="00931D6C">
            <w:pPr>
              <w:pStyle w:val="Tabletext"/>
            </w:pPr>
            <w:r w:rsidRPr="005B5E4B">
              <w:t>39%</w:t>
            </w:r>
          </w:p>
        </w:tc>
      </w:tr>
      <w:tr w:rsidR="00931D6C" w:rsidRPr="005B5E4B" w14:paraId="5F23E96F" w14:textId="77777777" w:rsidTr="00931D6C">
        <w:trPr>
          <w:jc w:val="center"/>
        </w:trPr>
        <w:tc>
          <w:tcPr>
            <w:tcW w:w="4830" w:type="dxa"/>
            <w:gridSpan w:val="3"/>
          </w:tcPr>
          <w:p w14:paraId="18CBD7D6" w14:textId="77777777" w:rsidR="00931D6C" w:rsidRPr="005B5E4B" w:rsidRDefault="00931D6C" w:rsidP="00931D6C">
            <w:pPr>
              <w:pStyle w:val="Tabletext"/>
            </w:pPr>
            <w:r w:rsidRPr="005B5E4B">
              <w:t>Country</w:t>
            </w:r>
          </w:p>
        </w:tc>
      </w:tr>
      <w:tr w:rsidR="00931D6C" w:rsidRPr="005B5E4B" w14:paraId="4E1C5ECD" w14:textId="77777777" w:rsidTr="00931D6C">
        <w:trPr>
          <w:jc w:val="center"/>
        </w:trPr>
        <w:tc>
          <w:tcPr>
            <w:tcW w:w="0" w:type="auto"/>
          </w:tcPr>
          <w:p w14:paraId="7FBF261B" w14:textId="77777777" w:rsidR="00931D6C" w:rsidRPr="005B5E4B" w:rsidRDefault="00931D6C" w:rsidP="00931D6C">
            <w:pPr>
              <w:pStyle w:val="Tabletext"/>
            </w:pPr>
            <w:r w:rsidRPr="005B5E4B">
              <w:t>China</w:t>
            </w:r>
          </w:p>
        </w:tc>
        <w:tc>
          <w:tcPr>
            <w:tcW w:w="586" w:type="dxa"/>
          </w:tcPr>
          <w:p w14:paraId="6325D164" w14:textId="77777777" w:rsidR="00931D6C" w:rsidRPr="005B5E4B" w:rsidRDefault="00931D6C" w:rsidP="00931D6C">
            <w:pPr>
              <w:pStyle w:val="Tabletext"/>
              <w:rPr>
                <w:color w:val="000000"/>
              </w:rPr>
            </w:pPr>
            <w:r w:rsidRPr="005B5E4B">
              <w:t>47</w:t>
            </w:r>
          </w:p>
        </w:tc>
        <w:tc>
          <w:tcPr>
            <w:tcW w:w="0" w:type="auto"/>
          </w:tcPr>
          <w:p w14:paraId="3CDEE5A2" w14:textId="77777777" w:rsidR="00931D6C" w:rsidRPr="005B5E4B" w:rsidRDefault="00931D6C" w:rsidP="00931D6C">
            <w:pPr>
              <w:pStyle w:val="Tabletext"/>
            </w:pPr>
            <w:r w:rsidRPr="005B5E4B">
              <w:t>31%</w:t>
            </w:r>
          </w:p>
        </w:tc>
      </w:tr>
      <w:tr w:rsidR="00931D6C" w:rsidRPr="005B5E4B" w14:paraId="78E470C6" w14:textId="77777777" w:rsidTr="00931D6C">
        <w:trPr>
          <w:jc w:val="center"/>
        </w:trPr>
        <w:tc>
          <w:tcPr>
            <w:tcW w:w="0" w:type="auto"/>
          </w:tcPr>
          <w:p w14:paraId="316DCE58" w14:textId="77777777" w:rsidR="00931D6C" w:rsidRPr="005B5E4B" w:rsidRDefault="00931D6C" w:rsidP="00931D6C">
            <w:pPr>
              <w:pStyle w:val="Tabletext"/>
            </w:pPr>
            <w:r w:rsidRPr="005B5E4B">
              <w:t>Japan</w:t>
            </w:r>
          </w:p>
        </w:tc>
        <w:tc>
          <w:tcPr>
            <w:tcW w:w="586" w:type="dxa"/>
          </w:tcPr>
          <w:p w14:paraId="5C91C0B6" w14:textId="77777777" w:rsidR="00931D6C" w:rsidRPr="005B5E4B" w:rsidRDefault="00931D6C" w:rsidP="00931D6C">
            <w:pPr>
              <w:pStyle w:val="Tabletext"/>
              <w:rPr>
                <w:color w:val="000000"/>
              </w:rPr>
            </w:pPr>
            <w:r w:rsidRPr="005B5E4B">
              <w:t>25</w:t>
            </w:r>
          </w:p>
        </w:tc>
        <w:tc>
          <w:tcPr>
            <w:tcW w:w="0" w:type="auto"/>
          </w:tcPr>
          <w:p w14:paraId="5E9AEF8A" w14:textId="77777777" w:rsidR="00931D6C" w:rsidRPr="005B5E4B" w:rsidRDefault="00931D6C" w:rsidP="00931D6C">
            <w:pPr>
              <w:pStyle w:val="Tabletext"/>
            </w:pPr>
            <w:r w:rsidRPr="005B5E4B">
              <w:t>17%</w:t>
            </w:r>
          </w:p>
        </w:tc>
      </w:tr>
      <w:tr w:rsidR="00931D6C" w:rsidRPr="005B5E4B" w14:paraId="5E1ADD32" w14:textId="77777777" w:rsidTr="00931D6C">
        <w:trPr>
          <w:jc w:val="center"/>
        </w:trPr>
        <w:tc>
          <w:tcPr>
            <w:tcW w:w="0" w:type="auto"/>
          </w:tcPr>
          <w:p w14:paraId="6EC74E7E" w14:textId="77777777" w:rsidR="00931D6C" w:rsidRPr="005B5E4B" w:rsidRDefault="00931D6C" w:rsidP="00931D6C">
            <w:pPr>
              <w:pStyle w:val="Tabletext"/>
            </w:pPr>
            <w:r w:rsidRPr="005B5E4B">
              <w:t>Germany</w:t>
            </w:r>
          </w:p>
        </w:tc>
        <w:tc>
          <w:tcPr>
            <w:tcW w:w="586" w:type="dxa"/>
          </w:tcPr>
          <w:p w14:paraId="6F1B2DA2" w14:textId="77777777" w:rsidR="00931D6C" w:rsidRPr="005B5E4B" w:rsidRDefault="00931D6C" w:rsidP="00931D6C">
            <w:pPr>
              <w:pStyle w:val="Tabletext"/>
              <w:rPr>
                <w:color w:val="000000"/>
              </w:rPr>
            </w:pPr>
            <w:r w:rsidRPr="005B5E4B">
              <w:t>14</w:t>
            </w:r>
          </w:p>
        </w:tc>
        <w:tc>
          <w:tcPr>
            <w:tcW w:w="0" w:type="auto"/>
          </w:tcPr>
          <w:p w14:paraId="00B2956B" w14:textId="77777777" w:rsidR="00931D6C" w:rsidRPr="005B5E4B" w:rsidRDefault="00931D6C" w:rsidP="00931D6C">
            <w:pPr>
              <w:pStyle w:val="Tabletext"/>
            </w:pPr>
            <w:r w:rsidRPr="005B5E4B">
              <w:t>9%</w:t>
            </w:r>
          </w:p>
        </w:tc>
      </w:tr>
      <w:tr w:rsidR="00931D6C" w:rsidRPr="005B5E4B" w14:paraId="4DC56DE4" w14:textId="77777777" w:rsidTr="00931D6C">
        <w:trPr>
          <w:jc w:val="center"/>
        </w:trPr>
        <w:tc>
          <w:tcPr>
            <w:tcW w:w="0" w:type="auto"/>
          </w:tcPr>
          <w:p w14:paraId="47A4B143" w14:textId="77777777" w:rsidR="00931D6C" w:rsidRPr="005B5E4B" w:rsidRDefault="00931D6C" w:rsidP="00931D6C">
            <w:pPr>
              <w:pStyle w:val="Tabletext"/>
            </w:pPr>
            <w:r w:rsidRPr="005B5E4B">
              <w:t>France</w:t>
            </w:r>
          </w:p>
        </w:tc>
        <w:tc>
          <w:tcPr>
            <w:tcW w:w="586" w:type="dxa"/>
          </w:tcPr>
          <w:p w14:paraId="14314470" w14:textId="77777777" w:rsidR="00931D6C" w:rsidRPr="005B5E4B" w:rsidRDefault="00931D6C" w:rsidP="00931D6C">
            <w:pPr>
              <w:pStyle w:val="Tabletext"/>
              <w:rPr>
                <w:color w:val="000000"/>
              </w:rPr>
            </w:pPr>
            <w:r w:rsidRPr="005B5E4B">
              <w:t>11</w:t>
            </w:r>
          </w:p>
        </w:tc>
        <w:tc>
          <w:tcPr>
            <w:tcW w:w="0" w:type="auto"/>
          </w:tcPr>
          <w:p w14:paraId="411B4225" w14:textId="77777777" w:rsidR="00931D6C" w:rsidRPr="005B5E4B" w:rsidRDefault="00931D6C" w:rsidP="00931D6C">
            <w:pPr>
              <w:pStyle w:val="Tabletext"/>
            </w:pPr>
            <w:r w:rsidRPr="005B5E4B">
              <w:t>7%</w:t>
            </w:r>
          </w:p>
        </w:tc>
      </w:tr>
      <w:tr w:rsidR="00931D6C" w:rsidRPr="005B5E4B" w14:paraId="61511D6E" w14:textId="77777777" w:rsidTr="00931D6C">
        <w:trPr>
          <w:jc w:val="center"/>
        </w:trPr>
        <w:tc>
          <w:tcPr>
            <w:tcW w:w="0" w:type="auto"/>
          </w:tcPr>
          <w:p w14:paraId="2A15A59C" w14:textId="77777777" w:rsidR="00931D6C" w:rsidRPr="005B5E4B" w:rsidRDefault="00931D6C" w:rsidP="00931D6C">
            <w:pPr>
              <w:pStyle w:val="Tabletext"/>
            </w:pPr>
            <w:r w:rsidRPr="005B5E4B">
              <w:t>Britain</w:t>
            </w:r>
          </w:p>
        </w:tc>
        <w:tc>
          <w:tcPr>
            <w:tcW w:w="586" w:type="dxa"/>
          </w:tcPr>
          <w:p w14:paraId="1B7F2D16" w14:textId="77777777" w:rsidR="00931D6C" w:rsidRPr="005B5E4B" w:rsidRDefault="00931D6C" w:rsidP="00931D6C">
            <w:pPr>
              <w:pStyle w:val="Tabletext"/>
              <w:rPr>
                <w:color w:val="000000"/>
              </w:rPr>
            </w:pPr>
            <w:r w:rsidRPr="005B5E4B">
              <w:t>10</w:t>
            </w:r>
          </w:p>
        </w:tc>
        <w:tc>
          <w:tcPr>
            <w:tcW w:w="0" w:type="auto"/>
          </w:tcPr>
          <w:p w14:paraId="78F16F8B" w14:textId="77777777" w:rsidR="00931D6C" w:rsidRPr="005B5E4B" w:rsidRDefault="00931D6C" w:rsidP="00931D6C">
            <w:pPr>
              <w:pStyle w:val="Tabletext"/>
            </w:pPr>
            <w:r w:rsidRPr="005B5E4B">
              <w:t>7%</w:t>
            </w:r>
          </w:p>
        </w:tc>
      </w:tr>
      <w:tr w:rsidR="00931D6C" w:rsidRPr="005B5E4B" w14:paraId="4CF9DB6E" w14:textId="77777777" w:rsidTr="00931D6C">
        <w:trPr>
          <w:jc w:val="center"/>
        </w:trPr>
        <w:tc>
          <w:tcPr>
            <w:tcW w:w="0" w:type="auto"/>
          </w:tcPr>
          <w:p w14:paraId="7FE30190" w14:textId="77777777" w:rsidR="00931D6C" w:rsidRPr="005B5E4B" w:rsidRDefault="00931D6C" w:rsidP="00931D6C">
            <w:pPr>
              <w:pStyle w:val="Tabletext"/>
            </w:pPr>
            <w:r w:rsidRPr="005B5E4B">
              <w:t>South Korea</w:t>
            </w:r>
          </w:p>
        </w:tc>
        <w:tc>
          <w:tcPr>
            <w:tcW w:w="586" w:type="dxa"/>
          </w:tcPr>
          <w:p w14:paraId="42BFF423" w14:textId="77777777" w:rsidR="00931D6C" w:rsidRPr="005B5E4B" w:rsidRDefault="00931D6C" w:rsidP="00931D6C">
            <w:pPr>
              <w:pStyle w:val="Tabletext"/>
              <w:rPr>
                <w:color w:val="000000"/>
              </w:rPr>
            </w:pPr>
            <w:r w:rsidRPr="005B5E4B">
              <w:t>7</w:t>
            </w:r>
          </w:p>
        </w:tc>
        <w:tc>
          <w:tcPr>
            <w:tcW w:w="0" w:type="auto"/>
          </w:tcPr>
          <w:p w14:paraId="5905C23F" w14:textId="77777777" w:rsidR="00931D6C" w:rsidRPr="005B5E4B" w:rsidRDefault="00931D6C" w:rsidP="00931D6C">
            <w:pPr>
              <w:pStyle w:val="Tabletext"/>
            </w:pPr>
            <w:r w:rsidRPr="005B5E4B">
              <w:t>5%</w:t>
            </w:r>
          </w:p>
        </w:tc>
      </w:tr>
      <w:tr w:rsidR="00931D6C" w:rsidRPr="005B5E4B" w14:paraId="3303A95B" w14:textId="77777777" w:rsidTr="00931D6C">
        <w:trPr>
          <w:jc w:val="center"/>
        </w:trPr>
        <w:tc>
          <w:tcPr>
            <w:tcW w:w="0" w:type="auto"/>
          </w:tcPr>
          <w:p w14:paraId="2863DE0F" w14:textId="77777777" w:rsidR="00931D6C" w:rsidRPr="005B5E4B" w:rsidRDefault="00931D6C" w:rsidP="00931D6C">
            <w:pPr>
              <w:pStyle w:val="Tabletext"/>
            </w:pPr>
            <w:r w:rsidRPr="005B5E4B">
              <w:t>Switzerland</w:t>
            </w:r>
          </w:p>
        </w:tc>
        <w:tc>
          <w:tcPr>
            <w:tcW w:w="586" w:type="dxa"/>
          </w:tcPr>
          <w:p w14:paraId="1A4AA9C9" w14:textId="77777777" w:rsidR="00931D6C" w:rsidRPr="005B5E4B" w:rsidRDefault="00931D6C" w:rsidP="00931D6C">
            <w:pPr>
              <w:pStyle w:val="Tabletext"/>
              <w:rPr>
                <w:color w:val="000000"/>
              </w:rPr>
            </w:pPr>
            <w:r w:rsidRPr="005B5E4B">
              <w:t>6</w:t>
            </w:r>
          </w:p>
        </w:tc>
        <w:tc>
          <w:tcPr>
            <w:tcW w:w="0" w:type="auto"/>
          </w:tcPr>
          <w:p w14:paraId="3D6050AC" w14:textId="77777777" w:rsidR="00931D6C" w:rsidRPr="005B5E4B" w:rsidRDefault="00931D6C" w:rsidP="00931D6C">
            <w:pPr>
              <w:pStyle w:val="Tabletext"/>
            </w:pPr>
            <w:r w:rsidRPr="005B5E4B">
              <w:t>4%</w:t>
            </w:r>
          </w:p>
        </w:tc>
      </w:tr>
      <w:tr w:rsidR="00931D6C" w:rsidRPr="005B5E4B" w14:paraId="55BA6A24" w14:textId="77777777" w:rsidTr="00931D6C">
        <w:trPr>
          <w:jc w:val="center"/>
        </w:trPr>
        <w:tc>
          <w:tcPr>
            <w:tcW w:w="0" w:type="auto"/>
          </w:tcPr>
          <w:p w14:paraId="2E84DDDA" w14:textId="77777777" w:rsidR="00931D6C" w:rsidRPr="005B5E4B" w:rsidRDefault="00931D6C" w:rsidP="00931D6C">
            <w:pPr>
              <w:pStyle w:val="Tabletext"/>
            </w:pPr>
            <w:r w:rsidRPr="005B5E4B">
              <w:t>Other Asians</w:t>
            </w:r>
          </w:p>
        </w:tc>
        <w:tc>
          <w:tcPr>
            <w:tcW w:w="586" w:type="dxa"/>
          </w:tcPr>
          <w:p w14:paraId="3A3FCD36" w14:textId="77777777" w:rsidR="00931D6C" w:rsidRPr="005B5E4B" w:rsidRDefault="00931D6C" w:rsidP="00931D6C">
            <w:pPr>
              <w:pStyle w:val="Tabletext"/>
              <w:rPr>
                <w:color w:val="000000"/>
              </w:rPr>
            </w:pPr>
            <w:r w:rsidRPr="005B5E4B">
              <w:t>15</w:t>
            </w:r>
          </w:p>
        </w:tc>
        <w:tc>
          <w:tcPr>
            <w:tcW w:w="0" w:type="auto"/>
          </w:tcPr>
          <w:p w14:paraId="3CB0625D" w14:textId="77777777" w:rsidR="00931D6C" w:rsidRPr="005B5E4B" w:rsidRDefault="00931D6C" w:rsidP="00931D6C">
            <w:pPr>
              <w:pStyle w:val="Tabletext"/>
            </w:pPr>
            <w:r w:rsidRPr="005B5E4B">
              <w:t>10%</w:t>
            </w:r>
          </w:p>
        </w:tc>
      </w:tr>
      <w:tr w:rsidR="00931D6C" w:rsidRPr="005B5E4B" w14:paraId="203E356D" w14:textId="77777777" w:rsidTr="00931D6C">
        <w:trPr>
          <w:jc w:val="center"/>
        </w:trPr>
        <w:tc>
          <w:tcPr>
            <w:tcW w:w="0" w:type="auto"/>
          </w:tcPr>
          <w:p w14:paraId="6B86D78B" w14:textId="77777777" w:rsidR="00931D6C" w:rsidRPr="005B5E4B" w:rsidRDefault="00931D6C" w:rsidP="00931D6C">
            <w:pPr>
              <w:pStyle w:val="Tabletext"/>
            </w:pPr>
            <w:r w:rsidRPr="005B5E4B">
              <w:t>Other European</w:t>
            </w:r>
          </w:p>
        </w:tc>
        <w:tc>
          <w:tcPr>
            <w:tcW w:w="586" w:type="dxa"/>
          </w:tcPr>
          <w:p w14:paraId="2F07E1FD" w14:textId="77777777" w:rsidR="00931D6C" w:rsidRPr="005B5E4B" w:rsidRDefault="00931D6C" w:rsidP="00931D6C">
            <w:pPr>
              <w:pStyle w:val="Tabletext"/>
              <w:rPr>
                <w:color w:val="000000"/>
              </w:rPr>
            </w:pPr>
            <w:r w:rsidRPr="005B5E4B">
              <w:t>15</w:t>
            </w:r>
          </w:p>
        </w:tc>
        <w:tc>
          <w:tcPr>
            <w:tcW w:w="0" w:type="auto"/>
          </w:tcPr>
          <w:p w14:paraId="5C756F5D" w14:textId="77777777" w:rsidR="00931D6C" w:rsidRPr="005B5E4B" w:rsidRDefault="00931D6C" w:rsidP="00931D6C">
            <w:pPr>
              <w:pStyle w:val="Tabletext"/>
            </w:pPr>
            <w:r w:rsidRPr="005B5E4B">
              <w:t>10%</w:t>
            </w:r>
          </w:p>
        </w:tc>
      </w:tr>
    </w:tbl>
    <w:p w14:paraId="0D946CFE" w14:textId="77777777" w:rsidR="00931D6C" w:rsidRDefault="00931D6C" w:rsidP="00931D6C">
      <w:pPr>
        <w:rPr>
          <w:lang w:val="en-US"/>
        </w:rPr>
      </w:pPr>
    </w:p>
    <w:p w14:paraId="0A790DEB" w14:textId="77777777" w:rsidR="008F250C" w:rsidRPr="008F250C" w:rsidRDefault="008F250C" w:rsidP="008F250C">
      <w:pPr>
        <w:rPr>
          <w:lang w:val="en-US"/>
        </w:rPr>
      </w:pPr>
      <w:r w:rsidRPr="008F250C">
        <w:rPr>
          <w:lang w:val="en-US"/>
        </w:rPr>
        <w:t xml:space="preserve">In the preliminary stage of analysis, the distribution of variables was checked. As in the prerequisites of linear regression, the outcome variable respected normal distribution, and also most of the predictors (see in the Supplementary materials). </w:t>
      </w:r>
    </w:p>
    <w:p w14:paraId="4D87860B" w14:textId="379E9A54" w:rsidR="002F6BFD" w:rsidRDefault="008F250C" w:rsidP="008F250C">
      <w:pPr>
        <w:rPr>
          <w:lang w:val="en-US"/>
        </w:rPr>
      </w:pPr>
      <w:r w:rsidRPr="008F250C">
        <w:rPr>
          <w:lang w:val="en-US"/>
        </w:rPr>
        <w:t>Different linear regressions models were used to answer the RQs. Three linear regressions models are reported (Table 4): first, Model 1 measures the direct effects of IPs on the outcome variable Adoption of CE practices (RQ1); Model 2 adds to this regression 5 control variables (presence of a CS report, manufacturing sector, service sector, Headquarter in the EU, type of property). Model 3 includes SI and CI as predictors to start accounting for RQ2.</w:t>
      </w:r>
    </w:p>
    <w:p w14:paraId="5A936966" w14:textId="7EE308F9" w:rsidR="008F250C" w:rsidRDefault="008F250C" w:rsidP="008F250C">
      <w:pPr>
        <w:rPr>
          <w:lang w:val="en-US"/>
        </w:rPr>
      </w:pPr>
      <w:r w:rsidRPr="008F250C">
        <w:rPr>
          <w:lang w:val="en-US"/>
        </w:rPr>
        <w:t>Table 4 shows that when SI and CI are included in the regression, they account for most of the significant effect on the outcome variable. Finally, the mediated model was tested (Figure 4). The main outcome of the analysis is that IPs are not directly related to the adoption of CE practices, but only indirectly through the effect of SI and CI. SI and CI seem to explain most of the variance of the outcome variable. Also, the effect of CI on the outcome variable is greater than the one of SI.</w:t>
      </w:r>
    </w:p>
    <w:p w14:paraId="66DC24F3" w14:textId="48F523B0" w:rsidR="00931D6C" w:rsidRDefault="00931D6C" w:rsidP="0030063F">
      <w:pPr>
        <w:rPr>
          <w:lang w:val="en-US"/>
        </w:rPr>
      </w:pPr>
      <w:r w:rsidRPr="00931D6C">
        <w:rPr>
          <w:lang w:val="en-US"/>
        </w:rPr>
        <w:t>Looking more specifically at the effect of independent variables on the two mediators, two drivers (NP and CRP) have a significant and positive effect on the two mediators (SI and CI). The other two drivers, CMP and MP, do not have a significant effect on SI and CI. The direction of the relationships is not a surprising one. Higher pressures relate to higher degrees of SCI. Higher levels of SCI are related to a higher adoption of CE practices.</w:t>
      </w:r>
    </w:p>
    <w:p w14:paraId="109B6DA3" w14:textId="56BECE3A" w:rsidR="005B5E4B" w:rsidRDefault="00931D6C" w:rsidP="002F7336">
      <w:pPr>
        <w:pStyle w:val="Figurecaption"/>
      </w:pPr>
      <w:r>
        <w:t>Table 4</w:t>
      </w:r>
      <w:r w:rsidR="005B5E4B" w:rsidRPr="00A35F3B">
        <w:t xml:space="preserve"> –</w:t>
      </w:r>
      <w:r w:rsidR="005B5E4B">
        <w:t>Performing different regressions of</w:t>
      </w:r>
      <w:r w:rsidR="005B5E4B" w:rsidRPr="00A35F3B">
        <w:t xml:space="preserve"> </w:t>
      </w:r>
      <w:r w:rsidR="005B5E4B">
        <w:t>the outcome variable “</w:t>
      </w:r>
      <w:r w:rsidR="005B5E4B" w:rsidRPr="00A35F3B">
        <w:t>Adoption of CE practices</w:t>
      </w:r>
      <w:r w:rsidR="005B5E4B">
        <w:t>”</w:t>
      </w:r>
      <w:r w:rsidR="005B5E4B" w:rsidRPr="00A35F3B">
        <w:t xml:space="preserve"> on the different </w:t>
      </w:r>
      <w:r w:rsidR="005B5E4B">
        <w:t xml:space="preserve">sets of predictors and </w:t>
      </w:r>
      <w:r w:rsidR="005B5E4B" w:rsidRPr="00A35F3B">
        <w:t>control variables. Note *p&lt;0.</w:t>
      </w:r>
      <w:r w:rsidR="005B5E4B">
        <w:t>05</w:t>
      </w:r>
      <w:r w:rsidR="005B5E4B" w:rsidRPr="00A35F3B">
        <w:t>; **p&lt;0.0</w:t>
      </w:r>
      <w:r w:rsidR="005B5E4B">
        <w:t>1</w:t>
      </w:r>
      <w:r w:rsidR="005B5E4B" w:rsidRPr="00A35F3B">
        <w:t>; ***p&lt;0.0</w:t>
      </w:r>
      <w:r w:rsidR="005B5E4B">
        <w:t>0</w:t>
      </w:r>
      <w:r w:rsidR="005B5E4B" w:rsidRPr="00A35F3B">
        <w:t xml:space="preserve">1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52"/>
        <w:gridCol w:w="1464"/>
        <w:gridCol w:w="30"/>
        <w:gridCol w:w="1671"/>
        <w:gridCol w:w="30"/>
        <w:gridCol w:w="1104"/>
        <w:gridCol w:w="95"/>
      </w:tblGrid>
      <w:tr w:rsidR="005B5E4B" w:rsidRPr="005B5E4B" w14:paraId="1D0851B0" w14:textId="77777777" w:rsidTr="00116B90">
        <w:trPr>
          <w:cantSplit/>
          <w:tblHeader/>
          <w:tblCellSpacing w:w="15" w:type="dxa"/>
          <w:jc w:val="center"/>
        </w:trPr>
        <w:tc>
          <w:tcPr>
            <w:tcW w:w="6886" w:type="dxa"/>
            <w:gridSpan w:val="7"/>
            <w:tcBorders>
              <w:top w:val="nil"/>
              <w:left w:val="nil"/>
              <w:bottom w:val="single" w:sz="6" w:space="0" w:color="333333"/>
              <w:right w:val="nil"/>
            </w:tcBorders>
            <w:tcMar>
              <w:top w:w="60" w:type="dxa"/>
              <w:left w:w="120" w:type="dxa"/>
              <w:bottom w:w="60" w:type="dxa"/>
              <w:right w:w="120" w:type="dxa"/>
            </w:tcMar>
            <w:vAlign w:val="center"/>
          </w:tcPr>
          <w:p w14:paraId="7076EA52" w14:textId="77777777" w:rsidR="005B5E4B" w:rsidRPr="005B5E4B" w:rsidRDefault="005B5E4B" w:rsidP="007C4B17">
            <w:pPr>
              <w:pStyle w:val="Tabletext"/>
            </w:pPr>
            <w:r w:rsidRPr="005B5E4B">
              <w:lastRenderedPageBreak/>
              <w:t>Dependent variable: Adoption of CE practices</w:t>
            </w:r>
          </w:p>
        </w:tc>
      </w:tr>
      <w:tr w:rsidR="005B5E4B" w:rsidRPr="005B5E4B" w14:paraId="7F798B68" w14:textId="77777777" w:rsidTr="00116B90">
        <w:trPr>
          <w:cantSplit/>
          <w:tblHeader/>
          <w:tblCellSpacing w:w="15" w:type="dxa"/>
          <w:jc w:val="center"/>
        </w:trPr>
        <w:tc>
          <w:tcPr>
            <w:tcW w:w="2507" w:type="dxa"/>
            <w:tcBorders>
              <w:top w:val="nil"/>
              <w:left w:val="nil"/>
              <w:bottom w:val="single" w:sz="4" w:space="0" w:color="auto"/>
              <w:right w:val="nil"/>
            </w:tcBorders>
            <w:tcMar>
              <w:top w:w="60" w:type="dxa"/>
              <w:left w:w="120" w:type="dxa"/>
              <w:bottom w:w="60" w:type="dxa"/>
              <w:right w:w="120" w:type="dxa"/>
            </w:tcMar>
            <w:vAlign w:val="center"/>
            <w:hideMark/>
          </w:tcPr>
          <w:p w14:paraId="63329731" w14:textId="77777777" w:rsidR="005B5E4B" w:rsidRPr="005B5E4B" w:rsidRDefault="005B5E4B" w:rsidP="007C4B17">
            <w:pPr>
              <w:pStyle w:val="Tabletext"/>
            </w:pPr>
            <w:r w:rsidRPr="005B5E4B">
              <w:t>Model</w:t>
            </w:r>
          </w:p>
        </w:tc>
        <w:tc>
          <w:tcPr>
            <w:tcW w:w="1464" w:type="dxa"/>
            <w:gridSpan w:val="2"/>
            <w:tcBorders>
              <w:top w:val="nil"/>
              <w:left w:val="nil"/>
              <w:bottom w:val="single" w:sz="4" w:space="0" w:color="auto"/>
              <w:right w:val="nil"/>
            </w:tcBorders>
          </w:tcPr>
          <w:p w14:paraId="26DF0CDE" w14:textId="77777777" w:rsidR="005B5E4B" w:rsidRPr="005B5E4B" w:rsidRDefault="005B5E4B" w:rsidP="007C4B17">
            <w:pPr>
              <w:pStyle w:val="Tabletext"/>
            </w:pPr>
            <w:r w:rsidRPr="005B5E4B">
              <w:t>(1)</w:t>
            </w:r>
          </w:p>
        </w:tc>
        <w:tc>
          <w:tcPr>
            <w:tcW w:w="1671" w:type="dxa"/>
            <w:gridSpan w:val="2"/>
            <w:tcBorders>
              <w:top w:val="nil"/>
              <w:left w:val="nil"/>
              <w:bottom w:val="single" w:sz="4" w:space="0" w:color="auto"/>
              <w:right w:val="nil"/>
            </w:tcBorders>
          </w:tcPr>
          <w:p w14:paraId="55FD60DC" w14:textId="77777777" w:rsidR="005B5E4B" w:rsidRPr="005B5E4B" w:rsidRDefault="005B5E4B" w:rsidP="007C4B17">
            <w:pPr>
              <w:pStyle w:val="Tabletext"/>
            </w:pPr>
            <w:r w:rsidRPr="005B5E4B">
              <w:t>(2)</w:t>
            </w:r>
          </w:p>
        </w:tc>
        <w:tc>
          <w:tcPr>
            <w:tcW w:w="1154" w:type="dxa"/>
            <w:gridSpan w:val="2"/>
            <w:tcBorders>
              <w:top w:val="nil"/>
              <w:left w:val="nil"/>
              <w:bottom w:val="single" w:sz="4" w:space="0" w:color="auto"/>
              <w:right w:val="nil"/>
            </w:tcBorders>
          </w:tcPr>
          <w:p w14:paraId="7479CB4F" w14:textId="77777777" w:rsidR="005B5E4B" w:rsidRPr="005B5E4B" w:rsidRDefault="005B5E4B" w:rsidP="007C4B17">
            <w:pPr>
              <w:pStyle w:val="Tabletext"/>
            </w:pPr>
            <w:r w:rsidRPr="005B5E4B">
              <w:t>(3)</w:t>
            </w:r>
          </w:p>
        </w:tc>
      </w:tr>
      <w:tr w:rsidR="005B5E4B" w:rsidRPr="005B5E4B" w14:paraId="0208F6FE"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74E622C4" w14:textId="77777777" w:rsidR="005B5E4B" w:rsidRPr="005B5E4B" w:rsidRDefault="005B5E4B" w:rsidP="007C4B17">
            <w:pPr>
              <w:pStyle w:val="Tabletext"/>
            </w:pPr>
            <w:r w:rsidRPr="005B5E4B">
              <w:t>Coercive Market Pressure</w:t>
            </w:r>
          </w:p>
        </w:tc>
        <w:tc>
          <w:tcPr>
            <w:tcW w:w="1434" w:type="dxa"/>
            <w:tcBorders>
              <w:top w:val="nil"/>
              <w:left w:val="nil"/>
              <w:bottom w:val="nil"/>
              <w:right w:val="nil"/>
            </w:tcBorders>
          </w:tcPr>
          <w:p w14:paraId="3BD0C180" w14:textId="77777777" w:rsidR="005B5E4B" w:rsidRPr="005B5E4B" w:rsidRDefault="005B5E4B" w:rsidP="007C4B17">
            <w:pPr>
              <w:pStyle w:val="Tabletext"/>
            </w:pPr>
            <w:r w:rsidRPr="005B5E4B">
              <w:t>0.344***</w:t>
            </w:r>
          </w:p>
          <w:p w14:paraId="529C0E8F" w14:textId="77777777" w:rsidR="005B5E4B" w:rsidRPr="005B5E4B" w:rsidRDefault="005B5E4B" w:rsidP="007C4B17">
            <w:pPr>
              <w:pStyle w:val="Tabletext"/>
            </w:pPr>
            <w:r w:rsidRPr="005B5E4B">
              <w:t>(0.087)</w:t>
            </w:r>
          </w:p>
        </w:tc>
        <w:tc>
          <w:tcPr>
            <w:tcW w:w="1671" w:type="dxa"/>
            <w:gridSpan w:val="2"/>
            <w:tcBorders>
              <w:top w:val="nil"/>
              <w:left w:val="nil"/>
              <w:bottom w:val="nil"/>
              <w:right w:val="nil"/>
            </w:tcBorders>
            <w:vAlign w:val="center"/>
          </w:tcPr>
          <w:p w14:paraId="47E77398" w14:textId="77777777" w:rsidR="005B5E4B" w:rsidRPr="005B5E4B" w:rsidRDefault="005B5E4B" w:rsidP="007C4B17">
            <w:pPr>
              <w:pStyle w:val="Tabletext"/>
            </w:pPr>
            <w:r w:rsidRPr="005B5E4B">
              <w:t>0.138</w:t>
            </w:r>
          </w:p>
          <w:p w14:paraId="154A5A6C" w14:textId="77777777" w:rsidR="005B5E4B" w:rsidRPr="005B5E4B" w:rsidRDefault="005B5E4B" w:rsidP="007C4B17">
            <w:pPr>
              <w:pStyle w:val="Tabletext"/>
            </w:pPr>
            <w:r w:rsidRPr="005B5E4B">
              <w:t>(0.092)</w:t>
            </w:r>
          </w:p>
        </w:tc>
        <w:tc>
          <w:tcPr>
            <w:tcW w:w="1104" w:type="dxa"/>
            <w:gridSpan w:val="2"/>
            <w:tcBorders>
              <w:top w:val="nil"/>
              <w:left w:val="nil"/>
              <w:bottom w:val="nil"/>
              <w:right w:val="nil"/>
            </w:tcBorders>
          </w:tcPr>
          <w:p w14:paraId="607BB0A8" w14:textId="77777777" w:rsidR="005B5E4B" w:rsidRPr="005B5E4B" w:rsidRDefault="005B5E4B" w:rsidP="007C4B17">
            <w:pPr>
              <w:pStyle w:val="Tabletext"/>
            </w:pPr>
            <w:r w:rsidRPr="005B5E4B">
              <w:t>0.086</w:t>
            </w:r>
          </w:p>
          <w:p w14:paraId="04350B8E" w14:textId="77777777" w:rsidR="005B5E4B" w:rsidRPr="005B5E4B" w:rsidRDefault="005B5E4B" w:rsidP="007C4B17">
            <w:pPr>
              <w:pStyle w:val="Tabletext"/>
            </w:pPr>
            <w:r w:rsidRPr="005B5E4B">
              <w:t>(0.079)</w:t>
            </w:r>
          </w:p>
        </w:tc>
      </w:tr>
      <w:tr w:rsidR="005B5E4B" w:rsidRPr="005B5E4B" w14:paraId="13FEF70E"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2CF82ECA" w14:textId="77777777" w:rsidR="005B5E4B" w:rsidRPr="005B5E4B" w:rsidRDefault="005B5E4B" w:rsidP="00C80BFD">
            <w:pPr>
              <w:pStyle w:val="Tabletext"/>
              <w:jc w:val="left"/>
            </w:pPr>
            <w:r w:rsidRPr="005B5E4B">
              <w:t>Coercive Regulatory Pressure</w:t>
            </w:r>
          </w:p>
        </w:tc>
        <w:tc>
          <w:tcPr>
            <w:tcW w:w="1434" w:type="dxa"/>
            <w:tcBorders>
              <w:top w:val="nil"/>
              <w:left w:val="nil"/>
              <w:bottom w:val="nil"/>
              <w:right w:val="nil"/>
            </w:tcBorders>
          </w:tcPr>
          <w:p w14:paraId="4827BDEC" w14:textId="77777777" w:rsidR="005B5E4B" w:rsidRPr="005B5E4B" w:rsidRDefault="005B5E4B" w:rsidP="007C4B17">
            <w:pPr>
              <w:pStyle w:val="Tabletext"/>
            </w:pPr>
            <w:r w:rsidRPr="005B5E4B">
              <w:t>0.360***</w:t>
            </w:r>
          </w:p>
          <w:p w14:paraId="37ADDC9A" w14:textId="77777777" w:rsidR="005B5E4B" w:rsidRPr="005B5E4B" w:rsidRDefault="005B5E4B" w:rsidP="007C4B17">
            <w:pPr>
              <w:pStyle w:val="Tabletext"/>
            </w:pPr>
            <w:r w:rsidRPr="005B5E4B">
              <w:t>(0.097)</w:t>
            </w:r>
          </w:p>
        </w:tc>
        <w:tc>
          <w:tcPr>
            <w:tcW w:w="1671" w:type="dxa"/>
            <w:gridSpan w:val="2"/>
            <w:tcBorders>
              <w:top w:val="nil"/>
              <w:left w:val="nil"/>
              <w:bottom w:val="nil"/>
              <w:right w:val="nil"/>
            </w:tcBorders>
            <w:vAlign w:val="center"/>
          </w:tcPr>
          <w:p w14:paraId="23F4DFEE" w14:textId="77777777" w:rsidR="005B5E4B" w:rsidRPr="005B5E4B" w:rsidRDefault="005B5E4B" w:rsidP="007C4B17">
            <w:pPr>
              <w:pStyle w:val="Tabletext"/>
            </w:pPr>
            <w:r w:rsidRPr="005B5E4B">
              <w:t>0.438***</w:t>
            </w:r>
          </w:p>
          <w:p w14:paraId="043F7B17" w14:textId="77777777" w:rsidR="005B5E4B" w:rsidRPr="005B5E4B" w:rsidRDefault="005B5E4B" w:rsidP="007C4B17">
            <w:pPr>
              <w:pStyle w:val="Tabletext"/>
            </w:pPr>
            <w:r w:rsidRPr="005B5E4B">
              <w:t>(0.096)</w:t>
            </w:r>
          </w:p>
        </w:tc>
        <w:tc>
          <w:tcPr>
            <w:tcW w:w="1104" w:type="dxa"/>
            <w:gridSpan w:val="2"/>
            <w:tcBorders>
              <w:top w:val="nil"/>
              <w:left w:val="nil"/>
              <w:bottom w:val="nil"/>
              <w:right w:val="nil"/>
            </w:tcBorders>
            <w:vAlign w:val="center"/>
          </w:tcPr>
          <w:p w14:paraId="1261DBBA" w14:textId="77777777" w:rsidR="005B5E4B" w:rsidRPr="005B5E4B" w:rsidRDefault="005B5E4B" w:rsidP="007C4B17">
            <w:pPr>
              <w:pStyle w:val="Tabletext"/>
            </w:pPr>
            <w:r w:rsidRPr="005B5E4B">
              <w:t>0.171</w:t>
            </w:r>
          </w:p>
          <w:p w14:paraId="4F373527" w14:textId="77777777" w:rsidR="005B5E4B" w:rsidRPr="005B5E4B" w:rsidRDefault="005B5E4B" w:rsidP="007C4B17">
            <w:pPr>
              <w:pStyle w:val="Tabletext"/>
            </w:pPr>
            <w:r w:rsidRPr="005B5E4B">
              <w:t>(0.092)</w:t>
            </w:r>
          </w:p>
        </w:tc>
      </w:tr>
      <w:tr w:rsidR="005B5E4B" w:rsidRPr="005B5E4B" w14:paraId="6D487BDB"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37589E6A" w14:textId="77777777" w:rsidR="005B5E4B" w:rsidRPr="005B5E4B" w:rsidRDefault="005B5E4B" w:rsidP="007C4B17">
            <w:pPr>
              <w:pStyle w:val="Tabletext"/>
            </w:pPr>
            <w:r w:rsidRPr="005B5E4B">
              <w:t>Mimetic Pressure</w:t>
            </w:r>
          </w:p>
        </w:tc>
        <w:tc>
          <w:tcPr>
            <w:tcW w:w="1434" w:type="dxa"/>
            <w:tcBorders>
              <w:top w:val="nil"/>
              <w:left w:val="nil"/>
              <w:bottom w:val="nil"/>
              <w:right w:val="nil"/>
            </w:tcBorders>
          </w:tcPr>
          <w:p w14:paraId="5DC2298A" w14:textId="77777777" w:rsidR="005B5E4B" w:rsidRPr="005B5E4B" w:rsidRDefault="005B5E4B" w:rsidP="007C4B17">
            <w:pPr>
              <w:pStyle w:val="Tabletext"/>
            </w:pPr>
            <w:r w:rsidRPr="005B5E4B">
              <w:t>-0.113</w:t>
            </w:r>
          </w:p>
          <w:p w14:paraId="7CC07596" w14:textId="77777777" w:rsidR="005B5E4B" w:rsidRPr="005B5E4B" w:rsidRDefault="005B5E4B" w:rsidP="007C4B17">
            <w:pPr>
              <w:pStyle w:val="Tabletext"/>
            </w:pPr>
            <w:r w:rsidRPr="005B5E4B">
              <w:t>(0.108)</w:t>
            </w:r>
          </w:p>
        </w:tc>
        <w:tc>
          <w:tcPr>
            <w:tcW w:w="1671" w:type="dxa"/>
            <w:gridSpan w:val="2"/>
            <w:tcBorders>
              <w:top w:val="nil"/>
              <w:left w:val="nil"/>
              <w:bottom w:val="nil"/>
              <w:right w:val="nil"/>
            </w:tcBorders>
            <w:vAlign w:val="center"/>
          </w:tcPr>
          <w:p w14:paraId="7E6BEF41" w14:textId="77777777" w:rsidR="005B5E4B" w:rsidRPr="005B5E4B" w:rsidRDefault="005B5E4B" w:rsidP="007C4B17">
            <w:pPr>
              <w:pStyle w:val="Tabletext"/>
            </w:pPr>
            <w:r w:rsidRPr="005B5E4B">
              <w:t>-0.059</w:t>
            </w:r>
          </w:p>
          <w:p w14:paraId="0DC682E2" w14:textId="77777777" w:rsidR="005B5E4B" w:rsidRPr="005B5E4B" w:rsidRDefault="005B5E4B" w:rsidP="007C4B17">
            <w:pPr>
              <w:pStyle w:val="Tabletext"/>
            </w:pPr>
            <w:r w:rsidRPr="005B5E4B">
              <w:t>(0.107)</w:t>
            </w:r>
          </w:p>
        </w:tc>
        <w:tc>
          <w:tcPr>
            <w:tcW w:w="1104" w:type="dxa"/>
            <w:gridSpan w:val="2"/>
            <w:tcBorders>
              <w:top w:val="nil"/>
              <w:left w:val="nil"/>
              <w:bottom w:val="nil"/>
              <w:right w:val="nil"/>
            </w:tcBorders>
            <w:vAlign w:val="center"/>
          </w:tcPr>
          <w:p w14:paraId="1397CBBB" w14:textId="77777777" w:rsidR="005B5E4B" w:rsidRPr="005B5E4B" w:rsidRDefault="005B5E4B" w:rsidP="007C4B17">
            <w:pPr>
              <w:pStyle w:val="Tabletext"/>
            </w:pPr>
            <w:r w:rsidRPr="005B5E4B">
              <w:t>-0.081</w:t>
            </w:r>
          </w:p>
          <w:p w14:paraId="416F7E2E" w14:textId="77777777" w:rsidR="005B5E4B" w:rsidRPr="005B5E4B" w:rsidRDefault="005B5E4B" w:rsidP="007C4B17">
            <w:pPr>
              <w:pStyle w:val="Tabletext"/>
            </w:pPr>
            <w:r w:rsidRPr="005B5E4B">
              <w:t>(0.092)</w:t>
            </w:r>
          </w:p>
        </w:tc>
      </w:tr>
      <w:tr w:rsidR="005B5E4B" w:rsidRPr="005B5E4B" w14:paraId="5E2632F4"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10C475E6" w14:textId="77777777" w:rsidR="005B5E4B" w:rsidRPr="005B5E4B" w:rsidRDefault="005B5E4B" w:rsidP="007C4B17">
            <w:pPr>
              <w:pStyle w:val="Tabletext"/>
            </w:pPr>
            <w:r w:rsidRPr="005B5E4B">
              <w:t>Normative Pressure</w:t>
            </w:r>
          </w:p>
        </w:tc>
        <w:tc>
          <w:tcPr>
            <w:tcW w:w="1434" w:type="dxa"/>
            <w:tcBorders>
              <w:top w:val="nil"/>
              <w:left w:val="nil"/>
              <w:bottom w:val="nil"/>
              <w:right w:val="nil"/>
            </w:tcBorders>
          </w:tcPr>
          <w:p w14:paraId="5BEBBD6A" w14:textId="77777777" w:rsidR="005B5E4B" w:rsidRPr="005B5E4B" w:rsidRDefault="005B5E4B" w:rsidP="007C4B17">
            <w:pPr>
              <w:pStyle w:val="Tabletext"/>
            </w:pPr>
            <w:r w:rsidRPr="005B5E4B">
              <w:t>0.324***</w:t>
            </w:r>
          </w:p>
          <w:p w14:paraId="7DCE6292" w14:textId="77777777" w:rsidR="005B5E4B" w:rsidRPr="005B5E4B" w:rsidRDefault="005B5E4B" w:rsidP="007C4B17">
            <w:pPr>
              <w:pStyle w:val="Tabletext"/>
            </w:pPr>
            <w:r w:rsidRPr="005B5E4B">
              <w:t>(0.096)</w:t>
            </w:r>
          </w:p>
        </w:tc>
        <w:tc>
          <w:tcPr>
            <w:tcW w:w="1671" w:type="dxa"/>
            <w:gridSpan w:val="2"/>
            <w:tcBorders>
              <w:top w:val="nil"/>
              <w:left w:val="nil"/>
              <w:bottom w:val="nil"/>
              <w:right w:val="nil"/>
            </w:tcBorders>
            <w:vAlign w:val="center"/>
          </w:tcPr>
          <w:p w14:paraId="71A87DC9" w14:textId="3883A9F9" w:rsidR="005B5E4B" w:rsidRPr="005B5E4B" w:rsidRDefault="005B5E4B" w:rsidP="007C4B17">
            <w:pPr>
              <w:pStyle w:val="Tabletext"/>
            </w:pPr>
            <w:r w:rsidRPr="005B5E4B">
              <w:t>0.249**</w:t>
            </w:r>
          </w:p>
          <w:p w14:paraId="67EE86DF" w14:textId="77777777" w:rsidR="005B5E4B" w:rsidRPr="005B5E4B" w:rsidRDefault="005B5E4B" w:rsidP="007C4B17">
            <w:pPr>
              <w:pStyle w:val="Tabletext"/>
            </w:pPr>
            <w:r w:rsidRPr="005B5E4B">
              <w:t>(0.091)</w:t>
            </w:r>
          </w:p>
        </w:tc>
        <w:tc>
          <w:tcPr>
            <w:tcW w:w="1104" w:type="dxa"/>
            <w:gridSpan w:val="2"/>
            <w:tcBorders>
              <w:top w:val="nil"/>
              <w:left w:val="nil"/>
              <w:bottom w:val="nil"/>
              <w:right w:val="nil"/>
            </w:tcBorders>
            <w:vAlign w:val="center"/>
          </w:tcPr>
          <w:p w14:paraId="44B906C8" w14:textId="77777777" w:rsidR="005B5E4B" w:rsidRPr="005B5E4B" w:rsidRDefault="005B5E4B" w:rsidP="007C4B17">
            <w:pPr>
              <w:pStyle w:val="Tabletext"/>
            </w:pPr>
            <w:r w:rsidRPr="005B5E4B">
              <w:t>0.095</w:t>
            </w:r>
          </w:p>
          <w:p w14:paraId="09460478" w14:textId="77777777" w:rsidR="005B5E4B" w:rsidRPr="005B5E4B" w:rsidRDefault="005B5E4B" w:rsidP="007C4B17">
            <w:pPr>
              <w:pStyle w:val="Tabletext"/>
            </w:pPr>
            <w:r w:rsidRPr="005B5E4B">
              <w:t>(0.082)</w:t>
            </w:r>
          </w:p>
        </w:tc>
      </w:tr>
      <w:tr w:rsidR="005B5E4B" w:rsidRPr="005B5E4B" w14:paraId="728286D1"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7A7D9FCA" w14:textId="77777777" w:rsidR="005B5E4B" w:rsidRPr="005B5E4B" w:rsidRDefault="005B5E4B" w:rsidP="007C4B17">
            <w:pPr>
              <w:pStyle w:val="Tabletext"/>
            </w:pPr>
            <w:r w:rsidRPr="005B5E4B">
              <w:t>Sustainability report</w:t>
            </w:r>
          </w:p>
        </w:tc>
        <w:tc>
          <w:tcPr>
            <w:tcW w:w="1434" w:type="dxa"/>
            <w:tcBorders>
              <w:top w:val="nil"/>
              <w:left w:val="nil"/>
              <w:bottom w:val="nil"/>
              <w:right w:val="nil"/>
            </w:tcBorders>
          </w:tcPr>
          <w:p w14:paraId="406810D4" w14:textId="77777777" w:rsidR="005B5E4B" w:rsidRPr="005B5E4B" w:rsidRDefault="005B5E4B" w:rsidP="007C4B17">
            <w:pPr>
              <w:pStyle w:val="Tabletext"/>
            </w:pPr>
          </w:p>
        </w:tc>
        <w:tc>
          <w:tcPr>
            <w:tcW w:w="1671" w:type="dxa"/>
            <w:gridSpan w:val="2"/>
            <w:tcBorders>
              <w:top w:val="nil"/>
              <w:left w:val="nil"/>
              <w:bottom w:val="nil"/>
              <w:right w:val="nil"/>
            </w:tcBorders>
            <w:vAlign w:val="center"/>
          </w:tcPr>
          <w:p w14:paraId="735A6603" w14:textId="77777777" w:rsidR="005B5E4B" w:rsidRPr="005B5E4B" w:rsidRDefault="005B5E4B" w:rsidP="007C4B17">
            <w:pPr>
              <w:pStyle w:val="Tabletext"/>
            </w:pPr>
            <w:r w:rsidRPr="005B5E4B">
              <w:t>0.326*</w:t>
            </w:r>
          </w:p>
          <w:p w14:paraId="6E08687D" w14:textId="77777777" w:rsidR="005B5E4B" w:rsidRPr="005B5E4B" w:rsidRDefault="005B5E4B" w:rsidP="007C4B17">
            <w:pPr>
              <w:pStyle w:val="Tabletext"/>
            </w:pPr>
            <w:r w:rsidRPr="005B5E4B">
              <w:t>(0.151)</w:t>
            </w:r>
          </w:p>
        </w:tc>
        <w:tc>
          <w:tcPr>
            <w:tcW w:w="1104" w:type="dxa"/>
            <w:gridSpan w:val="2"/>
            <w:tcBorders>
              <w:top w:val="nil"/>
              <w:left w:val="nil"/>
              <w:bottom w:val="nil"/>
              <w:right w:val="nil"/>
            </w:tcBorders>
            <w:vAlign w:val="center"/>
          </w:tcPr>
          <w:p w14:paraId="539D76B9" w14:textId="77777777" w:rsidR="005B5E4B" w:rsidRPr="005B5E4B" w:rsidRDefault="005B5E4B" w:rsidP="007C4B17">
            <w:pPr>
              <w:pStyle w:val="Tabletext"/>
            </w:pPr>
            <w:r w:rsidRPr="005B5E4B">
              <w:t>0.287*</w:t>
            </w:r>
          </w:p>
          <w:p w14:paraId="5AE08606" w14:textId="77777777" w:rsidR="005B5E4B" w:rsidRPr="005B5E4B" w:rsidRDefault="005B5E4B" w:rsidP="007C4B17">
            <w:pPr>
              <w:pStyle w:val="Tabletext"/>
            </w:pPr>
            <w:r w:rsidRPr="005B5E4B">
              <w:t>(0.130)</w:t>
            </w:r>
          </w:p>
        </w:tc>
      </w:tr>
      <w:tr w:rsidR="005B5E4B" w:rsidRPr="005B5E4B" w14:paraId="23C19746"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147AFCAF" w14:textId="77777777" w:rsidR="005B5E4B" w:rsidRPr="005B5E4B" w:rsidRDefault="005B5E4B" w:rsidP="007C4B17">
            <w:pPr>
              <w:pStyle w:val="Tabletext"/>
            </w:pPr>
            <w:r w:rsidRPr="005B5E4B">
              <w:t>Manufacturing</w:t>
            </w:r>
          </w:p>
        </w:tc>
        <w:tc>
          <w:tcPr>
            <w:tcW w:w="1434" w:type="dxa"/>
            <w:tcBorders>
              <w:top w:val="nil"/>
              <w:left w:val="nil"/>
              <w:bottom w:val="nil"/>
              <w:right w:val="nil"/>
            </w:tcBorders>
          </w:tcPr>
          <w:p w14:paraId="4D3C89AF" w14:textId="77777777" w:rsidR="005B5E4B" w:rsidRPr="005B5E4B" w:rsidRDefault="005B5E4B" w:rsidP="007C4B17">
            <w:pPr>
              <w:pStyle w:val="Tabletext"/>
            </w:pPr>
          </w:p>
        </w:tc>
        <w:tc>
          <w:tcPr>
            <w:tcW w:w="1671" w:type="dxa"/>
            <w:gridSpan w:val="2"/>
            <w:tcBorders>
              <w:top w:val="nil"/>
              <w:left w:val="nil"/>
              <w:bottom w:val="nil"/>
              <w:right w:val="nil"/>
            </w:tcBorders>
            <w:vAlign w:val="center"/>
          </w:tcPr>
          <w:p w14:paraId="267ADCB0" w14:textId="77777777" w:rsidR="005B5E4B" w:rsidRPr="005B5E4B" w:rsidRDefault="005B5E4B" w:rsidP="007C4B17">
            <w:pPr>
              <w:pStyle w:val="Tabletext"/>
            </w:pPr>
            <w:r w:rsidRPr="005B5E4B">
              <w:t>0.706***</w:t>
            </w:r>
          </w:p>
          <w:p w14:paraId="527104CF" w14:textId="77777777" w:rsidR="005B5E4B" w:rsidRPr="005B5E4B" w:rsidRDefault="005B5E4B" w:rsidP="007C4B17">
            <w:pPr>
              <w:pStyle w:val="Tabletext"/>
            </w:pPr>
            <w:r w:rsidRPr="005B5E4B">
              <w:t>(0.199)</w:t>
            </w:r>
          </w:p>
        </w:tc>
        <w:tc>
          <w:tcPr>
            <w:tcW w:w="1104" w:type="dxa"/>
            <w:gridSpan w:val="2"/>
            <w:tcBorders>
              <w:top w:val="nil"/>
              <w:left w:val="nil"/>
              <w:bottom w:val="nil"/>
              <w:right w:val="nil"/>
            </w:tcBorders>
            <w:vAlign w:val="center"/>
          </w:tcPr>
          <w:p w14:paraId="54D24DDE" w14:textId="77777777" w:rsidR="005B5E4B" w:rsidRPr="005B5E4B" w:rsidRDefault="005B5E4B" w:rsidP="007C4B17">
            <w:pPr>
              <w:pStyle w:val="Tabletext"/>
            </w:pPr>
            <w:r w:rsidRPr="005B5E4B">
              <w:t>0.389*</w:t>
            </w:r>
          </w:p>
          <w:p w14:paraId="2302213B" w14:textId="77777777" w:rsidR="005B5E4B" w:rsidRPr="005B5E4B" w:rsidRDefault="005B5E4B" w:rsidP="007C4B17">
            <w:pPr>
              <w:pStyle w:val="Tabletext"/>
            </w:pPr>
            <w:r w:rsidRPr="005B5E4B">
              <w:t>(0.178)</w:t>
            </w:r>
          </w:p>
        </w:tc>
      </w:tr>
      <w:tr w:rsidR="005B5E4B" w:rsidRPr="005B5E4B" w14:paraId="62CEB3C1"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54D50CCE" w14:textId="77777777" w:rsidR="005B5E4B" w:rsidRPr="005B5E4B" w:rsidRDefault="005B5E4B" w:rsidP="007C4B17">
            <w:pPr>
              <w:pStyle w:val="Tabletext"/>
            </w:pPr>
            <w:r w:rsidRPr="005B5E4B">
              <w:t>Service</w:t>
            </w:r>
          </w:p>
        </w:tc>
        <w:tc>
          <w:tcPr>
            <w:tcW w:w="1434" w:type="dxa"/>
            <w:tcBorders>
              <w:top w:val="nil"/>
              <w:left w:val="nil"/>
              <w:bottom w:val="nil"/>
              <w:right w:val="nil"/>
            </w:tcBorders>
          </w:tcPr>
          <w:p w14:paraId="0C591368" w14:textId="77777777" w:rsidR="005B5E4B" w:rsidRPr="005B5E4B" w:rsidRDefault="005B5E4B" w:rsidP="007C4B17">
            <w:pPr>
              <w:pStyle w:val="Tabletext"/>
            </w:pPr>
          </w:p>
        </w:tc>
        <w:tc>
          <w:tcPr>
            <w:tcW w:w="1671" w:type="dxa"/>
            <w:gridSpan w:val="2"/>
            <w:tcBorders>
              <w:top w:val="nil"/>
              <w:left w:val="nil"/>
              <w:bottom w:val="nil"/>
              <w:right w:val="nil"/>
            </w:tcBorders>
            <w:vAlign w:val="center"/>
          </w:tcPr>
          <w:p w14:paraId="504A24B8" w14:textId="77777777" w:rsidR="005B5E4B" w:rsidRPr="005B5E4B" w:rsidRDefault="005B5E4B" w:rsidP="007C4B17">
            <w:pPr>
              <w:pStyle w:val="Tabletext"/>
            </w:pPr>
            <w:r w:rsidRPr="005B5E4B">
              <w:t>0.148</w:t>
            </w:r>
          </w:p>
          <w:p w14:paraId="476F7991" w14:textId="77777777" w:rsidR="005B5E4B" w:rsidRPr="005B5E4B" w:rsidRDefault="005B5E4B" w:rsidP="007C4B17">
            <w:pPr>
              <w:pStyle w:val="Tabletext"/>
            </w:pPr>
            <w:r w:rsidRPr="005B5E4B">
              <w:t>(0.180)</w:t>
            </w:r>
          </w:p>
        </w:tc>
        <w:tc>
          <w:tcPr>
            <w:tcW w:w="1104" w:type="dxa"/>
            <w:gridSpan w:val="2"/>
            <w:tcBorders>
              <w:top w:val="nil"/>
              <w:left w:val="nil"/>
              <w:bottom w:val="nil"/>
              <w:right w:val="nil"/>
            </w:tcBorders>
            <w:vAlign w:val="center"/>
          </w:tcPr>
          <w:p w14:paraId="1A977789" w14:textId="77777777" w:rsidR="005B5E4B" w:rsidRPr="005B5E4B" w:rsidRDefault="005B5E4B" w:rsidP="007C4B17">
            <w:pPr>
              <w:pStyle w:val="Tabletext"/>
            </w:pPr>
            <w:r w:rsidRPr="005B5E4B">
              <w:t>-0.030</w:t>
            </w:r>
          </w:p>
          <w:p w14:paraId="3FD17DAA" w14:textId="77777777" w:rsidR="005B5E4B" w:rsidRPr="005B5E4B" w:rsidRDefault="005B5E4B" w:rsidP="007C4B17">
            <w:pPr>
              <w:pStyle w:val="Tabletext"/>
            </w:pPr>
            <w:r w:rsidRPr="005B5E4B">
              <w:t>(0.163)</w:t>
            </w:r>
          </w:p>
        </w:tc>
      </w:tr>
      <w:tr w:rsidR="005B5E4B" w:rsidRPr="005B5E4B" w14:paraId="755F2807"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2ED2DA84" w14:textId="77777777" w:rsidR="005B5E4B" w:rsidRPr="005B5E4B" w:rsidRDefault="005B5E4B" w:rsidP="007C4B17">
            <w:pPr>
              <w:pStyle w:val="Tabletext"/>
            </w:pPr>
            <w:r w:rsidRPr="005B5E4B">
              <w:t>European Union</w:t>
            </w:r>
          </w:p>
        </w:tc>
        <w:tc>
          <w:tcPr>
            <w:tcW w:w="1434" w:type="dxa"/>
            <w:tcBorders>
              <w:top w:val="nil"/>
              <w:left w:val="nil"/>
              <w:bottom w:val="nil"/>
              <w:right w:val="nil"/>
            </w:tcBorders>
          </w:tcPr>
          <w:p w14:paraId="6A15C6E7" w14:textId="77777777" w:rsidR="005B5E4B" w:rsidRPr="005B5E4B" w:rsidRDefault="005B5E4B" w:rsidP="007C4B17">
            <w:pPr>
              <w:pStyle w:val="Tabletext"/>
            </w:pPr>
          </w:p>
        </w:tc>
        <w:tc>
          <w:tcPr>
            <w:tcW w:w="1671" w:type="dxa"/>
            <w:gridSpan w:val="2"/>
            <w:tcBorders>
              <w:top w:val="nil"/>
              <w:left w:val="nil"/>
              <w:bottom w:val="nil"/>
              <w:right w:val="nil"/>
            </w:tcBorders>
            <w:vAlign w:val="center"/>
          </w:tcPr>
          <w:p w14:paraId="607C7AA9" w14:textId="77777777" w:rsidR="005B5E4B" w:rsidRPr="005B5E4B" w:rsidRDefault="005B5E4B" w:rsidP="007C4B17">
            <w:pPr>
              <w:pStyle w:val="Tabletext"/>
            </w:pPr>
            <w:r w:rsidRPr="005B5E4B">
              <w:t>0.411*</w:t>
            </w:r>
          </w:p>
          <w:p w14:paraId="227A9112" w14:textId="77777777" w:rsidR="005B5E4B" w:rsidRPr="005B5E4B" w:rsidRDefault="005B5E4B" w:rsidP="007C4B17">
            <w:pPr>
              <w:pStyle w:val="Tabletext"/>
            </w:pPr>
            <w:r w:rsidRPr="005B5E4B">
              <w:t>(0.167)</w:t>
            </w:r>
          </w:p>
        </w:tc>
        <w:tc>
          <w:tcPr>
            <w:tcW w:w="1104" w:type="dxa"/>
            <w:gridSpan w:val="2"/>
            <w:tcBorders>
              <w:top w:val="nil"/>
              <w:left w:val="nil"/>
              <w:bottom w:val="nil"/>
              <w:right w:val="nil"/>
            </w:tcBorders>
            <w:vAlign w:val="center"/>
          </w:tcPr>
          <w:p w14:paraId="531C13B0" w14:textId="77777777" w:rsidR="005B5E4B" w:rsidRPr="005B5E4B" w:rsidRDefault="005B5E4B" w:rsidP="007C4B17">
            <w:pPr>
              <w:pStyle w:val="Tabletext"/>
            </w:pPr>
            <w:r w:rsidRPr="005B5E4B">
              <w:t>0.158</w:t>
            </w:r>
          </w:p>
          <w:p w14:paraId="772C30F5" w14:textId="77777777" w:rsidR="005B5E4B" w:rsidRPr="005B5E4B" w:rsidRDefault="005B5E4B" w:rsidP="007C4B17">
            <w:pPr>
              <w:pStyle w:val="Tabletext"/>
            </w:pPr>
            <w:r w:rsidRPr="005B5E4B">
              <w:t>(0.149)</w:t>
            </w:r>
          </w:p>
        </w:tc>
      </w:tr>
      <w:tr w:rsidR="005B5E4B" w:rsidRPr="005B5E4B" w14:paraId="6793F11F" w14:textId="77777777" w:rsidTr="00116B90">
        <w:trPr>
          <w:gridAfter w:val="1"/>
          <w:wAfter w:w="50" w:type="dxa"/>
          <w:cantSplit/>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5E8F8CA7" w14:textId="77777777" w:rsidR="005B5E4B" w:rsidRPr="005B5E4B" w:rsidRDefault="005B5E4B" w:rsidP="007C4B17">
            <w:pPr>
              <w:pStyle w:val="Tabletext"/>
            </w:pPr>
            <w:r w:rsidRPr="005B5E4B">
              <w:t>Property Type</w:t>
            </w:r>
          </w:p>
        </w:tc>
        <w:tc>
          <w:tcPr>
            <w:tcW w:w="1434" w:type="dxa"/>
            <w:tcBorders>
              <w:top w:val="nil"/>
              <w:left w:val="nil"/>
              <w:bottom w:val="nil"/>
              <w:right w:val="nil"/>
            </w:tcBorders>
          </w:tcPr>
          <w:p w14:paraId="4413C31A" w14:textId="77777777" w:rsidR="005B5E4B" w:rsidRPr="005B5E4B" w:rsidRDefault="005B5E4B" w:rsidP="007C4B17">
            <w:pPr>
              <w:pStyle w:val="Tabletext"/>
            </w:pPr>
          </w:p>
        </w:tc>
        <w:tc>
          <w:tcPr>
            <w:tcW w:w="1671" w:type="dxa"/>
            <w:gridSpan w:val="2"/>
            <w:tcBorders>
              <w:top w:val="nil"/>
              <w:left w:val="nil"/>
              <w:bottom w:val="nil"/>
              <w:right w:val="nil"/>
            </w:tcBorders>
            <w:vAlign w:val="center"/>
          </w:tcPr>
          <w:p w14:paraId="45308D85" w14:textId="77777777" w:rsidR="005B5E4B" w:rsidRPr="005B5E4B" w:rsidRDefault="005B5E4B" w:rsidP="007C4B17">
            <w:pPr>
              <w:pStyle w:val="Tabletext"/>
            </w:pPr>
            <w:r w:rsidRPr="005B5E4B">
              <w:t>-0.237</w:t>
            </w:r>
          </w:p>
          <w:p w14:paraId="72B1EF52" w14:textId="77777777" w:rsidR="005B5E4B" w:rsidRPr="005B5E4B" w:rsidRDefault="005B5E4B" w:rsidP="007C4B17">
            <w:pPr>
              <w:pStyle w:val="Tabletext"/>
            </w:pPr>
            <w:r w:rsidRPr="005B5E4B">
              <w:t>(0.176)</w:t>
            </w:r>
          </w:p>
        </w:tc>
        <w:tc>
          <w:tcPr>
            <w:tcW w:w="1104" w:type="dxa"/>
            <w:gridSpan w:val="2"/>
            <w:tcBorders>
              <w:top w:val="nil"/>
              <w:left w:val="nil"/>
              <w:bottom w:val="nil"/>
              <w:right w:val="nil"/>
            </w:tcBorders>
            <w:vAlign w:val="center"/>
          </w:tcPr>
          <w:p w14:paraId="2F370BFC" w14:textId="77777777" w:rsidR="005B5E4B" w:rsidRPr="005B5E4B" w:rsidRDefault="005B5E4B" w:rsidP="007C4B17">
            <w:pPr>
              <w:pStyle w:val="Tabletext"/>
            </w:pPr>
            <w:r w:rsidRPr="005B5E4B">
              <w:t>-0.248</w:t>
            </w:r>
          </w:p>
          <w:p w14:paraId="6DD38B4D" w14:textId="77777777" w:rsidR="005B5E4B" w:rsidRPr="005B5E4B" w:rsidRDefault="005B5E4B" w:rsidP="007C4B17">
            <w:pPr>
              <w:pStyle w:val="Tabletext"/>
            </w:pPr>
            <w:r w:rsidRPr="005B5E4B">
              <w:t>(0.152)</w:t>
            </w:r>
          </w:p>
        </w:tc>
      </w:tr>
      <w:tr w:rsidR="005B5E4B" w:rsidRPr="005B5E4B" w14:paraId="6CE511F2" w14:textId="77777777" w:rsidTr="00116B90">
        <w:trPr>
          <w:gridAfter w:val="1"/>
          <w:wAfter w:w="50" w:type="dxa"/>
          <w:cantSplit/>
          <w:trHeight w:val="29"/>
          <w:tblCellSpacing w:w="15" w:type="dxa"/>
          <w:jc w:val="center"/>
        </w:trPr>
        <w:tc>
          <w:tcPr>
            <w:tcW w:w="2507" w:type="dxa"/>
            <w:tcBorders>
              <w:top w:val="nil"/>
              <w:left w:val="nil"/>
              <w:bottom w:val="nil"/>
              <w:right w:val="nil"/>
            </w:tcBorders>
            <w:tcMar>
              <w:top w:w="30" w:type="dxa"/>
              <w:left w:w="120" w:type="dxa"/>
              <w:bottom w:w="30" w:type="dxa"/>
              <w:right w:w="0" w:type="dxa"/>
            </w:tcMar>
            <w:vAlign w:val="center"/>
            <w:hideMark/>
          </w:tcPr>
          <w:p w14:paraId="31961EAF" w14:textId="77777777" w:rsidR="005B5E4B" w:rsidRPr="005B5E4B" w:rsidRDefault="005B5E4B" w:rsidP="007C4B17">
            <w:pPr>
              <w:pStyle w:val="Tabletext"/>
            </w:pPr>
            <w:r w:rsidRPr="005B5E4B">
              <w:t>Supplier Integration</w:t>
            </w:r>
          </w:p>
        </w:tc>
        <w:tc>
          <w:tcPr>
            <w:tcW w:w="1434" w:type="dxa"/>
            <w:tcBorders>
              <w:top w:val="nil"/>
              <w:left w:val="nil"/>
              <w:bottom w:val="nil"/>
              <w:right w:val="nil"/>
            </w:tcBorders>
          </w:tcPr>
          <w:p w14:paraId="6723F30B" w14:textId="77777777" w:rsidR="005B5E4B" w:rsidRPr="005B5E4B" w:rsidRDefault="005B5E4B" w:rsidP="007C4B17">
            <w:pPr>
              <w:pStyle w:val="Tabletext"/>
            </w:pPr>
          </w:p>
        </w:tc>
        <w:tc>
          <w:tcPr>
            <w:tcW w:w="1671" w:type="dxa"/>
            <w:gridSpan w:val="2"/>
            <w:tcBorders>
              <w:top w:val="nil"/>
              <w:left w:val="nil"/>
              <w:bottom w:val="nil"/>
              <w:right w:val="nil"/>
            </w:tcBorders>
            <w:vAlign w:val="center"/>
          </w:tcPr>
          <w:p w14:paraId="692FD42C" w14:textId="77777777" w:rsidR="005B5E4B" w:rsidRPr="005B5E4B" w:rsidRDefault="005B5E4B" w:rsidP="007C4B17">
            <w:pPr>
              <w:pStyle w:val="Tabletext"/>
            </w:pPr>
          </w:p>
        </w:tc>
        <w:tc>
          <w:tcPr>
            <w:tcW w:w="1104" w:type="dxa"/>
            <w:gridSpan w:val="2"/>
            <w:tcBorders>
              <w:top w:val="nil"/>
              <w:left w:val="nil"/>
              <w:bottom w:val="nil"/>
              <w:right w:val="nil"/>
            </w:tcBorders>
            <w:vAlign w:val="center"/>
          </w:tcPr>
          <w:p w14:paraId="6AEB7A64" w14:textId="77777777" w:rsidR="005B5E4B" w:rsidRPr="005B5E4B" w:rsidRDefault="005B5E4B" w:rsidP="007C4B17">
            <w:pPr>
              <w:pStyle w:val="Tabletext"/>
            </w:pPr>
            <w:r w:rsidRPr="005B5E4B">
              <w:t>0.197**</w:t>
            </w:r>
          </w:p>
          <w:p w14:paraId="66C3496F" w14:textId="77777777" w:rsidR="005B5E4B" w:rsidRPr="005B5E4B" w:rsidRDefault="005B5E4B" w:rsidP="007C4B17">
            <w:pPr>
              <w:pStyle w:val="Tabletext"/>
            </w:pPr>
            <w:r w:rsidRPr="005B5E4B">
              <w:t>(0.071)</w:t>
            </w:r>
          </w:p>
        </w:tc>
      </w:tr>
      <w:tr w:rsidR="005B5E4B" w:rsidRPr="005B5E4B" w14:paraId="315E16AF" w14:textId="77777777" w:rsidTr="00116B90">
        <w:trPr>
          <w:gridAfter w:val="1"/>
          <w:wAfter w:w="50" w:type="dxa"/>
          <w:cantSplit/>
          <w:trHeight w:val="29"/>
          <w:tblCellSpacing w:w="15" w:type="dxa"/>
          <w:jc w:val="center"/>
        </w:trPr>
        <w:tc>
          <w:tcPr>
            <w:tcW w:w="2507" w:type="dxa"/>
            <w:tcBorders>
              <w:top w:val="nil"/>
              <w:left w:val="nil"/>
              <w:bottom w:val="single" w:sz="4" w:space="0" w:color="auto"/>
              <w:right w:val="nil"/>
            </w:tcBorders>
            <w:tcMar>
              <w:top w:w="30" w:type="dxa"/>
              <w:left w:w="120" w:type="dxa"/>
              <w:bottom w:w="120" w:type="dxa"/>
              <w:right w:w="0" w:type="dxa"/>
            </w:tcMar>
            <w:vAlign w:val="center"/>
            <w:hideMark/>
          </w:tcPr>
          <w:p w14:paraId="2AEE5CF6" w14:textId="77777777" w:rsidR="005B5E4B" w:rsidRPr="005B5E4B" w:rsidRDefault="005B5E4B" w:rsidP="007C4B17">
            <w:pPr>
              <w:pStyle w:val="Tabletext"/>
            </w:pPr>
            <w:r w:rsidRPr="005B5E4B">
              <w:t>Customer Integration</w:t>
            </w:r>
          </w:p>
        </w:tc>
        <w:tc>
          <w:tcPr>
            <w:tcW w:w="1434" w:type="dxa"/>
            <w:tcBorders>
              <w:top w:val="nil"/>
              <w:left w:val="nil"/>
              <w:bottom w:val="single" w:sz="4" w:space="0" w:color="auto"/>
              <w:right w:val="nil"/>
            </w:tcBorders>
          </w:tcPr>
          <w:p w14:paraId="15712083" w14:textId="77777777" w:rsidR="005B5E4B" w:rsidRPr="005B5E4B" w:rsidRDefault="005B5E4B" w:rsidP="007C4B17">
            <w:pPr>
              <w:pStyle w:val="Tabletext"/>
            </w:pPr>
          </w:p>
        </w:tc>
        <w:tc>
          <w:tcPr>
            <w:tcW w:w="1671" w:type="dxa"/>
            <w:gridSpan w:val="2"/>
            <w:tcBorders>
              <w:top w:val="nil"/>
              <w:left w:val="nil"/>
              <w:bottom w:val="single" w:sz="4" w:space="0" w:color="auto"/>
              <w:right w:val="nil"/>
            </w:tcBorders>
          </w:tcPr>
          <w:p w14:paraId="2FF8FE95" w14:textId="77777777" w:rsidR="005B5E4B" w:rsidRPr="005B5E4B" w:rsidRDefault="005B5E4B" w:rsidP="007C4B17">
            <w:pPr>
              <w:pStyle w:val="Tabletext"/>
            </w:pPr>
          </w:p>
        </w:tc>
        <w:tc>
          <w:tcPr>
            <w:tcW w:w="1104" w:type="dxa"/>
            <w:gridSpan w:val="2"/>
            <w:tcBorders>
              <w:top w:val="nil"/>
              <w:left w:val="nil"/>
              <w:bottom w:val="single" w:sz="4" w:space="0" w:color="auto"/>
              <w:right w:val="nil"/>
            </w:tcBorders>
            <w:vAlign w:val="center"/>
          </w:tcPr>
          <w:p w14:paraId="7E4B6E6B" w14:textId="77777777" w:rsidR="005B5E4B" w:rsidRPr="005B5E4B" w:rsidRDefault="005B5E4B" w:rsidP="007C4B17">
            <w:pPr>
              <w:pStyle w:val="Tabletext"/>
            </w:pPr>
            <w:r w:rsidRPr="005B5E4B">
              <w:t>0.437***</w:t>
            </w:r>
          </w:p>
          <w:p w14:paraId="2ED80C56" w14:textId="77777777" w:rsidR="005B5E4B" w:rsidRPr="005B5E4B" w:rsidRDefault="005B5E4B" w:rsidP="007C4B17">
            <w:pPr>
              <w:pStyle w:val="Tabletext"/>
            </w:pPr>
            <w:r w:rsidRPr="005B5E4B">
              <w:t>(0.075)</w:t>
            </w:r>
          </w:p>
        </w:tc>
      </w:tr>
      <w:tr w:rsidR="005B5E4B" w:rsidRPr="005B5E4B" w14:paraId="021A08A8" w14:textId="77777777" w:rsidTr="00116B90">
        <w:trPr>
          <w:gridAfter w:val="1"/>
          <w:wAfter w:w="50" w:type="dxa"/>
          <w:cantSplit/>
          <w:trHeight w:val="29"/>
          <w:tblCellSpacing w:w="15" w:type="dxa"/>
          <w:jc w:val="center"/>
        </w:trPr>
        <w:tc>
          <w:tcPr>
            <w:tcW w:w="2507" w:type="dxa"/>
            <w:tcBorders>
              <w:top w:val="nil"/>
              <w:left w:val="nil"/>
              <w:bottom w:val="nil"/>
              <w:right w:val="nil"/>
            </w:tcBorders>
            <w:tcMar>
              <w:top w:w="30" w:type="dxa"/>
              <w:left w:w="120" w:type="dxa"/>
              <w:bottom w:w="120" w:type="dxa"/>
              <w:right w:w="0" w:type="dxa"/>
            </w:tcMar>
            <w:vAlign w:val="center"/>
          </w:tcPr>
          <w:p w14:paraId="01991071" w14:textId="77777777" w:rsidR="005B5E4B" w:rsidRPr="005B5E4B" w:rsidRDefault="005B5E4B" w:rsidP="007C4B17">
            <w:pPr>
              <w:pStyle w:val="Tabletext"/>
            </w:pPr>
            <w:r w:rsidRPr="005B5E4B">
              <w:t>Observations</w:t>
            </w:r>
          </w:p>
        </w:tc>
        <w:tc>
          <w:tcPr>
            <w:tcW w:w="1434" w:type="dxa"/>
            <w:tcBorders>
              <w:top w:val="nil"/>
              <w:left w:val="nil"/>
              <w:bottom w:val="nil"/>
              <w:right w:val="nil"/>
            </w:tcBorders>
          </w:tcPr>
          <w:p w14:paraId="681882DC" w14:textId="77777777" w:rsidR="005B5E4B" w:rsidRPr="005B5E4B" w:rsidRDefault="005B5E4B" w:rsidP="007C4B17">
            <w:pPr>
              <w:pStyle w:val="Tabletext"/>
            </w:pPr>
            <w:r w:rsidRPr="005B5E4B">
              <w:t>150</w:t>
            </w:r>
          </w:p>
        </w:tc>
        <w:tc>
          <w:tcPr>
            <w:tcW w:w="1671" w:type="dxa"/>
            <w:gridSpan w:val="2"/>
            <w:tcBorders>
              <w:top w:val="nil"/>
              <w:left w:val="nil"/>
              <w:bottom w:val="nil"/>
              <w:right w:val="nil"/>
            </w:tcBorders>
          </w:tcPr>
          <w:p w14:paraId="0F611A87" w14:textId="77777777" w:rsidR="005B5E4B" w:rsidRPr="005B5E4B" w:rsidRDefault="005B5E4B" w:rsidP="007C4B17">
            <w:pPr>
              <w:pStyle w:val="Tabletext"/>
            </w:pPr>
            <w:r w:rsidRPr="005B5E4B">
              <w:t>150</w:t>
            </w:r>
          </w:p>
        </w:tc>
        <w:tc>
          <w:tcPr>
            <w:tcW w:w="1104" w:type="dxa"/>
            <w:gridSpan w:val="2"/>
            <w:tcBorders>
              <w:top w:val="nil"/>
              <w:left w:val="nil"/>
              <w:bottom w:val="nil"/>
              <w:right w:val="nil"/>
            </w:tcBorders>
          </w:tcPr>
          <w:p w14:paraId="1B435B80" w14:textId="77777777" w:rsidR="005B5E4B" w:rsidRPr="005B5E4B" w:rsidRDefault="005B5E4B" w:rsidP="007C4B17">
            <w:pPr>
              <w:pStyle w:val="Tabletext"/>
            </w:pPr>
            <w:r w:rsidRPr="005B5E4B">
              <w:t>150</w:t>
            </w:r>
          </w:p>
        </w:tc>
      </w:tr>
      <w:tr w:rsidR="005B5E4B" w:rsidRPr="005B5E4B" w14:paraId="3CF21731" w14:textId="77777777" w:rsidTr="00116B90">
        <w:trPr>
          <w:gridAfter w:val="1"/>
          <w:wAfter w:w="50" w:type="dxa"/>
          <w:cantSplit/>
          <w:trHeight w:val="111"/>
          <w:tblCellSpacing w:w="15" w:type="dxa"/>
          <w:jc w:val="center"/>
        </w:trPr>
        <w:tc>
          <w:tcPr>
            <w:tcW w:w="2507" w:type="dxa"/>
            <w:tcBorders>
              <w:top w:val="nil"/>
              <w:left w:val="nil"/>
              <w:bottom w:val="nil"/>
              <w:right w:val="nil"/>
            </w:tcBorders>
            <w:tcMar>
              <w:top w:w="30" w:type="dxa"/>
              <w:left w:w="120" w:type="dxa"/>
              <w:bottom w:w="120" w:type="dxa"/>
              <w:right w:w="0" w:type="dxa"/>
            </w:tcMar>
            <w:vAlign w:val="center"/>
          </w:tcPr>
          <w:p w14:paraId="3BCACFA0" w14:textId="77777777" w:rsidR="005B5E4B" w:rsidRPr="005B5E4B" w:rsidRDefault="005B5E4B" w:rsidP="007C4B17">
            <w:pPr>
              <w:pStyle w:val="Tabletext"/>
            </w:pPr>
            <w:r w:rsidRPr="005B5E4B">
              <w:t>Fixed-effects</w:t>
            </w:r>
          </w:p>
        </w:tc>
        <w:tc>
          <w:tcPr>
            <w:tcW w:w="1434" w:type="dxa"/>
            <w:tcBorders>
              <w:top w:val="nil"/>
              <w:left w:val="nil"/>
              <w:bottom w:val="nil"/>
              <w:right w:val="nil"/>
            </w:tcBorders>
          </w:tcPr>
          <w:p w14:paraId="6E8C089D" w14:textId="77777777" w:rsidR="005B5E4B" w:rsidRPr="005B5E4B" w:rsidRDefault="005B5E4B" w:rsidP="007C4B17">
            <w:pPr>
              <w:pStyle w:val="Tabletext"/>
            </w:pPr>
            <w:r w:rsidRPr="005B5E4B">
              <w:t>1.027</w:t>
            </w:r>
          </w:p>
        </w:tc>
        <w:tc>
          <w:tcPr>
            <w:tcW w:w="1671" w:type="dxa"/>
            <w:gridSpan w:val="2"/>
            <w:tcBorders>
              <w:top w:val="nil"/>
              <w:left w:val="nil"/>
              <w:bottom w:val="nil"/>
              <w:right w:val="nil"/>
            </w:tcBorders>
          </w:tcPr>
          <w:p w14:paraId="0D335790" w14:textId="77777777" w:rsidR="005B5E4B" w:rsidRPr="005B5E4B" w:rsidRDefault="005B5E4B" w:rsidP="007C4B17">
            <w:pPr>
              <w:pStyle w:val="Tabletext"/>
            </w:pPr>
            <w:r w:rsidRPr="005B5E4B">
              <w:t>0.8609</w:t>
            </w:r>
          </w:p>
        </w:tc>
        <w:tc>
          <w:tcPr>
            <w:tcW w:w="1104" w:type="dxa"/>
            <w:gridSpan w:val="2"/>
            <w:tcBorders>
              <w:top w:val="nil"/>
              <w:left w:val="nil"/>
              <w:bottom w:val="nil"/>
              <w:right w:val="nil"/>
            </w:tcBorders>
          </w:tcPr>
          <w:p w14:paraId="05B2F1C7" w14:textId="77777777" w:rsidR="005B5E4B" w:rsidRPr="005B5E4B" w:rsidRDefault="005B5E4B" w:rsidP="007C4B17">
            <w:pPr>
              <w:pStyle w:val="Tabletext"/>
            </w:pPr>
            <w:r w:rsidRPr="005B5E4B">
              <w:t>0.5291</w:t>
            </w:r>
          </w:p>
        </w:tc>
      </w:tr>
      <w:tr w:rsidR="005B5E4B" w:rsidRPr="005B5E4B" w14:paraId="05B76CDE" w14:textId="77777777" w:rsidTr="00116B90">
        <w:trPr>
          <w:gridAfter w:val="1"/>
          <w:wAfter w:w="50" w:type="dxa"/>
          <w:cantSplit/>
          <w:trHeight w:val="29"/>
          <w:tblCellSpacing w:w="15" w:type="dxa"/>
          <w:jc w:val="center"/>
        </w:trPr>
        <w:tc>
          <w:tcPr>
            <w:tcW w:w="2507" w:type="dxa"/>
            <w:tcBorders>
              <w:top w:val="nil"/>
              <w:left w:val="nil"/>
              <w:bottom w:val="nil"/>
              <w:right w:val="nil"/>
            </w:tcBorders>
            <w:tcMar>
              <w:top w:w="30" w:type="dxa"/>
              <w:left w:w="120" w:type="dxa"/>
              <w:bottom w:w="120" w:type="dxa"/>
              <w:right w:w="0" w:type="dxa"/>
            </w:tcMar>
            <w:vAlign w:val="center"/>
          </w:tcPr>
          <w:p w14:paraId="2E70799C" w14:textId="77777777" w:rsidR="005B5E4B" w:rsidRPr="005B5E4B" w:rsidRDefault="005B5E4B" w:rsidP="007C4B17">
            <w:pPr>
              <w:pStyle w:val="Tabletext"/>
            </w:pPr>
            <w:r w:rsidRPr="005B5E4B">
              <w:t>R2</w:t>
            </w:r>
          </w:p>
        </w:tc>
        <w:tc>
          <w:tcPr>
            <w:tcW w:w="1434" w:type="dxa"/>
            <w:tcBorders>
              <w:top w:val="nil"/>
              <w:left w:val="nil"/>
              <w:bottom w:val="nil"/>
              <w:right w:val="nil"/>
            </w:tcBorders>
          </w:tcPr>
          <w:p w14:paraId="2BF6221A" w14:textId="77777777" w:rsidR="005B5E4B" w:rsidRPr="005B5E4B" w:rsidRDefault="005B5E4B" w:rsidP="007C4B17">
            <w:pPr>
              <w:pStyle w:val="Tabletext"/>
            </w:pPr>
            <w:r w:rsidRPr="005B5E4B">
              <w:t>0.357</w:t>
            </w:r>
          </w:p>
        </w:tc>
        <w:tc>
          <w:tcPr>
            <w:tcW w:w="1671" w:type="dxa"/>
            <w:gridSpan w:val="2"/>
            <w:tcBorders>
              <w:top w:val="nil"/>
              <w:left w:val="nil"/>
              <w:bottom w:val="nil"/>
              <w:right w:val="nil"/>
            </w:tcBorders>
          </w:tcPr>
          <w:p w14:paraId="1C86FD6A" w14:textId="77777777" w:rsidR="005B5E4B" w:rsidRPr="005B5E4B" w:rsidRDefault="005B5E4B" w:rsidP="007C4B17">
            <w:pPr>
              <w:pStyle w:val="Tabletext"/>
            </w:pPr>
            <w:r w:rsidRPr="005B5E4B">
              <w:t>0.469</w:t>
            </w:r>
          </w:p>
        </w:tc>
        <w:tc>
          <w:tcPr>
            <w:tcW w:w="1104" w:type="dxa"/>
            <w:gridSpan w:val="2"/>
            <w:tcBorders>
              <w:top w:val="nil"/>
              <w:left w:val="nil"/>
              <w:bottom w:val="nil"/>
              <w:right w:val="nil"/>
            </w:tcBorders>
          </w:tcPr>
          <w:p w14:paraId="01B4874E" w14:textId="77777777" w:rsidR="005B5E4B" w:rsidRPr="005B5E4B" w:rsidRDefault="005B5E4B" w:rsidP="007C4B17">
            <w:pPr>
              <w:pStyle w:val="Tabletext"/>
            </w:pPr>
            <w:r w:rsidRPr="005B5E4B">
              <w:t>0.612</w:t>
            </w:r>
          </w:p>
        </w:tc>
      </w:tr>
      <w:tr w:rsidR="005B5E4B" w:rsidRPr="005B5E4B" w14:paraId="1F4BBC84" w14:textId="77777777" w:rsidTr="00116B90">
        <w:trPr>
          <w:gridAfter w:val="1"/>
          <w:wAfter w:w="50" w:type="dxa"/>
          <w:cantSplit/>
          <w:trHeight w:val="25"/>
          <w:tblCellSpacing w:w="15" w:type="dxa"/>
          <w:jc w:val="center"/>
        </w:trPr>
        <w:tc>
          <w:tcPr>
            <w:tcW w:w="2507" w:type="dxa"/>
            <w:tcBorders>
              <w:top w:val="nil"/>
              <w:left w:val="nil"/>
              <w:bottom w:val="nil"/>
              <w:right w:val="nil"/>
            </w:tcBorders>
            <w:tcMar>
              <w:top w:w="30" w:type="dxa"/>
              <w:left w:w="120" w:type="dxa"/>
              <w:bottom w:w="120" w:type="dxa"/>
              <w:right w:w="0" w:type="dxa"/>
            </w:tcMar>
            <w:vAlign w:val="center"/>
          </w:tcPr>
          <w:p w14:paraId="68D83699" w14:textId="77777777" w:rsidR="005B5E4B" w:rsidRPr="005B5E4B" w:rsidRDefault="005B5E4B" w:rsidP="007C4B17">
            <w:pPr>
              <w:pStyle w:val="Tabletext"/>
            </w:pPr>
            <w:r w:rsidRPr="005B5E4B">
              <w:t>Adjusted R2</w:t>
            </w:r>
          </w:p>
        </w:tc>
        <w:tc>
          <w:tcPr>
            <w:tcW w:w="1434" w:type="dxa"/>
            <w:tcBorders>
              <w:top w:val="nil"/>
              <w:left w:val="nil"/>
              <w:bottom w:val="nil"/>
              <w:right w:val="nil"/>
            </w:tcBorders>
          </w:tcPr>
          <w:p w14:paraId="49B37406" w14:textId="77777777" w:rsidR="005B5E4B" w:rsidRPr="005B5E4B" w:rsidRDefault="005B5E4B" w:rsidP="007C4B17">
            <w:pPr>
              <w:pStyle w:val="Tabletext"/>
            </w:pPr>
            <w:r w:rsidRPr="005B5E4B">
              <w:t>0.339</w:t>
            </w:r>
          </w:p>
        </w:tc>
        <w:tc>
          <w:tcPr>
            <w:tcW w:w="1671" w:type="dxa"/>
            <w:gridSpan w:val="2"/>
            <w:tcBorders>
              <w:top w:val="nil"/>
              <w:left w:val="nil"/>
              <w:bottom w:val="nil"/>
              <w:right w:val="nil"/>
            </w:tcBorders>
          </w:tcPr>
          <w:p w14:paraId="0476DCAE" w14:textId="77777777" w:rsidR="005B5E4B" w:rsidRPr="005B5E4B" w:rsidRDefault="005B5E4B" w:rsidP="007C4B17">
            <w:pPr>
              <w:pStyle w:val="Tabletext"/>
            </w:pPr>
            <w:r w:rsidRPr="005B5E4B">
              <w:t>0.435</w:t>
            </w:r>
          </w:p>
        </w:tc>
        <w:tc>
          <w:tcPr>
            <w:tcW w:w="1104" w:type="dxa"/>
            <w:gridSpan w:val="2"/>
            <w:tcBorders>
              <w:top w:val="nil"/>
              <w:left w:val="nil"/>
              <w:bottom w:val="nil"/>
              <w:right w:val="nil"/>
            </w:tcBorders>
          </w:tcPr>
          <w:p w14:paraId="5EFCB229" w14:textId="77777777" w:rsidR="005B5E4B" w:rsidRPr="005B5E4B" w:rsidRDefault="005B5E4B" w:rsidP="007C4B17">
            <w:pPr>
              <w:pStyle w:val="Tabletext"/>
            </w:pPr>
            <w:r w:rsidRPr="005B5E4B">
              <w:t>0.582</w:t>
            </w:r>
          </w:p>
        </w:tc>
      </w:tr>
      <w:tr w:rsidR="005B5E4B" w:rsidRPr="005B5E4B" w14:paraId="002A5D29" w14:textId="77777777" w:rsidTr="00116B90">
        <w:trPr>
          <w:gridAfter w:val="1"/>
          <w:wAfter w:w="50" w:type="dxa"/>
          <w:cantSplit/>
          <w:trHeight w:val="29"/>
          <w:tblCellSpacing w:w="15" w:type="dxa"/>
          <w:jc w:val="center"/>
        </w:trPr>
        <w:tc>
          <w:tcPr>
            <w:tcW w:w="2507" w:type="dxa"/>
            <w:tcBorders>
              <w:top w:val="nil"/>
              <w:left w:val="nil"/>
              <w:bottom w:val="single" w:sz="12" w:space="0" w:color="333333"/>
              <w:right w:val="nil"/>
            </w:tcBorders>
            <w:tcMar>
              <w:top w:w="30" w:type="dxa"/>
              <w:left w:w="120" w:type="dxa"/>
              <w:bottom w:w="120" w:type="dxa"/>
              <w:right w:w="0" w:type="dxa"/>
            </w:tcMar>
            <w:vAlign w:val="center"/>
          </w:tcPr>
          <w:p w14:paraId="378BE3D4" w14:textId="77777777" w:rsidR="005B5E4B" w:rsidRPr="005B5E4B" w:rsidRDefault="005B5E4B" w:rsidP="007C4B17">
            <w:pPr>
              <w:pStyle w:val="Tabletext"/>
            </w:pPr>
            <w:r w:rsidRPr="005B5E4B">
              <w:t>F Statistic</w:t>
            </w:r>
          </w:p>
        </w:tc>
        <w:tc>
          <w:tcPr>
            <w:tcW w:w="1434" w:type="dxa"/>
            <w:tcBorders>
              <w:top w:val="nil"/>
              <w:left w:val="nil"/>
              <w:bottom w:val="single" w:sz="12" w:space="0" w:color="333333"/>
              <w:right w:val="nil"/>
            </w:tcBorders>
          </w:tcPr>
          <w:p w14:paraId="0CB0079F" w14:textId="77777777" w:rsidR="005B5E4B" w:rsidRPr="005B5E4B" w:rsidRDefault="005B5E4B" w:rsidP="007C4B17">
            <w:pPr>
              <w:pStyle w:val="Tabletext"/>
            </w:pPr>
            <w:r w:rsidRPr="005B5E4B">
              <w:t>20.3***</w:t>
            </w:r>
          </w:p>
          <w:p w14:paraId="58211CCD" w14:textId="77777777" w:rsidR="005B5E4B" w:rsidRPr="005B5E4B" w:rsidRDefault="005B5E4B" w:rsidP="007C4B17">
            <w:pPr>
              <w:pStyle w:val="Tabletext"/>
            </w:pPr>
            <w:r w:rsidRPr="005B5E4B">
              <w:t>(</w:t>
            </w:r>
            <w:proofErr w:type="spellStart"/>
            <w:r w:rsidRPr="005B5E4B">
              <w:t>df</w:t>
            </w:r>
            <w:proofErr w:type="spellEnd"/>
            <w:r w:rsidRPr="005B5E4B">
              <w:t>=4; 146)</w:t>
            </w:r>
          </w:p>
        </w:tc>
        <w:tc>
          <w:tcPr>
            <w:tcW w:w="1671" w:type="dxa"/>
            <w:gridSpan w:val="2"/>
            <w:tcBorders>
              <w:top w:val="nil"/>
              <w:left w:val="nil"/>
              <w:bottom w:val="single" w:sz="12" w:space="0" w:color="333333"/>
              <w:right w:val="nil"/>
            </w:tcBorders>
          </w:tcPr>
          <w:p w14:paraId="095ACD9A" w14:textId="77777777" w:rsidR="005B5E4B" w:rsidRPr="005B5E4B" w:rsidRDefault="005B5E4B" w:rsidP="007C4B17">
            <w:pPr>
              <w:pStyle w:val="Tabletext"/>
            </w:pPr>
            <w:r w:rsidRPr="005B5E4B">
              <w:t>13.9***</w:t>
            </w:r>
          </w:p>
          <w:p w14:paraId="7B8E3A59" w14:textId="77777777" w:rsidR="005B5E4B" w:rsidRPr="005B5E4B" w:rsidRDefault="005B5E4B" w:rsidP="007C4B17">
            <w:pPr>
              <w:pStyle w:val="Tabletext"/>
            </w:pPr>
            <w:r w:rsidRPr="005B5E4B">
              <w:t>(</w:t>
            </w:r>
            <w:proofErr w:type="spellStart"/>
            <w:r w:rsidRPr="005B5E4B">
              <w:t>df</w:t>
            </w:r>
            <w:proofErr w:type="spellEnd"/>
            <w:r w:rsidRPr="005B5E4B">
              <w:t>=9; 141)</w:t>
            </w:r>
          </w:p>
        </w:tc>
        <w:tc>
          <w:tcPr>
            <w:tcW w:w="1104" w:type="dxa"/>
            <w:gridSpan w:val="2"/>
            <w:tcBorders>
              <w:top w:val="nil"/>
              <w:left w:val="nil"/>
              <w:bottom w:val="single" w:sz="12" w:space="0" w:color="333333"/>
              <w:right w:val="nil"/>
            </w:tcBorders>
          </w:tcPr>
          <w:p w14:paraId="1A616B62" w14:textId="77777777" w:rsidR="005B5E4B" w:rsidRPr="005B5E4B" w:rsidRDefault="005B5E4B" w:rsidP="007C4B17">
            <w:pPr>
              <w:pStyle w:val="Tabletext"/>
            </w:pPr>
            <w:r w:rsidRPr="005B5E4B">
              <w:t>20.0***</w:t>
            </w:r>
          </w:p>
          <w:p w14:paraId="26615C9B" w14:textId="77777777" w:rsidR="005B5E4B" w:rsidRPr="005B5E4B" w:rsidRDefault="005B5E4B" w:rsidP="007C4B17">
            <w:pPr>
              <w:pStyle w:val="Tabletext"/>
            </w:pPr>
            <w:r w:rsidRPr="005B5E4B">
              <w:t>(</w:t>
            </w:r>
            <w:proofErr w:type="spellStart"/>
            <w:r w:rsidRPr="005B5E4B">
              <w:t>df</w:t>
            </w:r>
            <w:proofErr w:type="spellEnd"/>
            <w:r w:rsidRPr="005B5E4B">
              <w:t>=11;139)</w:t>
            </w:r>
          </w:p>
        </w:tc>
      </w:tr>
    </w:tbl>
    <w:p w14:paraId="2B00BE56" w14:textId="326FC59F" w:rsidR="005B5E4B" w:rsidRDefault="005B5E4B" w:rsidP="002F7336">
      <w:r w:rsidRPr="005B5E4B">
        <w:t>Note: Coercive regulatory pressure effect on the outcome variable in the third model is very close to be significant (sig. 0.064)</w:t>
      </w:r>
    </w:p>
    <w:p w14:paraId="087AE37A" w14:textId="5CD223A3" w:rsidR="005B5E4B" w:rsidRDefault="00931D6C" w:rsidP="00931D6C">
      <w:pPr>
        <w:jc w:val="center"/>
      </w:pPr>
      <w:r w:rsidRPr="00B17222">
        <w:rPr>
          <w:rFonts w:ascii="Arial" w:hAnsi="Arial" w:cs="Arial"/>
          <w:noProof/>
          <w:lang w:eastAsia="zh-CN"/>
        </w:rPr>
        <w:lastRenderedPageBreak/>
        <w:drawing>
          <wp:inline distT="0" distB="0" distL="0" distR="0" wp14:anchorId="04AE070D" wp14:editId="2351213E">
            <wp:extent cx="5431444" cy="241212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66536" cy="2427708"/>
                    </a:xfrm>
                    <a:prstGeom prst="rect">
                      <a:avLst/>
                    </a:prstGeom>
                    <a:noFill/>
                  </pic:spPr>
                </pic:pic>
              </a:graphicData>
            </a:graphic>
          </wp:inline>
        </w:drawing>
      </w:r>
    </w:p>
    <w:p w14:paraId="38F8C785" w14:textId="4284C386" w:rsidR="005B5E4B" w:rsidRDefault="00931D6C" w:rsidP="002F7336">
      <w:pPr>
        <w:pStyle w:val="Figurecaption"/>
      </w:pPr>
      <w:r>
        <w:t>Figure 4</w:t>
      </w:r>
      <w:r w:rsidR="005B5E4B" w:rsidRPr="005B5E4B">
        <w:t xml:space="preserve"> – Mediation model. Note: *p&lt;0.05; **p&lt;0.01; ***p&lt;0.001</w:t>
      </w:r>
    </w:p>
    <w:p w14:paraId="3ABF313A" w14:textId="149AF044" w:rsidR="00EB75DF" w:rsidRDefault="0030063F" w:rsidP="0030063F">
      <w:pPr>
        <w:pStyle w:val="Heading2"/>
      </w:pPr>
      <w:bookmarkStart w:id="191" w:name="_Toc157759566"/>
      <w:r>
        <w:t xml:space="preserve">Discussions and </w:t>
      </w:r>
      <w:r w:rsidR="00EB75DF" w:rsidRPr="005A4110">
        <w:t>Implications</w:t>
      </w:r>
      <w:bookmarkEnd w:id="191"/>
      <w:r w:rsidR="00EB75DF" w:rsidRPr="005A4110">
        <w:t xml:space="preserve"> </w:t>
      </w:r>
    </w:p>
    <w:p w14:paraId="47F652F9" w14:textId="77FA0A82" w:rsidR="004864D0" w:rsidRDefault="0030063F" w:rsidP="004864D0">
      <w:pPr>
        <w:pStyle w:val="Heading3"/>
      </w:pPr>
      <w:bookmarkStart w:id="192" w:name="_Toc157759567"/>
      <w:r>
        <w:rPr>
          <w:lang w:val="fr-FR"/>
        </w:rPr>
        <w:t xml:space="preserve">Discussion of the </w:t>
      </w:r>
      <w:r w:rsidRPr="0039476A">
        <w:t>results</w:t>
      </w:r>
      <w:bookmarkEnd w:id="192"/>
    </w:p>
    <w:p w14:paraId="4E72193B" w14:textId="1CE2728B" w:rsidR="0039476A" w:rsidRPr="0039476A" w:rsidRDefault="0039476A" w:rsidP="0039476A">
      <w:pPr>
        <w:rPr>
          <w:i/>
          <w:iCs/>
        </w:rPr>
      </w:pPr>
      <w:r w:rsidRPr="0039476A">
        <w:rPr>
          <w:i/>
          <w:iCs/>
        </w:rPr>
        <w:t>5.1.1 Institutional Pressures drive the adoption of CE practices via SCI</w:t>
      </w:r>
    </w:p>
    <w:p w14:paraId="3C1A8261" w14:textId="77777777" w:rsidR="0039476A" w:rsidRDefault="0039476A" w:rsidP="0039476A">
      <w:r>
        <w:t xml:space="preserve">The results suggest that SCI should not be considered as a variable that just strengthens or weakens the relationship IPs-adoption of CE practices. Rather, SCI seems to have a much more active role in the complex relationship between IPs and the adoption of CE practices; indeed, SCI mediates the effect of some of the independent variables on the outcome variable, suggesting that IPs might first drive the adoption of higher levels of integration which, in turn, have a positive association with the adoption of CE practices. As such, SCI seems to be a key mechanism that lies in between IPs and the adoption of CE practices, which has the function of carrying the effect of IPs in the context of a company decision-making process. This also suggests that most IPs are not able to influence the outcome variable without affecting first the level of SCI. </w:t>
      </w:r>
    </w:p>
    <w:p w14:paraId="60088B05" w14:textId="77777777" w:rsidR="0039476A" w:rsidRDefault="0039476A" w:rsidP="0039476A">
      <w:r>
        <w:t xml:space="preserve">To better explain this concept, we refer to the practical case of two French Agri-food companies from the sample (a food distributor, Carrefour, and a food producer, </w:t>
      </w:r>
      <w:proofErr w:type="gramStart"/>
      <w:r>
        <w:t>Danone )</w:t>
      </w:r>
      <w:proofErr w:type="gramEnd"/>
      <w:r>
        <w:t xml:space="preserve">. These two MNEs operate in an institutional context with high CRPs, e.g., under the French law 138 (2016) that bans food waste. This law affects primarily food distributors, and then, indirectly, other entities in the agri-food supply chain. As a response to high CRPs, both MNEs reacted first by integrating with different suppliers and customers. The following paragraph reports a non-exhaustive list of the main SCI aspects from the final DB: enhancing information sharing mechanisms in the supply chain of environmental, climate data (Carrefour); development of digital tools to facilitate the </w:t>
      </w:r>
      <w:r>
        <w:lastRenderedPageBreak/>
        <w:t xml:space="preserve">exchange of information in the supply chain (Danone); provision of financing solution for agricultural transition and regenerative agriculture (both); development of strategic alignment with suppliers and customers on multiple topic among which the CE (Danone); share economic benefits and develop fair pricing policies and relationships with farmers and suppliers (Danone); develop collaborations with suppliers on product or packaging design  and technical support for supply lines (Carrefour); develop advanced forms of just-in-time with shared inventory management systems with its leading distributors (Danone); work on customer habits and have campaigns of sustainable consumption campaigns (Carrefour); improve information product traceability and the transparency of the supply chain (Carrefour); co-design solutions with customers  (Carrefour); develop key collaboration with </w:t>
      </w:r>
      <w:proofErr w:type="spellStart"/>
      <w:r>
        <w:t>TooGood</w:t>
      </w:r>
      <w:proofErr w:type="spellEnd"/>
      <w:r>
        <w:t xml:space="preserve"> to go to change the </w:t>
      </w:r>
      <w:proofErr w:type="spellStart"/>
      <w:r>
        <w:t>labeling</w:t>
      </w:r>
      <w:proofErr w:type="spellEnd"/>
      <w:r>
        <w:t xml:space="preserve"> of consumption dates on some of its products in France (Danone). </w:t>
      </w:r>
    </w:p>
    <w:p w14:paraId="27D2C69E" w14:textId="42CA191B" w:rsidR="0039476A" w:rsidRPr="0039476A" w:rsidRDefault="0039476A" w:rsidP="0039476A">
      <w:r>
        <w:t>Both the MNEs achieved a medium/high score on SI and CI. The statistical analysis confirms that, frequently, higher scores on SI and CI are associated with higher adoption of CE practices. The development of SI and CI is clearly beneficial to the adoption of CE practices and is seen as a prerequisite to enact a wide range of CE practices they mention in their CS reports.</w:t>
      </w:r>
    </w:p>
    <w:p w14:paraId="18AC6F29" w14:textId="33B1F6A6" w:rsidR="00B71F58" w:rsidRPr="0039476A" w:rsidRDefault="0039476A" w:rsidP="002F7336">
      <w:pPr>
        <w:rPr>
          <w:i/>
          <w:iCs/>
          <w:lang w:val="en-US"/>
        </w:rPr>
      </w:pPr>
      <w:r w:rsidRPr="0039476A">
        <w:rPr>
          <w:i/>
          <w:iCs/>
          <w:lang w:val="en-US"/>
        </w:rPr>
        <w:t>5.1.2 The predominant role of regulation and industry standards over market pressures</w:t>
      </w:r>
    </w:p>
    <w:p w14:paraId="0E70E72A" w14:textId="77777777" w:rsidR="0039476A" w:rsidRPr="0039476A" w:rsidRDefault="0039476A" w:rsidP="0039476A">
      <w:pPr>
        <w:rPr>
          <w:lang w:val="en-US"/>
        </w:rPr>
      </w:pPr>
      <w:r w:rsidRPr="0039476A">
        <w:rPr>
          <w:lang w:val="en-US"/>
        </w:rPr>
        <w:t xml:space="preserve">Having acknowledged that in the attempt to implement CE practices, IPs are driving higher levels of SCI, results also shed light into the specific mechanisms by which the IPs affect the adoption of CE practices, by discussing their link to SCI. Not all IPs seem to have an appreciable effect on SCI. Certain IPs related to regulation and industry standards are significantly and more strongly associated with SCI if compared to pressures coming from the market (CMPs, MPs, </w:t>
      </w:r>
      <w:proofErr w:type="gramStart"/>
      <w:r w:rsidRPr="0039476A">
        <w:rPr>
          <w:lang w:val="en-US"/>
        </w:rPr>
        <w:t>see</w:t>
      </w:r>
      <w:proofErr w:type="gramEnd"/>
      <w:r w:rsidRPr="0039476A">
        <w:rPr>
          <w:lang w:val="en-US"/>
        </w:rPr>
        <w:t xml:space="preserve"> Figure 4). As such, they may be more relevant in influencing the level of SCI and therefore, indirectly affecting the outcome variable through it. CRP is the only pressure that seems to have an appreciable direct effect on the outcome variable (Table 4 show that its effect is not far from being significant and might become significant if the sample is increased), which is also partially mediated by SI and CI, even though the mediation path has a more significant (and stronger) effect. NP effect is fully mediated by SI and CI. CMP and MP do not show an appreciable direct effect on either of the mediating variables (SI and CI). CMPs and MPs may be less relevant in influencing the mediators or may be indirectly related to the mediators. As a result, in absence of strong industry standards and regulations, they might not be sufficient to push the integration of the supply chain and to drive the adoption of CE practices. </w:t>
      </w:r>
    </w:p>
    <w:p w14:paraId="1C60EB89" w14:textId="77777777" w:rsidR="0039476A" w:rsidRPr="0039476A" w:rsidRDefault="0039476A" w:rsidP="0039476A">
      <w:pPr>
        <w:rPr>
          <w:lang w:val="en-US"/>
        </w:rPr>
      </w:pPr>
      <w:r w:rsidRPr="0039476A">
        <w:rPr>
          <w:lang w:val="en-US"/>
        </w:rPr>
        <w:lastRenderedPageBreak/>
        <w:t xml:space="preserve">Also this idea is explained through the industrial case mentioned in the previous sub-chapter, which refers to the two </w:t>
      </w:r>
      <w:proofErr w:type="spellStart"/>
      <w:r w:rsidRPr="0039476A">
        <w:rPr>
          <w:lang w:val="en-US"/>
        </w:rPr>
        <w:t>agri</w:t>
      </w:r>
      <w:proofErr w:type="spellEnd"/>
      <w:r w:rsidRPr="0039476A">
        <w:rPr>
          <w:lang w:val="en-US"/>
        </w:rPr>
        <w:t xml:space="preserve">-food companies headquartered in France. Carrefour and Danone high level of SI and CI seem to be associated with their institutional environment, which is </w:t>
      </w:r>
      <w:proofErr w:type="spellStart"/>
      <w:r w:rsidRPr="0039476A">
        <w:rPr>
          <w:lang w:val="en-US"/>
        </w:rPr>
        <w:t>characterised</w:t>
      </w:r>
      <w:proofErr w:type="spellEnd"/>
      <w:r w:rsidRPr="0039476A">
        <w:rPr>
          <w:lang w:val="en-US"/>
        </w:rPr>
        <w:t xml:space="preserve"> by high CRPs and NPs. </w:t>
      </w:r>
    </w:p>
    <w:p w14:paraId="4D389FDD" w14:textId="77777777" w:rsidR="0039476A" w:rsidRPr="0039476A" w:rsidRDefault="0039476A" w:rsidP="0039476A">
      <w:pPr>
        <w:rPr>
          <w:lang w:val="en-US"/>
        </w:rPr>
      </w:pPr>
      <w:r w:rsidRPr="0039476A">
        <w:rPr>
          <w:lang w:val="en-US"/>
        </w:rPr>
        <w:t xml:space="preserve">CRP got the maximum (construct level) score for both companies, and NP got a medium score. Looking at qualitative content of the single units of code the high CRPs relate to energy efficiency regulations (Carrefour) and to regulation around plastic waste (for both companies). Danone mention in its report the action planned to achieve the EU target of a 90% target collection rate. Both the companies demonstrate the presence of inspections on environmental protection aspects in their production facilities. NPs relate to trainings and e-learnings modules for employees (Carrefour) and for farmers on environmental best practices (Danone); cooperation initiatives and partnerships with the academic and scientific world (Danone); collaborations with prominent NGOs that work and advocate for the CE (Ellen MacArthur Foundation, Danone); as well as commitments on international agreements aiming at reducing plastic waste, e.g., Global Declaration on Plastics &amp; New Plastics Economy (Carrefour). </w:t>
      </w:r>
    </w:p>
    <w:p w14:paraId="1059CADD" w14:textId="77777777" w:rsidR="0039476A" w:rsidRPr="0039476A" w:rsidRDefault="0039476A" w:rsidP="0039476A">
      <w:pPr>
        <w:rPr>
          <w:lang w:val="en-US"/>
        </w:rPr>
      </w:pPr>
      <w:r w:rsidRPr="0039476A">
        <w:rPr>
          <w:lang w:val="en-US"/>
        </w:rPr>
        <w:t xml:space="preserve">Like in many cases in the sample, institutional contexts with such strong pressures are likely to drive higher levels of SCI. This is not necessarily true in different institutional environments, with less prominent CRPs and NPs. The results suggests that MNEs, in absence of strong CRP and NP, in the presence of some MP and CMP, do not show higher levels of SCI. This, in line with the main argument of the previous sub-section on the mediating role of SCI, has a repercussion on the ability of these MNEs to adopt effective and performant CE practices. </w:t>
      </w:r>
    </w:p>
    <w:p w14:paraId="4D50050A" w14:textId="319F74EC" w:rsidR="0039476A" w:rsidRDefault="0039476A" w:rsidP="0039476A">
      <w:pPr>
        <w:rPr>
          <w:lang w:val="en-US"/>
        </w:rPr>
      </w:pPr>
      <w:r w:rsidRPr="0039476A">
        <w:rPr>
          <w:lang w:val="en-US"/>
        </w:rPr>
        <w:t xml:space="preserve">High CRPs might drive directly some CE practice, which is understandable. Regulations, with their punitive and coercive nature, represent a direct threat to business continuity and push organisations to quick actions to avoid sanctions. NPs seem not to have a significant direct effect and to be fully mediated by CI and SI. This could be explained looking at the less </w:t>
      </w:r>
      <w:proofErr w:type="spellStart"/>
      <w:r w:rsidRPr="0039476A">
        <w:rPr>
          <w:lang w:val="en-US"/>
        </w:rPr>
        <w:t>formalised</w:t>
      </w:r>
      <w:proofErr w:type="spellEnd"/>
      <w:r w:rsidRPr="0039476A">
        <w:rPr>
          <w:lang w:val="en-US"/>
        </w:rPr>
        <w:t xml:space="preserve"> control systems that is associated with this type of transformation (Scott, 1995). Under NPs, MNEs choose practices that they feel it is appropriate and morally fair to adopt. NPs might be behind more performant and long-term strategies systemic transitions, driving actions only through the mediation of SI and CI. However, this is only a slight difference, considering that most of the effect of both CRP and NP seems to be mediated by the effect of SI and CI. This issue, connected with the previous one, seems to suggest that MNEs might need more than traditional economic and transactional arrangements and market pressures to enact a structural transformation process. They might need </w:t>
      </w:r>
      <w:r w:rsidRPr="0039476A">
        <w:rPr>
          <w:lang w:val="en-US"/>
        </w:rPr>
        <w:lastRenderedPageBreak/>
        <w:t>primarily stronger pressures from regulations and industry standards. Then, once supply chains are more integrated, it might be easier to put in place enforcement mechanisms also with external suppliers and customers. The adoption of CE practices in other points in the supply chain is usually more strongly associated with IPs derived from MNEs – CRPs mainly, that come from the integrated structures MNEs set.</w:t>
      </w:r>
    </w:p>
    <w:p w14:paraId="4D554E63" w14:textId="632C7458" w:rsidR="0039476A" w:rsidRDefault="0039476A" w:rsidP="0039476A">
      <w:pPr>
        <w:pStyle w:val="Heading3"/>
        <w:rPr>
          <w:lang w:val="en-US"/>
        </w:rPr>
      </w:pPr>
      <w:bookmarkStart w:id="193" w:name="_Toc157759568"/>
      <w:r>
        <w:rPr>
          <w:lang w:val="en-US"/>
        </w:rPr>
        <w:t>Theoretical Implications</w:t>
      </w:r>
      <w:bookmarkEnd w:id="193"/>
    </w:p>
    <w:p w14:paraId="1EC84673" w14:textId="77777777" w:rsidR="0039476A" w:rsidRPr="0039476A" w:rsidRDefault="0039476A" w:rsidP="0039476A">
      <w:pPr>
        <w:rPr>
          <w:lang w:val="en-US"/>
        </w:rPr>
      </w:pPr>
      <w:r w:rsidRPr="0039476A">
        <w:rPr>
          <w:lang w:val="en-US"/>
        </w:rPr>
        <w:t>This study examines the impact of external pressures on the adoption of CE-oriented practices on MNEs in Asian and European countries. It assesses whether external pressures influence by themselves the adoption of CE practices or whether their impact is mediated by SCI. Effects are explained by the model with sufficient explanatory power (Figure 4). This research findings fill the unexplored gap and has four theoretical contributions.</w:t>
      </w:r>
    </w:p>
    <w:p w14:paraId="04435C35" w14:textId="77777777" w:rsidR="0039476A" w:rsidRPr="0039476A" w:rsidRDefault="0039476A" w:rsidP="0039476A">
      <w:pPr>
        <w:rPr>
          <w:lang w:val="en-US"/>
        </w:rPr>
      </w:pPr>
      <w:r w:rsidRPr="0039476A">
        <w:rPr>
          <w:lang w:val="en-US"/>
        </w:rPr>
        <w:t>Firstly, the study complements research that has looked at how SCM collaborative approaches support sustainability. SCI does not help only operational performance but provides key capabilities and better knowledge of how to adopt sustainability practices (</w:t>
      </w:r>
      <w:proofErr w:type="spellStart"/>
      <w:r w:rsidRPr="0039476A">
        <w:rPr>
          <w:lang w:val="en-US"/>
        </w:rPr>
        <w:t>Blome</w:t>
      </w:r>
      <w:proofErr w:type="spellEnd"/>
      <w:r w:rsidRPr="0039476A">
        <w:rPr>
          <w:lang w:val="en-US"/>
        </w:rPr>
        <w:t xml:space="preserve"> et al., 2014; Wiengarten &amp; Longoni, 2015) or to involve suppliers in sustainability activities (</w:t>
      </w:r>
      <w:proofErr w:type="spellStart"/>
      <w:r w:rsidRPr="0039476A">
        <w:rPr>
          <w:lang w:val="en-US"/>
        </w:rPr>
        <w:t>Sancha</w:t>
      </w:r>
      <w:proofErr w:type="spellEnd"/>
      <w:r w:rsidRPr="0039476A">
        <w:rPr>
          <w:lang w:val="en-US"/>
        </w:rPr>
        <w:t xml:space="preserve"> et al., 2015; </w:t>
      </w:r>
      <w:proofErr w:type="spellStart"/>
      <w:r w:rsidRPr="0039476A">
        <w:rPr>
          <w:lang w:val="en-US"/>
        </w:rPr>
        <w:t>Vachon</w:t>
      </w:r>
      <w:proofErr w:type="spellEnd"/>
      <w:r w:rsidRPr="0039476A">
        <w:rPr>
          <w:lang w:val="en-US"/>
        </w:rPr>
        <w:t xml:space="preserve"> &amp; </w:t>
      </w:r>
      <w:proofErr w:type="spellStart"/>
      <w:r w:rsidRPr="0039476A">
        <w:rPr>
          <w:lang w:val="en-US"/>
        </w:rPr>
        <w:t>Klassen</w:t>
      </w:r>
      <w:proofErr w:type="spellEnd"/>
      <w:r w:rsidRPr="0039476A">
        <w:rPr>
          <w:lang w:val="en-US"/>
        </w:rPr>
        <w:t>, 2006). This paper extend these findings to the new CE context, strengthening the idea that collaborative approach to SCM is necessary towards a systemic transition towards the CE in (MNEs managed) supply chains. The CE represents a grand challenge, which requires collective action at multiple levels and also new forms of intermediation (</w:t>
      </w:r>
      <w:proofErr w:type="spellStart"/>
      <w:r w:rsidRPr="0039476A">
        <w:rPr>
          <w:lang w:val="en-US"/>
        </w:rPr>
        <w:t>Rosca</w:t>
      </w:r>
      <w:proofErr w:type="spellEnd"/>
      <w:r w:rsidRPr="0039476A">
        <w:rPr>
          <w:lang w:val="en-US"/>
        </w:rPr>
        <w:t xml:space="preserve"> et al., 2023). SCI can provide better knowledge to </w:t>
      </w:r>
      <w:proofErr w:type="spellStart"/>
      <w:r w:rsidRPr="0039476A">
        <w:rPr>
          <w:lang w:val="en-US"/>
        </w:rPr>
        <w:t>operationalise</w:t>
      </w:r>
      <w:proofErr w:type="spellEnd"/>
      <w:r w:rsidRPr="0039476A">
        <w:rPr>
          <w:lang w:val="en-US"/>
        </w:rPr>
        <w:t xml:space="preserve"> CE principles, can stimulate innovation also outside traditional suppliers and customers (Berardi &amp; de Brito, 2021), and can enable the orchestration of complex systems in a logic of adaptive cycles and quick prototyping and </w:t>
      </w:r>
      <w:proofErr w:type="gramStart"/>
      <w:r w:rsidRPr="0039476A">
        <w:rPr>
          <w:lang w:val="en-US"/>
        </w:rPr>
        <w:t>learning</w:t>
      </w:r>
      <w:proofErr w:type="gramEnd"/>
      <w:r w:rsidRPr="0039476A">
        <w:rPr>
          <w:lang w:val="en-US"/>
        </w:rPr>
        <w:t xml:space="preserve"> (</w:t>
      </w:r>
      <w:proofErr w:type="spellStart"/>
      <w:r w:rsidRPr="0039476A">
        <w:rPr>
          <w:lang w:val="en-US"/>
        </w:rPr>
        <w:t>Kristoffersen</w:t>
      </w:r>
      <w:proofErr w:type="spellEnd"/>
      <w:r w:rsidRPr="0039476A">
        <w:rPr>
          <w:lang w:val="en-US"/>
        </w:rPr>
        <w:t xml:space="preserve"> et al., 2021). The results of this study also highlight CI has a greater effect than SI on the outcome variable. As such, customers have a prominent role in the process of adopting CE practices, which tends to be even more important than the role of suppliers. This aspect requires some reflections. SCI literature claims that there is a popular route that companies usually follow to improve integrative capability. At first enhancing internal effectiveness then streamlining upstream integration with suppliers and then finally enhancing downstream integration with customers (Childerhouse &amp; Towill, 2011). The study poses a question on whether the same route needs to be followed also in the context of CSCs. In this context, downstream-upstream collaborations involving internal and external supply chain actors might be key (Batista et al., 2023). </w:t>
      </w:r>
    </w:p>
    <w:p w14:paraId="27351A19" w14:textId="77777777" w:rsidR="0039476A" w:rsidRPr="0039476A" w:rsidRDefault="0039476A" w:rsidP="0039476A">
      <w:pPr>
        <w:rPr>
          <w:lang w:val="en-US"/>
        </w:rPr>
      </w:pPr>
      <w:r w:rsidRPr="0039476A">
        <w:rPr>
          <w:lang w:val="en-US"/>
        </w:rPr>
        <w:lastRenderedPageBreak/>
        <w:t>Secondly, these results contributes to the literature that has studied institutional antecedents of CE and green practices in supply chains (</w:t>
      </w:r>
      <w:proofErr w:type="spellStart"/>
      <w:r w:rsidRPr="0039476A">
        <w:rPr>
          <w:lang w:val="en-US"/>
        </w:rPr>
        <w:t>Adebanjo</w:t>
      </w:r>
      <w:proofErr w:type="spellEnd"/>
      <w:r w:rsidRPr="0039476A">
        <w:rPr>
          <w:lang w:val="en-US"/>
        </w:rPr>
        <w:t xml:space="preserve"> et al., 2016). This paper confirms the very important role of IPs in the transition towards more sustainable supply chains and also reflects on how single IPs affects the adoption of CE practices. The paper also tries to improve the way IPs are measured, adopting newly developed scales from </w:t>
      </w:r>
      <w:proofErr w:type="spellStart"/>
      <w:r w:rsidRPr="0039476A">
        <w:rPr>
          <w:lang w:val="en-US"/>
        </w:rPr>
        <w:t>Kauppi</w:t>
      </w:r>
      <w:proofErr w:type="spellEnd"/>
      <w:r w:rsidRPr="0039476A">
        <w:rPr>
          <w:lang w:val="en-US"/>
        </w:rPr>
        <w:t xml:space="preserve"> and </w:t>
      </w:r>
      <w:proofErr w:type="spellStart"/>
      <w:r w:rsidRPr="0039476A">
        <w:rPr>
          <w:lang w:val="en-US"/>
        </w:rPr>
        <w:t>Luzzini</w:t>
      </w:r>
      <w:proofErr w:type="spellEnd"/>
      <w:r w:rsidRPr="0039476A">
        <w:rPr>
          <w:lang w:val="en-US"/>
        </w:rPr>
        <w:t xml:space="preserve"> (2022). Previous studies have measured IPs with proxies or bundled IPs constructs (</w:t>
      </w:r>
      <w:proofErr w:type="spellStart"/>
      <w:r w:rsidRPr="0039476A">
        <w:rPr>
          <w:lang w:val="en-US"/>
        </w:rPr>
        <w:t>Gusmerotti</w:t>
      </w:r>
      <w:proofErr w:type="spellEnd"/>
      <w:r w:rsidRPr="0039476A">
        <w:rPr>
          <w:lang w:val="en-US"/>
        </w:rPr>
        <w:t xml:space="preserve"> et al., 2019), or have measured IPs as tied to some outcome variable (</w:t>
      </w:r>
      <w:proofErr w:type="spellStart"/>
      <w:r w:rsidRPr="0039476A">
        <w:rPr>
          <w:lang w:val="en-US"/>
        </w:rPr>
        <w:t>Zailani</w:t>
      </w:r>
      <w:proofErr w:type="spellEnd"/>
      <w:r w:rsidRPr="0039476A">
        <w:rPr>
          <w:lang w:val="en-US"/>
        </w:rPr>
        <w:t xml:space="preserve"> et al., 2012). In this study IPs were untied from the outcome variable. We considered how general IPs for environmental management actions drive different types of CE practices. These findings also have implications for the CE-specific literature by filling the research gap highlighted by (</w:t>
      </w:r>
      <w:proofErr w:type="spellStart"/>
      <w:r w:rsidRPr="0039476A">
        <w:rPr>
          <w:lang w:val="en-US"/>
        </w:rPr>
        <w:t>Kirchherr</w:t>
      </w:r>
      <w:proofErr w:type="spellEnd"/>
      <w:r w:rsidRPr="0039476A">
        <w:rPr>
          <w:lang w:val="en-US"/>
        </w:rPr>
        <w:t xml:space="preserve"> et al. 2019) on the need use large samples and to </w:t>
      </w:r>
      <w:proofErr w:type="spellStart"/>
      <w:r w:rsidRPr="0039476A">
        <w:rPr>
          <w:lang w:val="en-US"/>
        </w:rPr>
        <w:t>generalise</w:t>
      </w:r>
      <w:proofErr w:type="spellEnd"/>
      <w:r w:rsidRPr="0039476A">
        <w:rPr>
          <w:lang w:val="en-US"/>
        </w:rPr>
        <w:t xml:space="preserve"> findings.</w:t>
      </w:r>
    </w:p>
    <w:p w14:paraId="3B783EF8" w14:textId="2CF35F95" w:rsidR="0039476A" w:rsidRDefault="0039476A" w:rsidP="0039476A">
      <w:pPr>
        <w:rPr>
          <w:lang w:val="en-US"/>
        </w:rPr>
      </w:pPr>
      <w:r w:rsidRPr="0039476A">
        <w:rPr>
          <w:lang w:val="en-US"/>
        </w:rPr>
        <w:t xml:space="preserve">Finally, these results contributes to the literature that has studied supply chains as institutional fields (Wu &amp; </w:t>
      </w:r>
      <w:proofErr w:type="spellStart"/>
      <w:r w:rsidRPr="0039476A">
        <w:rPr>
          <w:lang w:val="en-US"/>
        </w:rPr>
        <w:t>Jia</w:t>
      </w:r>
      <w:proofErr w:type="spellEnd"/>
      <w:r w:rsidRPr="0039476A">
        <w:rPr>
          <w:lang w:val="en-US"/>
        </w:rPr>
        <w:t xml:space="preserve">, 2018; </w:t>
      </w:r>
      <w:proofErr w:type="spellStart"/>
      <w:r w:rsidRPr="0039476A">
        <w:rPr>
          <w:lang w:val="en-US"/>
        </w:rPr>
        <w:t>Busse</w:t>
      </w:r>
      <w:proofErr w:type="spellEnd"/>
      <w:r w:rsidRPr="0039476A">
        <w:rPr>
          <w:lang w:val="en-US"/>
        </w:rPr>
        <w:t xml:space="preserve"> et al., 2016; Sauer &amp; Seuring, 2018), which identified integrated supply chain structures as paramount to transmit meaning systems and enforce values and ideas. This paper complements this literature and shows how SCI interacts with IPs in MNEs. First, it confirms the idea that more integrated supply chain structures are necessary to facilitate a shared meaning systems and institutional field in which new sustainability logic (like the CE) can work. Second, it highlights the strong association between CRPs and NPs and SCI, showing MPs and CMPs are not associated with SCI. This might mean that in absence of strong regulation and pressures from industry bodies companies might struggle to implement the necessary level of integration to drive the adoption of CE practices. The same findings also contribute to the literature on antecedents of SCI (</w:t>
      </w:r>
      <w:proofErr w:type="spellStart"/>
      <w:r w:rsidRPr="0039476A">
        <w:rPr>
          <w:lang w:val="en-US"/>
        </w:rPr>
        <w:t>Turkulainen</w:t>
      </w:r>
      <w:proofErr w:type="spellEnd"/>
      <w:r w:rsidRPr="0039476A">
        <w:rPr>
          <w:lang w:val="en-US"/>
        </w:rPr>
        <w:t>, 2017; Wong &amp; Boon-</w:t>
      </w:r>
      <w:proofErr w:type="spellStart"/>
      <w:r w:rsidRPr="0039476A">
        <w:rPr>
          <w:lang w:val="en-US"/>
        </w:rPr>
        <w:t>Itt</w:t>
      </w:r>
      <w:proofErr w:type="spellEnd"/>
      <w:r w:rsidRPr="0039476A">
        <w:rPr>
          <w:lang w:val="en-US"/>
        </w:rPr>
        <w:t xml:space="preserve">, 2008) which has </w:t>
      </w:r>
      <w:proofErr w:type="spellStart"/>
      <w:r w:rsidRPr="0039476A">
        <w:rPr>
          <w:lang w:val="en-US"/>
        </w:rPr>
        <w:t>hypothesised</w:t>
      </w:r>
      <w:proofErr w:type="spellEnd"/>
      <w:r w:rsidRPr="0039476A">
        <w:rPr>
          <w:lang w:val="en-US"/>
        </w:rPr>
        <w:t xml:space="preserve"> IPs impact themselves the level of SCI.</w:t>
      </w:r>
    </w:p>
    <w:p w14:paraId="0FA6AA74" w14:textId="24F7637A" w:rsidR="0039476A" w:rsidRDefault="0039476A" w:rsidP="0039476A">
      <w:pPr>
        <w:pStyle w:val="Heading3"/>
        <w:rPr>
          <w:lang w:val="en-US"/>
        </w:rPr>
      </w:pPr>
      <w:bookmarkStart w:id="194" w:name="_Toc157759569"/>
      <w:r>
        <w:rPr>
          <w:lang w:val="en-US"/>
        </w:rPr>
        <w:t>Managerial Implications</w:t>
      </w:r>
      <w:bookmarkEnd w:id="194"/>
    </w:p>
    <w:p w14:paraId="5479F20D" w14:textId="77777777" w:rsidR="0039476A" w:rsidRPr="0039476A" w:rsidRDefault="0039476A" w:rsidP="0039476A">
      <w:pPr>
        <w:rPr>
          <w:lang w:val="en-US"/>
        </w:rPr>
      </w:pPr>
      <w:r w:rsidRPr="0039476A">
        <w:rPr>
          <w:lang w:val="en-US"/>
        </w:rPr>
        <w:t>This study has some implications for practice. Understanding better IPs in their various facets, and multidimensionality, and complexity can help managers to take more informed decisions - as many of their decisions might not be the most efficient ones - especially if they come from NPs and MPs (risk of jumping on the bandwagon) (</w:t>
      </w:r>
      <w:proofErr w:type="spellStart"/>
      <w:r w:rsidRPr="0039476A">
        <w:rPr>
          <w:lang w:val="en-US"/>
        </w:rPr>
        <w:t>Kauppi</w:t>
      </w:r>
      <w:proofErr w:type="spellEnd"/>
      <w:r w:rsidRPr="0039476A">
        <w:rPr>
          <w:lang w:val="en-US"/>
        </w:rPr>
        <w:t xml:space="preserve"> &amp; </w:t>
      </w:r>
      <w:proofErr w:type="spellStart"/>
      <w:r w:rsidRPr="0039476A">
        <w:rPr>
          <w:lang w:val="en-US"/>
        </w:rPr>
        <w:t>Luzzini</w:t>
      </w:r>
      <w:proofErr w:type="spellEnd"/>
      <w:r w:rsidRPr="0039476A">
        <w:rPr>
          <w:lang w:val="en-US"/>
        </w:rPr>
        <w:t xml:space="preserve">, 2022).  </w:t>
      </w:r>
    </w:p>
    <w:p w14:paraId="41AFFAD0" w14:textId="6547B01E" w:rsidR="0039476A" w:rsidRPr="0039476A" w:rsidRDefault="0039476A" w:rsidP="0039476A">
      <w:pPr>
        <w:rPr>
          <w:lang w:val="en-US"/>
        </w:rPr>
      </w:pPr>
      <w:r w:rsidRPr="0039476A">
        <w:rPr>
          <w:lang w:val="en-US"/>
        </w:rPr>
        <w:t xml:space="preserve">The study suggests practitioners that their level of SCI is an essential mechanism on which they can leverage if they want to adopt CE practices. It also points out how organisations can leverage CRPs and NPs to improve their SCI, which will then improve their circularity. Lastly, it identifies the importance of customers in the transition towards the CE. Because CI mediates more than SI </w:t>
      </w:r>
      <w:r w:rsidRPr="0039476A">
        <w:rPr>
          <w:lang w:val="en-US"/>
        </w:rPr>
        <w:lastRenderedPageBreak/>
        <w:t>the relationship between.  To overcome the challenges faced by single companies to implement CE practices, it is necessary to reach first higher degrees of SCI that will then make it possible to implement CE practices.</w:t>
      </w:r>
    </w:p>
    <w:p w14:paraId="3D158B8E" w14:textId="231A9BBB" w:rsidR="008244AC" w:rsidRPr="005B5E4B" w:rsidRDefault="008244AC" w:rsidP="005035B4">
      <w:pPr>
        <w:pStyle w:val="Heading2"/>
        <w:rPr>
          <w:lang w:val="en-US"/>
        </w:rPr>
      </w:pPr>
      <w:bookmarkStart w:id="195" w:name="_Toc157759570"/>
      <w:r>
        <w:rPr>
          <w:lang w:val="en-US"/>
        </w:rPr>
        <w:t>Conclusions</w:t>
      </w:r>
      <w:bookmarkEnd w:id="195"/>
    </w:p>
    <w:p w14:paraId="62D031E5" w14:textId="77777777" w:rsidR="00CC2EA4" w:rsidRDefault="008244AC" w:rsidP="00CC2EA4">
      <w:r w:rsidRPr="008244AC">
        <w:t xml:space="preserve"> </w:t>
      </w:r>
      <w:r w:rsidR="00CC2EA4">
        <w:t xml:space="preserve">This study examines the impact of external pressures on the adoption of CE-oriented practices on MNEs in Asian and European countries. It tests a theoretical framework by examining publicly available Corporate Sustainability (CS) Reports for a representative sample of 150 MNEs for the year 2021 and using an advanced coding procedure to measure IPs, SCI and CE. </w:t>
      </w:r>
    </w:p>
    <w:p w14:paraId="6816FE06" w14:textId="77777777" w:rsidR="00CC2EA4" w:rsidRDefault="00CC2EA4" w:rsidP="00CC2EA4">
      <w:r>
        <w:t xml:space="preserve">The results identify the role of SCI as a mechanism that lies in between IPs and the adoption of CE practices and reflects on how this is related to key capabilities requested in CSCs. Also, it describes how regulation and industry standards have a predominant role over market pressures being more strongly and significantly associated with higher SI and CI. Lastly, the role of CI is highlighted, being more strongly associated with the outcome variable. </w:t>
      </w:r>
    </w:p>
    <w:p w14:paraId="551C123B" w14:textId="24C17346" w:rsidR="00CC2EA4" w:rsidRDefault="00CC2EA4" w:rsidP="00804F20">
      <w:pPr>
        <w:pStyle w:val="Heading3"/>
      </w:pPr>
      <w:bookmarkStart w:id="196" w:name="_Toc157759571"/>
      <w:r>
        <w:t>Limitations - Future developments</w:t>
      </w:r>
      <w:bookmarkEnd w:id="196"/>
    </w:p>
    <w:p w14:paraId="30F44A69" w14:textId="77777777" w:rsidR="00CC2EA4" w:rsidRDefault="00CC2EA4" w:rsidP="00CC2EA4">
      <w:r>
        <w:t xml:space="preserve">While this study has some important contributions, it's important to acknowledge its limitations. The sample size could be expanded to improve the generalizability of the findings. Some control variables could not be considered due to time and resource constraints, like the type of customers (B2C or B2B) or the position of the MNE in the supply chain, which may have influenced our results. The study was conducted over single year, which may have limited our ability to capture changes over a longer period. Future research could conduct longitudinal studies to examine the processes of institutionalisation and deinstitutionalisation of CE practices in supply chains over time. It could also focus on specific sectors. The use of secondary data could also constitute a limitation. Future research should also focus on CE performance and CE indicators rather than on an ordinal outcome variable. Finally, future studies could focus on how the combination of different pressures would lead to a better adoption of CE practices, rather than on the individual effects of single pressures. </w:t>
      </w:r>
    </w:p>
    <w:p w14:paraId="109F6266" w14:textId="33381EB6" w:rsidR="008244AC" w:rsidRDefault="00CC2EA4" w:rsidP="00CC2EA4">
      <w:r>
        <w:t xml:space="preserve">The existing study does not adequately consider the impact of Small-Medium Enterprises (SMEs) on MNEs, overlooking the fact that SMEs also play a significant role (Dey et al., 2022). This assumption of MNE dominance leads to an omission of the responsibilities and potential influence that MNEs possess over their partners in global supply chains. Therefore, future studies should address this oversight and take into account the dynamic interplay between MNEs and SMEs in </w:t>
      </w:r>
      <w:r>
        <w:lastRenderedPageBreak/>
        <w:t>order to gain a comprehensive understanding of supply chain dynamics. By doing so, researchers can better explore the intricate relationships and mutual influence that exist within supply chains, ultimately providing a more accurate depiction of the complex nature of global SCM. </w:t>
      </w:r>
    </w:p>
    <w:p w14:paraId="0AFEEC09" w14:textId="77777777" w:rsidR="007C6B10" w:rsidRDefault="007C6B10" w:rsidP="00CC2EA4">
      <w:bookmarkStart w:id="197" w:name="_GoBack"/>
      <w:bookmarkEnd w:id="197"/>
    </w:p>
    <w:p w14:paraId="71573AE7" w14:textId="77777777" w:rsidR="008244AC" w:rsidRDefault="008244AC" w:rsidP="002F7336">
      <w:r>
        <w:br w:type="page"/>
      </w:r>
    </w:p>
    <w:p w14:paraId="3E6797A5" w14:textId="2CF85167" w:rsidR="008244AC" w:rsidRPr="00842802" w:rsidRDefault="008244AC" w:rsidP="00116B90">
      <w:pPr>
        <w:pStyle w:val="Heading2"/>
        <w:numPr>
          <w:ilvl w:val="0"/>
          <w:numId w:val="0"/>
        </w:numPr>
        <w:ind w:left="357" w:hanging="357"/>
        <w:rPr>
          <w:lang w:val="pt-PT"/>
        </w:rPr>
      </w:pPr>
      <w:bookmarkStart w:id="198" w:name="_Toc157759572"/>
      <w:r w:rsidRPr="00842802">
        <w:rPr>
          <w:lang w:val="pt-PT"/>
        </w:rPr>
        <w:lastRenderedPageBreak/>
        <w:t>References</w:t>
      </w:r>
      <w:bookmarkEnd w:id="198"/>
    </w:p>
    <w:p w14:paraId="7076BF29" w14:textId="77777777" w:rsidR="00804F20" w:rsidRDefault="00804F20" w:rsidP="00804F20">
      <w:proofErr w:type="spellStart"/>
      <w:r>
        <w:t>Adebanjo</w:t>
      </w:r>
      <w:proofErr w:type="spellEnd"/>
      <w:r>
        <w:t xml:space="preserve">, D., </w:t>
      </w:r>
      <w:proofErr w:type="spellStart"/>
      <w:r>
        <w:t>Teh</w:t>
      </w:r>
      <w:proofErr w:type="spellEnd"/>
      <w:r>
        <w:t>, P. L., &amp; Ahmed, P. K. (2016). The impact of external pressure and sustainable management practices on manufacturing performance and environmental outcomes. International Journal of Operations &amp; Production Management, 36(9), 995-1013.</w:t>
      </w:r>
    </w:p>
    <w:p w14:paraId="1690742B" w14:textId="77777777" w:rsidR="00804F20" w:rsidRDefault="00804F20" w:rsidP="00804F20">
      <w:r>
        <w:t xml:space="preserve">Ancarani, A., Di Mauro, C., &amp; </w:t>
      </w:r>
      <w:proofErr w:type="spellStart"/>
      <w:r>
        <w:t>Mascali</w:t>
      </w:r>
      <w:proofErr w:type="spellEnd"/>
      <w:r>
        <w:t xml:space="preserve">, F. (2019). </w:t>
      </w:r>
      <w:proofErr w:type="spellStart"/>
      <w:r>
        <w:t>Backshoring</w:t>
      </w:r>
      <w:proofErr w:type="spellEnd"/>
      <w:r>
        <w:t xml:space="preserve"> strategy and the adoption of Industry 4.0: Evidence from Europe. Journal of World Business, 54(4), 360-371.</w:t>
      </w:r>
    </w:p>
    <w:p w14:paraId="3EC55B3B" w14:textId="77777777" w:rsidR="00804F20" w:rsidRDefault="00804F20" w:rsidP="00804F20">
      <w:r>
        <w:t>Bag, S., &amp; Pretorius, J. H. C. (2022). Relationships between industry 4.0, sustainable manufacturing and circular economy: proposal of a research framework. International Journal of Organizational Analysis, 30(4), 864-898.</w:t>
      </w:r>
    </w:p>
    <w:p w14:paraId="3449B675" w14:textId="77777777" w:rsidR="00804F20" w:rsidRDefault="00804F20" w:rsidP="00804F20">
      <w:r>
        <w:t xml:space="preserve">Batista, L., Seuring, S., Genovese, A., </w:t>
      </w:r>
      <w:proofErr w:type="spellStart"/>
      <w:r>
        <w:t>Sarkis</w:t>
      </w:r>
      <w:proofErr w:type="spellEnd"/>
      <w:r>
        <w:t xml:space="preserve">, J., &amp; </w:t>
      </w:r>
      <w:proofErr w:type="spellStart"/>
      <w:r>
        <w:t>Sohal</w:t>
      </w:r>
      <w:proofErr w:type="spellEnd"/>
      <w:r>
        <w:t>, A. (2023). Theorising circular economy and sustainable operations and supply chain management: a sustainability-dominant logic. International Journal of Operations &amp; Production Management, 43(4), 581-594.</w:t>
      </w:r>
    </w:p>
    <w:p w14:paraId="0AE9800C" w14:textId="77777777" w:rsidR="00804F20" w:rsidRDefault="00804F20" w:rsidP="00804F20">
      <w:proofErr w:type="spellStart"/>
      <w:r>
        <w:t>Bauwens</w:t>
      </w:r>
      <w:proofErr w:type="spellEnd"/>
      <w:r>
        <w:t xml:space="preserve">, T., </w:t>
      </w:r>
      <w:proofErr w:type="spellStart"/>
      <w:r>
        <w:t>Hekkert</w:t>
      </w:r>
      <w:proofErr w:type="spellEnd"/>
      <w:r>
        <w:t xml:space="preserve">, M., &amp; </w:t>
      </w:r>
      <w:proofErr w:type="spellStart"/>
      <w:r>
        <w:t>Kirchherr</w:t>
      </w:r>
      <w:proofErr w:type="spellEnd"/>
      <w:r>
        <w:t>, J. (2020). Circular futures: what will they look like</w:t>
      </w:r>
      <w:proofErr w:type="gramStart"/>
      <w:r>
        <w:t>?.</w:t>
      </w:r>
      <w:proofErr w:type="gramEnd"/>
      <w:r>
        <w:t xml:space="preserve"> Ecological Economics, 175, 106703.</w:t>
      </w:r>
    </w:p>
    <w:p w14:paraId="3AE20229" w14:textId="77777777" w:rsidR="00804F20" w:rsidRDefault="00804F20" w:rsidP="00804F20">
      <w:r>
        <w:t>Berardi, P. C., &amp; de Brito, R. P. (2021). Supply chain collaboration for a circular economy-From transition to continuous improvement. Journal of Cleaner Production, 328, 129511.</w:t>
      </w:r>
    </w:p>
    <w:p w14:paraId="0B79A269" w14:textId="77777777" w:rsidR="00804F20" w:rsidRDefault="00804F20" w:rsidP="00804F20">
      <w:r>
        <w:t>Bimpizas-Pinis, M., Calzolari, T., &amp; Genovese, A., 2022. Exploring the transition towards circular supply chains through the arcs of integration. International Journal of Production Economics, 250, 108666.</w:t>
      </w:r>
    </w:p>
    <w:p w14:paraId="54583C82" w14:textId="77777777" w:rsidR="00804F20" w:rsidRDefault="00804F20" w:rsidP="00804F20">
      <w:proofErr w:type="spellStart"/>
      <w:r>
        <w:t>Blome</w:t>
      </w:r>
      <w:proofErr w:type="spellEnd"/>
      <w:r>
        <w:t xml:space="preserve">, C., Paulraj, A., &amp; </w:t>
      </w:r>
      <w:proofErr w:type="spellStart"/>
      <w:r>
        <w:t>Schuetz</w:t>
      </w:r>
      <w:proofErr w:type="spellEnd"/>
      <w:r>
        <w:t>, K. (2014). Supply chain collaboration and sustainability: a profile deviation analysis. International Journal of Operations &amp; Production Management.</w:t>
      </w:r>
    </w:p>
    <w:p w14:paraId="58162110" w14:textId="77777777" w:rsidR="00804F20" w:rsidRDefault="00804F20" w:rsidP="00804F20">
      <w:proofErr w:type="spellStart"/>
      <w:r>
        <w:t>Braz</w:t>
      </w:r>
      <w:proofErr w:type="spellEnd"/>
      <w:r>
        <w:t>, A. C., &amp; de Mello, A. M. (2022). Circular economy supply network management: A complex adaptive system. International Journal of Production Economics, 243, 108317.</w:t>
      </w:r>
    </w:p>
    <w:p w14:paraId="63FF5AD9" w14:textId="77777777" w:rsidR="00804F20" w:rsidRDefault="00804F20" w:rsidP="00804F20">
      <w:r>
        <w:t xml:space="preserve">Bressanelli, G., </w:t>
      </w:r>
      <w:proofErr w:type="spellStart"/>
      <w:r>
        <w:t>Visintin</w:t>
      </w:r>
      <w:proofErr w:type="spellEnd"/>
      <w:r>
        <w:t xml:space="preserve">, F., &amp; </w:t>
      </w:r>
      <w:proofErr w:type="spellStart"/>
      <w:r>
        <w:t>Saccani</w:t>
      </w:r>
      <w:proofErr w:type="spellEnd"/>
      <w:r>
        <w:t>, N. (2022). Circular Economy and the evolution of industrial districts: A supply chain perspective. International Journal of Production Economics, 243, 108348</w:t>
      </w:r>
      <w:proofErr w:type="gramStart"/>
      <w:r>
        <w:t>..</w:t>
      </w:r>
      <w:proofErr w:type="gramEnd"/>
    </w:p>
    <w:p w14:paraId="564D1038" w14:textId="77777777" w:rsidR="00804F20" w:rsidRDefault="00804F20" w:rsidP="00804F20">
      <w:proofErr w:type="spellStart"/>
      <w:r>
        <w:t>Busse</w:t>
      </w:r>
      <w:proofErr w:type="spellEnd"/>
      <w:r>
        <w:t xml:space="preserve">, C., </w:t>
      </w:r>
      <w:proofErr w:type="spellStart"/>
      <w:r>
        <w:t>Kach</w:t>
      </w:r>
      <w:proofErr w:type="spellEnd"/>
      <w:r>
        <w:t>, A. P., &amp; Bode, C. (2016). Sustainability and the false sense of legitimacy: How institutional distance augments risk in global supply chains. Journal of Business Logistics, 37(4), 312-328.</w:t>
      </w:r>
    </w:p>
    <w:p w14:paraId="657428EE" w14:textId="77777777" w:rsidR="00804F20" w:rsidRDefault="00804F20" w:rsidP="00804F20">
      <w:r>
        <w:lastRenderedPageBreak/>
        <w:t xml:space="preserve">Calzolari, T., Genovese, A., &amp; Brint, A. (2021). The adoption of circular economy practices in supply chains–An assessment of European Multi-National Enterprises. Journal of Cleaner Production, 312, 127616. </w:t>
      </w:r>
    </w:p>
    <w:p w14:paraId="34532494" w14:textId="77777777" w:rsidR="00804F20" w:rsidRDefault="00804F20" w:rsidP="00804F20">
      <w:r>
        <w:t>Cao, M., &amp; Zhang, Q. (2011). Supply chain collaboration: Impact on collaborative advantage and firm performance. Journal of operations management, 29(3), 163-180.</w:t>
      </w:r>
    </w:p>
    <w:p w14:paraId="74AF0DBD" w14:textId="77777777" w:rsidR="00804F20" w:rsidRDefault="00804F20" w:rsidP="00804F20">
      <w:r>
        <w:t xml:space="preserve">Chaudhuri, A., Boer, H., &amp; </w:t>
      </w:r>
      <w:proofErr w:type="spellStart"/>
      <w:r>
        <w:t>Taran</w:t>
      </w:r>
      <w:proofErr w:type="spellEnd"/>
      <w:r>
        <w:t>, Y. (2018). Supply chain integration, risk management and manufacturing flexibility. International Journal of Operations &amp; Production Management, 38(3), 690-712.</w:t>
      </w:r>
    </w:p>
    <w:p w14:paraId="7AAF12E7" w14:textId="77777777" w:rsidR="00804F20" w:rsidRDefault="00804F20" w:rsidP="00804F20">
      <w:r>
        <w:t xml:space="preserve">Chavez, R., Malik, M., </w:t>
      </w:r>
      <w:proofErr w:type="spellStart"/>
      <w:r>
        <w:t>Ghaderi</w:t>
      </w:r>
      <w:proofErr w:type="spellEnd"/>
      <w:r>
        <w:t>, H., &amp; Yu, W. (2023). Environmental collaboration with suppliers and cost performance: Exploring the contingency role of digital orientation from a circular economy perspective. International Journal of Operations &amp; Production Management, 43(4), 651-675.</w:t>
      </w:r>
    </w:p>
    <w:p w14:paraId="297522E1" w14:textId="77777777" w:rsidR="00804F20" w:rsidRDefault="00804F20" w:rsidP="00804F20">
      <w:r>
        <w:t>Childerhouse, P., &amp; Towill, D. R. (2011). Arcs of supply chain integration. International journal of production research, 49(24), 7441-7468.</w:t>
      </w:r>
    </w:p>
    <w:p w14:paraId="0DC7C811" w14:textId="77777777" w:rsidR="00804F20" w:rsidRDefault="00804F20" w:rsidP="00804F20">
      <w:r>
        <w:t xml:space="preserve">Cousins, P. D., Lawson, B., Petersen, K. J., &amp; Fugate, B. (2019). Investigating green supply chain management practices and performance: The moderating roles of supply chain </w:t>
      </w:r>
      <w:proofErr w:type="spellStart"/>
      <w:r>
        <w:t>ecocentricity</w:t>
      </w:r>
      <w:proofErr w:type="spellEnd"/>
      <w:r>
        <w:t xml:space="preserve"> and traceability. International Journal of Operations &amp; Production Management, 39(5), 767-786.</w:t>
      </w:r>
    </w:p>
    <w:p w14:paraId="4452DBBD" w14:textId="77777777" w:rsidR="00804F20" w:rsidRDefault="00804F20" w:rsidP="00804F20">
      <w:proofErr w:type="spellStart"/>
      <w:r>
        <w:t>Cricelli</w:t>
      </w:r>
      <w:proofErr w:type="spellEnd"/>
      <w:r>
        <w:t xml:space="preserve">, L., Greco, M., &amp; </w:t>
      </w:r>
      <w:proofErr w:type="spellStart"/>
      <w:r>
        <w:t>Grimaldi</w:t>
      </w:r>
      <w:proofErr w:type="spellEnd"/>
      <w:r>
        <w:t>, M., 2021. An investigation on the effect of inter-organizational collaboration on reverse logistics. International Journal of Production Economics, 240, 108216.</w:t>
      </w:r>
    </w:p>
    <w:p w14:paraId="39C4B7E7" w14:textId="77777777" w:rsidR="00804F20" w:rsidRDefault="00804F20" w:rsidP="00804F20">
      <w:proofErr w:type="spellStart"/>
      <w:r>
        <w:t>Dagiliene</w:t>
      </w:r>
      <w:proofErr w:type="spellEnd"/>
      <w:r>
        <w:t xml:space="preserve">, L., </w:t>
      </w:r>
      <w:proofErr w:type="spellStart"/>
      <w:r>
        <w:t>Frendzel</w:t>
      </w:r>
      <w:proofErr w:type="spellEnd"/>
      <w:r>
        <w:t xml:space="preserve">, M., </w:t>
      </w:r>
      <w:proofErr w:type="spellStart"/>
      <w:r>
        <w:t>Sutiene</w:t>
      </w:r>
      <w:proofErr w:type="spellEnd"/>
      <w:r>
        <w:t xml:space="preserve">, K., &amp; </w:t>
      </w:r>
      <w:proofErr w:type="spellStart"/>
      <w:r>
        <w:t>Wnuk-Pel</w:t>
      </w:r>
      <w:proofErr w:type="spellEnd"/>
      <w:r>
        <w:t xml:space="preserve">, T., 2020. Wise managers think about circular economy, wiser report and </w:t>
      </w:r>
      <w:proofErr w:type="spellStart"/>
      <w:r>
        <w:t>analyze</w:t>
      </w:r>
      <w:proofErr w:type="spellEnd"/>
      <w:r>
        <w:t xml:space="preserve"> it. Research of environmental reporting practices in EU manufacturing companies. Journal of Cleaner Production, 274, 121968.</w:t>
      </w:r>
    </w:p>
    <w:p w14:paraId="4ACFF561" w14:textId="77777777" w:rsidR="00804F20" w:rsidRDefault="00804F20" w:rsidP="00804F20">
      <w:r>
        <w:t xml:space="preserve">Danese, P., </w:t>
      </w:r>
      <w:proofErr w:type="spellStart"/>
      <w:r>
        <w:t>Molinaro</w:t>
      </w:r>
      <w:proofErr w:type="spellEnd"/>
      <w:r>
        <w:t>, M., &amp; Romano, P. (2020). Investigating fit in supply chain integration: A systematic literature review on context, practices, performance links. Journal of Purchasing and Supply Management, 26(5), 100634.</w:t>
      </w:r>
    </w:p>
    <w:p w14:paraId="270569A0" w14:textId="77777777" w:rsidR="00804F20" w:rsidRDefault="00804F20" w:rsidP="00804F20">
      <w:r>
        <w:t xml:space="preserve">Danese, P., &amp; </w:t>
      </w:r>
      <w:proofErr w:type="spellStart"/>
      <w:r>
        <w:t>Bortolotti</w:t>
      </w:r>
      <w:proofErr w:type="spellEnd"/>
      <w:r>
        <w:t>, T. (2014). Supply chain integration patterns and operational performance: a plant-level survey-based analysis. International Journal of Production Research, 52(23), 7062-7083.</w:t>
      </w:r>
    </w:p>
    <w:p w14:paraId="15B1DB5F" w14:textId="77777777" w:rsidR="00804F20" w:rsidRDefault="00804F20" w:rsidP="00804F20">
      <w:r>
        <w:lastRenderedPageBreak/>
        <w:t xml:space="preserve">Dey, P. K., </w:t>
      </w:r>
      <w:proofErr w:type="spellStart"/>
      <w:r>
        <w:t>Malesios</w:t>
      </w:r>
      <w:proofErr w:type="spellEnd"/>
      <w:r>
        <w:t xml:space="preserve">, C., Chowdhury, S., </w:t>
      </w:r>
      <w:proofErr w:type="spellStart"/>
      <w:r>
        <w:t>Saha</w:t>
      </w:r>
      <w:proofErr w:type="spellEnd"/>
      <w:r>
        <w:t xml:space="preserve">, K., </w:t>
      </w:r>
      <w:proofErr w:type="spellStart"/>
      <w:r>
        <w:t>Budhwar</w:t>
      </w:r>
      <w:proofErr w:type="spellEnd"/>
      <w:r>
        <w:t>, P., &amp; De, D. (2022). Adoption of circular economy practices in small and medium-sized enterprises: Evidence from Europe. International Journal of Production Economics, 248, 108496.</w:t>
      </w:r>
    </w:p>
    <w:p w14:paraId="6339807C" w14:textId="77777777" w:rsidR="00804F20" w:rsidRDefault="00804F20" w:rsidP="00804F20">
      <w:r>
        <w:t>DiMaggio, P. J., &amp; Powell, W. W. (1983). The iron cage revisited: Institutional isomorphism and collective rationality in organizational fields. American sociological review, 147-160.</w:t>
      </w:r>
    </w:p>
    <w:p w14:paraId="3002FEFF" w14:textId="77777777" w:rsidR="00804F20" w:rsidRDefault="00804F20" w:rsidP="00804F20">
      <w:r>
        <w:t xml:space="preserve">Dong, M. C., </w:t>
      </w:r>
      <w:proofErr w:type="spellStart"/>
      <w:r>
        <w:t>Ju</w:t>
      </w:r>
      <w:proofErr w:type="spellEnd"/>
      <w:r>
        <w:t>, M., &amp; Fang, Y., 2016. Role hazard between supply chain partners in an institutionally fragmented market. Journal of Operations Management, 46, 5-18.</w:t>
      </w:r>
    </w:p>
    <w:p w14:paraId="7DFD5054" w14:textId="77777777" w:rsidR="00804F20" w:rsidRDefault="00804F20" w:rsidP="00804F20">
      <w:r>
        <w:t xml:space="preserve">De Angelis, R., Howard, M., &amp; </w:t>
      </w:r>
      <w:proofErr w:type="spellStart"/>
      <w:r>
        <w:t>Miemczyk</w:t>
      </w:r>
      <w:proofErr w:type="spellEnd"/>
      <w:r>
        <w:t>, J., 2018. Supply chain management and the circular economy: towards the circular supply chain. Production Planning &amp; Control, 29(6), 425-437.</w:t>
      </w:r>
    </w:p>
    <w:p w14:paraId="79FFA298" w14:textId="77777777" w:rsidR="00804F20" w:rsidRDefault="00804F20" w:rsidP="00804F20">
      <w:r>
        <w:t>De Lima, F. A., &amp; Seuring, S., 2023. A Delphi study examining risk and uncertainty management in circular supply chains. International Journal of Production Economics, 108810.</w:t>
      </w:r>
    </w:p>
    <w:p w14:paraId="5F0D99A0" w14:textId="77777777" w:rsidR="00804F20" w:rsidRDefault="00804F20" w:rsidP="00804F20">
      <w:r>
        <w:t xml:space="preserve">Elia, V., </w:t>
      </w:r>
      <w:proofErr w:type="spellStart"/>
      <w:r>
        <w:t>Gnoni</w:t>
      </w:r>
      <w:proofErr w:type="spellEnd"/>
      <w:r>
        <w:t xml:space="preserve">, M. G., &amp; </w:t>
      </w:r>
      <w:proofErr w:type="spellStart"/>
      <w:r>
        <w:t>Tornese</w:t>
      </w:r>
      <w:proofErr w:type="spellEnd"/>
      <w:r>
        <w:t>, F., 2020. Evaluating the adoption of circular economy practices in industrial supply chains: An empirical analysis. Journal of Cleaner Production, 273, 122966.</w:t>
      </w:r>
    </w:p>
    <w:p w14:paraId="27CB8B6F" w14:textId="77777777" w:rsidR="00804F20" w:rsidRDefault="00804F20" w:rsidP="00804F20">
      <w:r>
        <w:t xml:space="preserve">Flynn, B. B., </w:t>
      </w:r>
      <w:proofErr w:type="spellStart"/>
      <w:r>
        <w:t>Huo</w:t>
      </w:r>
      <w:proofErr w:type="spellEnd"/>
      <w:r>
        <w:t>, B., &amp; Zhao, X. (2010). The impact of supply chain integration on performance: A contingency and configuration approach. Journal of Operations Management, 28(1), 58-71.</w:t>
      </w:r>
    </w:p>
    <w:p w14:paraId="46B0E1EA" w14:textId="77777777" w:rsidR="00804F20" w:rsidRDefault="00804F20" w:rsidP="00804F20">
      <w:proofErr w:type="spellStart"/>
      <w:r>
        <w:t>Frohlich</w:t>
      </w:r>
      <w:proofErr w:type="spellEnd"/>
      <w:r>
        <w:t>, M. T., &amp; Westbrook, R. (2001). Arcs of integration: an international study of supply chain strategies. Journal of Operations Management, 19(2), 185-200.</w:t>
      </w:r>
    </w:p>
    <w:p w14:paraId="0AD79784" w14:textId="77777777" w:rsidR="00804F20" w:rsidRDefault="00804F20" w:rsidP="00804F20">
      <w:r>
        <w:t xml:space="preserve">Herczeg, G., </w:t>
      </w:r>
      <w:proofErr w:type="spellStart"/>
      <w:r>
        <w:t>Akkerman</w:t>
      </w:r>
      <w:proofErr w:type="spellEnd"/>
      <w:r>
        <w:t xml:space="preserve">, R., &amp; </w:t>
      </w:r>
      <w:proofErr w:type="spellStart"/>
      <w:r>
        <w:t>Hauschild</w:t>
      </w:r>
      <w:proofErr w:type="spellEnd"/>
      <w:r>
        <w:t>, M. Z., 2018. Supply chain collaboration in industrial symbiosis networks. Journal of Cleaner Production, 171, 1058-1067.</w:t>
      </w:r>
    </w:p>
    <w:p w14:paraId="0BDC5DB3" w14:textId="77777777" w:rsidR="00804F20" w:rsidRDefault="00804F20" w:rsidP="00804F20">
      <w:r>
        <w:t xml:space="preserve">Jain, N. K., Panda, A., &amp; </w:t>
      </w:r>
      <w:proofErr w:type="spellStart"/>
      <w:r>
        <w:t>Choudhary</w:t>
      </w:r>
      <w:proofErr w:type="spellEnd"/>
      <w:r>
        <w:t xml:space="preserve">, P., 2020. Institutional pressures and circular economy performance: The role of environmental management system and organizational flexibility in oil and gas sector. Business Strategy and the Environment, 29(8), 3509-3525. </w:t>
      </w:r>
    </w:p>
    <w:p w14:paraId="20035F17" w14:textId="77777777" w:rsidR="00804F20" w:rsidRDefault="00804F20" w:rsidP="00804F20">
      <w:proofErr w:type="spellStart"/>
      <w:r>
        <w:t>Kauppi</w:t>
      </w:r>
      <w:proofErr w:type="spellEnd"/>
      <w:r>
        <w:t>, K. (2013). Extending the use of institutional theory in operations and supply chain management research: Review and research suggestions. International Journal of Operations &amp; Production Management, 33(10), 1318-1345.</w:t>
      </w:r>
    </w:p>
    <w:p w14:paraId="3C63BEA3" w14:textId="77777777" w:rsidR="00804F20" w:rsidRDefault="00804F20" w:rsidP="00804F20">
      <w:proofErr w:type="spellStart"/>
      <w:r>
        <w:t>Kauppi</w:t>
      </w:r>
      <w:proofErr w:type="spellEnd"/>
      <w:r>
        <w:t xml:space="preserve">, K., &amp; </w:t>
      </w:r>
      <w:proofErr w:type="spellStart"/>
      <w:r>
        <w:t>Luzzini</w:t>
      </w:r>
      <w:proofErr w:type="spellEnd"/>
      <w:r>
        <w:t xml:space="preserve">, D., 2022. Measuring institutional pressures in a supply chain context: scale development and testing. Supply Chain Management: An International Journal, 27(7), 79-107. </w:t>
      </w:r>
    </w:p>
    <w:p w14:paraId="59953F6A" w14:textId="77777777" w:rsidR="00804F20" w:rsidRDefault="00804F20" w:rsidP="00804F20">
      <w:proofErr w:type="spellStart"/>
      <w:r>
        <w:lastRenderedPageBreak/>
        <w:t>Kelling</w:t>
      </w:r>
      <w:proofErr w:type="spellEnd"/>
      <w:r>
        <w:t>, N. K., Sauer, P. C., Gold, S., &amp; Seuring, S. (2021). The role of institutional uncertainty for social sustainability of companies and supply chains. Journal of Business Ethics, 173, 813-833.</w:t>
      </w:r>
    </w:p>
    <w:p w14:paraId="4DAEBB4B" w14:textId="77777777" w:rsidR="00804F20" w:rsidRDefault="00804F20" w:rsidP="00804F20">
      <w:proofErr w:type="spellStart"/>
      <w:r>
        <w:t>Ketchen</w:t>
      </w:r>
      <w:proofErr w:type="spellEnd"/>
      <w:r>
        <w:t xml:space="preserve"> Jr, D. J., &amp; </w:t>
      </w:r>
      <w:proofErr w:type="spellStart"/>
      <w:r>
        <w:t>Hult</w:t>
      </w:r>
      <w:proofErr w:type="spellEnd"/>
      <w:r>
        <w:t>, G. T. M., 2007. Bridging organization theory and supply chain management: The case of best value supply chains. Journal of Operations Management, 25(2), 573-580.</w:t>
      </w:r>
    </w:p>
    <w:p w14:paraId="43541AC4" w14:textId="77777777" w:rsidR="00804F20" w:rsidRDefault="00804F20" w:rsidP="00804F20">
      <w:proofErr w:type="spellStart"/>
      <w:r>
        <w:t>Ketokivi</w:t>
      </w:r>
      <w:proofErr w:type="spellEnd"/>
      <w:r>
        <w:t xml:space="preserve">, M. (2019). Avoiding bias and fallacy in survey research: A </w:t>
      </w:r>
      <w:proofErr w:type="spellStart"/>
      <w:r>
        <w:t>behavioral</w:t>
      </w:r>
      <w:proofErr w:type="spellEnd"/>
      <w:r>
        <w:t xml:space="preserve"> multilevel approach. Journal of Operations Management, 65(4), 380-402.</w:t>
      </w:r>
    </w:p>
    <w:p w14:paraId="0C93A7F9" w14:textId="77777777" w:rsidR="00804F20" w:rsidRDefault="00804F20" w:rsidP="00804F20">
      <w:proofErr w:type="spellStart"/>
      <w:r>
        <w:t>Kristoffersen</w:t>
      </w:r>
      <w:proofErr w:type="spellEnd"/>
      <w:r>
        <w:t xml:space="preserve">, E., </w:t>
      </w:r>
      <w:proofErr w:type="spellStart"/>
      <w:r>
        <w:t>Mikalef</w:t>
      </w:r>
      <w:proofErr w:type="spellEnd"/>
      <w:r>
        <w:t xml:space="preserve">, P., </w:t>
      </w:r>
      <w:proofErr w:type="spellStart"/>
      <w:r>
        <w:t>Blomsma</w:t>
      </w:r>
      <w:proofErr w:type="spellEnd"/>
      <w:r>
        <w:t>, F., &amp; Li, J. (2021). The effects of business analytics capability on circular economy implementation, resource orchestration capability, and firm performance. International Journal of Production Economics, 239, 108205.</w:t>
      </w:r>
    </w:p>
    <w:p w14:paraId="179FBBF9" w14:textId="77777777" w:rsidR="00804F20" w:rsidRDefault="00804F20" w:rsidP="00804F20">
      <w:proofErr w:type="spellStart"/>
      <w:r>
        <w:t>Kostova</w:t>
      </w:r>
      <w:proofErr w:type="spellEnd"/>
      <w:r>
        <w:t xml:space="preserve">, T., Roth, K., &amp; </w:t>
      </w:r>
      <w:proofErr w:type="spellStart"/>
      <w:r>
        <w:t>Dacin</w:t>
      </w:r>
      <w:proofErr w:type="spellEnd"/>
      <w:r>
        <w:t>, M. T. (2008). Institutional theory in the study of multinational corporations: A critique and new directions. Academy of management review, 33(4), 994-1006.</w:t>
      </w:r>
    </w:p>
    <w:p w14:paraId="65FB01FE" w14:textId="77777777" w:rsidR="00804F20" w:rsidRDefault="00804F20" w:rsidP="00804F20">
      <w:proofErr w:type="spellStart"/>
      <w:r>
        <w:t>Leuschner</w:t>
      </w:r>
      <w:proofErr w:type="spellEnd"/>
      <w:r>
        <w:t xml:space="preserve">, R., Rogers, D. S., &amp; </w:t>
      </w:r>
      <w:proofErr w:type="spellStart"/>
      <w:r>
        <w:t>Charvet</w:t>
      </w:r>
      <w:proofErr w:type="spellEnd"/>
      <w:r>
        <w:t>, F. F., 2013. A meta</w:t>
      </w:r>
      <w:r>
        <w:rPr>
          <w:rFonts w:ascii="Times New Roman" w:hAnsi="Times New Roman" w:cs="Times New Roman"/>
        </w:rPr>
        <w:t>‐</w:t>
      </w:r>
      <w:r>
        <w:t>analysis of supply chain integration and firm performance. Journal of Supply Chain Management, 49(2), 34-57.</w:t>
      </w:r>
    </w:p>
    <w:p w14:paraId="69885280" w14:textId="77777777" w:rsidR="00804F20" w:rsidRDefault="00804F20" w:rsidP="00804F20">
      <w:r>
        <w:t xml:space="preserve">Liu, J., Feng, Y., Zhu, Q., &amp; </w:t>
      </w:r>
      <w:proofErr w:type="spellStart"/>
      <w:r>
        <w:t>Sarkis</w:t>
      </w:r>
      <w:proofErr w:type="spellEnd"/>
      <w:r>
        <w:t>, J. (2018). Green supply chain management and the circular economy: Reviewing theory for advancement of both fields. International Journal of Physical Distribution and Logistics Management, 48(8), 794-817.</w:t>
      </w:r>
    </w:p>
    <w:p w14:paraId="2DD1E18D" w14:textId="77777777" w:rsidR="00804F20" w:rsidRDefault="00804F20" w:rsidP="00804F20">
      <w:r>
        <w:t xml:space="preserve">Masi, D., Kumar, V., Garza-Reyes, J. A., &amp; </w:t>
      </w:r>
      <w:proofErr w:type="spellStart"/>
      <w:r>
        <w:t>Godsell</w:t>
      </w:r>
      <w:proofErr w:type="spellEnd"/>
      <w:r>
        <w:t>, J. (2018). Towards a more circular economy: exploring the awareness, practices, and barriers from a focal firm perspective. Production Planning &amp; Control, 29(6), 539-550.</w:t>
      </w:r>
    </w:p>
    <w:p w14:paraId="67C6AB06" w14:textId="77777777" w:rsidR="00804F20" w:rsidRDefault="00804F20" w:rsidP="00804F20">
      <w:r>
        <w:t>Mathews, J. A., &amp; Tan, H., 2011. Progress toward a circular economy in China: The drivers (and inhibitors) of eco</w:t>
      </w:r>
      <w:r>
        <w:rPr>
          <w:rFonts w:ascii="Times New Roman" w:hAnsi="Times New Roman" w:cs="Times New Roman"/>
        </w:rPr>
        <w:t>‐</w:t>
      </w:r>
      <w:r>
        <w:t>industrial initiative. Journal of industrial ecology, 15(3), 435-457.</w:t>
      </w:r>
    </w:p>
    <w:p w14:paraId="4B9BE5FD" w14:textId="77777777" w:rsidR="00804F20" w:rsidRDefault="00804F20" w:rsidP="00804F20">
      <w:proofErr w:type="spellStart"/>
      <w:r>
        <w:t>Mejías</w:t>
      </w:r>
      <w:proofErr w:type="spellEnd"/>
      <w:r>
        <w:t xml:space="preserve">, A. M., </w:t>
      </w:r>
      <w:proofErr w:type="spellStart"/>
      <w:r>
        <w:t>Bellas</w:t>
      </w:r>
      <w:proofErr w:type="spellEnd"/>
      <w:r>
        <w:t>, R., Pardo, J. E., &amp; Paz, E., 2019. Traceability management systems and capacity building as new approaches for improving sustainability in the fashion multi-tier supply chain. International Journal of Production Economics, 217, 143-158.</w:t>
      </w:r>
    </w:p>
    <w:p w14:paraId="36D2E876" w14:textId="77777777" w:rsidR="00804F20" w:rsidRDefault="00804F20" w:rsidP="00804F20">
      <w:r>
        <w:t xml:space="preserve">Paulraj, A., Chen, I. J., &amp; </w:t>
      </w:r>
      <w:proofErr w:type="spellStart"/>
      <w:r>
        <w:t>Blome</w:t>
      </w:r>
      <w:proofErr w:type="spellEnd"/>
      <w:r>
        <w:t>, C. (2017). Motives and performance outcomes of sustainable supply chain management practices: A multi-theoretical perspective. Journal of Business Ethics, 145, 239-258.</w:t>
      </w:r>
    </w:p>
    <w:p w14:paraId="542CD0A1" w14:textId="77777777" w:rsidR="00804F20" w:rsidRDefault="00804F20" w:rsidP="00804F20">
      <w:proofErr w:type="spellStart"/>
      <w:r>
        <w:lastRenderedPageBreak/>
        <w:t>Piecyk</w:t>
      </w:r>
      <w:proofErr w:type="spellEnd"/>
      <w:r>
        <w:t xml:space="preserve">, M. I., &amp; </w:t>
      </w:r>
      <w:proofErr w:type="spellStart"/>
      <w:r>
        <w:t>Björklund</w:t>
      </w:r>
      <w:proofErr w:type="spellEnd"/>
      <w:r>
        <w:t>, M. (2015). Logistics service providers and corporate social responsibility: sustainability reporting in the logistics industry. International Journal of Physical Distribution &amp; Logistics Management, 45(5), 459-485.</w:t>
      </w:r>
    </w:p>
    <w:p w14:paraId="564CA18E" w14:textId="77777777" w:rsidR="00804F20" w:rsidRDefault="00804F20" w:rsidP="00804F20">
      <w:proofErr w:type="spellStart"/>
      <w:r>
        <w:t>Ranta</w:t>
      </w:r>
      <w:proofErr w:type="spellEnd"/>
      <w:r>
        <w:t xml:space="preserve">, V., </w:t>
      </w:r>
      <w:proofErr w:type="spellStart"/>
      <w:r>
        <w:t>Aarikka-Stenroos</w:t>
      </w:r>
      <w:proofErr w:type="spellEnd"/>
      <w:r>
        <w:t xml:space="preserve">, L., </w:t>
      </w:r>
      <w:proofErr w:type="spellStart"/>
      <w:r>
        <w:t>Ritala</w:t>
      </w:r>
      <w:proofErr w:type="spellEnd"/>
      <w:r>
        <w:t xml:space="preserve">, P., &amp; </w:t>
      </w:r>
      <w:proofErr w:type="spellStart"/>
      <w:r>
        <w:t>Mäkinen</w:t>
      </w:r>
      <w:proofErr w:type="spellEnd"/>
      <w:r>
        <w:t xml:space="preserve">, S. J., 2018. Exploring institutional drivers and barriers of the circular economy: A cross-regional comparison of China, the US, and Europe. Resources, Conservation and Recycling, 135, 70-82. </w:t>
      </w:r>
    </w:p>
    <w:p w14:paraId="54DEA218" w14:textId="77777777" w:rsidR="00804F20" w:rsidRDefault="00804F20" w:rsidP="00804F20">
      <w:proofErr w:type="spellStart"/>
      <w:r>
        <w:t>Rosca</w:t>
      </w:r>
      <w:proofErr w:type="spellEnd"/>
      <w:r>
        <w:t xml:space="preserve">, E., Tate, W. L., Bals, L., Huang, F., &amp; </w:t>
      </w:r>
      <w:proofErr w:type="spellStart"/>
      <w:r>
        <w:t>Ciulli</w:t>
      </w:r>
      <w:proofErr w:type="spellEnd"/>
      <w:r>
        <w:t>, F. (2022). Coordinating multi-level collective action: how intermediaries and digital governance can help supply chains tackle grand challenges. International Journal of Operations &amp; Production Management, 42(12) 1937-1968.</w:t>
      </w:r>
    </w:p>
    <w:p w14:paraId="7BFD66EE" w14:textId="77777777" w:rsidR="00804F20" w:rsidRDefault="00804F20" w:rsidP="00804F20">
      <w:proofErr w:type="spellStart"/>
      <w:r>
        <w:t>Sancha</w:t>
      </w:r>
      <w:proofErr w:type="spellEnd"/>
      <w:r>
        <w:t xml:space="preserve">, C., Longoni, A., &amp; </w:t>
      </w:r>
      <w:proofErr w:type="spellStart"/>
      <w:r>
        <w:t>Giménez</w:t>
      </w:r>
      <w:proofErr w:type="spellEnd"/>
      <w:r>
        <w:t xml:space="preserve">, C., 2015. Sustainable supplier development practices: Drivers and enablers in a global context. Journal of Purchasing and Supply Management, 21(2), 95-102. </w:t>
      </w:r>
    </w:p>
    <w:p w14:paraId="4362AE19" w14:textId="77777777" w:rsidR="00804F20" w:rsidRDefault="00804F20" w:rsidP="00804F20">
      <w:proofErr w:type="spellStart"/>
      <w:r>
        <w:t>Sancha</w:t>
      </w:r>
      <w:proofErr w:type="spellEnd"/>
      <w:r>
        <w:t xml:space="preserve">, C., Gutierrez-Gutierrez, L., Tamayo-Torres, I., &amp; </w:t>
      </w:r>
      <w:proofErr w:type="spellStart"/>
      <w:r>
        <w:t>Gimenez</w:t>
      </w:r>
      <w:proofErr w:type="spellEnd"/>
      <w:r>
        <w:t xml:space="preserve"> Thomsen, C. (2022). From corporate governance to sustainability outcomes: the key role of operations management. International Journal of Operations &amp; Production Management, 43(13), 27-49.</w:t>
      </w:r>
    </w:p>
    <w:p w14:paraId="3BBDD5D1" w14:textId="77777777" w:rsidR="00804F20" w:rsidRDefault="00804F20" w:rsidP="00804F20">
      <w:r>
        <w:t>Sauer, P. C., &amp; Seuring, S. (2018). A three-dimensional framework for multi-tier sustainable supply chain management. Supply Chain Management: An International Journal, 23(6), 560-572.</w:t>
      </w:r>
    </w:p>
    <w:p w14:paraId="7CC07981" w14:textId="77777777" w:rsidR="00804F20" w:rsidRDefault="00804F20" w:rsidP="00804F20">
      <w:proofErr w:type="spellStart"/>
      <w:r>
        <w:t>Schoenherr</w:t>
      </w:r>
      <w:proofErr w:type="spellEnd"/>
      <w:r>
        <w:t xml:space="preserve">, T., &amp; </w:t>
      </w:r>
      <w:proofErr w:type="spellStart"/>
      <w:r>
        <w:t>Swink</w:t>
      </w:r>
      <w:proofErr w:type="spellEnd"/>
      <w:r>
        <w:t>, M. (2012). Revisiting the arcs of integration: Cross-validations and extensions. Journal of Operations Management, 30(1-2), 99-115.</w:t>
      </w:r>
    </w:p>
    <w:p w14:paraId="7F024E1C" w14:textId="77777777" w:rsidR="00804F20" w:rsidRDefault="00804F20" w:rsidP="00804F20">
      <w:r>
        <w:t>Scott Richard, W. (1995). Institutions and organizations. Ideas and Interests, Los Angeles.</w:t>
      </w:r>
    </w:p>
    <w:p w14:paraId="167B78F1" w14:textId="77777777" w:rsidR="00804F20" w:rsidRDefault="00804F20" w:rsidP="00804F20">
      <w:proofErr w:type="spellStart"/>
      <w:r>
        <w:t>Sehnem</w:t>
      </w:r>
      <w:proofErr w:type="spellEnd"/>
      <w:r>
        <w:t>, S., Vazquez-</w:t>
      </w:r>
      <w:proofErr w:type="spellStart"/>
      <w:r>
        <w:t>Brust</w:t>
      </w:r>
      <w:proofErr w:type="spellEnd"/>
      <w:r>
        <w:t>, D., Pereira, S. C. F., &amp; Campos, L. M. (2019). Circular economy: benefits, impacts and overlapping. Supply Chain Management: An International Journal, 24(6), 784-804.</w:t>
      </w:r>
    </w:p>
    <w:p w14:paraId="19DB7744" w14:textId="77777777" w:rsidR="00804F20" w:rsidRDefault="00804F20" w:rsidP="00804F20">
      <w:r>
        <w:t>Seuring, S., &amp; Gold, S. (2012). Conducting content</w:t>
      </w:r>
      <w:r>
        <w:rPr>
          <w:rFonts w:ascii="Times New Roman" w:hAnsi="Times New Roman" w:cs="Times New Roman"/>
        </w:rPr>
        <w:t>‐</w:t>
      </w:r>
      <w:r>
        <w:t>analysis based literature reviews in supply chain management. Supply Chain Management: An International Journal, 17(5), 544-555.</w:t>
      </w:r>
    </w:p>
    <w:p w14:paraId="137B2AA5" w14:textId="77777777" w:rsidR="00804F20" w:rsidRDefault="00804F20" w:rsidP="00804F20">
      <w:r>
        <w:t>Silva, M. E., Pereira, M. M., &amp; Hendry, L. C. (2023). Embracing change in tandem: resilience and sustainability together transforming supply chains. International Journal of Operations &amp; Production Management, 43(1), 166-196.</w:t>
      </w:r>
    </w:p>
    <w:p w14:paraId="771FC598" w14:textId="77777777" w:rsidR="00804F20" w:rsidRDefault="00804F20" w:rsidP="00804F20">
      <w:proofErr w:type="spellStart"/>
      <w:r>
        <w:lastRenderedPageBreak/>
        <w:t>Sudusinghe</w:t>
      </w:r>
      <w:proofErr w:type="spellEnd"/>
      <w:r>
        <w:t>, J. I., &amp; Seuring, S. (2022). Supply chain collaboration and sustainability performance in circular economy: A systematic literature review. International Journal of Production Economics, 245, 108402.</w:t>
      </w:r>
    </w:p>
    <w:p w14:paraId="18EC4744" w14:textId="77777777" w:rsidR="00804F20" w:rsidRDefault="00804F20" w:rsidP="00804F20">
      <w:r>
        <w:t xml:space="preserve">Tate, W. L., Ellram, L. M., &amp; </w:t>
      </w:r>
      <w:proofErr w:type="spellStart"/>
      <w:r>
        <w:t>Kirchoff</w:t>
      </w:r>
      <w:proofErr w:type="spellEnd"/>
      <w:r>
        <w:t>, J. F. (2010). Corporate social responsibility reports: a thematic analysis related to supply chain management. Journal of Supply Chain Management, 46(1), 19-44.</w:t>
      </w:r>
    </w:p>
    <w:p w14:paraId="3B76B6AC" w14:textId="77777777" w:rsidR="00804F20" w:rsidRDefault="00804F20" w:rsidP="00804F20">
      <w:proofErr w:type="spellStart"/>
      <w:r>
        <w:t>Turkulainen</w:t>
      </w:r>
      <w:proofErr w:type="spellEnd"/>
      <w:r>
        <w:t xml:space="preserve">, V., </w:t>
      </w:r>
      <w:proofErr w:type="spellStart"/>
      <w:r>
        <w:t>Kauppi</w:t>
      </w:r>
      <w:proofErr w:type="spellEnd"/>
      <w:r>
        <w:t xml:space="preserve">, K., &amp; </w:t>
      </w:r>
      <w:proofErr w:type="spellStart"/>
      <w:r>
        <w:t>Nermes</w:t>
      </w:r>
      <w:proofErr w:type="spellEnd"/>
      <w:r>
        <w:t>, E. (2017). Institutional explanations: Missing link in operations management? Insights on supplier integration. International Journal of Operations &amp; Production Management, 37(8), 1117-1140.</w:t>
      </w:r>
    </w:p>
    <w:p w14:paraId="544ABC73" w14:textId="77777777" w:rsidR="00804F20" w:rsidRDefault="00804F20" w:rsidP="00804F20">
      <w:proofErr w:type="spellStart"/>
      <w:r>
        <w:t>Vachon</w:t>
      </w:r>
      <w:proofErr w:type="spellEnd"/>
      <w:r>
        <w:t xml:space="preserve">, S., &amp; </w:t>
      </w:r>
      <w:proofErr w:type="spellStart"/>
      <w:r>
        <w:t>Klassen</w:t>
      </w:r>
      <w:proofErr w:type="spellEnd"/>
      <w:r>
        <w:t>, R. D. (2006). Extending green practices across the supply chain: the impact of upstream and downstream integration. International Journal of Operations &amp; Production Management, 26(7), 795-821.</w:t>
      </w:r>
    </w:p>
    <w:p w14:paraId="522C6B0E" w14:textId="77777777" w:rsidR="00804F20" w:rsidRDefault="00804F20" w:rsidP="00804F20">
      <w:proofErr w:type="spellStart"/>
      <w:r>
        <w:t>Venkatesh</w:t>
      </w:r>
      <w:proofErr w:type="spellEnd"/>
      <w:r>
        <w:t xml:space="preserve">, V. G., Zhang, A., </w:t>
      </w:r>
      <w:proofErr w:type="spellStart"/>
      <w:r>
        <w:t>Deakins</w:t>
      </w:r>
      <w:proofErr w:type="spellEnd"/>
      <w:r>
        <w:t xml:space="preserve">, E., &amp; Mani, V., 2020. Drivers of sub-supplier social sustainability compliance: an emerging economy perspective. Supply Chain Management: An International Journal. 25(6), 655-677. </w:t>
      </w:r>
    </w:p>
    <w:p w14:paraId="0D13EBC7" w14:textId="77777777" w:rsidR="00804F20" w:rsidRDefault="00804F20" w:rsidP="00804F20">
      <w:r>
        <w:t>Wiengarten, F., &amp; Longoni, A. (2015). A nuanced view on supply chain integration: A coordinative and collaborative approach to operational and sustainable performance improvement. Supply Chain Management: An International Journal, 20(2), 139-150.</w:t>
      </w:r>
    </w:p>
    <w:p w14:paraId="5048F627" w14:textId="77777777" w:rsidR="00804F20" w:rsidRDefault="00804F20" w:rsidP="00804F20">
      <w:r>
        <w:t>Wong, C. Y., &amp; Boon-</w:t>
      </w:r>
      <w:proofErr w:type="spellStart"/>
      <w:r>
        <w:t>Itt</w:t>
      </w:r>
      <w:proofErr w:type="spellEnd"/>
      <w:r>
        <w:t>, S. (2008). The influence of institutional norms and environmental uncertainty on supply chain integration in the Thai automotive industry. International Journal of Production Economics, 115(2), 400-410.</w:t>
      </w:r>
    </w:p>
    <w:p w14:paraId="4D579656" w14:textId="1A180D3D" w:rsidR="008244AC" w:rsidRPr="008244AC" w:rsidRDefault="00804F20" w:rsidP="00804F20">
      <w:r>
        <w:t xml:space="preserve">Wu, Z., &amp; </w:t>
      </w:r>
      <w:proofErr w:type="spellStart"/>
      <w:r>
        <w:t>Jia</w:t>
      </w:r>
      <w:proofErr w:type="spellEnd"/>
      <w:r>
        <w:t>, F. (2018). Toward a theory of supply chain fields–understanding the institutional process of supply chain localization. Journal of Operations Management, 58, 27-41.</w:t>
      </w:r>
    </w:p>
    <w:p w14:paraId="48B7715B" w14:textId="21FD0CCB" w:rsidR="00DC45F9" w:rsidRDefault="00DC45F9" w:rsidP="002F7336">
      <w:r>
        <w:br w:type="page"/>
      </w:r>
    </w:p>
    <w:p w14:paraId="49DDF236" w14:textId="528BA0DD" w:rsidR="00DC45F9" w:rsidRDefault="00DC45F9" w:rsidP="00116B90">
      <w:pPr>
        <w:pStyle w:val="Heading2"/>
        <w:numPr>
          <w:ilvl w:val="0"/>
          <w:numId w:val="0"/>
        </w:numPr>
        <w:ind w:left="357" w:hanging="357"/>
      </w:pPr>
      <w:bookmarkStart w:id="199" w:name="_Toc157759573"/>
      <w:r>
        <w:lastRenderedPageBreak/>
        <w:t xml:space="preserve">Appendix </w:t>
      </w:r>
      <w:r w:rsidR="00E87923">
        <w:t>6</w:t>
      </w:r>
      <w:r>
        <w:t>A</w:t>
      </w:r>
      <w:bookmarkEnd w:id="1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108"/>
        <w:gridCol w:w="2616"/>
        <w:gridCol w:w="1766"/>
      </w:tblGrid>
      <w:tr w:rsidR="00DC45F9" w:rsidRPr="00AE3D78" w14:paraId="65D9E8E1" w14:textId="77777777" w:rsidTr="00EB2DF2">
        <w:trPr>
          <w:trHeight w:val="288"/>
        </w:trPr>
        <w:tc>
          <w:tcPr>
            <w:tcW w:w="0" w:type="auto"/>
            <w:shd w:val="clear" w:color="auto" w:fill="auto"/>
            <w:noWrap/>
            <w:vAlign w:val="bottom"/>
            <w:hideMark/>
          </w:tcPr>
          <w:p w14:paraId="76364BA1" w14:textId="77777777" w:rsidR="00DC45F9" w:rsidRPr="00AE3D78" w:rsidRDefault="00DC45F9" w:rsidP="007C4B17">
            <w:pPr>
              <w:pStyle w:val="Tabletext"/>
              <w:rPr>
                <w:lang w:eastAsia="zh-CN"/>
              </w:rPr>
            </w:pPr>
            <w:r w:rsidRPr="00AE3D78">
              <w:rPr>
                <w:lang w:eastAsia="zh-CN"/>
              </w:rPr>
              <w:t>State Grid</w:t>
            </w:r>
          </w:p>
        </w:tc>
        <w:tc>
          <w:tcPr>
            <w:tcW w:w="0" w:type="auto"/>
            <w:shd w:val="clear" w:color="auto" w:fill="auto"/>
            <w:noWrap/>
            <w:vAlign w:val="bottom"/>
            <w:hideMark/>
          </w:tcPr>
          <w:p w14:paraId="1C0060D1" w14:textId="77777777" w:rsidR="00DC45F9" w:rsidRPr="00AE3D78" w:rsidRDefault="00DC45F9" w:rsidP="007C4B17">
            <w:pPr>
              <w:pStyle w:val="Tabletext"/>
              <w:rPr>
                <w:lang w:eastAsia="zh-CN"/>
              </w:rPr>
            </w:pPr>
            <w:r w:rsidRPr="00AE3D78">
              <w:rPr>
                <w:lang w:eastAsia="zh-CN"/>
              </w:rPr>
              <w:t xml:space="preserve">China </w:t>
            </w:r>
            <w:proofErr w:type="spellStart"/>
            <w:r w:rsidRPr="00AE3D78">
              <w:rPr>
                <w:lang w:eastAsia="zh-CN"/>
              </w:rPr>
              <w:t>Minmetals</w:t>
            </w:r>
            <w:proofErr w:type="spellEnd"/>
          </w:p>
        </w:tc>
        <w:tc>
          <w:tcPr>
            <w:tcW w:w="0" w:type="auto"/>
            <w:shd w:val="clear" w:color="auto" w:fill="auto"/>
            <w:noWrap/>
            <w:vAlign w:val="bottom"/>
            <w:hideMark/>
          </w:tcPr>
          <w:p w14:paraId="558EF92E" w14:textId="77777777" w:rsidR="00DC45F9" w:rsidRPr="00AE3D78" w:rsidRDefault="00DC45F9" w:rsidP="007C4B17">
            <w:pPr>
              <w:pStyle w:val="Tabletext"/>
              <w:rPr>
                <w:lang w:eastAsia="zh-CN"/>
              </w:rPr>
            </w:pPr>
            <w:r w:rsidRPr="00AE3D78">
              <w:rPr>
                <w:lang w:eastAsia="zh-CN"/>
              </w:rPr>
              <w:t>BASF</w:t>
            </w:r>
          </w:p>
        </w:tc>
        <w:tc>
          <w:tcPr>
            <w:tcW w:w="0" w:type="auto"/>
            <w:shd w:val="clear" w:color="auto" w:fill="auto"/>
            <w:noWrap/>
            <w:vAlign w:val="bottom"/>
            <w:hideMark/>
          </w:tcPr>
          <w:p w14:paraId="68FA4FF2" w14:textId="77777777" w:rsidR="00DC45F9" w:rsidRPr="00AE3D78" w:rsidRDefault="00DC45F9" w:rsidP="007C4B17">
            <w:pPr>
              <w:pStyle w:val="Tabletext"/>
              <w:rPr>
                <w:lang w:eastAsia="zh-CN"/>
              </w:rPr>
            </w:pPr>
            <w:proofErr w:type="spellStart"/>
            <w:r w:rsidRPr="00AE3D78">
              <w:rPr>
                <w:lang w:eastAsia="zh-CN"/>
              </w:rPr>
              <w:t>Tokio</w:t>
            </w:r>
            <w:proofErr w:type="spellEnd"/>
            <w:r w:rsidRPr="00AE3D78">
              <w:rPr>
                <w:lang w:eastAsia="zh-CN"/>
              </w:rPr>
              <w:t xml:space="preserve"> Marine Holdings</w:t>
            </w:r>
          </w:p>
        </w:tc>
      </w:tr>
      <w:tr w:rsidR="00DC45F9" w:rsidRPr="00AE3D78" w14:paraId="00648573" w14:textId="77777777" w:rsidTr="00EB2DF2">
        <w:trPr>
          <w:trHeight w:val="288"/>
        </w:trPr>
        <w:tc>
          <w:tcPr>
            <w:tcW w:w="0" w:type="auto"/>
            <w:shd w:val="clear" w:color="auto" w:fill="auto"/>
            <w:noWrap/>
            <w:vAlign w:val="bottom"/>
            <w:hideMark/>
          </w:tcPr>
          <w:p w14:paraId="73C7E424" w14:textId="77777777" w:rsidR="00DC45F9" w:rsidRPr="00AE3D78" w:rsidRDefault="00DC45F9" w:rsidP="007C4B17">
            <w:pPr>
              <w:pStyle w:val="Tabletext"/>
              <w:rPr>
                <w:lang w:eastAsia="zh-CN"/>
              </w:rPr>
            </w:pPr>
            <w:r w:rsidRPr="00AE3D78">
              <w:rPr>
                <w:lang w:eastAsia="zh-CN"/>
              </w:rPr>
              <w:t>China National Petroleum</w:t>
            </w:r>
          </w:p>
        </w:tc>
        <w:tc>
          <w:tcPr>
            <w:tcW w:w="0" w:type="auto"/>
            <w:shd w:val="clear" w:color="auto" w:fill="auto"/>
            <w:noWrap/>
            <w:vAlign w:val="bottom"/>
            <w:hideMark/>
          </w:tcPr>
          <w:p w14:paraId="56882234" w14:textId="77777777" w:rsidR="00DC45F9" w:rsidRPr="00AE3D78" w:rsidRDefault="00DC45F9" w:rsidP="007C4B17">
            <w:pPr>
              <w:pStyle w:val="Tabletext"/>
              <w:rPr>
                <w:lang w:eastAsia="zh-CN"/>
              </w:rPr>
            </w:pPr>
            <w:proofErr w:type="spellStart"/>
            <w:r w:rsidRPr="00AE3D78">
              <w:rPr>
                <w:lang w:eastAsia="zh-CN"/>
              </w:rPr>
              <w:t>Hengli</w:t>
            </w:r>
            <w:proofErr w:type="spellEnd"/>
            <w:r w:rsidRPr="00AE3D78">
              <w:rPr>
                <w:lang w:eastAsia="zh-CN"/>
              </w:rPr>
              <w:t xml:space="preserve"> Group</w:t>
            </w:r>
          </w:p>
        </w:tc>
        <w:tc>
          <w:tcPr>
            <w:tcW w:w="0" w:type="auto"/>
            <w:shd w:val="clear" w:color="auto" w:fill="auto"/>
            <w:noWrap/>
            <w:vAlign w:val="bottom"/>
            <w:hideMark/>
          </w:tcPr>
          <w:p w14:paraId="3F94F8BC" w14:textId="77777777" w:rsidR="00DC45F9" w:rsidRPr="00AE3D78" w:rsidRDefault="00DC45F9" w:rsidP="007C4B17">
            <w:pPr>
              <w:pStyle w:val="Tabletext"/>
              <w:rPr>
                <w:lang w:eastAsia="zh-CN"/>
              </w:rPr>
            </w:pPr>
            <w:r w:rsidRPr="00AE3D78">
              <w:rPr>
                <w:lang w:eastAsia="zh-CN"/>
              </w:rPr>
              <w:t>Bank of Communications</w:t>
            </w:r>
          </w:p>
        </w:tc>
        <w:tc>
          <w:tcPr>
            <w:tcW w:w="0" w:type="auto"/>
            <w:shd w:val="clear" w:color="auto" w:fill="auto"/>
            <w:noWrap/>
            <w:vAlign w:val="bottom"/>
            <w:hideMark/>
          </w:tcPr>
          <w:p w14:paraId="511727F3" w14:textId="77777777" w:rsidR="00DC45F9" w:rsidRPr="00AE3D78" w:rsidRDefault="00DC45F9" w:rsidP="007C4B17">
            <w:pPr>
              <w:pStyle w:val="Tabletext"/>
              <w:rPr>
                <w:lang w:eastAsia="zh-CN"/>
              </w:rPr>
            </w:pPr>
            <w:r w:rsidRPr="00AE3D78">
              <w:rPr>
                <w:lang w:eastAsia="zh-CN"/>
              </w:rPr>
              <w:t>Vodafone Group</w:t>
            </w:r>
          </w:p>
        </w:tc>
      </w:tr>
      <w:tr w:rsidR="00DC45F9" w:rsidRPr="00AE3D78" w14:paraId="1C2E28E8" w14:textId="77777777" w:rsidTr="00EB2DF2">
        <w:trPr>
          <w:trHeight w:val="288"/>
        </w:trPr>
        <w:tc>
          <w:tcPr>
            <w:tcW w:w="0" w:type="auto"/>
            <w:shd w:val="clear" w:color="auto" w:fill="auto"/>
            <w:noWrap/>
            <w:vAlign w:val="bottom"/>
            <w:hideMark/>
          </w:tcPr>
          <w:p w14:paraId="2B603D08" w14:textId="77777777" w:rsidR="00DC45F9" w:rsidRPr="00AE3D78" w:rsidRDefault="00DC45F9" w:rsidP="007C4B17">
            <w:pPr>
              <w:pStyle w:val="Tabletext"/>
              <w:rPr>
                <w:lang w:eastAsia="zh-CN"/>
              </w:rPr>
            </w:pPr>
            <w:r w:rsidRPr="00AE3D78">
              <w:rPr>
                <w:lang w:eastAsia="zh-CN"/>
              </w:rPr>
              <w:t>Sinopec Group</w:t>
            </w:r>
          </w:p>
        </w:tc>
        <w:tc>
          <w:tcPr>
            <w:tcW w:w="0" w:type="auto"/>
            <w:shd w:val="clear" w:color="auto" w:fill="auto"/>
            <w:noWrap/>
            <w:vAlign w:val="bottom"/>
            <w:hideMark/>
          </w:tcPr>
          <w:p w14:paraId="261234D9" w14:textId="77777777" w:rsidR="00DC45F9" w:rsidRPr="00AE3D78" w:rsidRDefault="00DC45F9" w:rsidP="007C4B17">
            <w:pPr>
              <w:pStyle w:val="Tabletext"/>
              <w:rPr>
                <w:lang w:eastAsia="zh-CN"/>
              </w:rPr>
            </w:pPr>
            <w:r w:rsidRPr="00AE3D78">
              <w:rPr>
                <w:lang w:eastAsia="zh-CN"/>
              </w:rPr>
              <w:t>Itochu</w:t>
            </w:r>
          </w:p>
        </w:tc>
        <w:tc>
          <w:tcPr>
            <w:tcW w:w="0" w:type="auto"/>
            <w:shd w:val="clear" w:color="auto" w:fill="auto"/>
            <w:noWrap/>
            <w:vAlign w:val="bottom"/>
            <w:hideMark/>
          </w:tcPr>
          <w:p w14:paraId="23824200" w14:textId="77777777" w:rsidR="00DC45F9" w:rsidRPr="00AE3D78" w:rsidRDefault="00DC45F9" w:rsidP="007C4B17">
            <w:pPr>
              <w:pStyle w:val="Tabletext"/>
              <w:rPr>
                <w:lang w:eastAsia="zh-CN"/>
              </w:rPr>
            </w:pPr>
            <w:r w:rsidRPr="00AE3D78">
              <w:rPr>
                <w:lang w:eastAsia="zh-CN"/>
              </w:rPr>
              <w:t>Country Garden Holdings</w:t>
            </w:r>
          </w:p>
        </w:tc>
        <w:tc>
          <w:tcPr>
            <w:tcW w:w="0" w:type="auto"/>
            <w:shd w:val="clear" w:color="auto" w:fill="auto"/>
            <w:noWrap/>
            <w:vAlign w:val="bottom"/>
            <w:hideMark/>
          </w:tcPr>
          <w:p w14:paraId="572AB352" w14:textId="77777777" w:rsidR="00DC45F9" w:rsidRPr="00AE3D78" w:rsidRDefault="00DC45F9" w:rsidP="007C4B17">
            <w:pPr>
              <w:pStyle w:val="Tabletext"/>
              <w:rPr>
                <w:lang w:eastAsia="zh-CN"/>
              </w:rPr>
            </w:pPr>
            <w:r w:rsidRPr="00AE3D78">
              <w:rPr>
                <w:lang w:eastAsia="zh-CN"/>
              </w:rPr>
              <w:t>Christian Dior</w:t>
            </w:r>
          </w:p>
        </w:tc>
      </w:tr>
      <w:tr w:rsidR="00DC45F9" w:rsidRPr="00AE3D78" w14:paraId="34A5A535" w14:textId="77777777" w:rsidTr="00EB2DF2">
        <w:trPr>
          <w:trHeight w:val="288"/>
        </w:trPr>
        <w:tc>
          <w:tcPr>
            <w:tcW w:w="0" w:type="auto"/>
            <w:shd w:val="clear" w:color="auto" w:fill="auto"/>
            <w:noWrap/>
            <w:vAlign w:val="bottom"/>
            <w:hideMark/>
          </w:tcPr>
          <w:p w14:paraId="31E41723" w14:textId="77777777" w:rsidR="00DC45F9" w:rsidRPr="00AE3D78" w:rsidRDefault="00DC45F9" w:rsidP="007C4B17">
            <w:pPr>
              <w:pStyle w:val="Tabletext"/>
              <w:rPr>
                <w:lang w:eastAsia="zh-CN"/>
              </w:rPr>
            </w:pPr>
            <w:r w:rsidRPr="00AE3D78">
              <w:rPr>
                <w:lang w:eastAsia="zh-CN"/>
              </w:rPr>
              <w:t>Toyota Motor</w:t>
            </w:r>
          </w:p>
        </w:tc>
        <w:tc>
          <w:tcPr>
            <w:tcW w:w="0" w:type="auto"/>
            <w:shd w:val="clear" w:color="auto" w:fill="auto"/>
            <w:noWrap/>
            <w:vAlign w:val="bottom"/>
            <w:hideMark/>
          </w:tcPr>
          <w:p w14:paraId="16585ECD" w14:textId="77777777" w:rsidR="00DC45F9" w:rsidRPr="00AE3D78" w:rsidRDefault="00DC45F9" w:rsidP="007C4B17">
            <w:pPr>
              <w:pStyle w:val="Tabletext"/>
              <w:rPr>
                <w:lang w:eastAsia="zh-CN"/>
              </w:rPr>
            </w:pPr>
            <w:r w:rsidRPr="00AE3D78">
              <w:rPr>
                <w:lang w:eastAsia="zh-CN"/>
              </w:rPr>
              <w:t xml:space="preserve">China </w:t>
            </w:r>
            <w:proofErr w:type="spellStart"/>
            <w:r w:rsidRPr="00AE3D78">
              <w:rPr>
                <w:lang w:eastAsia="zh-CN"/>
              </w:rPr>
              <w:t>Baowu</w:t>
            </w:r>
            <w:proofErr w:type="spellEnd"/>
            <w:r w:rsidRPr="00AE3D78">
              <w:rPr>
                <w:lang w:eastAsia="zh-CN"/>
              </w:rPr>
              <w:t xml:space="preserve"> Steel Group</w:t>
            </w:r>
          </w:p>
        </w:tc>
        <w:tc>
          <w:tcPr>
            <w:tcW w:w="0" w:type="auto"/>
            <w:shd w:val="clear" w:color="auto" w:fill="auto"/>
            <w:noWrap/>
            <w:vAlign w:val="bottom"/>
            <w:hideMark/>
          </w:tcPr>
          <w:p w14:paraId="5739A414" w14:textId="77777777" w:rsidR="00DC45F9" w:rsidRPr="00AE3D78" w:rsidRDefault="00DC45F9" w:rsidP="007C4B17">
            <w:pPr>
              <w:pStyle w:val="Tabletext"/>
              <w:rPr>
                <w:lang w:eastAsia="zh-CN"/>
              </w:rPr>
            </w:pPr>
            <w:r w:rsidRPr="00AE3D78">
              <w:rPr>
                <w:lang w:eastAsia="zh-CN"/>
              </w:rPr>
              <w:t>Roche Group</w:t>
            </w:r>
          </w:p>
        </w:tc>
        <w:tc>
          <w:tcPr>
            <w:tcW w:w="0" w:type="auto"/>
            <w:shd w:val="clear" w:color="auto" w:fill="auto"/>
            <w:noWrap/>
            <w:vAlign w:val="bottom"/>
            <w:hideMark/>
          </w:tcPr>
          <w:p w14:paraId="595889A7" w14:textId="77777777" w:rsidR="00DC45F9" w:rsidRPr="00AE3D78" w:rsidRDefault="00DC45F9" w:rsidP="007C4B17">
            <w:pPr>
              <w:pStyle w:val="Tabletext"/>
              <w:rPr>
                <w:lang w:eastAsia="zh-CN"/>
              </w:rPr>
            </w:pPr>
            <w:r w:rsidRPr="00AE3D78">
              <w:rPr>
                <w:lang w:eastAsia="zh-CN"/>
              </w:rPr>
              <w:t>Wilmar International</w:t>
            </w:r>
          </w:p>
        </w:tc>
      </w:tr>
      <w:tr w:rsidR="00DC45F9" w:rsidRPr="00AE3D78" w14:paraId="1F049ABC" w14:textId="77777777" w:rsidTr="00EB2DF2">
        <w:trPr>
          <w:trHeight w:val="288"/>
        </w:trPr>
        <w:tc>
          <w:tcPr>
            <w:tcW w:w="0" w:type="auto"/>
            <w:shd w:val="clear" w:color="auto" w:fill="auto"/>
            <w:noWrap/>
            <w:vAlign w:val="bottom"/>
            <w:hideMark/>
          </w:tcPr>
          <w:p w14:paraId="51BFBE6A" w14:textId="77777777" w:rsidR="00DC45F9" w:rsidRPr="00AE3D78" w:rsidRDefault="00DC45F9" w:rsidP="007C4B17">
            <w:pPr>
              <w:pStyle w:val="Tabletext"/>
              <w:rPr>
                <w:lang w:eastAsia="zh-CN"/>
              </w:rPr>
            </w:pPr>
            <w:r w:rsidRPr="00AE3D78">
              <w:rPr>
                <w:lang w:eastAsia="zh-CN"/>
              </w:rPr>
              <w:t>Volkswagen</w:t>
            </w:r>
          </w:p>
        </w:tc>
        <w:tc>
          <w:tcPr>
            <w:tcW w:w="0" w:type="auto"/>
            <w:shd w:val="clear" w:color="auto" w:fill="auto"/>
            <w:noWrap/>
            <w:vAlign w:val="bottom"/>
            <w:hideMark/>
          </w:tcPr>
          <w:p w14:paraId="43F8D262" w14:textId="77777777" w:rsidR="00DC45F9" w:rsidRPr="00AE3D78" w:rsidRDefault="00DC45F9" w:rsidP="007C4B17">
            <w:pPr>
              <w:pStyle w:val="Tabletext"/>
              <w:rPr>
                <w:lang w:eastAsia="zh-CN"/>
              </w:rPr>
            </w:pPr>
            <w:proofErr w:type="spellStart"/>
            <w:r w:rsidRPr="00AE3D78">
              <w:rPr>
                <w:lang w:eastAsia="zh-CN"/>
              </w:rPr>
              <w:t>Assicurazioni</w:t>
            </w:r>
            <w:proofErr w:type="spellEnd"/>
            <w:r w:rsidRPr="00AE3D78">
              <w:rPr>
                <w:lang w:eastAsia="zh-CN"/>
              </w:rPr>
              <w:t xml:space="preserve"> </w:t>
            </w:r>
            <w:proofErr w:type="spellStart"/>
            <w:r w:rsidRPr="00AE3D78">
              <w:rPr>
                <w:lang w:eastAsia="zh-CN"/>
              </w:rPr>
              <w:t>Generali</w:t>
            </w:r>
            <w:proofErr w:type="spellEnd"/>
          </w:p>
        </w:tc>
        <w:tc>
          <w:tcPr>
            <w:tcW w:w="0" w:type="auto"/>
            <w:shd w:val="clear" w:color="auto" w:fill="auto"/>
            <w:noWrap/>
            <w:vAlign w:val="bottom"/>
            <w:hideMark/>
          </w:tcPr>
          <w:p w14:paraId="3BABC654" w14:textId="77777777" w:rsidR="00DC45F9" w:rsidRPr="00AE3D78" w:rsidRDefault="00DC45F9" w:rsidP="007C4B17">
            <w:pPr>
              <w:pStyle w:val="Tabletext"/>
              <w:rPr>
                <w:lang w:eastAsia="zh-CN"/>
              </w:rPr>
            </w:pPr>
            <w:r w:rsidRPr="00AE3D78">
              <w:rPr>
                <w:lang w:eastAsia="zh-CN"/>
              </w:rPr>
              <w:t>Xiamen C&amp;D</w:t>
            </w:r>
          </w:p>
        </w:tc>
        <w:tc>
          <w:tcPr>
            <w:tcW w:w="0" w:type="auto"/>
            <w:shd w:val="clear" w:color="auto" w:fill="auto"/>
            <w:noWrap/>
            <w:vAlign w:val="bottom"/>
            <w:hideMark/>
          </w:tcPr>
          <w:p w14:paraId="47E45E5B" w14:textId="77777777" w:rsidR="00DC45F9" w:rsidRPr="00AE3D78" w:rsidRDefault="00DC45F9" w:rsidP="007C4B17">
            <w:pPr>
              <w:pStyle w:val="Tabletext"/>
              <w:rPr>
                <w:lang w:eastAsia="zh-CN"/>
              </w:rPr>
            </w:pPr>
            <w:r w:rsidRPr="00AE3D78">
              <w:rPr>
                <w:lang w:eastAsia="zh-CN"/>
              </w:rPr>
              <w:t>Indian Oil</w:t>
            </w:r>
          </w:p>
        </w:tc>
      </w:tr>
      <w:tr w:rsidR="00DC45F9" w:rsidRPr="00AE3D78" w14:paraId="47112F22" w14:textId="77777777" w:rsidTr="00EB2DF2">
        <w:trPr>
          <w:trHeight w:val="288"/>
        </w:trPr>
        <w:tc>
          <w:tcPr>
            <w:tcW w:w="0" w:type="auto"/>
            <w:shd w:val="clear" w:color="auto" w:fill="auto"/>
            <w:noWrap/>
            <w:vAlign w:val="bottom"/>
            <w:hideMark/>
          </w:tcPr>
          <w:p w14:paraId="0EB0D154" w14:textId="77777777" w:rsidR="00DC45F9" w:rsidRPr="00AE3D78" w:rsidRDefault="00DC45F9" w:rsidP="007C4B17">
            <w:pPr>
              <w:pStyle w:val="Tabletext"/>
              <w:rPr>
                <w:lang w:eastAsia="zh-CN"/>
              </w:rPr>
            </w:pPr>
            <w:r w:rsidRPr="00AE3D78">
              <w:rPr>
                <w:lang w:eastAsia="zh-CN"/>
              </w:rPr>
              <w:t>China State Construction Engineering</w:t>
            </w:r>
          </w:p>
        </w:tc>
        <w:tc>
          <w:tcPr>
            <w:tcW w:w="0" w:type="auto"/>
            <w:shd w:val="clear" w:color="auto" w:fill="auto"/>
            <w:noWrap/>
            <w:vAlign w:val="bottom"/>
            <w:hideMark/>
          </w:tcPr>
          <w:p w14:paraId="305B2B61" w14:textId="77777777" w:rsidR="00DC45F9" w:rsidRPr="00AE3D78" w:rsidRDefault="00DC45F9" w:rsidP="007C4B17">
            <w:pPr>
              <w:pStyle w:val="Tabletext"/>
              <w:rPr>
                <w:lang w:eastAsia="zh-CN"/>
              </w:rPr>
            </w:pPr>
            <w:r w:rsidRPr="00AE3D78">
              <w:rPr>
                <w:lang w:eastAsia="zh-CN"/>
              </w:rPr>
              <w:t>China Post Group</w:t>
            </w:r>
          </w:p>
        </w:tc>
        <w:tc>
          <w:tcPr>
            <w:tcW w:w="0" w:type="auto"/>
            <w:shd w:val="clear" w:color="auto" w:fill="auto"/>
            <w:noWrap/>
            <w:vAlign w:val="bottom"/>
            <w:hideMark/>
          </w:tcPr>
          <w:p w14:paraId="349BF3FE" w14:textId="77777777" w:rsidR="00DC45F9" w:rsidRPr="00AE3D78" w:rsidRDefault="00DC45F9" w:rsidP="007C4B17">
            <w:pPr>
              <w:pStyle w:val="Tabletext"/>
              <w:rPr>
                <w:lang w:eastAsia="zh-CN"/>
              </w:rPr>
            </w:pPr>
            <w:r w:rsidRPr="00AE3D78">
              <w:rPr>
                <w:lang w:eastAsia="zh-CN"/>
              </w:rPr>
              <w:t>Siemens</w:t>
            </w:r>
          </w:p>
        </w:tc>
        <w:tc>
          <w:tcPr>
            <w:tcW w:w="0" w:type="auto"/>
            <w:shd w:val="clear" w:color="auto" w:fill="auto"/>
            <w:noWrap/>
            <w:vAlign w:val="bottom"/>
            <w:hideMark/>
          </w:tcPr>
          <w:p w14:paraId="5DEC2340" w14:textId="77777777" w:rsidR="00DC45F9" w:rsidRPr="00AE3D78" w:rsidRDefault="00DC45F9" w:rsidP="007C4B17">
            <w:pPr>
              <w:pStyle w:val="Tabletext"/>
              <w:rPr>
                <w:lang w:eastAsia="zh-CN"/>
              </w:rPr>
            </w:pPr>
            <w:r w:rsidRPr="00AE3D78">
              <w:rPr>
                <w:lang w:eastAsia="zh-CN"/>
              </w:rPr>
              <w:t>AIA Group</w:t>
            </w:r>
          </w:p>
        </w:tc>
      </w:tr>
      <w:tr w:rsidR="00DC45F9" w:rsidRPr="00AE3D78" w14:paraId="5C23F18B" w14:textId="77777777" w:rsidTr="00EB2DF2">
        <w:trPr>
          <w:trHeight w:val="288"/>
        </w:trPr>
        <w:tc>
          <w:tcPr>
            <w:tcW w:w="0" w:type="auto"/>
            <w:shd w:val="clear" w:color="auto" w:fill="auto"/>
            <w:noWrap/>
            <w:vAlign w:val="bottom"/>
            <w:hideMark/>
          </w:tcPr>
          <w:p w14:paraId="7949FFDE" w14:textId="77777777" w:rsidR="00DC45F9" w:rsidRPr="00AE3D78" w:rsidRDefault="00DC45F9" w:rsidP="007C4B17">
            <w:pPr>
              <w:pStyle w:val="Tabletext"/>
              <w:rPr>
                <w:lang w:eastAsia="zh-CN"/>
              </w:rPr>
            </w:pPr>
            <w:r w:rsidRPr="00AE3D78">
              <w:rPr>
                <w:lang w:eastAsia="zh-CN"/>
              </w:rPr>
              <w:t>Saudi Aramco</w:t>
            </w:r>
          </w:p>
        </w:tc>
        <w:tc>
          <w:tcPr>
            <w:tcW w:w="0" w:type="auto"/>
            <w:shd w:val="clear" w:color="auto" w:fill="auto"/>
            <w:noWrap/>
            <w:vAlign w:val="bottom"/>
            <w:hideMark/>
          </w:tcPr>
          <w:p w14:paraId="26E9E3A8" w14:textId="77777777" w:rsidR="00DC45F9" w:rsidRPr="00AE3D78" w:rsidRDefault="00DC45F9" w:rsidP="007C4B17">
            <w:pPr>
              <w:pStyle w:val="Tabletext"/>
              <w:rPr>
                <w:lang w:eastAsia="zh-CN"/>
              </w:rPr>
            </w:pPr>
            <w:r w:rsidRPr="00AE3D78">
              <w:rPr>
                <w:lang w:eastAsia="zh-CN"/>
              </w:rPr>
              <w:t>Nestlé</w:t>
            </w:r>
          </w:p>
        </w:tc>
        <w:tc>
          <w:tcPr>
            <w:tcW w:w="0" w:type="auto"/>
            <w:shd w:val="clear" w:color="auto" w:fill="auto"/>
            <w:noWrap/>
            <w:vAlign w:val="bottom"/>
            <w:hideMark/>
          </w:tcPr>
          <w:p w14:paraId="75CF6F2E" w14:textId="77777777" w:rsidR="00DC45F9" w:rsidRPr="00AE3D78" w:rsidRDefault="00DC45F9" w:rsidP="007C4B17">
            <w:pPr>
              <w:pStyle w:val="Tabletext"/>
              <w:rPr>
                <w:lang w:eastAsia="zh-CN"/>
              </w:rPr>
            </w:pPr>
            <w:proofErr w:type="spellStart"/>
            <w:r w:rsidRPr="00AE3D78">
              <w:rPr>
                <w:lang w:eastAsia="zh-CN"/>
              </w:rPr>
              <w:t>Sinochem</w:t>
            </w:r>
            <w:proofErr w:type="spellEnd"/>
          </w:p>
        </w:tc>
        <w:tc>
          <w:tcPr>
            <w:tcW w:w="0" w:type="auto"/>
            <w:shd w:val="clear" w:color="auto" w:fill="auto"/>
            <w:noWrap/>
            <w:vAlign w:val="bottom"/>
            <w:hideMark/>
          </w:tcPr>
          <w:p w14:paraId="31E93F08" w14:textId="77777777" w:rsidR="00DC45F9" w:rsidRPr="00AE3D78" w:rsidRDefault="00DC45F9" w:rsidP="007C4B17">
            <w:pPr>
              <w:pStyle w:val="Tabletext"/>
              <w:rPr>
                <w:lang w:eastAsia="zh-CN"/>
              </w:rPr>
            </w:pPr>
            <w:r w:rsidRPr="00AE3D78">
              <w:rPr>
                <w:lang w:eastAsia="zh-CN"/>
              </w:rPr>
              <w:t>Vinci</w:t>
            </w:r>
          </w:p>
        </w:tc>
      </w:tr>
      <w:tr w:rsidR="00DC45F9" w:rsidRPr="00AE3D78" w14:paraId="4B197295" w14:textId="77777777" w:rsidTr="00EB2DF2">
        <w:trPr>
          <w:trHeight w:val="288"/>
        </w:trPr>
        <w:tc>
          <w:tcPr>
            <w:tcW w:w="0" w:type="auto"/>
            <w:shd w:val="clear" w:color="auto" w:fill="auto"/>
            <w:noWrap/>
            <w:vAlign w:val="bottom"/>
            <w:hideMark/>
          </w:tcPr>
          <w:p w14:paraId="69F640F4" w14:textId="77777777" w:rsidR="00DC45F9" w:rsidRPr="00AE3D78" w:rsidRDefault="00DC45F9" w:rsidP="007C4B17">
            <w:pPr>
              <w:pStyle w:val="Tabletext"/>
              <w:rPr>
                <w:lang w:eastAsia="zh-CN"/>
              </w:rPr>
            </w:pPr>
            <w:r w:rsidRPr="00AE3D78">
              <w:rPr>
                <w:lang w:eastAsia="zh-CN"/>
              </w:rPr>
              <w:t>Samsung Electronics</w:t>
            </w:r>
          </w:p>
        </w:tc>
        <w:tc>
          <w:tcPr>
            <w:tcW w:w="0" w:type="auto"/>
            <w:shd w:val="clear" w:color="auto" w:fill="auto"/>
            <w:noWrap/>
            <w:vAlign w:val="bottom"/>
            <w:hideMark/>
          </w:tcPr>
          <w:p w14:paraId="2726BA37" w14:textId="77777777" w:rsidR="00DC45F9" w:rsidRPr="00AE3D78" w:rsidRDefault="00DC45F9" w:rsidP="007C4B17">
            <w:pPr>
              <w:pStyle w:val="Tabletext"/>
              <w:rPr>
                <w:lang w:eastAsia="zh-CN"/>
              </w:rPr>
            </w:pPr>
            <w:r w:rsidRPr="00AE3D78">
              <w:rPr>
                <w:lang w:eastAsia="zh-CN"/>
              </w:rPr>
              <w:t>Hyundai Motor</w:t>
            </w:r>
          </w:p>
        </w:tc>
        <w:tc>
          <w:tcPr>
            <w:tcW w:w="0" w:type="auto"/>
            <w:shd w:val="clear" w:color="auto" w:fill="auto"/>
            <w:noWrap/>
            <w:vAlign w:val="bottom"/>
            <w:hideMark/>
          </w:tcPr>
          <w:p w14:paraId="13C2A733" w14:textId="77777777" w:rsidR="00DC45F9" w:rsidRPr="00AE3D78" w:rsidRDefault="00DC45F9" w:rsidP="007C4B17">
            <w:pPr>
              <w:pStyle w:val="Tabletext"/>
              <w:rPr>
                <w:lang w:eastAsia="zh-CN"/>
              </w:rPr>
            </w:pPr>
            <w:proofErr w:type="spellStart"/>
            <w:r w:rsidRPr="00AE3D78">
              <w:rPr>
                <w:lang w:eastAsia="zh-CN"/>
              </w:rPr>
              <w:t>Engie</w:t>
            </w:r>
            <w:proofErr w:type="spellEnd"/>
          </w:p>
        </w:tc>
        <w:tc>
          <w:tcPr>
            <w:tcW w:w="0" w:type="auto"/>
            <w:shd w:val="clear" w:color="auto" w:fill="auto"/>
            <w:noWrap/>
            <w:vAlign w:val="bottom"/>
            <w:hideMark/>
          </w:tcPr>
          <w:p w14:paraId="2D95137D" w14:textId="77777777" w:rsidR="00DC45F9" w:rsidRPr="00AE3D78" w:rsidRDefault="00DC45F9" w:rsidP="007C4B17">
            <w:pPr>
              <w:pStyle w:val="Tabletext"/>
              <w:rPr>
                <w:lang w:eastAsia="zh-CN"/>
              </w:rPr>
            </w:pPr>
            <w:r w:rsidRPr="00AE3D78">
              <w:rPr>
                <w:lang w:eastAsia="zh-CN"/>
              </w:rPr>
              <w:t>Kia</w:t>
            </w:r>
          </w:p>
        </w:tc>
      </w:tr>
      <w:tr w:rsidR="00DC45F9" w:rsidRPr="00AE3D78" w14:paraId="532E2545" w14:textId="77777777" w:rsidTr="00EB2DF2">
        <w:trPr>
          <w:trHeight w:val="288"/>
        </w:trPr>
        <w:tc>
          <w:tcPr>
            <w:tcW w:w="0" w:type="auto"/>
            <w:shd w:val="clear" w:color="auto" w:fill="auto"/>
            <w:noWrap/>
            <w:vAlign w:val="bottom"/>
            <w:hideMark/>
          </w:tcPr>
          <w:p w14:paraId="2A4DA59B" w14:textId="77777777" w:rsidR="00DC45F9" w:rsidRPr="00AE3D78" w:rsidRDefault="00DC45F9" w:rsidP="007C4B17">
            <w:pPr>
              <w:pStyle w:val="Tabletext"/>
              <w:rPr>
                <w:lang w:eastAsia="zh-CN"/>
              </w:rPr>
            </w:pPr>
            <w:r w:rsidRPr="00AE3D78">
              <w:rPr>
                <w:lang w:eastAsia="zh-CN"/>
              </w:rPr>
              <w:t>Ping An Insurance</w:t>
            </w:r>
          </w:p>
        </w:tc>
        <w:tc>
          <w:tcPr>
            <w:tcW w:w="0" w:type="auto"/>
            <w:shd w:val="clear" w:color="auto" w:fill="auto"/>
            <w:noWrap/>
            <w:vAlign w:val="bottom"/>
            <w:hideMark/>
          </w:tcPr>
          <w:p w14:paraId="7FD6FF3A" w14:textId="77777777" w:rsidR="00DC45F9" w:rsidRPr="00AE3D78" w:rsidRDefault="00DC45F9" w:rsidP="007C4B17">
            <w:pPr>
              <w:pStyle w:val="Tabletext"/>
              <w:rPr>
                <w:lang w:eastAsia="zh-CN"/>
              </w:rPr>
            </w:pPr>
            <w:r w:rsidRPr="00AE3D78">
              <w:rPr>
                <w:lang w:eastAsia="zh-CN"/>
              </w:rPr>
              <w:t>Gazprom</w:t>
            </w:r>
          </w:p>
        </w:tc>
        <w:tc>
          <w:tcPr>
            <w:tcW w:w="0" w:type="auto"/>
            <w:shd w:val="clear" w:color="auto" w:fill="auto"/>
            <w:noWrap/>
            <w:vAlign w:val="bottom"/>
            <w:hideMark/>
          </w:tcPr>
          <w:p w14:paraId="760A3EB1" w14:textId="77777777" w:rsidR="00DC45F9" w:rsidRPr="00AE3D78" w:rsidRDefault="00DC45F9" w:rsidP="007C4B17">
            <w:pPr>
              <w:pStyle w:val="Tabletext"/>
              <w:rPr>
                <w:lang w:eastAsia="zh-CN"/>
              </w:rPr>
            </w:pPr>
            <w:r w:rsidRPr="00AE3D78">
              <w:rPr>
                <w:lang w:eastAsia="zh-CN"/>
              </w:rPr>
              <w:t>Legal &amp; General Group</w:t>
            </w:r>
          </w:p>
        </w:tc>
        <w:tc>
          <w:tcPr>
            <w:tcW w:w="0" w:type="auto"/>
            <w:shd w:val="clear" w:color="auto" w:fill="auto"/>
            <w:noWrap/>
            <w:vAlign w:val="bottom"/>
            <w:hideMark/>
          </w:tcPr>
          <w:p w14:paraId="0213F86D" w14:textId="77777777" w:rsidR="00DC45F9" w:rsidRPr="00AE3D78" w:rsidRDefault="00DC45F9" w:rsidP="007C4B17">
            <w:pPr>
              <w:pStyle w:val="Tabletext"/>
              <w:rPr>
                <w:lang w:eastAsia="zh-CN"/>
              </w:rPr>
            </w:pPr>
            <w:r w:rsidRPr="00AE3D78">
              <w:rPr>
                <w:lang w:eastAsia="zh-CN"/>
              </w:rPr>
              <w:t>ENI</w:t>
            </w:r>
          </w:p>
        </w:tc>
      </w:tr>
      <w:tr w:rsidR="00DC45F9" w:rsidRPr="00AE3D78" w14:paraId="5827589A" w14:textId="77777777" w:rsidTr="00EB2DF2">
        <w:trPr>
          <w:trHeight w:val="288"/>
        </w:trPr>
        <w:tc>
          <w:tcPr>
            <w:tcW w:w="0" w:type="auto"/>
            <w:shd w:val="clear" w:color="auto" w:fill="auto"/>
            <w:noWrap/>
            <w:vAlign w:val="bottom"/>
            <w:hideMark/>
          </w:tcPr>
          <w:p w14:paraId="2C58A056" w14:textId="77777777" w:rsidR="00DC45F9" w:rsidRPr="00AE3D78" w:rsidRDefault="00DC45F9" w:rsidP="007C4B17">
            <w:pPr>
              <w:pStyle w:val="Tabletext"/>
              <w:rPr>
                <w:lang w:eastAsia="zh-CN"/>
              </w:rPr>
            </w:pPr>
            <w:r w:rsidRPr="00AE3D78">
              <w:rPr>
                <w:lang w:eastAsia="zh-CN"/>
              </w:rPr>
              <w:t>BP</w:t>
            </w:r>
          </w:p>
        </w:tc>
        <w:tc>
          <w:tcPr>
            <w:tcW w:w="0" w:type="auto"/>
            <w:shd w:val="clear" w:color="auto" w:fill="auto"/>
            <w:noWrap/>
            <w:vAlign w:val="bottom"/>
            <w:hideMark/>
          </w:tcPr>
          <w:p w14:paraId="5F0BCCAC" w14:textId="77777777" w:rsidR="00DC45F9" w:rsidRPr="00AE3D78" w:rsidRDefault="00DC45F9" w:rsidP="007C4B17">
            <w:pPr>
              <w:pStyle w:val="Tabletext"/>
              <w:rPr>
                <w:lang w:eastAsia="zh-CN"/>
              </w:rPr>
            </w:pPr>
            <w:proofErr w:type="spellStart"/>
            <w:r w:rsidRPr="00AE3D78">
              <w:rPr>
                <w:lang w:eastAsia="zh-CN"/>
              </w:rPr>
              <w:t>Dongfeng</w:t>
            </w:r>
            <w:proofErr w:type="spellEnd"/>
            <w:r w:rsidRPr="00AE3D78">
              <w:rPr>
                <w:lang w:eastAsia="zh-CN"/>
              </w:rPr>
              <w:t xml:space="preserve"> Motor</w:t>
            </w:r>
          </w:p>
        </w:tc>
        <w:tc>
          <w:tcPr>
            <w:tcW w:w="0" w:type="auto"/>
            <w:shd w:val="clear" w:color="auto" w:fill="auto"/>
            <w:noWrap/>
            <w:vAlign w:val="bottom"/>
            <w:hideMark/>
          </w:tcPr>
          <w:p w14:paraId="62B7BC9F" w14:textId="77777777" w:rsidR="00DC45F9" w:rsidRPr="00AE3D78" w:rsidRDefault="00DC45F9" w:rsidP="007C4B17">
            <w:pPr>
              <w:pStyle w:val="Tabletext"/>
              <w:rPr>
                <w:lang w:eastAsia="zh-CN"/>
              </w:rPr>
            </w:pPr>
            <w:r w:rsidRPr="00AE3D78">
              <w:rPr>
                <w:lang w:eastAsia="zh-CN"/>
              </w:rPr>
              <w:t>Panasonic</w:t>
            </w:r>
          </w:p>
        </w:tc>
        <w:tc>
          <w:tcPr>
            <w:tcW w:w="0" w:type="auto"/>
            <w:shd w:val="clear" w:color="auto" w:fill="auto"/>
            <w:noWrap/>
            <w:vAlign w:val="bottom"/>
            <w:hideMark/>
          </w:tcPr>
          <w:p w14:paraId="3DCC0D4F" w14:textId="77777777" w:rsidR="00DC45F9" w:rsidRPr="00AE3D78" w:rsidRDefault="00DC45F9" w:rsidP="007C4B17">
            <w:pPr>
              <w:pStyle w:val="Tabletext"/>
              <w:rPr>
                <w:lang w:eastAsia="zh-CN"/>
              </w:rPr>
            </w:pPr>
            <w:r w:rsidRPr="00AE3D78">
              <w:rPr>
                <w:lang w:eastAsia="zh-CN"/>
              </w:rPr>
              <w:t>KDDI</w:t>
            </w:r>
          </w:p>
        </w:tc>
      </w:tr>
      <w:tr w:rsidR="00DC45F9" w:rsidRPr="00AE3D78" w14:paraId="35255ACC" w14:textId="77777777" w:rsidTr="00EB2DF2">
        <w:trPr>
          <w:trHeight w:val="288"/>
        </w:trPr>
        <w:tc>
          <w:tcPr>
            <w:tcW w:w="0" w:type="auto"/>
            <w:shd w:val="clear" w:color="auto" w:fill="auto"/>
            <w:noWrap/>
            <w:vAlign w:val="bottom"/>
            <w:hideMark/>
          </w:tcPr>
          <w:p w14:paraId="787F0207" w14:textId="77777777" w:rsidR="00DC45F9" w:rsidRPr="00AE3D78" w:rsidRDefault="00DC45F9" w:rsidP="007C4B17">
            <w:pPr>
              <w:pStyle w:val="Tabletext"/>
              <w:rPr>
                <w:lang w:eastAsia="zh-CN"/>
              </w:rPr>
            </w:pPr>
            <w:r w:rsidRPr="00AE3D78">
              <w:rPr>
                <w:lang w:eastAsia="zh-CN"/>
              </w:rPr>
              <w:t>Royal Dutch Shell</w:t>
            </w:r>
          </w:p>
        </w:tc>
        <w:tc>
          <w:tcPr>
            <w:tcW w:w="0" w:type="auto"/>
            <w:shd w:val="clear" w:color="auto" w:fill="auto"/>
            <w:noWrap/>
            <w:vAlign w:val="bottom"/>
            <w:hideMark/>
          </w:tcPr>
          <w:p w14:paraId="3B7DD0F0" w14:textId="77777777" w:rsidR="00DC45F9" w:rsidRPr="00AE3D78" w:rsidRDefault="00DC45F9" w:rsidP="007C4B17">
            <w:pPr>
              <w:pStyle w:val="Tabletext"/>
              <w:rPr>
                <w:lang w:eastAsia="zh-CN"/>
              </w:rPr>
            </w:pPr>
            <w:r w:rsidRPr="00AE3D78">
              <w:rPr>
                <w:lang w:eastAsia="zh-CN"/>
              </w:rPr>
              <w:t xml:space="preserve">Royal </w:t>
            </w:r>
            <w:proofErr w:type="spellStart"/>
            <w:r w:rsidRPr="00AE3D78">
              <w:rPr>
                <w:lang w:eastAsia="zh-CN"/>
              </w:rPr>
              <w:t>Ahold</w:t>
            </w:r>
            <w:proofErr w:type="spellEnd"/>
            <w:r w:rsidRPr="00AE3D78">
              <w:rPr>
                <w:lang w:eastAsia="zh-CN"/>
              </w:rPr>
              <w:t xml:space="preserve"> Delhaize</w:t>
            </w:r>
          </w:p>
        </w:tc>
        <w:tc>
          <w:tcPr>
            <w:tcW w:w="0" w:type="auto"/>
            <w:shd w:val="clear" w:color="auto" w:fill="auto"/>
            <w:noWrap/>
            <w:vAlign w:val="bottom"/>
            <w:hideMark/>
          </w:tcPr>
          <w:p w14:paraId="64C54D8B" w14:textId="77777777" w:rsidR="00DC45F9" w:rsidRPr="00AE3D78" w:rsidRDefault="00DC45F9" w:rsidP="007C4B17">
            <w:pPr>
              <w:pStyle w:val="Tabletext"/>
              <w:rPr>
                <w:lang w:eastAsia="zh-CN"/>
              </w:rPr>
            </w:pPr>
            <w:r w:rsidRPr="00AE3D78">
              <w:rPr>
                <w:lang w:eastAsia="zh-CN"/>
              </w:rPr>
              <w:t>Aviva</w:t>
            </w:r>
          </w:p>
        </w:tc>
        <w:tc>
          <w:tcPr>
            <w:tcW w:w="0" w:type="auto"/>
            <w:shd w:val="clear" w:color="auto" w:fill="auto"/>
            <w:noWrap/>
            <w:vAlign w:val="bottom"/>
            <w:hideMark/>
          </w:tcPr>
          <w:p w14:paraId="003CBCD8" w14:textId="77777777" w:rsidR="00DC45F9" w:rsidRPr="00AE3D78" w:rsidRDefault="00DC45F9" w:rsidP="007C4B17">
            <w:pPr>
              <w:pStyle w:val="Tabletext"/>
              <w:rPr>
                <w:lang w:eastAsia="zh-CN"/>
              </w:rPr>
            </w:pPr>
            <w:r w:rsidRPr="00AE3D78">
              <w:rPr>
                <w:lang w:eastAsia="zh-CN"/>
              </w:rPr>
              <w:t>Novartis</w:t>
            </w:r>
          </w:p>
        </w:tc>
      </w:tr>
      <w:tr w:rsidR="00DC45F9" w:rsidRPr="00AE3D78" w14:paraId="55293CCB" w14:textId="77777777" w:rsidTr="00EB2DF2">
        <w:trPr>
          <w:trHeight w:val="288"/>
        </w:trPr>
        <w:tc>
          <w:tcPr>
            <w:tcW w:w="0" w:type="auto"/>
            <w:shd w:val="clear" w:color="auto" w:fill="auto"/>
            <w:noWrap/>
            <w:vAlign w:val="bottom"/>
            <w:hideMark/>
          </w:tcPr>
          <w:p w14:paraId="75192404" w14:textId="77777777" w:rsidR="00DC45F9" w:rsidRPr="00AE3D78" w:rsidRDefault="00DC45F9" w:rsidP="007C4B17">
            <w:pPr>
              <w:pStyle w:val="Tabletext"/>
              <w:rPr>
                <w:lang w:eastAsia="zh-CN"/>
              </w:rPr>
            </w:pPr>
            <w:r w:rsidRPr="00AE3D78">
              <w:rPr>
                <w:lang w:eastAsia="zh-CN"/>
              </w:rPr>
              <w:t>Industrial &amp; Commercial Bank of China</w:t>
            </w:r>
          </w:p>
        </w:tc>
        <w:tc>
          <w:tcPr>
            <w:tcW w:w="0" w:type="auto"/>
            <w:shd w:val="clear" w:color="auto" w:fill="auto"/>
            <w:noWrap/>
            <w:vAlign w:val="bottom"/>
            <w:hideMark/>
          </w:tcPr>
          <w:p w14:paraId="6087A8DC" w14:textId="77777777" w:rsidR="00DC45F9" w:rsidRPr="00AE3D78" w:rsidRDefault="00DC45F9" w:rsidP="007C4B17">
            <w:pPr>
              <w:pStyle w:val="Tabletext"/>
              <w:rPr>
                <w:lang w:eastAsia="zh-CN"/>
              </w:rPr>
            </w:pPr>
            <w:r w:rsidRPr="00AE3D78">
              <w:rPr>
                <w:lang w:eastAsia="zh-CN"/>
              </w:rPr>
              <w:t>Sony</w:t>
            </w:r>
          </w:p>
        </w:tc>
        <w:tc>
          <w:tcPr>
            <w:tcW w:w="0" w:type="auto"/>
            <w:shd w:val="clear" w:color="auto" w:fill="auto"/>
            <w:noWrap/>
            <w:vAlign w:val="bottom"/>
            <w:hideMark/>
          </w:tcPr>
          <w:p w14:paraId="4F65E00E" w14:textId="77777777" w:rsidR="00DC45F9" w:rsidRPr="00AE3D78" w:rsidRDefault="00DC45F9" w:rsidP="007C4B17">
            <w:pPr>
              <w:pStyle w:val="Tabletext"/>
              <w:rPr>
                <w:lang w:eastAsia="zh-CN"/>
              </w:rPr>
            </w:pPr>
            <w:r w:rsidRPr="00AE3D78">
              <w:rPr>
                <w:lang w:eastAsia="zh-CN"/>
              </w:rPr>
              <w:t>China Pacific Insurance (Group)</w:t>
            </w:r>
          </w:p>
        </w:tc>
        <w:tc>
          <w:tcPr>
            <w:tcW w:w="0" w:type="auto"/>
            <w:shd w:val="clear" w:color="auto" w:fill="auto"/>
            <w:noWrap/>
            <w:vAlign w:val="bottom"/>
            <w:hideMark/>
          </w:tcPr>
          <w:p w14:paraId="125154A7" w14:textId="77777777" w:rsidR="00DC45F9" w:rsidRPr="00AE3D78" w:rsidRDefault="00DC45F9" w:rsidP="007C4B17">
            <w:pPr>
              <w:pStyle w:val="Tabletext"/>
              <w:rPr>
                <w:lang w:eastAsia="zh-CN"/>
              </w:rPr>
            </w:pPr>
            <w:r w:rsidRPr="00AE3D78">
              <w:rPr>
                <w:lang w:eastAsia="zh-CN"/>
              </w:rPr>
              <w:t>Korea Electric Power</w:t>
            </w:r>
          </w:p>
        </w:tc>
      </w:tr>
      <w:tr w:rsidR="00DC45F9" w:rsidRPr="00AE3D78" w14:paraId="0928B4C3" w14:textId="77777777" w:rsidTr="00EB2DF2">
        <w:trPr>
          <w:trHeight w:val="288"/>
        </w:trPr>
        <w:tc>
          <w:tcPr>
            <w:tcW w:w="0" w:type="auto"/>
            <w:shd w:val="clear" w:color="auto" w:fill="auto"/>
            <w:noWrap/>
            <w:vAlign w:val="bottom"/>
            <w:hideMark/>
          </w:tcPr>
          <w:p w14:paraId="2A0E2571" w14:textId="77777777" w:rsidR="00DC45F9" w:rsidRPr="00AE3D78" w:rsidRDefault="00DC45F9" w:rsidP="007C4B17">
            <w:pPr>
              <w:pStyle w:val="Tabletext"/>
              <w:rPr>
                <w:lang w:eastAsia="zh-CN"/>
              </w:rPr>
            </w:pPr>
            <w:r w:rsidRPr="00AE3D78">
              <w:rPr>
                <w:lang w:eastAsia="zh-CN"/>
              </w:rPr>
              <w:t>Hon Hai Precision Industry (Foxconn)</w:t>
            </w:r>
          </w:p>
        </w:tc>
        <w:tc>
          <w:tcPr>
            <w:tcW w:w="0" w:type="auto"/>
            <w:shd w:val="clear" w:color="auto" w:fill="auto"/>
            <w:noWrap/>
            <w:vAlign w:val="bottom"/>
            <w:hideMark/>
          </w:tcPr>
          <w:p w14:paraId="7BBF36E4" w14:textId="77777777" w:rsidR="00DC45F9" w:rsidRPr="00AE3D78" w:rsidRDefault="00DC45F9" w:rsidP="007C4B17">
            <w:pPr>
              <w:pStyle w:val="Tabletext"/>
              <w:rPr>
                <w:lang w:eastAsia="zh-CN"/>
              </w:rPr>
            </w:pPr>
            <w:r w:rsidRPr="00AE3D78">
              <w:rPr>
                <w:lang w:eastAsia="zh-CN"/>
              </w:rPr>
              <w:t>People's Insurance Co. of China</w:t>
            </w:r>
          </w:p>
        </w:tc>
        <w:tc>
          <w:tcPr>
            <w:tcW w:w="0" w:type="auto"/>
            <w:shd w:val="clear" w:color="auto" w:fill="auto"/>
            <w:noWrap/>
            <w:vAlign w:val="bottom"/>
            <w:hideMark/>
          </w:tcPr>
          <w:p w14:paraId="71A9B6AC" w14:textId="77777777" w:rsidR="00DC45F9" w:rsidRPr="00AE3D78" w:rsidRDefault="00DC45F9" w:rsidP="007C4B17">
            <w:pPr>
              <w:pStyle w:val="Tabletext"/>
              <w:rPr>
                <w:lang w:eastAsia="zh-CN"/>
              </w:rPr>
            </w:pPr>
            <w:r w:rsidRPr="00AE3D78">
              <w:rPr>
                <w:lang w:eastAsia="zh-CN"/>
              </w:rPr>
              <w:t>Lenovo Group</w:t>
            </w:r>
          </w:p>
        </w:tc>
        <w:tc>
          <w:tcPr>
            <w:tcW w:w="0" w:type="auto"/>
            <w:shd w:val="clear" w:color="auto" w:fill="auto"/>
            <w:noWrap/>
            <w:vAlign w:val="bottom"/>
            <w:hideMark/>
          </w:tcPr>
          <w:p w14:paraId="16D1C96A" w14:textId="77777777" w:rsidR="00DC45F9" w:rsidRPr="00AE3D78" w:rsidRDefault="00DC45F9" w:rsidP="007C4B17">
            <w:pPr>
              <w:pStyle w:val="Tabletext"/>
              <w:rPr>
                <w:lang w:eastAsia="zh-CN"/>
              </w:rPr>
            </w:pPr>
            <w:r w:rsidRPr="00AE3D78">
              <w:rPr>
                <w:lang w:eastAsia="zh-CN"/>
              </w:rPr>
              <w:t>Denso</w:t>
            </w:r>
          </w:p>
        </w:tc>
      </w:tr>
      <w:tr w:rsidR="00DC45F9" w:rsidRPr="00AE3D78" w14:paraId="34BCD202" w14:textId="77777777" w:rsidTr="00EB2DF2">
        <w:trPr>
          <w:trHeight w:val="288"/>
        </w:trPr>
        <w:tc>
          <w:tcPr>
            <w:tcW w:w="0" w:type="auto"/>
            <w:shd w:val="clear" w:color="auto" w:fill="auto"/>
            <w:noWrap/>
            <w:vAlign w:val="bottom"/>
            <w:hideMark/>
          </w:tcPr>
          <w:p w14:paraId="79AB5ABA" w14:textId="77777777" w:rsidR="00DC45F9" w:rsidRPr="00AE3D78" w:rsidRDefault="00DC45F9" w:rsidP="007C4B17">
            <w:pPr>
              <w:pStyle w:val="Tabletext"/>
              <w:rPr>
                <w:lang w:eastAsia="zh-CN"/>
              </w:rPr>
            </w:pPr>
            <w:r w:rsidRPr="00AE3D78">
              <w:rPr>
                <w:lang w:eastAsia="zh-CN"/>
              </w:rPr>
              <w:t>Daimler</w:t>
            </w:r>
          </w:p>
        </w:tc>
        <w:tc>
          <w:tcPr>
            <w:tcW w:w="0" w:type="auto"/>
            <w:shd w:val="clear" w:color="auto" w:fill="auto"/>
            <w:noWrap/>
            <w:vAlign w:val="bottom"/>
            <w:hideMark/>
          </w:tcPr>
          <w:p w14:paraId="3DC4931F" w14:textId="77777777" w:rsidR="00DC45F9" w:rsidRPr="00AE3D78" w:rsidRDefault="00DC45F9" w:rsidP="007C4B17">
            <w:pPr>
              <w:pStyle w:val="Tabletext"/>
              <w:rPr>
                <w:lang w:eastAsia="zh-CN"/>
              </w:rPr>
            </w:pPr>
            <w:r w:rsidRPr="00AE3D78">
              <w:rPr>
                <w:lang w:eastAsia="zh-CN"/>
              </w:rPr>
              <w:t>China National Offshore Oil</w:t>
            </w:r>
          </w:p>
        </w:tc>
        <w:tc>
          <w:tcPr>
            <w:tcW w:w="0" w:type="auto"/>
            <w:shd w:val="clear" w:color="auto" w:fill="auto"/>
            <w:noWrap/>
            <w:vAlign w:val="bottom"/>
            <w:hideMark/>
          </w:tcPr>
          <w:p w14:paraId="394CE859" w14:textId="77777777" w:rsidR="00DC45F9" w:rsidRPr="00AE3D78" w:rsidRDefault="00DC45F9" w:rsidP="007C4B17">
            <w:pPr>
              <w:pStyle w:val="Tabletext"/>
              <w:rPr>
                <w:lang w:eastAsia="zh-CN"/>
              </w:rPr>
            </w:pPr>
            <w:r w:rsidRPr="00AE3D78">
              <w:rPr>
                <w:lang w:eastAsia="zh-CN"/>
              </w:rPr>
              <w:t>China Vanke</w:t>
            </w:r>
          </w:p>
        </w:tc>
        <w:tc>
          <w:tcPr>
            <w:tcW w:w="0" w:type="auto"/>
            <w:shd w:val="clear" w:color="auto" w:fill="auto"/>
            <w:noWrap/>
            <w:vAlign w:val="bottom"/>
            <w:hideMark/>
          </w:tcPr>
          <w:p w14:paraId="567A813D" w14:textId="77777777" w:rsidR="00DC45F9" w:rsidRPr="00AE3D78" w:rsidRDefault="00DC45F9" w:rsidP="007C4B17">
            <w:pPr>
              <w:pStyle w:val="Tabletext"/>
              <w:rPr>
                <w:lang w:eastAsia="zh-CN"/>
              </w:rPr>
            </w:pPr>
            <w:r w:rsidRPr="00AE3D78">
              <w:rPr>
                <w:lang w:eastAsia="zh-CN"/>
              </w:rPr>
              <w:t>Equinor</w:t>
            </w:r>
          </w:p>
        </w:tc>
      </w:tr>
      <w:tr w:rsidR="00DC45F9" w:rsidRPr="00AE3D78" w14:paraId="4B17573B" w14:textId="77777777" w:rsidTr="00EB2DF2">
        <w:trPr>
          <w:trHeight w:val="288"/>
        </w:trPr>
        <w:tc>
          <w:tcPr>
            <w:tcW w:w="0" w:type="auto"/>
            <w:shd w:val="clear" w:color="auto" w:fill="auto"/>
            <w:noWrap/>
            <w:vAlign w:val="bottom"/>
            <w:hideMark/>
          </w:tcPr>
          <w:p w14:paraId="4AD17031" w14:textId="77777777" w:rsidR="00DC45F9" w:rsidRPr="00AE3D78" w:rsidRDefault="00DC45F9" w:rsidP="007C4B17">
            <w:pPr>
              <w:pStyle w:val="Tabletext"/>
              <w:rPr>
                <w:lang w:eastAsia="zh-CN"/>
              </w:rPr>
            </w:pPr>
            <w:r w:rsidRPr="00AE3D78">
              <w:rPr>
                <w:lang w:eastAsia="zh-CN"/>
              </w:rPr>
              <w:t>China Construction Bank</w:t>
            </w:r>
          </w:p>
        </w:tc>
        <w:tc>
          <w:tcPr>
            <w:tcW w:w="0" w:type="auto"/>
            <w:shd w:val="clear" w:color="auto" w:fill="auto"/>
            <w:noWrap/>
            <w:vAlign w:val="bottom"/>
            <w:hideMark/>
          </w:tcPr>
          <w:p w14:paraId="5FC9DCFE" w14:textId="77777777" w:rsidR="00DC45F9" w:rsidRPr="00AE3D78" w:rsidRDefault="00DC45F9" w:rsidP="007C4B17">
            <w:pPr>
              <w:pStyle w:val="Tabletext"/>
              <w:rPr>
                <w:lang w:eastAsia="zh-CN"/>
              </w:rPr>
            </w:pPr>
            <w:proofErr w:type="spellStart"/>
            <w:r w:rsidRPr="00AE3D78">
              <w:rPr>
                <w:lang w:eastAsia="zh-CN"/>
              </w:rPr>
              <w:t>Crédit</w:t>
            </w:r>
            <w:proofErr w:type="spellEnd"/>
            <w:r w:rsidRPr="00AE3D78">
              <w:rPr>
                <w:lang w:eastAsia="zh-CN"/>
              </w:rPr>
              <w:t xml:space="preserve"> </w:t>
            </w:r>
            <w:proofErr w:type="spellStart"/>
            <w:r w:rsidRPr="00AE3D78">
              <w:rPr>
                <w:lang w:eastAsia="zh-CN"/>
              </w:rPr>
              <w:t>Agricole</w:t>
            </w:r>
            <w:proofErr w:type="spellEnd"/>
          </w:p>
        </w:tc>
        <w:tc>
          <w:tcPr>
            <w:tcW w:w="0" w:type="auto"/>
            <w:shd w:val="clear" w:color="auto" w:fill="auto"/>
            <w:noWrap/>
            <w:vAlign w:val="bottom"/>
            <w:hideMark/>
          </w:tcPr>
          <w:p w14:paraId="5E2FEA44" w14:textId="77777777" w:rsidR="00DC45F9" w:rsidRPr="00AE3D78" w:rsidRDefault="00DC45F9" w:rsidP="007C4B17">
            <w:pPr>
              <w:pStyle w:val="Tabletext"/>
              <w:rPr>
                <w:lang w:eastAsia="zh-CN"/>
              </w:rPr>
            </w:pPr>
            <w:r w:rsidRPr="00AE3D78">
              <w:rPr>
                <w:lang w:eastAsia="zh-CN"/>
              </w:rPr>
              <w:t>China Merchants Bank</w:t>
            </w:r>
          </w:p>
        </w:tc>
        <w:tc>
          <w:tcPr>
            <w:tcW w:w="0" w:type="auto"/>
            <w:shd w:val="clear" w:color="auto" w:fill="auto"/>
            <w:noWrap/>
            <w:vAlign w:val="bottom"/>
            <w:hideMark/>
          </w:tcPr>
          <w:p w14:paraId="6F3B256A" w14:textId="77777777" w:rsidR="00DC45F9" w:rsidRPr="00AE3D78" w:rsidRDefault="00DC45F9" w:rsidP="007C4B17">
            <w:pPr>
              <w:pStyle w:val="Tabletext"/>
              <w:rPr>
                <w:lang w:eastAsia="zh-CN"/>
              </w:rPr>
            </w:pPr>
            <w:r w:rsidRPr="00AE3D78">
              <w:rPr>
                <w:lang w:eastAsia="zh-CN"/>
              </w:rPr>
              <w:t>Nippon Steel Corporation</w:t>
            </w:r>
          </w:p>
        </w:tc>
      </w:tr>
      <w:tr w:rsidR="00DC45F9" w:rsidRPr="00AE3D78" w14:paraId="772A13D6" w14:textId="77777777" w:rsidTr="00EB2DF2">
        <w:trPr>
          <w:trHeight w:val="288"/>
        </w:trPr>
        <w:tc>
          <w:tcPr>
            <w:tcW w:w="0" w:type="auto"/>
            <w:shd w:val="clear" w:color="auto" w:fill="auto"/>
            <w:noWrap/>
            <w:vAlign w:val="bottom"/>
            <w:hideMark/>
          </w:tcPr>
          <w:p w14:paraId="597A58DC" w14:textId="77777777" w:rsidR="00DC45F9" w:rsidRPr="00AE3D78" w:rsidRDefault="00DC45F9" w:rsidP="007C4B17">
            <w:pPr>
              <w:pStyle w:val="Tabletext"/>
              <w:rPr>
                <w:lang w:eastAsia="zh-CN"/>
              </w:rPr>
            </w:pPr>
            <w:r w:rsidRPr="00AE3D78">
              <w:rPr>
                <w:lang w:eastAsia="zh-CN"/>
              </w:rPr>
              <w:t>Agricultural Bank of China</w:t>
            </w:r>
          </w:p>
        </w:tc>
        <w:tc>
          <w:tcPr>
            <w:tcW w:w="0" w:type="auto"/>
            <w:shd w:val="clear" w:color="auto" w:fill="auto"/>
            <w:noWrap/>
            <w:vAlign w:val="bottom"/>
            <w:hideMark/>
          </w:tcPr>
          <w:p w14:paraId="45AFD560" w14:textId="77777777" w:rsidR="00DC45F9" w:rsidRPr="00AE3D78" w:rsidRDefault="00DC45F9" w:rsidP="007C4B17">
            <w:pPr>
              <w:pStyle w:val="Tabletext"/>
              <w:rPr>
                <w:lang w:eastAsia="zh-CN"/>
              </w:rPr>
            </w:pPr>
            <w:r w:rsidRPr="00AE3D78">
              <w:rPr>
                <w:lang w:eastAsia="zh-CN"/>
              </w:rPr>
              <w:t>Hitachi</w:t>
            </w:r>
          </w:p>
        </w:tc>
        <w:tc>
          <w:tcPr>
            <w:tcW w:w="0" w:type="auto"/>
            <w:shd w:val="clear" w:color="auto" w:fill="auto"/>
            <w:noWrap/>
            <w:vAlign w:val="bottom"/>
            <w:hideMark/>
          </w:tcPr>
          <w:p w14:paraId="05999B78" w14:textId="77777777" w:rsidR="00DC45F9" w:rsidRPr="00AE3D78" w:rsidRDefault="00DC45F9" w:rsidP="007C4B17">
            <w:pPr>
              <w:pStyle w:val="Tabletext"/>
              <w:rPr>
                <w:lang w:eastAsia="zh-CN"/>
              </w:rPr>
            </w:pPr>
            <w:r w:rsidRPr="00AE3D78">
              <w:rPr>
                <w:lang w:eastAsia="zh-CN"/>
              </w:rPr>
              <w:t>Marubeni</w:t>
            </w:r>
          </w:p>
        </w:tc>
        <w:tc>
          <w:tcPr>
            <w:tcW w:w="0" w:type="auto"/>
            <w:shd w:val="clear" w:color="auto" w:fill="auto"/>
            <w:noWrap/>
            <w:vAlign w:val="bottom"/>
            <w:hideMark/>
          </w:tcPr>
          <w:p w14:paraId="70EE0B08" w14:textId="77777777" w:rsidR="00DC45F9" w:rsidRPr="00AE3D78" w:rsidRDefault="00DC45F9" w:rsidP="007C4B17">
            <w:pPr>
              <w:pStyle w:val="Tabletext"/>
              <w:rPr>
                <w:lang w:eastAsia="zh-CN"/>
              </w:rPr>
            </w:pPr>
            <w:proofErr w:type="spellStart"/>
            <w:r w:rsidRPr="00AE3D78">
              <w:rPr>
                <w:lang w:eastAsia="zh-CN"/>
              </w:rPr>
              <w:t>Sberbank</w:t>
            </w:r>
            <w:proofErr w:type="spellEnd"/>
          </w:p>
        </w:tc>
      </w:tr>
      <w:tr w:rsidR="00DC45F9" w:rsidRPr="00AE3D78" w14:paraId="1FD23A1D" w14:textId="77777777" w:rsidTr="00EB2DF2">
        <w:trPr>
          <w:trHeight w:val="288"/>
        </w:trPr>
        <w:tc>
          <w:tcPr>
            <w:tcW w:w="0" w:type="auto"/>
            <w:shd w:val="clear" w:color="auto" w:fill="auto"/>
            <w:noWrap/>
            <w:vAlign w:val="bottom"/>
            <w:hideMark/>
          </w:tcPr>
          <w:p w14:paraId="2447E22B" w14:textId="77777777" w:rsidR="00DC45F9" w:rsidRPr="00AE3D78" w:rsidRDefault="00DC45F9" w:rsidP="007C4B17">
            <w:pPr>
              <w:pStyle w:val="Tabletext"/>
              <w:rPr>
                <w:lang w:eastAsia="zh-CN"/>
              </w:rPr>
            </w:pPr>
            <w:proofErr w:type="spellStart"/>
            <w:r w:rsidRPr="00AE3D78">
              <w:rPr>
                <w:lang w:eastAsia="zh-CN"/>
              </w:rPr>
              <w:t>Trafigura</w:t>
            </w:r>
            <w:proofErr w:type="spellEnd"/>
            <w:r w:rsidRPr="00AE3D78">
              <w:rPr>
                <w:lang w:eastAsia="zh-CN"/>
              </w:rPr>
              <w:t xml:space="preserve"> Group</w:t>
            </w:r>
          </w:p>
        </w:tc>
        <w:tc>
          <w:tcPr>
            <w:tcW w:w="0" w:type="auto"/>
            <w:shd w:val="clear" w:color="auto" w:fill="auto"/>
            <w:noWrap/>
            <w:vAlign w:val="bottom"/>
            <w:hideMark/>
          </w:tcPr>
          <w:p w14:paraId="74BC54F9" w14:textId="77777777" w:rsidR="00DC45F9" w:rsidRPr="00AE3D78" w:rsidRDefault="00DC45F9" w:rsidP="007C4B17">
            <w:pPr>
              <w:pStyle w:val="Tabletext"/>
              <w:rPr>
                <w:lang w:eastAsia="zh-CN"/>
              </w:rPr>
            </w:pPr>
            <w:r w:rsidRPr="00AE3D78">
              <w:rPr>
                <w:lang w:eastAsia="zh-CN"/>
              </w:rPr>
              <w:t>Carrefour</w:t>
            </w:r>
          </w:p>
        </w:tc>
        <w:tc>
          <w:tcPr>
            <w:tcW w:w="0" w:type="auto"/>
            <w:shd w:val="clear" w:color="auto" w:fill="auto"/>
            <w:noWrap/>
            <w:vAlign w:val="bottom"/>
            <w:hideMark/>
          </w:tcPr>
          <w:p w14:paraId="7814CDFD" w14:textId="77777777" w:rsidR="00DC45F9" w:rsidRPr="00AE3D78" w:rsidRDefault="00DC45F9" w:rsidP="007C4B17">
            <w:pPr>
              <w:pStyle w:val="Tabletext"/>
              <w:rPr>
                <w:lang w:eastAsia="zh-CN"/>
              </w:rPr>
            </w:pPr>
            <w:r w:rsidRPr="00AE3D78">
              <w:rPr>
                <w:lang w:eastAsia="zh-CN"/>
              </w:rPr>
              <w:t>ENEOS Holdings</w:t>
            </w:r>
          </w:p>
        </w:tc>
        <w:tc>
          <w:tcPr>
            <w:tcW w:w="0" w:type="auto"/>
            <w:shd w:val="clear" w:color="auto" w:fill="auto"/>
            <w:noWrap/>
            <w:vAlign w:val="bottom"/>
            <w:hideMark/>
          </w:tcPr>
          <w:p w14:paraId="512F54BA" w14:textId="77777777" w:rsidR="00DC45F9" w:rsidRPr="00AE3D78" w:rsidRDefault="00DC45F9" w:rsidP="007C4B17">
            <w:pPr>
              <w:pStyle w:val="Tabletext"/>
              <w:rPr>
                <w:lang w:eastAsia="zh-CN"/>
              </w:rPr>
            </w:pPr>
            <w:r w:rsidRPr="00AE3D78">
              <w:rPr>
                <w:lang w:eastAsia="zh-CN"/>
              </w:rPr>
              <w:t>Petronas</w:t>
            </w:r>
          </w:p>
        </w:tc>
      </w:tr>
      <w:tr w:rsidR="00DC45F9" w:rsidRPr="00AE3D78" w14:paraId="2CE26B54" w14:textId="77777777" w:rsidTr="00EB2DF2">
        <w:trPr>
          <w:trHeight w:val="288"/>
        </w:trPr>
        <w:tc>
          <w:tcPr>
            <w:tcW w:w="0" w:type="auto"/>
            <w:shd w:val="clear" w:color="auto" w:fill="auto"/>
            <w:noWrap/>
            <w:vAlign w:val="bottom"/>
            <w:hideMark/>
          </w:tcPr>
          <w:p w14:paraId="5F0C3C81" w14:textId="77777777" w:rsidR="00DC45F9" w:rsidRPr="00AE3D78" w:rsidRDefault="00DC45F9" w:rsidP="007C4B17">
            <w:pPr>
              <w:pStyle w:val="Tabletext"/>
              <w:rPr>
                <w:lang w:eastAsia="zh-CN"/>
              </w:rPr>
            </w:pPr>
            <w:r w:rsidRPr="00AE3D78">
              <w:rPr>
                <w:lang w:eastAsia="zh-CN"/>
              </w:rPr>
              <w:t>China Life Insurance</w:t>
            </w:r>
          </w:p>
        </w:tc>
        <w:tc>
          <w:tcPr>
            <w:tcW w:w="0" w:type="auto"/>
            <w:shd w:val="clear" w:color="auto" w:fill="auto"/>
            <w:noWrap/>
            <w:vAlign w:val="bottom"/>
            <w:hideMark/>
          </w:tcPr>
          <w:p w14:paraId="737A1620" w14:textId="77777777" w:rsidR="00DC45F9" w:rsidRPr="00AE3D78" w:rsidRDefault="00DC45F9" w:rsidP="007C4B17">
            <w:pPr>
              <w:pStyle w:val="Tabletext"/>
              <w:rPr>
                <w:lang w:eastAsia="zh-CN"/>
              </w:rPr>
            </w:pPr>
            <w:r w:rsidRPr="00AE3D78">
              <w:rPr>
                <w:lang w:eastAsia="zh-CN"/>
              </w:rPr>
              <w:t>BNP Paribas</w:t>
            </w:r>
          </w:p>
        </w:tc>
        <w:tc>
          <w:tcPr>
            <w:tcW w:w="0" w:type="auto"/>
            <w:shd w:val="clear" w:color="auto" w:fill="auto"/>
            <w:noWrap/>
            <w:vAlign w:val="bottom"/>
            <w:hideMark/>
          </w:tcPr>
          <w:p w14:paraId="2DAFADBB" w14:textId="77777777" w:rsidR="00DC45F9" w:rsidRPr="00AE3D78" w:rsidRDefault="00DC45F9" w:rsidP="007C4B17">
            <w:pPr>
              <w:pStyle w:val="Tabletext"/>
              <w:rPr>
                <w:lang w:eastAsia="zh-CN"/>
              </w:rPr>
            </w:pPr>
            <w:r w:rsidRPr="00AE3D78">
              <w:rPr>
                <w:lang w:eastAsia="zh-CN"/>
              </w:rPr>
              <w:t>Zurich Insurance Group</w:t>
            </w:r>
          </w:p>
        </w:tc>
        <w:tc>
          <w:tcPr>
            <w:tcW w:w="0" w:type="auto"/>
            <w:shd w:val="clear" w:color="auto" w:fill="auto"/>
            <w:noWrap/>
            <w:vAlign w:val="bottom"/>
            <w:hideMark/>
          </w:tcPr>
          <w:p w14:paraId="47A8AC2F" w14:textId="77777777" w:rsidR="00DC45F9" w:rsidRPr="00AE3D78" w:rsidRDefault="00DC45F9" w:rsidP="007C4B17">
            <w:pPr>
              <w:pStyle w:val="Tabletext"/>
              <w:rPr>
                <w:lang w:eastAsia="zh-CN"/>
              </w:rPr>
            </w:pPr>
            <w:r w:rsidRPr="00AE3D78">
              <w:rPr>
                <w:lang w:eastAsia="zh-CN"/>
              </w:rPr>
              <w:t>Intesa Sanpaolo</w:t>
            </w:r>
          </w:p>
        </w:tc>
      </w:tr>
      <w:tr w:rsidR="00DC45F9" w:rsidRPr="00AE3D78" w14:paraId="42B0B981" w14:textId="77777777" w:rsidTr="00EB2DF2">
        <w:trPr>
          <w:trHeight w:val="288"/>
        </w:trPr>
        <w:tc>
          <w:tcPr>
            <w:tcW w:w="0" w:type="auto"/>
            <w:shd w:val="clear" w:color="auto" w:fill="auto"/>
            <w:noWrap/>
            <w:vAlign w:val="bottom"/>
            <w:hideMark/>
          </w:tcPr>
          <w:p w14:paraId="053C50B5" w14:textId="77777777" w:rsidR="00DC45F9" w:rsidRPr="00AE3D78" w:rsidRDefault="00DC45F9" w:rsidP="007C4B17">
            <w:pPr>
              <w:pStyle w:val="Tabletext"/>
              <w:rPr>
                <w:lang w:eastAsia="zh-CN"/>
              </w:rPr>
            </w:pPr>
            <w:r w:rsidRPr="00AE3D78">
              <w:rPr>
                <w:lang w:eastAsia="zh-CN"/>
              </w:rPr>
              <w:t>Glencore</w:t>
            </w:r>
          </w:p>
        </w:tc>
        <w:tc>
          <w:tcPr>
            <w:tcW w:w="0" w:type="auto"/>
            <w:shd w:val="clear" w:color="auto" w:fill="auto"/>
            <w:noWrap/>
            <w:vAlign w:val="bottom"/>
            <w:hideMark/>
          </w:tcPr>
          <w:p w14:paraId="75F0E566" w14:textId="77777777" w:rsidR="00DC45F9" w:rsidRPr="00AE3D78" w:rsidRDefault="00DC45F9" w:rsidP="007C4B17">
            <w:pPr>
              <w:pStyle w:val="Tabletext"/>
              <w:rPr>
                <w:lang w:eastAsia="zh-CN"/>
              </w:rPr>
            </w:pPr>
            <w:r w:rsidRPr="00AE3D78">
              <w:rPr>
                <w:lang w:eastAsia="zh-CN"/>
              </w:rPr>
              <w:t>Bosch Group</w:t>
            </w:r>
          </w:p>
        </w:tc>
        <w:tc>
          <w:tcPr>
            <w:tcW w:w="0" w:type="auto"/>
            <w:shd w:val="clear" w:color="auto" w:fill="auto"/>
            <w:noWrap/>
            <w:vAlign w:val="bottom"/>
            <w:hideMark/>
          </w:tcPr>
          <w:p w14:paraId="359D7C5B" w14:textId="77777777" w:rsidR="00DC45F9" w:rsidRPr="00AE3D78" w:rsidRDefault="00DC45F9" w:rsidP="007C4B17">
            <w:pPr>
              <w:pStyle w:val="Tabletext"/>
              <w:rPr>
                <w:lang w:eastAsia="zh-CN"/>
              </w:rPr>
            </w:pPr>
            <w:r w:rsidRPr="00AE3D78">
              <w:rPr>
                <w:lang w:eastAsia="zh-CN"/>
              </w:rPr>
              <w:t>Xiamen ITG Holding Group</w:t>
            </w:r>
          </w:p>
        </w:tc>
        <w:tc>
          <w:tcPr>
            <w:tcW w:w="0" w:type="auto"/>
            <w:shd w:val="clear" w:color="auto" w:fill="auto"/>
            <w:noWrap/>
            <w:vAlign w:val="bottom"/>
            <w:hideMark/>
          </w:tcPr>
          <w:p w14:paraId="75B88419" w14:textId="77777777" w:rsidR="00DC45F9" w:rsidRPr="00AE3D78" w:rsidRDefault="00DC45F9" w:rsidP="007C4B17">
            <w:pPr>
              <w:pStyle w:val="Tabletext"/>
              <w:rPr>
                <w:lang w:eastAsia="zh-CN"/>
              </w:rPr>
            </w:pPr>
            <w:r w:rsidRPr="00AE3D78">
              <w:rPr>
                <w:lang w:eastAsia="zh-CN"/>
              </w:rPr>
              <w:t>ThyssenKrupp</w:t>
            </w:r>
          </w:p>
        </w:tc>
      </w:tr>
      <w:tr w:rsidR="00DC45F9" w:rsidRPr="00AE3D78" w14:paraId="49A2EB8F" w14:textId="77777777" w:rsidTr="00EB2DF2">
        <w:trPr>
          <w:trHeight w:val="288"/>
        </w:trPr>
        <w:tc>
          <w:tcPr>
            <w:tcW w:w="0" w:type="auto"/>
            <w:shd w:val="clear" w:color="auto" w:fill="auto"/>
            <w:noWrap/>
            <w:vAlign w:val="bottom"/>
            <w:hideMark/>
          </w:tcPr>
          <w:p w14:paraId="10C95E9C" w14:textId="77777777" w:rsidR="00DC45F9" w:rsidRPr="00AE3D78" w:rsidRDefault="00DC45F9" w:rsidP="007C4B17">
            <w:pPr>
              <w:pStyle w:val="Tabletext"/>
              <w:rPr>
                <w:lang w:eastAsia="zh-CN"/>
              </w:rPr>
            </w:pPr>
            <w:r w:rsidRPr="00AE3D78">
              <w:rPr>
                <w:lang w:eastAsia="zh-CN"/>
              </w:rPr>
              <w:t>China Railway Engineering Group</w:t>
            </w:r>
          </w:p>
        </w:tc>
        <w:tc>
          <w:tcPr>
            <w:tcW w:w="0" w:type="auto"/>
            <w:shd w:val="clear" w:color="auto" w:fill="auto"/>
            <w:noWrap/>
            <w:vAlign w:val="bottom"/>
            <w:hideMark/>
          </w:tcPr>
          <w:p w14:paraId="183F4ADC" w14:textId="77777777" w:rsidR="00DC45F9" w:rsidRPr="00AE3D78" w:rsidRDefault="00DC45F9" w:rsidP="007C4B17">
            <w:pPr>
              <w:pStyle w:val="Tabletext"/>
              <w:rPr>
                <w:lang w:eastAsia="zh-CN"/>
              </w:rPr>
            </w:pPr>
            <w:r w:rsidRPr="00AE3D78">
              <w:rPr>
                <w:lang w:eastAsia="zh-CN"/>
              </w:rPr>
              <w:t>Tesco</w:t>
            </w:r>
          </w:p>
        </w:tc>
        <w:tc>
          <w:tcPr>
            <w:tcW w:w="0" w:type="auto"/>
            <w:shd w:val="clear" w:color="auto" w:fill="auto"/>
            <w:noWrap/>
            <w:vAlign w:val="bottom"/>
            <w:hideMark/>
          </w:tcPr>
          <w:p w14:paraId="4F2798A3" w14:textId="77777777" w:rsidR="00DC45F9" w:rsidRPr="00AE3D78" w:rsidRDefault="00DC45F9" w:rsidP="007C4B17">
            <w:pPr>
              <w:pStyle w:val="Tabletext"/>
              <w:rPr>
                <w:lang w:eastAsia="zh-CN"/>
              </w:rPr>
            </w:pPr>
            <w:proofErr w:type="spellStart"/>
            <w:r w:rsidRPr="00AE3D78">
              <w:rPr>
                <w:lang w:eastAsia="zh-CN"/>
              </w:rPr>
              <w:t>Aegon</w:t>
            </w:r>
            <w:proofErr w:type="spellEnd"/>
          </w:p>
        </w:tc>
        <w:tc>
          <w:tcPr>
            <w:tcW w:w="0" w:type="auto"/>
            <w:shd w:val="clear" w:color="auto" w:fill="auto"/>
            <w:noWrap/>
            <w:vAlign w:val="bottom"/>
            <w:hideMark/>
          </w:tcPr>
          <w:p w14:paraId="3D178054" w14:textId="77777777" w:rsidR="00DC45F9" w:rsidRPr="00AE3D78" w:rsidRDefault="00DC45F9" w:rsidP="007C4B17">
            <w:pPr>
              <w:pStyle w:val="Tabletext"/>
              <w:rPr>
                <w:lang w:eastAsia="zh-CN"/>
              </w:rPr>
            </w:pPr>
            <w:r w:rsidRPr="00AE3D78">
              <w:rPr>
                <w:lang w:eastAsia="zh-CN"/>
              </w:rPr>
              <w:t>Suning.com Group</w:t>
            </w:r>
          </w:p>
        </w:tc>
      </w:tr>
      <w:tr w:rsidR="00DC45F9" w:rsidRPr="00AE3D78" w14:paraId="1100933E" w14:textId="77777777" w:rsidTr="00EB2DF2">
        <w:trPr>
          <w:trHeight w:val="288"/>
        </w:trPr>
        <w:tc>
          <w:tcPr>
            <w:tcW w:w="0" w:type="auto"/>
            <w:shd w:val="clear" w:color="auto" w:fill="auto"/>
            <w:noWrap/>
            <w:vAlign w:val="bottom"/>
            <w:hideMark/>
          </w:tcPr>
          <w:p w14:paraId="0A33AD03" w14:textId="77777777" w:rsidR="00DC45F9" w:rsidRPr="00AE3D78" w:rsidRDefault="00DC45F9" w:rsidP="007C4B17">
            <w:pPr>
              <w:pStyle w:val="Tabletext"/>
              <w:rPr>
                <w:lang w:eastAsia="zh-CN"/>
              </w:rPr>
            </w:pPr>
            <w:r w:rsidRPr="00AE3D78">
              <w:rPr>
                <w:lang w:eastAsia="zh-CN"/>
              </w:rPr>
              <w:t>EXOR Group (</w:t>
            </w:r>
            <w:proofErr w:type="spellStart"/>
            <w:r w:rsidRPr="00AE3D78">
              <w:rPr>
                <w:lang w:eastAsia="zh-CN"/>
              </w:rPr>
              <w:t>Stellantis</w:t>
            </w:r>
            <w:proofErr w:type="spellEnd"/>
            <w:r w:rsidRPr="00AE3D78">
              <w:rPr>
                <w:lang w:eastAsia="zh-CN"/>
              </w:rPr>
              <w:t>)</w:t>
            </w:r>
          </w:p>
        </w:tc>
        <w:tc>
          <w:tcPr>
            <w:tcW w:w="0" w:type="auto"/>
            <w:shd w:val="clear" w:color="auto" w:fill="auto"/>
            <w:noWrap/>
            <w:vAlign w:val="bottom"/>
            <w:hideMark/>
          </w:tcPr>
          <w:p w14:paraId="7B80FA51" w14:textId="77777777" w:rsidR="00DC45F9" w:rsidRPr="00AE3D78" w:rsidRDefault="00DC45F9" w:rsidP="007C4B17">
            <w:pPr>
              <w:pStyle w:val="Tabletext"/>
              <w:rPr>
                <w:lang w:eastAsia="zh-CN"/>
              </w:rPr>
            </w:pPr>
            <w:r w:rsidRPr="00AE3D78">
              <w:rPr>
                <w:lang w:eastAsia="zh-CN"/>
              </w:rPr>
              <w:t>AEON</w:t>
            </w:r>
          </w:p>
        </w:tc>
        <w:tc>
          <w:tcPr>
            <w:tcW w:w="0" w:type="auto"/>
            <w:shd w:val="clear" w:color="auto" w:fill="auto"/>
            <w:noWrap/>
            <w:vAlign w:val="bottom"/>
            <w:hideMark/>
          </w:tcPr>
          <w:p w14:paraId="1E0FF867" w14:textId="77777777" w:rsidR="00DC45F9" w:rsidRPr="00AE3D78" w:rsidRDefault="00DC45F9" w:rsidP="007C4B17">
            <w:pPr>
              <w:pStyle w:val="Tabletext"/>
              <w:rPr>
                <w:lang w:eastAsia="zh-CN"/>
              </w:rPr>
            </w:pPr>
            <w:r w:rsidRPr="00AE3D78">
              <w:rPr>
                <w:lang w:eastAsia="zh-CN"/>
              </w:rPr>
              <w:t>Unilever</w:t>
            </w:r>
          </w:p>
        </w:tc>
        <w:tc>
          <w:tcPr>
            <w:tcW w:w="0" w:type="auto"/>
            <w:shd w:val="clear" w:color="auto" w:fill="auto"/>
            <w:noWrap/>
            <w:vAlign w:val="bottom"/>
            <w:hideMark/>
          </w:tcPr>
          <w:p w14:paraId="65B94E60" w14:textId="77777777" w:rsidR="00DC45F9" w:rsidRPr="00AE3D78" w:rsidRDefault="00DC45F9" w:rsidP="007C4B17">
            <w:pPr>
              <w:pStyle w:val="Tabletext"/>
              <w:rPr>
                <w:lang w:eastAsia="zh-CN"/>
              </w:rPr>
            </w:pPr>
            <w:r w:rsidRPr="00AE3D78">
              <w:rPr>
                <w:lang w:eastAsia="zh-CN"/>
              </w:rPr>
              <w:t>Chubb</w:t>
            </w:r>
          </w:p>
        </w:tc>
      </w:tr>
      <w:tr w:rsidR="00DC45F9" w:rsidRPr="00AE3D78" w14:paraId="30D000C5" w14:textId="77777777" w:rsidTr="00EB2DF2">
        <w:trPr>
          <w:trHeight w:val="288"/>
        </w:trPr>
        <w:tc>
          <w:tcPr>
            <w:tcW w:w="0" w:type="auto"/>
            <w:shd w:val="clear" w:color="auto" w:fill="auto"/>
            <w:noWrap/>
            <w:vAlign w:val="bottom"/>
            <w:hideMark/>
          </w:tcPr>
          <w:p w14:paraId="5E1D673F" w14:textId="77777777" w:rsidR="00DC45F9" w:rsidRPr="00AE3D78" w:rsidRDefault="00DC45F9" w:rsidP="007C4B17">
            <w:pPr>
              <w:pStyle w:val="Tabletext"/>
              <w:rPr>
                <w:lang w:eastAsia="zh-CN"/>
              </w:rPr>
            </w:pPr>
            <w:r w:rsidRPr="00AE3D78">
              <w:rPr>
                <w:lang w:eastAsia="zh-CN"/>
              </w:rPr>
              <w:t>Allianz</w:t>
            </w:r>
          </w:p>
        </w:tc>
        <w:tc>
          <w:tcPr>
            <w:tcW w:w="0" w:type="auto"/>
            <w:shd w:val="clear" w:color="auto" w:fill="auto"/>
            <w:noWrap/>
            <w:vAlign w:val="bottom"/>
            <w:hideMark/>
          </w:tcPr>
          <w:p w14:paraId="290EBECB" w14:textId="77777777" w:rsidR="00DC45F9" w:rsidRPr="00AE3D78" w:rsidRDefault="00DC45F9" w:rsidP="007C4B17">
            <w:pPr>
              <w:pStyle w:val="Tabletext"/>
              <w:rPr>
                <w:lang w:eastAsia="zh-CN"/>
              </w:rPr>
            </w:pPr>
            <w:r w:rsidRPr="00AE3D78">
              <w:rPr>
                <w:lang w:eastAsia="zh-CN"/>
              </w:rPr>
              <w:t>HSBC Holdings</w:t>
            </w:r>
          </w:p>
        </w:tc>
        <w:tc>
          <w:tcPr>
            <w:tcW w:w="0" w:type="auto"/>
            <w:shd w:val="clear" w:color="auto" w:fill="auto"/>
            <w:noWrap/>
            <w:vAlign w:val="bottom"/>
            <w:hideMark/>
          </w:tcPr>
          <w:p w14:paraId="35BA4298" w14:textId="77777777" w:rsidR="00DC45F9" w:rsidRPr="00AE3D78" w:rsidRDefault="00DC45F9" w:rsidP="007C4B17">
            <w:pPr>
              <w:pStyle w:val="Tabletext"/>
              <w:rPr>
                <w:lang w:eastAsia="zh-CN"/>
              </w:rPr>
            </w:pPr>
            <w:r w:rsidRPr="00AE3D78">
              <w:rPr>
                <w:lang w:eastAsia="zh-CN"/>
              </w:rPr>
              <w:t>Guangzhou Automobile Industry Group</w:t>
            </w:r>
          </w:p>
        </w:tc>
        <w:tc>
          <w:tcPr>
            <w:tcW w:w="0" w:type="auto"/>
            <w:shd w:val="clear" w:color="auto" w:fill="auto"/>
            <w:noWrap/>
            <w:vAlign w:val="bottom"/>
            <w:hideMark/>
          </w:tcPr>
          <w:p w14:paraId="45999AAF" w14:textId="77777777" w:rsidR="00DC45F9" w:rsidRPr="00AE3D78" w:rsidRDefault="00DC45F9" w:rsidP="007C4B17">
            <w:pPr>
              <w:pStyle w:val="Tabletext"/>
              <w:rPr>
                <w:lang w:eastAsia="zh-CN"/>
              </w:rPr>
            </w:pPr>
            <w:r w:rsidRPr="00AE3D78">
              <w:rPr>
                <w:lang w:eastAsia="zh-CN"/>
              </w:rPr>
              <w:t>DZ Bank</w:t>
            </w:r>
          </w:p>
        </w:tc>
      </w:tr>
      <w:tr w:rsidR="008244AC" w:rsidRPr="00AE3D78" w14:paraId="61329C03" w14:textId="77777777" w:rsidTr="00EB2DF2">
        <w:trPr>
          <w:trHeight w:val="288"/>
        </w:trPr>
        <w:tc>
          <w:tcPr>
            <w:tcW w:w="0" w:type="auto"/>
            <w:shd w:val="clear" w:color="auto" w:fill="auto"/>
            <w:noWrap/>
            <w:vAlign w:val="bottom"/>
            <w:hideMark/>
          </w:tcPr>
          <w:p w14:paraId="36BA4D33" w14:textId="77777777" w:rsidR="008244AC" w:rsidRPr="00AE3D78" w:rsidRDefault="008244AC" w:rsidP="007C4B17">
            <w:pPr>
              <w:pStyle w:val="Tabletext"/>
              <w:rPr>
                <w:lang w:eastAsia="zh-CN"/>
              </w:rPr>
            </w:pPr>
            <w:r w:rsidRPr="00AE3D78">
              <w:rPr>
                <w:lang w:eastAsia="zh-CN"/>
              </w:rPr>
              <w:t>Bank of China</w:t>
            </w:r>
          </w:p>
        </w:tc>
        <w:tc>
          <w:tcPr>
            <w:tcW w:w="0" w:type="auto"/>
            <w:shd w:val="clear" w:color="auto" w:fill="auto"/>
            <w:noWrap/>
            <w:vAlign w:val="bottom"/>
            <w:hideMark/>
          </w:tcPr>
          <w:p w14:paraId="243069E2" w14:textId="77777777" w:rsidR="008244AC" w:rsidRPr="00AE3D78" w:rsidRDefault="008244AC" w:rsidP="007C4B17">
            <w:pPr>
              <w:pStyle w:val="Tabletext"/>
              <w:rPr>
                <w:lang w:eastAsia="zh-CN"/>
              </w:rPr>
            </w:pPr>
            <w:proofErr w:type="spellStart"/>
            <w:r w:rsidRPr="00AE3D78">
              <w:rPr>
                <w:lang w:eastAsia="zh-CN"/>
              </w:rPr>
              <w:t>Electricité</w:t>
            </w:r>
            <w:proofErr w:type="spellEnd"/>
            <w:r w:rsidRPr="00AE3D78">
              <w:rPr>
                <w:lang w:eastAsia="zh-CN"/>
              </w:rPr>
              <w:t xml:space="preserve"> de France</w:t>
            </w:r>
          </w:p>
        </w:tc>
        <w:tc>
          <w:tcPr>
            <w:tcW w:w="0" w:type="auto"/>
            <w:shd w:val="clear" w:color="auto" w:fill="auto"/>
            <w:noWrap/>
            <w:vAlign w:val="bottom"/>
            <w:hideMark/>
          </w:tcPr>
          <w:p w14:paraId="705ABA19" w14:textId="77777777" w:rsidR="008244AC" w:rsidRPr="00AE3D78" w:rsidRDefault="008244AC" w:rsidP="007C4B17">
            <w:pPr>
              <w:pStyle w:val="Tabletext"/>
              <w:rPr>
                <w:lang w:eastAsia="zh-CN"/>
              </w:rPr>
            </w:pPr>
            <w:r w:rsidRPr="00AE3D78">
              <w:rPr>
                <w:lang w:eastAsia="zh-CN"/>
              </w:rPr>
              <w:t>China National Building Material Group</w:t>
            </w:r>
          </w:p>
        </w:tc>
        <w:tc>
          <w:tcPr>
            <w:tcW w:w="0" w:type="auto"/>
            <w:shd w:val="clear" w:color="auto" w:fill="auto"/>
            <w:noWrap/>
            <w:vAlign w:val="bottom"/>
            <w:hideMark/>
          </w:tcPr>
          <w:p w14:paraId="63A2375B" w14:textId="761748EB" w:rsidR="008244AC" w:rsidRPr="00AE3D78" w:rsidRDefault="008244AC" w:rsidP="007C4B17">
            <w:pPr>
              <w:pStyle w:val="Tabletext"/>
              <w:rPr>
                <w:lang w:eastAsia="zh-CN"/>
              </w:rPr>
            </w:pPr>
            <w:r w:rsidRPr="00AE3D78">
              <w:rPr>
                <w:lang w:eastAsia="zh-CN"/>
              </w:rPr>
              <w:t xml:space="preserve">Poste </w:t>
            </w:r>
            <w:proofErr w:type="spellStart"/>
            <w:r w:rsidRPr="00AE3D78">
              <w:rPr>
                <w:lang w:eastAsia="zh-CN"/>
              </w:rPr>
              <w:t>Italiane</w:t>
            </w:r>
            <w:proofErr w:type="spellEnd"/>
          </w:p>
        </w:tc>
      </w:tr>
      <w:tr w:rsidR="008244AC" w:rsidRPr="00AE3D78" w14:paraId="0C491FAE" w14:textId="77777777" w:rsidTr="008244AC">
        <w:trPr>
          <w:trHeight w:val="288"/>
        </w:trPr>
        <w:tc>
          <w:tcPr>
            <w:tcW w:w="0" w:type="auto"/>
            <w:shd w:val="clear" w:color="auto" w:fill="auto"/>
            <w:noWrap/>
            <w:vAlign w:val="bottom"/>
            <w:hideMark/>
          </w:tcPr>
          <w:p w14:paraId="6D9805E4" w14:textId="77777777" w:rsidR="008244AC" w:rsidRPr="00AE3D78" w:rsidRDefault="008244AC" w:rsidP="007C4B17">
            <w:pPr>
              <w:pStyle w:val="Tabletext"/>
              <w:rPr>
                <w:lang w:eastAsia="zh-CN"/>
              </w:rPr>
            </w:pPr>
            <w:r w:rsidRPr="00AE3D78">
              <w:rPr>
                <w:lang w:eastAsia="zh-CN"/>
              </w:rPr>
              <w:t>China Railway Construction</w:t>
            </w:r>
          </w:p>
        </w:tc>
        <w:tc>
          <w:tcPr>
            <w:tcW w:w="0" w:type="auto"/>
            <w:shd w:val="clear" w:color="auto" w:fill="auto"/>
            <w:noWrap/>
            <w:vAlign w:val="bottom"/>
            <w:hideMark/>
          </w:tcPr>
          <w:p w14:paraId="7C26DDC2" w14:textId="77777777" w:rsidR="008244AC" w:rsidRPr="00AE3D78" w:rsidRDefault="008244AC" w:rsidP="007C4B17">
            <w:pPr>
              <w:pStyle w:val="Tabletext"/>
              <w:rPr>
                <w:lang w:eastAsia="zh-CN"/>
              </w:rPr>
            </w:pPr>
            <w:proofErr w:type="spellStart"/>
            <w:r w:rsidRPr="00AE3D78">
              <w:rPr>
                <w:lang w:eastAsia="zh-CN"/>
              </w:rPr>
              <w:t>PowerChina</w:t>
            </w:r>
            <w:proofErr w:type="spellEnd"/>
          </w:p>
        </w:tc>
        <w:tc>
          <w:tcPr>
            <w:tcW w:w="0" w:type="auto"/>
            <w:shd w:val="clear" w:color="auto" w:fill="auto"/>
            <w:noWrap/>
            <w:vAlign w:val="bottom"/>
            <w:hideMark/>
          </w:tcPr>
          <w:p w14:paraId="7A1644E6" w14:textId="77777777" w:rsidR="008244AC" w:rsidRPr="00AE3D78" w:rsidRDefault="008244AC" w:rsidP="007C4B17">
            <w:pPr>
              <w:pStyle w:val="Tabletext"/>
              <w:rPr>
                <w:lang w:eastAsia="zh-CN"/>
              </w:rPr>
            </w:pPr>
            <w:r w:rsidRPr="00AE3D78">
              <w:rPr>
                <w:lang w:eastAsia="zh-CN"/>
              </w:rPr>
              <w:t>Airbus</w:t>
            </w:r>
          </w:p>
        </w:tc>
        <w:tc>
          <w:tcPr>
            <w:tcW w:w="0" w:type="auto"/>
            <w:shd w:val="clear" w:color="auto" w:fill="auto"/>
            <w:noWrap/>
            <w:vAlign w:val="bottom"/>
          </w:tcPr>
          <w:p w14:paraId="435E1B46" w14:textId="76555EAC" w:rsidR="008244AC" w:rsidRPr="00AE3D78" w:rsidRDefault="008244AC" w:rsidP="007C4B17">
            <w:pPr>
              <w:pStyle w:val="Tabletext"/>
              <w:rPr>
                <w:lang w:eastAsia="zh-CN"/>
              </w:rPr>
            </w:pPr>
            <w:r w:rsidRPr="00AE3D78">
              <w:rPr>
                <w:lang w:eastAsia="zh-CN"/>
              </w:rPr>
              <w:t>Tata Motors</w:t>
            </w:r>
          </w:p>
        </w:tc>
      </w:tr>
      <w:tr w:rsidR="008244AC" w:rsidRPr="00AE3D78" w14:paraId="083758E2" w14:textId="77777777" w:rsidTr="008244AC">
        <w:trPr>
          <w:trHeight w:val="288"/>
        </w:trPr>
        <w:tc>
          <w:tcPr>
            <w:tcW w:w="0" w:type="auto"/>
            <w:shd w:val="clear" w:color="auto" w:fill="auto"/>
            <w:noWrap/>
            <w:vAlign w:val="bottom"/>
            <w:hideMark/>
          </w:tcPr>
          <w:p w14:paraId="6C51021E" w14:textId="77777777" w:rsidR="008244AC" w:rsidRPr="00AE3D78" w:rsidRDefault="008244AC" w:rsidP="007C4B17">
            <w:pPr>
              <w:pStyle w:val="Tabletext"/>
              <w:rPr>
                <w:lang w:eastAsia="zh-CN"/>
              </w:rPr>
            </w:pPr>
            <w:r w:rsidRPr="00AE3D78">
              <w:rPr>
                <w:lang w:eastAsia="zh-CN"/>
              </w:rPr>
              <w:t>Huawei Investment &amp; Holding</w:t>
            </w:r>
          </w:p>
        </w:tc>
        <w:tc>
          <w:tcPr>
            <w:tcW w:w="0" w:type="auto"/>
            <w:shd w:val="clear" w:color="auto" w:fill="auto"/>
            <w:noWrap/>
            <w:vAlign w:val="bottom"/>
            <w:hideMark/>
          </w:tcPr>
          <w:p w14:paraId="7ACB23AB" w14:textId="77777777" w:rsidR="008244AC" w:rsidRPr="00AE3D78" w:rsidRDefault="008244AC" w:rsidP="007C4B17">
            <w:pPr>
              <w:pStyle w:val="Tabletext"/>
              <w:rPr>
                <w:lang w:eastAsia="zh-CN"/>
              </w:rPr>
            </w:pPr>
            <w:proofErr w:type="spellStart"/>
            <w:r w:rsidRPr="00AE3D78">
              <w:rPr>
                <w:lang w:eastAsia="zh-CN"/>
              </w:rPr>
              <w:t>Sinopharm</w:t>
            </w:r>
            <w:proofErr w:type="spellEnd"/>
          </w:p>
        </w:tc>
        <w:tc>
          <w:tcPr>
            <w:tcW w:w="0" w:type="auto"/>
            <w:shd w:val="clear" w:color="auto" w:fill="auto"/>
            <w:noWrap/>
            <w:vAlign w:val="bottom"/>
            <w:hideMark/>
          </w:tcPr>
          <w:p w14:paraId="5E24512E" w14:textId="77777777" w:rsidR="008244AC" w:rsidRPr="00AE3D78" w:rsidRDefault="008244AC" w:rsidP="007C4B17">
            <w:pPr>
              <w:pStyle w:val="Tabletext"/>
              <w:rPr>
                <w:lang w:eastAsia="zh-CN"/>
              </w:rPr>
            </w:pPr>
            <w:r w:rsidRPr="00AE3D78">
              <w:rPr>
                <w:lang w:eastAsia="zh-CN"/>
              </w:rPr>
              <w:t>Mitsubishi UFJ Financial Group</w:t>
            </w:r>
          </w:p>
        </w:tc>
        <w:tc>
          <w:tcPr>
            <w:tcW w:w="0" w:type="auto"/>
            <w:shd w:val="clear" w:color="auto" w:fill="auto"/>
            <w:noWrap/>
            <w:vAlign w:val="bottom"/>
          </w:tcPr>
          <w:p w14:paraId="324B2781" w14:textId="441DDDB3" w:rsidR="008244AC" w:rsidRPr="00AE3D78" w:rsidRDefault="008244AC" w:rsidP="007C4B17">
            <w:pPr>
              <w:pStyle w:val="Tabletext"/>
              <w:rPr>
                <w:lang w:eastAsia="zh-CN"/>
              </w:rPr>
            </w:pPr>
            <w:r w:rsidRPr="00AE3D78">
              <w:rPr>
                <w:lang w:eastAsia="zh-CN"/>
              </w:rPr>
              <w:t>British American Tobacco</w:t>
            </w:r>
          </w:p>
        </w:tc>
      </w:tr>
      <w:tr w:rsidR="008244AC" w:rsidRPr="00AE3D78" w14:paraId="2E6D50AD" w14:textId="77777777" w:rsidTr="008244AC">
        <w:trPr>
          <w:trHeight w:val="288"/>
        </w:trPr>
        <w:tc>
          <w:tcPr>
            <w:tcW w:w="0" w:type="auto"/>
            <w:shd w:val="clear" w:color="auto" w:fill="auto"/>
            <w:noWrap/>
            <w:vAlign w:val="bottom"/>
            <w:hideMark/>
          </w:tcPr>
          <w:p w14:paraId="4E59817C" w14:textId="77777777" w:rsidR="008244AC" w:rsidRPr="00AE3D78" w:rsidRDefault="008244AC" w:rsidP="007C4B17">
            <w:pPr>
              <w:pStyle w:val="Tabletext"/>
              <w:rPr>
                <w:lang w:eastAsia="zh-CN"/>
              </w:rPr>
            </w:pPr>
            <w:r w:rsidRPr="00AE3D78">
              <w:rPr>
                <w:lang w:eastAsia="zh-CN"/>
              </w:rPr>
              <w:t>AXA</w:t>
            </w:r>
          </w:p>
        </w:tc>
        <w:tc>
          <w:tcPr>
            <w:tcW w:w="0" w:type="auto"/>
            <w:shd w:val="clear" w:color="auto" w:fill="auto"/>
            <w:noWrap/>
            <w:vAlign w:val="bottom"/>
            <w:hideMark/>
          </w:tcPr>
          <w:p w14:paraId="5AC95267" w14:textId="77777777" w:rsidR="008244AC" w:rsidRPr="00AE3D78" w:rsidRDefault="008244AC" w:rsidP="007C4B17">
            <w:pPr>
              <w:pStyle w:val="Tabletext"/>
              <w:rPr>
                <w:lang w:eastAsia="zh-CN"/>
              </w:rPr>
            </w:pPr>
            <w:r w:rsidRPr="00AE3D78">
              <w:rPr>
                <w:lang w:eastAsia="zh-CN"/>
              </w:rPr>
              <w:t>Nippon Life Insurance</w:t>
            </w:r>
          </w:p>
        </w:tc>
        <w:tc>
          <w:tcPr>
            <w:tcW w:w="0" w:type="auto"/>
            <w:shd w:val="clear" w:color="auto" w:fill="auto"/>
            <w:noWrap/>
            <w:vAlign w:val="bottom"/>
            <w:hideMark/>
          </w:tcPr>
          <w:p w14:paraId="786B29E2" w14:textId="77777777" w:rsidR="008244AC" w:rsidRPr="00AE3D78" w:rsidRDefault="008244AC" w:rsidP="007C4B17">
            <w:pPr>
              <w:pStyle w:val="Tabletext"/>
              <w:rPr>
                <w:lang w:eastAsia="zh-CN"/>
              </w:rPr>
            </w:pPr>
            <w:proofErr w:type="spellStart"/>
            <w:r w:rsidRPr="00AE3D78">
              <w:rPr>
                <w:lang w:eastAsia="zh-CN"/>
              </w:rPr>
              <w:t>SoftBank</w:t>
            </w:r>
            <w:proofErr w:type="spellEnd"/>
            <w:r w:rsidRPr="00AE3D78">
              <w:rPr>
                <w:lang w:eastAsia="zh-CN"/>
              </w:rPr>
              <w:t xml:space="preserve"> Group</w:t>
            </w:r>
          </w:p>
        </w:tc>
        <w:tc>
          <w:tcPr>
            <w:tcW w:w="0" w:type="auto"/>
            <w:shd w:val="clear" w:color="auto" w:fill="auto"/>
            <w:noWrap/>
            <w:vAlign w:val="bottom"/>
          </w:tcPr>
          <w:p w14:paraId="4232B598" w14:textId="48CF078D" w:rsidR="008244AC" w:rsidRPr="00AE3D78" w:rsidRDefault="008244AC" w:rsidP="007C4B17">
            <w:pPr>
              <w:pStyle w:val="Tabletext"/>
              <w:rPr>
                <w:lang w:eastAsia="zh-CN"/>
              </w:rPr>
            </w:pPr>
            <w:proofErr w:type="spellStart"/>
            <w:r w:rsidRPr="00AE3D78">
              <w:rPr>
                <w:lang w:eastAsia="zh-CN"/>
              </w:rPr>
              <w:t>Repsol</w:t>
            </w:r>
            <w:proofErr w:type="spellEnd"/>
          </w:p>
        </w:tc>
      </w:tr>
      <w:tr w:rsidR="008244AC" w:rsidRPr="00AE3D78" w14:paraId="05281E9A" w14:textId="77777777" w:rsidTr="008244AC">
        <w:trPr>
          <w:trHeight w:val="288"/>
        </w:trPr>
        <w:tc>
          <w:tcPr>
            <w:tcW w:w="0" w:type="auto"/>
            <w:shd w:val="clear" w:color="auto" w:fill="auto"/>
            <w:noWrap/>
            <w:vAlign w:val="bottom"/>
            <w:hideMark/>
          </w:tcPr>
          <w:p w14:paraId="32BCC920" w14:textId="77777777" w:rsidR="008244AC" w:rsidRPr="00AE3D78" w:rsidRDefault="008244AC" w:rsidP="007C4B17">
            <w:pPr>
              <w:pStyle w:val="Tabletext"/>
              <w:rPr>
                <w:lang w:eastAsia="zh-CN"/>
              </w:rPr>
            </w:pPr>
            <w:r w:rsidRPr="00AE3D78">
              <w:rPr>
                <w:lang w:eastAsia="zh-CN"/>
              </w:rPr>
              <w:t>Honda Motor</w:t>
            </w:r>
          </w:p>
        </w:tc>
        <w:tc>
          <w:tcPr>
            <w:tcW w:w="0" w:type="auto"/>
            <w:shd w:val="clear" w:color="auto" w:fill="auto"/>
            <w:noWrap/>
            <w:vAlign w:val="bottom"/>
            <w:hideMark/>
          </w:tcPr>
          <w:p w14:paraId="0F7CA705" w14:textId="77777777" w:rsidR="008244AC" w:rsidRPr="00AE3D78" w:rsidRDefault="008244AC" w:rsidP="007C4B17">
            <w:pPr>
              <w:pStyle w:val="Tabletext"/>
              <w:rPr>
                <w:lang w:eastAsia="zh-CN"/>
              </w:rPr>
            </w:pPr>
            <w:r w:rsidRPr="00AE3D78">
              <w:rPr>
                <w:lang w:eastAsia="zh-CN"/>
              </w:rPr>
              <w:t>COFCO</w:t>
            </w:r>
          </w:p>
        </w:tc>
        <w:tc>
          <w:tcPr>
            <w:tcW w:w="0" w:type="auto"/>
            <w:shd w:val="clear" w:color="auto" w:fill="auto"/>
            <w:noWrap/>
            <w:vAlign w:val="bottom"/>
            <w:hideMark/>
          </w:tcPr>
          <w:p w14:paraId="3C202EDA" w14:textId="77777777" w:rsidR="008244AC" w:rsidRPr="00AE3D78" w:rsidRDefault="008244AC" w:rsidP="007C4B17">
            <w:pPr>
              <w:pStyle w:val="Tabletext"/>
              <w:rPr>
                <w:lang w:eastAsia="zh-CN"/>
              </w:rPr>
            </w:pPr>
            <w:r w:rsidRPr="00AE3D78">
              <w:rPr>
                <w:lang w:eastAsia="zh-CN"/>
              </w:rPr>
              <w:t>Prudential</w:t>
            </w:r>
          </w:p>
        </w:tc>
        <w:tc>
          <w:tcPr>
            <w:tcW w:w="0" w:type="auto"/>
            <w:shd w:val="clear" w:color="auto" w:fill="auto"/>
            <w:noWrap/>
            <w:vAlign w:val="bottom"/>
          </w:tcPr>
          <w:p w14:paraId="39B23856" w14:textId="496178CD" w:rsidR="008244AC" w:rsidRPr="00AE3D78" w:rsidRDefault="008244AC" w:rsidP="007C4B17">
            <w:pPr>
              <w:pStyle w:val="Tabletext"/>
              <w:rPr>
                <w:lang w:eastAsia="zh-CN"/>
              </w:rPr>
            </w:pPr>
            <w:r w:rsidRPr="00AE3D78">
              <w:rPr>
                <w:lang w:eastAsia="zh-CN"/>
              </w:rPr>
              <w:t>Bharat Petroleum</w:t>
            </w:r>
          </w:p>
        </w:tc>
      </w:tr>
      <w:tr w:rsidR="008244AC" w:rsidRPr="00AE3D78" w14:paraId="26F41691" w14:textId="77777777" w:rsidTr="008244AC">
        <w:trPr>
          <w:trHeight w:val="288"/>
        </w:trPr>
        <w:tc>
          <w:tcPr>
            <w:tcW w:w="0" w:type="auto"/>
            <w:shd w:val="clear" w:color="auto" w:fill="auto"/>
            <w:noWrap/>
            <w:vAlign w:val="bottom"/>
            <w:hideMark/>
          </w:tcPr>
          <w:p w14:paraId="6F2AA7E0" w14:textId="77777777" w:rsidR="008244AC" w:rsidRPr="00AE3D78" w:rsidRDefault="008244AC" w:rsidP="007C4B17">
            <w:pPr>
              <w:pStyle w:val="Tabletext"/>
              <w:rPr>
                <w:lang w:eastAsia="zh-CN"/>
              </w:rPr>
            </w:pPr>
            <w:r w:rsidRPr="00AE3D78">
              <w:rPr>
                <w:lang w:eastAsia="zh-CN"/>
              </w:rPr>
              <w:t>Mitsubishi</w:t>
            </w:r>
          </w:p>
        </w:tc>
        <w:tc>
          <w:tcPr>
            <w:tcW w:w="0" w:type="auto"/>
            <w:shd w:val="clear" w:color="auto" w:fill="auto"/>
            <w:noWrap/>
            <w:vAlign w:val="bottom"/>
            <w:hideMark/>
          </w:tcPr>
          <w:p w14:paraId="5277237A" w14:textId="77777777" w:rsidR="008244AC" w:rsidRPr="00AE3D78" w:rsidRDefault="008244AC" w:rsidP="007C4B17">
            <w:pPr>
              <w:pStyle w:val="Tabletext"/>
              <w:rPr>
                <w:lang w:eastAsia="zh-CN"/>
              </w:rPr>
            </w:pPr>
            <w:r w:rsidRPr="00AE3D78">
              <w:rPr>
                <w:lang w:eastAsia="zh-CN"/>
              </w:rPr>
              <w:t>Deutsche Post DHL Group</w:t>
            </w:r>
          </w:p>
        </w:tc>
        <w:tc>
          <w:tcPr>
            <w:tcW w:w="0" w:type="auto"/>
            <w:shd w:val="clear" w:color="auto" w:fill="auto"/>
            <w:noWrap/>
            <w:vAlign w:val="bottom"/>
            <w:hideMark/>
          </w:tcPr>
          <w:p w14:paraId="3F98D6C3" w14:textId="77777777" w:rsidR="008244AC" w:rsidRPr="00AE3D78" w:rsidRDefault="008244AC" w:rsidP="007C4B17">
            <w:pPr>
              <w:pStyle w:val="Tabletext"/>
              <w:rPr>
                <w:lang w:eastAsia="zh-CN"/>
              </w:rPr>
            </w:pPr>
            <w:proofErr w:type="spellStart"/>
            <w:r w:rsidRPr="00AE3D78">
              <w:rPr>
                <w:lang w:eastAsia="zh-CN"/>
              </w:rPr>
              <w:t>Fortum</w:t>
            </w:r>
            <w:proofErr w:type="spellEnd"/>
          </w:p>
        </w:tc>
        <w:tc>
          <w:tcPr>
            <w:tcW w:w="0" w:type="auto"/>
            <w:shd w:val="clear" w:color="auto" w:fill="auto"/>
            <w:noWrap/>
            <w:vAlign w:val="bottom"/>
          </w:tcPr>
          <w:p w14:paraId="6573CFB4" w14:textId="3B641C60" w:rsidR="008244AC" w:rsidRPr="00AE3D78" w:rsidRDefault="008244AC" w:rsidP="007C4B17">
            <w:pPr>
              <w:pStyle w:val="Tabletext"/>
              <w:rPr>
                <w:lang w:eastAsia="zh-CN"/>
              </w:rPr>
            </w:pPr>
            <w:r w:rsidRPr="00AE3D78">
              <w:rPr>
                <w:lang w:eastAsia="zh-CN"/>
              </w:rPr>
              <w:t>SAP</w:t>
            </w:r>
          </w:p>
        </w:tc>
      </w:tr>
      <w:tr w:rsidR="008244AC" w:rsidRPr="00AE3D78" w14:paraId="6E4E7145" w14:textId="77777777" w:rsidTr="008244AC">
        <w:trPr>
          <w:trHeight w:val="288"/>
        </w:trPr>
        <w:tc>
          <w:tcPr>
            <w:tcW w:w="0" w:type="auto"/>
            <w:shd w:val="clear" w:color="auto" w:fill="auto"/>
            <w:noWrap/>
            <w:vAlign w:val="bottom"/>
            <w:hideMark/>
          </w:tcPr>
          <w:p w14:paraId="7D127AE9" w14:textId="77777777" w:rsidR="008244AC" w:rsidRPr="00AE3D78" w:rsidRDefault="008244AC" w:rsidP="007C4B17">
            <w:pPr>
              <w:pStyle w:val="Tabletext"/>
              <w:rPr>
                <w:lang w:eastAsia="zh-CN"/>
              </w:rPr>
            </w:pPr>
            <w:proofErr w:type="spellStart"/>
            <w:r w:rsidRPr="00AE3D78">
              <w:rPr>
                <w:lang w:eastAsia="zh-CN"/>
              </w:rPr>
              <w:t>TotalEnergies</w:t>
            </w:r>
            <w:proofErr w:type="spellEnd"/>
          </w:p>
        </w:tc>
        <w:tc>
          <w:tcPr>
            <w:tcW w:w="0" w:type="auto"/>
            <w:shd w:val="clear" w:color="auto" w:fill="auto"/>
            <w:noWrap/>
            <w:vAlign w:val="bottom"/>
            <w:hideMark/>
          </w:tcPr>
          <w:p w14:paraId="49022C5D" w14:textId="77777777" w:rsidR="008244AC" w:rsidRPr="00AE3D78" w:rsidRDefault="008244AC" w:rsidP="007C4B17">
            <w:pPr>
              <w:pStyle w:val="Tabletext"/>
              <w:rPr>
                <w:lang w:eastAsia="zh-CN"/>
              </w:rPr>
            </w:pPr>
            <w:r w:rsidRPr="00AE3D78">
              <w:rPr>
                <w:lang w:eastAsia="zh-CN"/>
              </w:rPr>
              <w:t>Nissan Motor</w:t>
            </w:r>
          </w:p>
        </w:tc>
        <w:tc>
          <w:tcPr>
            <w:tcW w:w="0" w:type="auto"/>
            <w:shd w:val="clear" w:color="auto" w:fill="auto"/>
            <w:noWrap/>
            <w:vAlign w:val="bottom"/>
            <w:hideMark/>
          </w:tcPr>
          <w:p w14:paraId="736CBF07" w14:textId="77777777" w:rsidR="008244AC" w:rsidRPr="00AE3D78" w:rsidRDefault="008244AC" w:rsidP="007C4B17">
            <w:pPr>
              <w:pStyle w:val="Tabletext"/>
              <w:rPr>
                <w:lang w:eastAsia="zh-CN"/>
              </w:rPr>
            </w:pPr>
            <w:r w:rsidRPr="00AE3D78">
              <w:rPr>
                <w:lang w:eastAsia="zh-CN"/>
              </w:rPr>
              <w:t>Tokyo Electric Power</w:t>
            </w:r>
          </w:p>
        </w:tc>
        <w:tc>
          <w:tcPr>
            <w:tcW w:w="0" w:type="auto"/>
            <w:shd w:val="clear" w:color="auto" w:fill="auto"/>
            <w:noWrap/>
            <w:vAlign w:val="bottom"/>
          </w:tcPr>
          <w:p w14:paraId="2DE9682E" w14:textId="0AA168CB" w:rsidR="008244AC" w:rsidRPr="00AE3D78" w:rsidRDefault="008244AC" w:rsidP="007C4B17">
            <w:pPr>
              <w:pStyle w:val="Tabletext"/>
              <w:rPr>
                <w:lang w:eastAsia="zh-CN"/>
              </w:rPr>
            </w:pPr>
            <w:r w:rsidRPr="00AE3D78">
              <w:rPr>
                <w:lang w:eastAsia="zh-CN"/>
              </w:rPr>
              <w:t>Suzuki Motor</w:t>
            </w:r>
          </w:p>
        </w:tc>
      </w:tr>
      <w:tr w:rsidR="008244AC" w:rsidRPr="00AE3D78" w14:paraId="1CDA7885" w14:textId="77777777" w:rsidTr="008244AC">
        <w:trPr>
          <w:trHeight w:val="288"/>
        </w:trPr>
        <w:tc>
          <w:tcPr>
            <w:tcW w:w="0" w:type="auto"/>
            <w:shd w:val="clear" w:color="auto" w:fill="auto"/>
            <w:noWrap/>
            <w:vAlign w:val="bottom"/>
            <w:hideMark/>
          </w:tcPr>
          <w:p w14:paraId="525C459F" w14:textId="77777777" w:rsidR="008244AC" w:rsidRPr="00AE3D78" w:rsidRDefault="008244AC" w:rsidP="007C4B17">
            <w:pPr>
              <w:pStyle w:val="Tabletext"/>
              <w:rPr>
                <w:lang w:eastAsia="zh-CN"/>
              </w:rPr>
            </w:pPr>
            <w:r w:rsidRPr="00AE3D78">
              <w:rPr>
                <w:lang w:eastAsia="zh-CN"/>
              </w:rPr>
              <w:t>Deutsche Telekom</w:t>
            </w:r>
          </w:p>
        </w:tc>
        <w:tc>
          <w:tcPr>
            <w:tcW w:w="0" w:type="auto"/>
            <w:shd w:val="clear" w:color="auto" w:fill="auto"/>
            <w:noWrap/>
            <w:vAlign w:val="bottom"/>
            <w:hideMark/>
          </w:tcPr>
          <w:p w14:paraId="38E7D1C8" w14:textId="77777777" w:rsidR="008244AC" w:rsidRPr="00AE3D78" w:rsidRDefault="008244AC" w:rsidP="007C4B17">
            <w:pPr>
              <w:pStyle w:val="Tabletext"/>
              <w:rPr>
                <w:lang w:eastAsia="zh-CN"/>
              </w:rPr>
            </w:pPr>
            <w:r w:rsidRPr="00AE3D78">
              <w:rPr>
                <w:lang w:eastAsia="zh-CN"/>
              </w:rPr>
              <w:t>Munich Re Group</w:t>
            </w:r>
          </w:p>
        </w:tc>
        <w:tc>
          <w:tcPr>
            <w:tcW w:w="0" w:type="auto"/>
            <w:shd w:val="clear" w:color="auto" w:fill="auto"/>
            <w:noWrap/>
            <w:vAlign w:val="bottom"/>
            <w:hideMark/>
          </w:tcPr>
          <w:p w14:paraId="3067CA83" w14:textId="77777777" w:rsidR="008244AC" w:rsidRPr="00AE3D78" w:rsidRDefault="008244AC" w:rsidP="007C4B17">
            <w:pPr>
              <w:pStyle w:val="Tabletext"/>
              <w:rPr>
                <w:lang w:eastAsia="zh-CN"/>
              </w:rPr>
            </w:pPr>
            <w:r w:rsidRPr="00AE3D78">
              <w:rPr>
                <w:lang w:eastAsia="zh-CN"/>
              </w:rPr>
              <w:t>Seven &amp; I Holdings</w:t>
            </w:r>
          </w:p>
        </w:tc>
        <w:tc>
          <w:tcPr>
            <w:tcW w:w="0" w:type="auto"/>
            <w:shd w:val="clear" w:color="auto" w:fill="auto"/>
            <w:noWrap/>
            <w:vAlign w:val="bottom"/>
          </w:tcPr>
          <w:p w14:paraId="18D0C9CD" w14:textId="6D3DE605" w:rsidR="008244AC" w:rsidRPr="00AE3D78" w:rsidRDefault="008244AC" w:rsidP="007C4B17">
            <w:pPr>
              <w:pStyle w:val="Tabletext"/>
              <w:rPr>
                <w:lang w:eastAsia="zh-CN"/>
              </w:rPr>
            </w:pPr>
            <w:proofErr w:type="spellStart"/>
            <w:r w:rsidRPr="00AE3D78">
              <w:rPr>
                <w:lang w:eastAsia="zh-CN"/>
              </w:rPr>
              <w:t>Wistron</w:t>
            </w:r>
            <w:proofErr w:type="spellEnd"/>
          </w:p>
        </w:tc>
      </w:tr>
      <w:tr w:rsidR="008244AC" w:rsidRPr="00AE3D78" w14:paraId="070B5F86" w14:textId="77777777" w:rsidTr="008244AC">
        <w:trPr>
          <w:trHeight w:val="288"/>
        </w:trPr>
        <w:tc>
          <w:tcPr>
            <w:tcW w:w="0" w:type="auto"/>
            <w:shd w:val="clear" w:color="auto" w:fill="auto"/>
            <w:noWrap/>
            <w:vAlign w:val="bottom"/>
            <w:hideMark/>
          </w:tcPr>
          <w:p w14:paraId="044E3EE4" w14:textId="77777777" w:rsidR="008244AC" w:rsidRPr="00AE3D78" w:rsidRDefault="008244AC" w:rsidP="007C4B17">
            <w:pPr>
              <w:pStyle w:val="Tabletext"/>
              <w:rPr>
                <w:lang w:eastAsia="zh-CN"/>
              </w:rPr>
            </w:pPr>
            <w:r w:rsidRPr="00AE3D78">
              <w:rPr>
                <w:lang w:eastAsia="zh-CN"/>
              </w:rPr>
              <w:t>BMW Group</w:t>
            </w:r>
          </w:p>
        </w:tc>
        <w:tc>
          <w:tcPr>
            <w:tcW w:w="0" w:type="auto"/>
            <w:shd w:val="clear" w:color="auto" w:fill="auto"/>
            <w:noWrap/>
            <w:vAlign w:val="bottom"/>
            <w:hideMark/>
          </w:tcPr>
          <w:p w14:paraId="48CF69A0" w14:textId="77777777" w:rsidR="008244AC" w:rsidRPr="00AE3D78" w:rsidRDefault="008244AC" w:rsidP="007C4B17">
            <w:pPr>
              <w:pStyle w:val="Tabletext"/>
              <w:rPr>
                <w:lang w:eastAsia="zh-CN"/>
              </w:rPr>
            </w:pPr>
            <w:r w:rsidRPr="00AE3D78">
              <w:rPr>
                <w:lang w:eastAsia="zh-CN"/>
              </w:rPr>
              <w:t>Enel</w:t>
            </w:r>
          </w:p>
        </w:tc>
        <w:tc>
          <w:tcPr>
            <w:tcW w:w="0" w:type="auto"/>
            <w:shd w:val="clear" w:color="auto" w:fill="auto"/>
            <w:noWrap/>
            <w:vAlign w:val="bottom"/>
            <w:hideMark/>
          </w:tcPr>
          <w:p w14:paraId="5813ECD3" w14:textId="77777777" w:rsidR="008244AC" w:rsidRPr="00AE3D78" w:rsidRDefault="008244AC" w:rsidP="007C4B17">
            <w:pPr>
              <w:pStyle w:val="Tabletext"/>
              <w:rPr>
                <w:lang w:eastAsia="zh-CN"/>
              </w:rPr>
            </w:pPr>
            <w:r w:rsidRPr="00AE3D78">
              <w:rPr>
                <w:lang w:eastAsia="zh-CN"/>
              </w:rPr>
              <w:t>LG Electronics</w:t>
            </w:r>
          </w:p>
        </w:tc>
        <w:tc>
          <w:tcPr>
            <w:tcW w:w="0" w:type="auto"/>
            <w:shd w:val="clear" w:color="auto" w:fill="auto"/>
            <w:noWrap/>
            <w:vAlign w:val="bottom"/>
          </w:tcPr>
          <w:p w14:paraId="0F71425B" w14:textId="7AAE4972" w:rsidR="008244AC" w:rsidRPr="00AE3D78" w:rsidRDefault="008244AC" w:rsidP="007C4B17">
            <w:pPr>
              <w:pStyle w:val="Tabletext"/>
              <w:rPr>
                <w:lang w:eastAsia="zh-CN"/>
              </w:rPr>
            </w:pPr>
            <w:r w:rsidRPr="00AE3D78">
              <w:rPr>
                <w:lang w:eastAsia="zh-CN"/>
              </w:rPr>
              <w:t>Bridgestone</w:t>
            </w:r>
          </w:p>
        </w:tc>
      </w:tr>
      <w:tr w:rsidR="008244AC" w:rsidRPr="00AE3D78" w14:paraId="47FC6520" w14:textId="77777777" w:rsidTr="008244AC">
        <w:trPr>
          <w:trHeight w:val="288"/>
        </w:trPr>
        <w:tc>
          <w:tcPr>
            <w:tcW w:w="0" w:type="auto"/>
            <w:shd w:val="clear" w:color="auto" w:fill="auto"/>
            <w:noWrap/>
            <w:vAlign w:val="bottom"/>
            <w:hideMark/>
          </w:tcPr>
          <w:p w14:paraId="5A5C4F93" w14:textId="77777777" w:rsidR="008244AC" w:rsidRPr="00AE3D78" w:rsidRDefault="008244AC" w:rsidP="007C4B17">
            <w:pPr>
              <w:pStyle w:val="Tabletext"/>
              <w:rPr>
                <w:lang w:eastAsia="zh-CN"/>
              </w:rPr>
            </w:pPr>
            <w:r w:rsidRPr="00AE3D78">
              <w:rPr>
                <w:lang w:eastAsia="zh-CN"/>
              </w:rPr>
              <w:lastRenderedPageBreak/>
              <w:t>Nippon Telegraph and Telephone</w:t>
            </w:r>
          </w:p>
        </w:tc>
        <w:tc>
          <w:tcPr>
            <w:tcW w:w="0" w:type="auto"/>
            <w:shd w:val="clear" w:color="auto" w:fill="auto"/>
            <w:noWrap/>
            <w:vAlign w:val="bottom"/>
            <w:hideMark/>
          </w:tcPr>
          <w:p w14:paraId="2265A793" w14:textId="77777777" w:rsidR="008244AC" w:rsidRPr="00AE3D78" w:rsidRDefault="008244AC" w:rsidP="007C4B17">
            <w:pPr>
              <w:pStyle w:val="Tabletext"/>
              <w:rPr>
                <w:lang w:eastAsia="zh-CN"/>
              </w:rPr>
            </w:pPr>
            <w:proofErr w:type="spellStart"/>
            <w:r w:rsidRPr="00AE3D78">
              <w:rPr>
                <w:lang w:eastAsia="zh-CN"/>
              </w:rPr>
              <w:t>Dai-ichi</w:t>
            </w:r>
            <w:proofErr w:type="spellEnd"/>
            <w:r w:rsidRPr="00AE3D78">
              <w:rPr>
                <w:lang w:eastAsia="zh-CN"/>
              </w:rPr>
              <w:t xml:space="preserve"> Life Holdings</w:t>
            </w:r>
          </w:p>
        </w:tc>
        <w:tc>
          <w:tcPr>
            <w:tcW w:w="0" w:type="auto"/>
            <w:shd w:val="clear" w:color="auto" w:fill="auto"/>
            <w:noWrap/>
            <w:vAlign w:val="bottom"/>
            <w:hideMark/>
          </w:tcPr>
          <w:p w14:paraId="30DA7ED5" w14:textId="77777777" w:rsidR="008244AC" w:rsidRPr="00AE3D78" w:rsidRDefault="008244AC" w:rsidP="007C4B17">
            <w:pPr>
              <w:pStyle w:val="Tabletext"/>
              <w:rPr>
                <w:lang w:eastAsia="zh-CN"/>
              </w:rPr>
            </w:pPr>
            <w:proofErr w:type="spellStart"/>
            <w:r w:rsidRPr="00AE3D78">
              <w:rPr>
                <w:lang w:eastAsia="zh-CN"/>
              </w:rPr>
              <w:t>Rosneft</w:t>
            </w:r>
            <w:proofErr w:type="spellEnd"/>
            <w:r w:rsidRPr="00AE3D78">
              <w:rPr>
                <w:lang w:eastAsia="zh-CN"/>
              </w:rPr>
              <w:t xml:space="preserve"> Oil</w:t>
            </w:r>
          </w:p>
        </w:tc>
        <w:tc>
          <w:tcPr>
            <w:tcW w:w="0" w:type="auto"/>
            <w:shd w:val="clear" w:color="auto" w:fill="auto"/>
            <w:noWrap/>
            <w:vAlign w:val="bottom"/>
          </w:tcPr>
          <w:p w14:paraId="49406F58" w14:textId="0B448F88" w:rsidR="008244AC" w:rsidRPr="00AE3D78" w:rsidRDefault="008244AC" w:rsidP="007C4B17">
            <w:pPr>
              <w:pStyle w:val="Tabletext"/>
              <w:rPr>
                <w:lang w:eastAsia="zh-CN"/>
              </w:rPr>
            </w:pPr>
            <w:r w:rsidRPr="00AE3D78">
              <w:rPr>
                <w:lang w:eastAsia="zh-CN"/>
              </w:rPr>
              <w:t>BT Group</w:t>
            </w:r>
          </w:p>
        </w:tc>
      </w:tr>
      <w:tr w:rsidR="008244AC" w:rsidRPr="00AE3D78" w14:paraId="5E2EE741" w14:textId="77777777" w:rsidTr="008244AC">
        <w:trPr>
          <w:trHeight w:val="288"/>
        </w:trPr>
        <w:tc>
          <w:tcPr>
            <w:tcW w:w="0" w:type="auto"/>
            <w:shd w:val="clear" w:color="auto" w:fill="auto"/>
            <w:noWrap/>
            <w:vAlign w:val="bottom"/>
            <w:hideMark/>
          </w:tcPr>
          <w:p w14:paraId="38C05484" w14:textId="77777777" w:rsidR="008244AC" w:rsidRPr="00AE3D78" w:rsidRDefault="008244AC" w:rsidP="007C4B17">
            <w:pPr>
              <w:pStyle w:val="Tabletext"/>
              <w:rPr>
                <w:lang w:eastAsia="zh-CN"/>
              </w:rPr>
            </w:pPr>
            <w:r w:rsidRPr="00AE3D78">
              <w:rPr>
                <w:lang w:eastAsia="zh-CN"/>
              </w:rPr>
              <w:t>China Mobile Communications</w:t>
            </w:r>
          </w:p>
        </w:tc>
        <w:tc>
          <w:tcPr>
            <w:tcW w:w="0" w:type="auto"/>
            <w:shd w:val="clear" w:color="auto" w:fill="auto"/>
            <w:noWrap/>
            <w:vAlign w:val="bottom"/>
            <w:hideMark/>
          </w:tcPr>
          <w:p w14:paraId="45772844" w14:textId="77777777" w:rsidR="008244AC" w:rsidRPr="00AE3D78" w:rsidRDefault="008244AC" w:rsidP="007C4B17">
            <w:pPr>
              <w:pStyle w:val="Tabletext"/>
              <w:rPr>
                <w:lang w:eastAsia="zh-CN"/>
              </w:rPr>
            </w:pPr>
            <w:r w:rsidRPr="00AE3D78">
              <w:rPr>
                <w:lang w:eastAsia="zh-CN"/>
              </w:rPr>
              <w:t>Banco Santander</w:t>
            </w:r>
          </w:p>
        </w:tc>
        <w:tc>
          <w:tcPr>
            <w:tcW w:w="0" w:type="auto"/>
            <w:shd w:val="clear" w:color="auto" w:fill="auto"/>
            <w:noWrap/>
            <w:vAlign w:val="bottom"/>
            <w:hideMark/>
          </w:tcPr>
          <w:p w14:paraId="07508A27" w14:textId="77777777" w:rsidR="008244AC" w:rsidRPr="00AE3D78" w:rsidRDefault="008244AC" w:rsidP="007C4B17">
            <w:pPr>
              <w:pStyle w:val="Tabletext"/>
              <w:rPr>
                <w:lang w:eastAsia="zh-CN"/>
              </w:rPr>
            </w:pPr>
            <w:r w:rsidRPr="00AE3D78">
              <w:rPr>
                <w:lang w:eastAsia="zh-CN"/>
              </w:rPr>
              <w:t>Industrial Bank</w:t>
            </w:r>
          </w:p>
        </w:tc>
        <w:tc>
          <w:tcPr>
            <w:tcW w:w="0" w:type="auto"/>
            <w:shd w:val="clear" w:color="auto" w:fill="auto"/>
            <w:noWrap/>
            <w:vAlign w:val="bottom"/>
          </w:tcPr>
          <w:p w14:paraId="37D0BEA7" w14:textId="60430449" w:rsidR="008244AC" w:rsidRPr="00AE3D78" w:rsidRDefault="008244AC" w:rsidP="007C4B17">
            <w:pPr>
              <w:pStyle w:val="Tabletext"/>
              <w:rPr>
                <w:lang w:eastAsia="zh-CN"/>
              </w:rPr>
            </w:pPr>
            <w:r w:rsidRPr="00AE3D78">
              <w:rPr>
                <w:lang w:eastAsia="zh-CN"/>
              </w:rPr>
              <w:t>SK Hynix</w:t>
            </w:r>
          </w:p>
        </w:tc>
      </w:tr>
      <w:tr w:rsidR="008244AC" w:rsidRPr="00AE3D78" w14:paraId="0269706D" w14:textId="77777777" w:rsidTr="008244AC">
        <w:trPr>
          <w:trHeight w:val="288"/>
        </w:trPr>
        <w:tc>
          <w:tcPr>
            <w:tcW w:w="0" w:type="auto"/>
            <w:shd w:val="clear" w:color="auto" w:fill="auto"/>
            <w:noWrap/>
            <w:vAlign w:val="bottom"/>
            <w:hideMark/>
          </w:tcPr>
          <w:p w14:paraId="486A999B" w14:textId="77777777" w:rsidR="008244AC" w:rsidRPr="00AE3D78" w:rsidRDefault="008244AC" w:rsidP="007C4B17">
            <w:pPr>
              <w:pStyle w:val="Tabletext"/>
              <w:rPr>
                <w:lang w:eastAsia="zh-CN"/>
              </w:rPr>
            </w:pPr>
            <w:r w:rsidRPr="00AE3D78">
              <w:rPr>
                <w:lang w:eastAsia="zh-CN"/>
              </w:rPr>
              <w:t>Japan Post Holdings</w:t>
            </w:r>
          </w:p>
        </w:tc>
        <w:tc>
          <w:tcPr>
            <w:tcW w:w="0" w:type="auto"/>
            <w:shd w:val="clear" w:color="auto" w:fill="auto"/>
            <w:noWrap/>
            <w:vAlign w:val="bottom"/>
            <w:hideMark/>
          </w:tcPr>
          <w:p w14:paraId="3C93A5DA" w14:textId="77777777" w:rsidR="008244AC" w:rsidRPr="00AE3D78" w:rsidRDefault="008244AC" w:rsidP="007C4B17">
            <w:pPr>
              <w:pStyle w:val="Tabletext"/>
              <w:rPr>
                <w:lang w:eastAsia="zh-CN"/>
              </w:rPr>
            </w:pPr>
            <w:r w:rsidRPr="00AE3D78">
              <w:rPr>
                <w:lang w:eastAsia="zh-CN"/>
              </w:rPr>
              <w:t xml:space="preserve">China </w:t>
            </w:r>
            <w:proofErr w:type="spellStart"/>
            <w:r w:rsidRPr="00AE3D78">
              <w:rPr>
                <w:lang w:eastAsia="zh-CN"/>
              </w:rPr>
              <w:t>Evergrande</w:t>
            </w:r>
            <w:proofErr w:type="spellEnd"/>
            <w:r w:rsidRPr="00AE3D78">
              <w:rPr>
                <w:lang w:eastAsia="zh-CN"/>
              </w:rPr>
              <w:t xml:space="preserve"> Group</w:t>
            </w:r>
          </w:p>
        </w:tc>
        <w:tc>
          <w:tcPr>
            <w:tcW w:w="0" w:type="auto"/>
            <w:shd w:val="clear" w:color="auto" w:fill="auto"/>
            <w:noWrap/>
            <w:vAlign w:val="bottom"/>
            <w:hideMark/>
          </w:tcPr>
          <w:p w14:paraId="074E6E2C" w14:textId="77777777" w:rsidR="008244AC" w:rsidRPr="00AE3D78" w:rsidRDefault="008244AC" w:rsidP="007C4B17">
            <w:pPr>
              <w:pStyle w:val="Tabletext"/>
              <w:rPr>
                <w:lang w:eastAsia="zh-CN"/>
              </w:rPr>
            </w:pPr>
            <w:proofErr w:type="spellStart"/>
            <w:r w:rsidRPr="00AE3D78">
              <w:rPr>
                <w:lang w:eastAsia="zh-CN"/>
              </w:rPr>
              <w:t>ArcelorMittal</w:t>
            </w:r>
            <w:proofErr w:type="spellEnd"/>
          </w:p>
        </w:tc>
        <w:tc>
          <w:tcPr>
            <w:tcW w:w="0" w:type="auto"/>
            <w:shd w:val="clear" w:color="auto" w:fill="auto"/>
            <w:noWrap/>
            <w:vAlign w:val="bottom"/>
          </w:tcPr>
          <w:p w14:paraId="66E53685" w14:textId="060840FC" w:rsidR="008244AC" w:rsidRPr="00AE3D78" w:rsidRDefault="008244AC" w:rsidP="007C4B17">
            <w:pPr>
              <w:pStyle w:val="Tabletext"/>
              <w:rPr>
                <w:lang w:eastAsia="zh-CN"/>
              </w:rPr>
            </w:pPr>
            <w:r w:rsidRPr="00AE3D78">
              <w:rPr>
                <w:lang w:eastAsia="zh-CN"/>
              </w:rPr>
              <w:t>Danone</w:t>
            </w:r>
          </w:p>
        </w:tc>
      </w:tr>
      <w:tr w:rsidR="008244AC" w:rsidRPr="00AE3D78" w14:paraId="144FB2A8" w14:textId="77777777" w:rsidTr="008244AC">
        <w:trPr>
          <w:trHeight w:val="288"/>
        </w:trPr>
        <w:tc>
          <w:tcPr>
            <w:tcW w:w="0" w:type="auto"/>
            <w:shd w:val="clear" w:color="auto" w:fill="auto"/>
            <w:noWrap/>
            <w:vAlign w:val="bottom"/>
            <w:hideMark/>
          </w:tcPr>
          <w:p w14:paraId="220AAC7D" w14:textId="77777777" w:rsidR="008244AC" w:rsidRPr="00AE3D78" w:rsidRDefault="008244AC" w:rsidP="007C4B17">
            <w:pPr>
              <w:pStyle w:val="Tabletext"/>
              <w:rPr>
                <w:lang w:eastAsia="zh-CN"/>
              </w:rPr>
            </w:pPr>
            <w:r w:rsidRPr="00AE3D78">
              <w:rPr>
                <w:lang w:eastAsia="zh-CN"/>
              </w:rPr>
              <w:t>JD.com</w:t>
            </w:r>
          </w:p>
        </w:tc>
        <w:tc>
          <w:tcPr>
            <w:tcW w:w="0" w:type="auto"/>
            <w:shd w:val="clear" w:color="auto" w:fill="auto"/>
            <w:noWrap/>
            <w:vAlign w:val="bottom"/>
            <w:hideMark/>
          </w:tcPr>
          <w:p w14:paraId="0E87F54E" w14:textId="77777777" w:rsidR="008244AC" w:rsidRPr="00AE3D78" w:rsidRDefault="008244AC" w:rsidP="007C4B17">
            <w:pPr>
              <w:pStyle w:val="Tabletext"/>
              <w:rPr>
                <w:lang w:eastAsia="zh-CN"/>
              </w:rPr>
            </w:pPr>
            <w:r w:rsidRPr="00AE3D78">
              <w:rPr>
                <w:lang w:eastAsia="zh-CN"/>
              </w:rPr>
              <w:t>Lukoil</w:t>
            </w:r>
          </w:p>
        </w:tc>
        <w:tc>
          <w:tcPr>
            <w:tcW w:w="0" w:type="auto"/>
            <w:shd w:val="clear" w:color="auto" w:fill="auto"/>
            <w:noWrap/>
            <w:vAlign w:val="bottom"/>
            <w:hideMark/>
          </w:tcPr>
          <w:p w14:paraId="10DA7D2B" w14:textId="77777777" w:rsidR="008244AC" w:rsidRPr="00AE3D78" w:rsidRDefault="008244AC" w:rsidP="007C4B17">
            <w:pPr>
              <w:pStyle w:val="Tabletext"/>
              <w:rPr>
                <w:lang w:eastAsia="zh-CN"/>
              </w:rPr>
            </w:pPr>
            <w:proofErr w:type="spellStart"/>
            <w:r w:rsidRPr="00AE3D78">
              <w:rPr>
                <w:lang w:eastAsia="zh-CN"/>
              </w:rPr>
              <w:t>Aluminum</w:t>
            </w:r>
            <w:proofErr w:type="spellEnd"/>
            <w:r w:rsidRPr="00AE3D78">
              <w:rPr>
                <w:lang w:eastAsia="zh-CN"/>
              </w:rPr>
              <w:t xml:space="preserve"> Corp. of China</w:t>
            </w:r>
          </w:p>
        </w:tc>
        <w:tc>
          <w:tcPr>
            <w:tcW w:w="0" w:type="auto"/>
            <w:shd w:val="clear" w:color="auto" w:fill="auto"/>
            <w:noWrap/>
            <w:vAlign w:val="bottom"/>
          </w:tcPr>
          <w:p w14:paraId="29008735" w14:textId="05B1BC92" w:rsidR="008244AC" w:rsidRPr="00AE3D78" w:rsidRDefault="008244AC" w:rsidP="007C4B17">
            <w:pPr>
              <w:pStyle w:val="Tabletext"/>
              <w:rPr>
                <w:lang w:eastAsia="zh-CN"/>
              </w:rPr>
            </w:pPr>
            <w:proofErr w:type="spellStart"/>
            <w:r w:rsidRPr="00AE3D78">
              <w:rPr>
                <w:lang w:eastAsia="zh-CN"/>
              </w:rPr>
              <w:t>Longfor</w:t>
            </w:r>
            <w:proofErr w:type="spellEnd"/>
            <w:r w:rsidRPr="00AE3D78">
              <w:rPr>
                <w:lang w:eastAsia="zh-CN"/>
              </w:rPr>
              <w:t xml:space="preserve"> Group Holdings</w:t>
            </w:r>
          </w:p>
        </w:tc>
      </w:tr>
      <w:tr w:rsidR="008244AC" w:rsidRPr="00AE3D78" w14:paraId="23DD2A7B" w14:textId="77777777" w:rsidTr="008244AC">
        <w:trPr>
          <w:trHeight w:val="288"/>
        </w:trPr>
        <w:tc>
          <w:tcPr>
            <w:tcW w:w="0" w:type="auto"/>
            <w:shd w:val="clear" w:color="auto" w:fill="auto"/>
            <w:noWrap/>
            <w:vAlign w:val="bottom"/>
            <w:hideMark/>
          </w:tcPr>
          <w:p w14:paraId="50858590" w14:textId="77777777" w:rsidR="008244AC" w:rsidRPr="00AE3D78" w:rsidRDefault="008244AC" w:rsidP="007C4B17">
            <w:pPr>
              <w:pStyle w:val="Tabletext"/>
              <w:rPr>
                <w:lang w:eastAsia="zh-CN"/>
              </w:rPr>
            </w:pPr>
            <w:r w:rsidRPr="00AE3D78">
              <w:rPr>
                <w:lang w:eastAsia="zh-CN"/>
              </w:rPr>
              <w:t>SAIC Motor</w:t>
            </w:r>
          </w:p>
        </w:tc>
        <w:tc>
          <w:tcPr>
            <w:tcW w:w="0" w:type="auto"/>
            <w:shd w:val="clear" w:color="auto" w:fill="auto"/>
            <w:noWrap/>
            <w:vAlign w:val="bottom"/>
            <w:hideMark/>
          </w:tcPr>
          <w:p w14:paraId="2D61B76F" w14:textId="77777777" w:rsidR="008244AC" w:rsidRPr="00AE3D78" w:rsidRDefault="008244AC" w:rsidP="007C4B17">
            <w:pPr>
              <w:pStyle w:val="Tabletext"/>
              <w:rPr>
                <w:lang w:eastAsia="zh-CN"/>
              </w:rPr>
            </w:pPr>
            <w:r w:rsidRPr="00AE3D78">
              <w:rPr>
                <w:lang w:eastAsia="zh-CN"/>
              </w:rPr>
              <w:t>SK</w:t>
            </w:r>
          </w:p>
        </w:tc>
        <w:tc>
          <w:tcPr>
            <w:tcW w:w="0" w:type="auto"/>
            <w:shd w:val="clear" w:color="auto" w:fill="auto"/>
            <w:noWrap/>
            <w:vAlign w:val="bottom"/>
            <w:hideMark/>
          </w:tcPr>
          <w:p w14:paraId="18C6FA2A" w14:textId="77777777" w:rsidR="008244AC" w:rsidRPr="00AE3D78" w:rsidRDefault="008244AC" w:rsidP="007C4B17">
            <w:pPr>
              <w:pStyle w:val="Tabletext"/>
              <w:rPr>
                <w:lang w:eastAsia="zh-CN"/>
              </w:rPr>
            </w:pPr>
            <w:r w:rsidRPr="00AE3D78">
              <w:rPr>
                <w:lang w:eastAsia="zh-CN"/>
              </w:rPr>
              <w:t xml:space="preserve">Shanghai </w:t>
            </w:r>
            <w:proofErr w:type="spellStart"/>
            <w:r w:rsidRPr="00AE3D78">
              <w:rPr>
                <w:lang w:eastAsia="zh-CN"/>
              </w:rPr>
              <w:t>Pudong</w:t>
            </w:r>
            <w:proofErr w:type="spellEnd"/>
            <w:r w:rsidRPr="00AE3D78">
              <w:rPr>
                <w:lang w:eastAsia="zh-CN"/>
              </w:rPr>
              <w:t xml:space="preserve"> Development Bank</w:t>
            </w:r>
          </w:p>
        </w:tc>
        <w:tc>
          <w:tcPr>
            <w:tcW w:w="0" w:type="auto"/>
            <w:shd w:val="clear" w:color="auto" w:fill="auto"/>
            <w:noWrap/>
            <w:vAlign w:val="bottom"/>
          </w:tcPr>
          <w:p w14:paraId="2477D2C2" w14:textId="0E9BE949" w:rsidR="008244AC" w:rsidRPr="00AE3D78" w:rsidRDefault="008244AC" w:rsidP="007C4B17">
            <w:pPr>
              <w:pStyle w:val="Tabletext"/>
              <w:rPr>
                <w:lang w:eastAsia="zh-CN"/>
              </w:rPr>
            </w:pPr>
            <w:r w:rsidRPr="00AE3D78">
              <w:rPr>
                <w:lang w:eastAsia="zh-CN"/>
              </w:rPr>
              <w:t>Flex</w:t>
            </w:r>
          </w:p>
        </w:tc>
      </w:tr>
      <w:tr w:rsidR="008244AC" w:rsidRPr="00AE3D78" w14:paraId="4041D8AB" w14:textId="77777777" w:rsidTr="008244AC">
        <w:trPr>
          <w:trHeight w:val="288"/>
        </w:trPr>
        <w:tc>
          <w:tcPr>
            <w:tcW w:w="0" w:type="auto"/>
            <w:shd w:val="clear" w:color="auto" w:fill="auto"/>
            <w:noWrap/>
            <w:vAlign w:val="bottom"/>
            <w:hideMark/>
          </w:tcPr>
          <w:p w14:paraId="76B36787" w14:textId="77777777" w:rsidR="008244AC" w:rsidRPr="00AE3D78" w:rsidRDefault="008244AC" w:rsidP="007C4B17">
            <w:pPr>
              <w:pStyle w:val="Tabletext"/>
              <w:rPr>
                <w:lang w:eastAsia="zh-CN"/>
              </w:rPr>
            </w:pPr>
            <w:r w:rsidRPr="00AE3D78">
              <w:rPr>
                <w:lang w:eastAsia="zh-CN"/>
              </w:rPr>
              <w:t>China Communications Construction</w:t>
            </w:r>
          </w:p>
        </w:tc>
        <w:tc>
          <w:tcPr>
            <w:tcW w:w="0" w:type="auto"/>
            <w:shd w:val="clear" w:color="auto" w:fill="auto"/>
            <w:noWrap/>
            <w:vAlign w:val="bottom"/>
            <w:hideMark/>
          </w:tcPr>
          <w:p w14:paraId="5B97A4BF" w14:textId="341CFA4E" w:rsidR="008244AC" w:rsidRPr="00AE3D78" w:rsidRDefault="00F07293" w:rsidP="007C4B17">
            <w:pPr>
              <w:pStyle w:val="Tabletext"/>
              <w:rPr>
                <w:lang w:eastAsia="zh-CN"/>
              </w:rPr>
            </w:pPr>
            <w:r w:rsidRPr="00AE3D78">
              <w:rPr>
                <w:lang w:eastAsia="zh-CN"/>
              </w:rPr>
              <w:t>E. ON</w:t>
            </w:r>
          </w:p>
        </w:tc>
        <w:tc>
          <w:tcPr>
            <w:tcW w:w="0" w:type="auto"/>
            <w:shd w:val="clear" w:color="auto" w:fill="auto"/>
            <w:noWrap/>
            <w:vAlign w:val="bottom"/>
            <w:hideMark/>
          </w:tcPr>
          <w:p w14:paraId="63981338" w14:textId="77777777" w:rsidR="008244AC" w:rsidRPr="00AE3D78" w:rsidRDefault="008244AC" w:rsidP="007C4B17">
            <w:pPr>
              <w:pStyle w:val="Tabletext"/>
              <w:rPr>
                <w:lang w:eastAsia="zh-CN"/>
              </w:rPr>
            </w:pPr>
            <w:proofErr w:type="spellStart"/>
            <w:r w:rsidRPr="00AE3D78">
              <w:rPr>
                <w:lang w:eastAsia="zh-CN"/>
              </w:rPr>
              <w:t>Société</w:t>
            </w:r>
            <w:proofErr w:type="spellEnd"/>
            <w:r w:rsidRPr="00AE3D78">
              <w:rPr>
                <w:lang w:eastAsia="zh-CN"/>
              </w:rPr>
              <w:t xml:space="preserve"> </w:t>
            </w:r>
            <w:proofErr w:type="spellStart"/>
            <w:r w:rsidRPr="00AE3D78">
              <w:rPr>
                <w:lang w:eastAsia="zh-CN"/>
              </w:rPr>
              <w:t>Générale</w:t>
            </w:r>
            <w:proofErr w:type="spellEnd"/>
          </w:p>
        </w:tc>
        <w:tc>
          <w:tcPr>
            <w:tcW w:w="0" w:type="auto"/>
            <w:shd w:val="clear" w:color="auto" w:fill="auto"/>
            <w:noWrap/>
            <w:vAlign w:val="bottom"/>
          </w:tcPr>
          <w:p w14:paraId="5C263165" w14:textId="2F81B07E" w:rsidR="008244AC" w:rsidRPr="00AE3D78" w:rsidRDefault="008244AC" w:rsidP="007C4B17">
            <w:pPr>
              <w:pStyle w:val="Tabletext"/>
              <w:rPr>
                <w:lang w:eastAsia="zh-CN"/>
              </w:rPr>
            </w:pPr>
          </w:p>
        </w:tc>
      </w:tr>
      <w:tr w:rsidR="008244AC" w:rsidRPr="00AE3D78" w14:paraId="4D643303" w14:textId="77777777" w:rsidTr="00EB2DF2">
        <w:trPr>
          <w:trHeight w:val="288"/>
        </w:trPr>
        <w:tc>
          <w:tcPr>
            <w:tcW w:w="0" w:type="auto"/>
            <w:shd w:val="clear" w:color="auto" w:fill="auto"/>
            <w:noWrap/>
            <w:vAlign w:val="bottom"/>
            <w:hideMark/>
          </w:tcPr>
          <w:p w14:paraId="3921DDF4" w14:textId="77777777" w:rsidR="008244AC" w:rsidRPr="00AE3D78" w:rsidRDefault="008244AC" w:rsidP="007C4B17">
            <w:pPr>
              <w:pStyle w:val="Tabletext"/>
              <w:rPr>
                <w:lang w:eastAsia="zh-CN"/>
              </w:rPr>
            </w:pPr>
            <w:r w:rsidRPr="00AE3D78">
              <w:rPr>
                <w:lang w:eastAsia="zh-CN"/>
              </w:rPr>
              <w:t>Alibaba Group Holding</w:t>
            </w:r>
          </w:p>
        </w:tc>
        <w:tc>
          <w:tcPr>
            <w:tcW w:w="0" w:type="auto"/>
            <w:shd w:val="clear" w:color="auto" w:fill="auto"/>
            <w:noWrap/>
            <w:vAlign w:val="bottom"/>
            <w:hideMark/>
          </w:tcPr>
          <w:p w14:paraId="634CBE91" w14:textId="77777777" w:rsidR="008244AC" w:rsidRPr="00AE3D78" w:rsidRDefault="008244AC" w:rsidP="007C4B17">
            <w:pPr>
              <w:pStyle w:val="Tabletext"/>
              <w:rPr>
                <w:lang w:eastAsia="zh-CN"/>
              </w:rPr>
            </w:pPr>
            <w:proofErr w:type="spellStart"/>
            <w:r w:rsidRPr="00AE3D78">
              <w:rPr>
                <w:lang w:eastAsia="zh-CN"/>
              </w:rPr>
              <w:t>Tencent</w:t>
            </w:r>
            <w:proofErr w:type="spellEnd"/>
            <w:r w:rsidRPr="00AE3D78">
              <w:rPr>
                <w:lang w:eastAsia="zh-CN"/>
              </w:rPr>
              <w:t xml:space="preserve"> Holdings</w:t>
            </w:r>
          </w:p>
        </w:tc>
        <w:tc>
          <w:tcPr>
            <w:tcW w:w="0" w:type="auto"/>
            <w:shd w:val="clear" w:color="auto" w:fill="auto"/>
            <w:noWrap/>
            <w:vAlign w:val="bottom"/>
            <w:hideMark/>
          </w:tcPr>
          <w:p w14:paraId="1237B438" w14:textId="77777777" w:rsidR="008244AC" w:rsidRPr="00AE3D78" w:rsidRDefault="008244AC" w:rsidP="007C4B17">
            <w:pPr>
              <w:pStyle w:val="Tabletext"/>
              <w:rPr>
                <w:lang w:eastAsia="zh-CN"/>
              </w:rPr>
            </w:pPr>
            <w:r w:rsidRPr="00AE3D78">
              <w:rPr>
                <w:lang w:eastAsia="zh-CN"/>
              </w:rPr>
              <w:t>State Bank of India</w:t>
            </w:r>
          </w:p>
        </w:tc>
        <w:tc>
          <w:tcPr>
            <w:tcW w:w="0" w:type="auto"/>
            <w:shd w:val="clear" w:color="auto" w:fill="auto"/>
            <w:noWrap/>
            <w:vAlign w:val="bottom"/>
            <w:hideMark/>
          </w:tcPr>
          <w:p w14:paraId="7E097F43" w14:textId="77777777" w:rsidR="008244AC" w:rsidRPr="00AE3D78" w:rsidRDefault="008244AC" w:rsidP="007C4B17">
            <w:pPr>
              <w:pStyle w:val="Tabletext"/>
              <w:rPr>
                <w:lang w:eastAsia="zh-CN"/>
              </w:rPr>
            </w:pPr>
          </w:p>
        </w:tc>
      </w:tr>
    </w:tbl>
    <w:p w14:paraId="1805D5BB" w14:textId="77777777" w:rsidR="00DC45F9" w:rsidRDefault="00DC45F9" w:rsidP="002F7336"/>
    <w:p w14:paraId="32E52008" w14:textId="77777777" w:rsidR="00DC45F9" w:rsidRDefault="00DC45F9" w:rsidP="002F7336">
      <w:r>
        <w:br w:type="page"/>
      </w:r>
    </w:p>
    <w:p w14:paraId="65C13FDD" w14:textId="64FEB495" w:rsidR="005A4110" w:rsidRDefault="008D6F1F" w:rsidP="00C528D7">
      <w:pPr>
        <w:pStyle w:val="Heading1"/>
      </w:pPr>
      <w:bookmarkStart w:id="200" w:name="_Toc157759574"/>
      <w:r>
        <w:lastRenderedPageBreak/>
        <w:t>Conclusions</w:t>
      </w:r>
      <w:bookmarkEnd w:id="200"/>
    </w:p>
    <w:p w14:paraId="78A1D5EE" w14:textId="095C9E68" w:rsidR="004804C5" w:rsidRDefault="004804C5" w:rsidP="002F7336">
      <w:r>
        <w:t>The thesis has studied the process of adoption of Circular Economy practices with a supply chain management perspective. The general objective was to describe the adoption of Circular Economy practices as the outcome of some drivers and mechanisms, which were identified in the literature. Particular attention was dedicated to understanding what roles suppliers, customers, and the supply chain configuration play in the adoption of Circular Economy practices. To do so the thesis has first looked at the state of the industrial practice (Chapter 2) and at the relevant academic literature (Chapter 3). This preliminary phase has framed a preliminary conceptual framework, which describes the adoption of Circular Economy practices as the outcome of institutional pressures and supply chain integration. Through a qualitative analysis the framework was challenged and improved (Chapter 5). The Delphi study has allowed to collect perspective from prominent experts from academia and industry, which have validated the framework</w:t>
      </w:r>
      <w:r w:rsidR="00CE2093">
        <w:t>. The final analysis tested</w:t>
      </w:r>
      <w:r>
        <w:t xml:space="preserve"> the framework and the research hypotheses (Chapter 6). In this chapter the summary of the research findings of the two analysis is provided. After this, the theoretical and practical contribution of the thesis, as well as the limitations, are discussed. In this last Section, the main implications of the study are connected with other streams of literature and with future research opportunities. </w:t>
      </w:r>
    </w:p>
    <w:p w14:paraId="73990238" w14:textId="77777777" w:rsidR="004804C5" w:rsidRDefault="004804C5" w:rsidP="005035B4">
      <w:pPr>
        <w:pStyle w:val="Heading2"/>
      </w:pPr>
      <w:bookmarkStart w:id="201" w:name="_Toc157759575"/>
      <w:r>
        <w:t>Summary of the research findings</w:t>
      </w:r>
      <w:bookmarkEnd w:id="201"/>
    </w:p>
    <w:p w14:paraId="4FF71ACD" w14:textId="77777777" w:rsidR="004804C5" w:rsidRDefault="004804C5" w:rsidP="005035B4">
      <w:pPr>
        <w:pStyle w:val="Heading3"/>
      </w:pPr>
      <w:bookmarkStart w:id="202" w:name="_Toc157759576"/>
      <w:r>
        <w:t>Results from the Delphi-study</w:t>
      </w:r>
      <w:bookmarkEnd w:id="202"/>
    </w:p>
    <w:p w14:paraId="55CBF912" w14:textId="33D18D5E" w:rsidR="004804C5" w:rsidRDefault="004804C5" w:rsidP="005E590B">
      <w:r>
        <w:t xml:space="preserve">Chapter 5 reflects on the relationships between the three concepts included in the conceptual framework, e.g., institutional pressures, SCI, and the adoption of CE practices. Findings enrich the framework with some qualitative elements. Institutional pressures (IPs) are widely considered prominent antecedents of the adoption of CE practices, and a critical factor to influence companies’ behaviour and decision making in this </w:t>
      </w:r>
      <w:r w:rsidR="005E590B">
        <w:t>direction</w:t>
      </w:r>
      <w:r>
        <w:t xml:space="preserve">. Several types of organisational responses to such pressures are identified: companies </w:t>
      </w:r>
      <w:r>
        <w:rPr>
          <w:i/>
          <w:iCs/>
        </w:rPr>
        <w:t xml:space="preserve">re-adjust their existing environmental monitoring systems </w:t>
      </w:r>
      <w:r>
        <w:t xml:space="preserve">to address CE aspects; modify </w:t>
      </w:r>
      <w:r>
        <w:rPr>
          <w:i/>
          <w:iCs/>
        </w:rPr>
        <w:t>new product development</w:t>
      </w:r>
      <w:r>
        <w:t xml:space="preserve"> processes; </w:t>
      </w:r>
      <w:r>
        <w:rPr>
          <w:i/>
          <w:iCs/>
        </w:rPr>
        <w:t xml:space="preserve">re-organise their operations and supply chains </w:t>
      </w:r>
      <w:r>
        <w:t>to make a better use of materials and reduce waste</w:t>
      </w:r>
      <w:r>
        <w:rPr>
          <w:i/>
          <w:iCs/>
        </w:rPr>
        <w:t xml:space="preserve">; </w:t>
      </w:r>
      <w:r>
        <w:t xml:space="preserve">put in place </w:t>
      </w:r>
      <w:r>
        <w:rPr>
          <w:i/>
          <w:iCs/>
        </w:rPr>
        <w:t xml:space="preserve">opportunistic behaviours and tokenistic actions </w:t>
      </w:r>
      <w:r>
        <w:t>to</w:t>
      </w:r>
      <w:r>
        <w:rPr>
          <w:i/>
          <w:iCs/>
        </w:rPr>
        <w:t xml:space="preserve"> </w:t>
      </w:r>
      <w:r>
        <w:t xml:space="preserve">build resistance to change. Furthermore, results identify a hierarchy of IPs. In detail, coercive market and regulatory pressures are found to have a greater impact </w:t>
      </w:r>
      <w:r w:rsidR="005E590B">
        <w:t xml:space="preserve">on decision making </w:t>
      </w:r>
      <w:r>
        <w:t xml:space="preserve">than normative and mimetic ones. </w:t>
      </w:r>
    </w:p>
    <w:p w14:paraId="2E85CFC2" w14:textId="77777777" w:rsidR="00EE3C21" w:rsidRDefault="00EE3C21" w:rsidP="00EE3C21">
      <w:r>
        <w:t xml:space="preserve">The Chapter also explores the role of SCI. Qualitative results provide contrasting evidence on the direction (positive-negative), the type of interaction (moderating-mediating) and effect of SCI on the relationship between IPs and the adoption of CE practices, delivering a more uncertain </w:t>
      </w:r>
      <w:r>
        <w:lastRenderedPageBreak/>
        <w:t xml:space="preserve">characterisation of its role. Generally, a higher level of SCI can magnify the effect of IPs, fostering the adoption of incremental CE practices; nonetheless, SCI may also inhibit the adoption of more radical CE approaches, favouring the preservation of linear supply chains. Despite most of the experts arguing in favour of a </w:t>
      </w:r>
      <w:r>
        <w:rPr>
          <w:i/>
          <w:iCs/>
        </w:rPr>
        <w:t>moderating</w:t>
      </w:r>
      <w:r>
        <w:t xml:space="preserve"> role, some expressed contrasting views and indicated SCI has a </w:t>
      </w:r>
      <w:r>
        <w:rPr>
          <w:i/>
        </w:rPr>
        <w:t>mediating</w:t>
      </w:r>
      <w:r>
        <w:t xml:space="preserve"> role and that IPs drive first higher levels of SCI in the attempt of pushing for the adoption of CE practices. This aspect informed the quantitative phase and advised to consider and test the two possibilities separately. </w:t>
      </w:r>
    </w:p>
    <w:p w14:paraId="683DE444" w14:textId="095F9482" w:rsidR="00EE3C21" w:rsidRPr="00FD724E" w:rsidRDefault="00EE3C21" w:rsidP="00392023">
      <w:r w:rsidRPr="00FD724E">
        <w:t>Finally, the chapter exemplifies two different trajectories towards the implementation of CE practices. The two trajectories could drive different CE outcomes, and be influenced in different ways by the level of SCI. In the first trajectory, firms adopt a stepwise strategy to the CE</w:t>
      </w:r>
      <w:r w:rsidR="003A37C7" w:rsidRPr="00FD724E">
        <w:t xml:space="preserve"> of passive </w:t>
      </w:r>
      <w:r w:rsidR="003A37C7" w:rsidRPr="00FD724E">
        <w:rPr>
          <w:i/>
          <w:iCs/>
        </w:rPr>
        <w:t>compliance</w:t>
      </w:r>
      <w:r w:rsidR="003A37C7" w:rsidRPr="00FD724E">
        <w:t xml:space="preserve"> towards weak environmental regulations. The key players, systems, and processes involved are the same involved in traditional linear supply chains,</w:t>
      </w:r>
      <w:r w:rsidR="00392023" w:rsidRPr="00FD724E">
        <w:t xml:space="preserve"> and </w:t>
      </w:r>
      <w:r w:rsidR="003A37C7" w:rsidRPr="00FD724E">
        <w:t>SCI is expected to have an amplifying and driving role of incremental CE practices that are compatible with established linear value creation processes.</w:t>
      </w:r>
      <w:r w:rsidR="00392023" w:rsidRPr="00FD724E">
        <w:t xml:space="preserve"> V</w:t>
      </w:r>
      <w:r w:rsidRPr="00FD724E">
        <w:t>ery incremental CE practices become institutionalised and create market pressures, normative pressures and mimetic pressures.</w:t>
      </w:r>
      <w:r w:rsidR="003A37C7" w:rsidRPr="00FD724E">
        <w:t xml:space="preserve"> </w:t>
      </w:r>
    </w:p>
    <w:p w14:paraId="41BAF0BF" w14:textId="137EFA22" w:rsidR="00EE3C21" w:rsidRPr="00FD724E" w:rsidRDefault="00392023" w:rsidP="00D5452A">
      <w:r w:rsidRPr="00FD724E">
        <w:t xml:space="preserve">In the second </w:t>
      </w:r>
      <w:r w:rsidR="00EE3C21" w:rsidRPr="00FD724E">
        <w:t xml:space="preserve">trajectory </w:t>
      </w:r>
      <w:r w:rsidRPr="00FD724E">
        <w:t xml:space="preserve">firms adopt a more </w:t>
      </w:r>
      <w:r w:rsidRPr="00FD724E">
        <w:rPr>
          <w:i/>
          <w:iCs/>
        </w:rPr>
        <w:t>proactive</w:t>
      </w:r>
      <w:r w:rsidRPr="00FD724E">
        <w:t xml:space="preserve"> approach, adopting CE practices pushed primarily by consumer demand and public opinion. In this context, the push from </w:t>
      </w:r>
      <w:r w:rsidR="00D5452A" w:rsidRPr="00FD724E">
        <w:t xml:space="preserve">a </w:t>
      </w:r>
      <w:r w:rsidR="00EE3C21" w:rsidRPr="00FD724E">
        <w:t>deeper societal and institutional transformation</w:t>
      </w:r>
      <w:r w:rsidRPr="00FD724E">
        <w:t xml:space="preserve"> bring</w:t>
      </w:r>
      <w:r w:rsidR="00D5452A" w:rsidRPr="00FD724E">
        <w:t>s</w:t>
      </w:r>
      <w:r w:rsidRPr="00FD724E">
        <w:t xml:space="preserve"> to n</w:t>
      </w:r>
      <w:r w:rsidR="00D5452A" w:rsidRPr="00FD724E">
        <w:t xml:space="preserve">ew and stricter regulations. </w:t>
      </w:r>
      <w:r w:rsidR="00EE3C21" w:rsidRPr="00FD724E">
        <w:t xml:space="preserve">The most likely responses in this scenario involve </w:t>
      </w:r>
      <w:r w:rsidR="00EE3C21" w:rsidRPr="00FD724E">
        <w:rPr>
          <w:i/>
          <w:iCs/>
        </w:rPr>
        <w:t>reorganising supply chain operations</w:t>
      </w:r>
      <w:r w:rsidR="00EE3C21" w:rsidRPr="00FD724E">
        <w:t xml:space="preserve"> and </w:t>
      </w:r>
      <w:r w:rsidR="00EE3C21" w:rsidRPr="00FD724E">
        <w:rPr>
          <w:i/>
          <w:iCs/>
        </w:rPr>
        <w:t>developing new products</w:t>
      </w:r>
      <w:r w:rsidR="00EE3C21" w:rsidRPr="00FD724E">
        <w:t xml:space="preserve">. </w:t>
      </w:r>
      <w:r w:rsidR="00D5452A" w:rsidRPr="00FD724E">
        <w:t>N</w:t>
      </w:r>
      <w:r w:rsidR="00EE3C21" w:rsidRPr="00FD724E">
        <w:t xml:space="preserve">ew networks </w:t>
      </w:r>
      <w:r w:rsidR="00D5452A" w:rsidRPr="00FD724E">
        <w:t xml:space="preserve">and partnerships emerge (e.g., collection and sorting contractors; re-processors; remanufacturers) and disrupt </w:t>
      </w:r>
      <w:r w:rsidR="00EE3C21" w:rsidRPr="00FD724E">
        <w:t>Circular Business Models and more radical CE practices. SCI in this case has a double role: it provides useful capabilities in terms of coordination and collaboration with key partners in the linear supply chain; however, it also magnifies the risk of lock-ins in linear supply chains. As such, companies with lower levels of SCI could have some advantages to succeed, deriving from a higher possibility to experiment with new solutions and dec</w:t>
      </w:r>
      <w:r w:rsidR="00D5452A" w:rsidRPr="00FD724E">
        <w:t xml:space="preserve">rease dependence on suppliers. </w:t>
      </w:r>
    </w:p>
    <w:p w14:paraId="1BB373FD" w14:textId="0D016000" w:rsidR="0005283B" w:rsidRPr="00FD724E" w:rsidRDefault="004804C5" w:rsidP="00CC3073">
      <w:r w:rsidRPr="00FD724E">
        <w:t xml:space="preserve">In general, the analysis confirms that the identified concepts have a relationship; in particular, IPs drive the adoption of Circular Economy practices, with supply chain integration having a complex interaction with that relationship. </w:t>
      </w:r>
      <w:r w:rsidR="00CC3073" w:rsidRPr="00FD724E">
        <w:t xml:space="preserve">By distinguishing between incremental and radical CE practices, the chapter also links SCI with CE outcomes with a different potential of circular rebound effect. SCI seems to favour incremental CE practices that are compatible with established linear value creation processes. Incremental CE practices have lower potential of limiting the risk of circular rebound effect and of making the adoption of CE practices not useful from an environmental </w:t>
      </w:r>
      <w:r w:rsidR="00CC3073" w:rsidRPr="00FD724E">
        <w:lastRenderedPageBreak/>
        <w:t xml:space="preserve">perspective. As such the concept of circular rebound effect might be used to explain this </w:t>
      </w:r>
      <w:r w:rsidR="0005283B" w:rsidRPr="00FD724E">
        <w:t>complexity</w:t>
      </w:r>
      <w:r w:rsidR="00CC3073" w:rsidRPr="00FD724E">
        <w:t xml:space="preserve">. </w:t>
      </w:r>
    </w:p>
    <w:p w14:paraId="70E13ED7" w14:textId="77777777" w:rsidR="004804C5" w:rsidRDefault="004804C5" w:rsidP="005035B4">
      <w:pPr>
        <w:pStyle w:val="Heading3"/>
      </w:pPr>
      <w:bookmarkStart w:id="203" w:name="_Toc157759577"/>
      <w:r>
        <w:t>Results from the quantitative analysis</w:t>
      </w:r>
      <w:bookmarkEnd w:id="203"/>
    </w:p>
    <w:p w14:paraId="0C34B0AD" w14:textId="68D229B2" w:rsidR="004804C5" w:rsidRDefault="004804C5" w:rsidP="0093622C">
      <w:r>
        <w:t xml:space="preserve">In the second analysis (Chapter 7) findings tell something more precise about the relationships among the concepts in the </w:t>
      </w:r>
      <w:r w:rsidR="0093622C">
        <w:t xml:space="preserve">theoretical </w:t>
      </w:r>
      <w:r>
        <w:t xml:space="preserve">framework, the role of SCI, and how important mechanism act. </w:t>
      </w:r>
    </w:p>
    <w:p w14:paraId="5C6A85FB" w14:textId="0CF59818" w:rsidR="004804C5" w:rsidRDefault="009A07AB" w:rsidP="002F7336">
      <w:r>
        <w:t>T</w:t>
      </w:r>
      <w:r w:rsidR="004804C5">
        <w:t xml:space="preserve">he </w:t>
      </w:r>
      <w:r>
        <w:t xml:space="preserve">empirical </w:t>
      </w:r>
      <w:r w:rsidR="004804C5">
        <w:t>analysis shows that IPs are driving the adoption of CE practices primarily through the mediation of SCI. IPs do not have a significant direct effect on the outcome variable and SCI seems to have a much more active role in the complex relationship between IPs and the adoption of CE practices. Indeed, SCI mediates the effect of some of the independent variables on the outcome variable, suggesting that IPs might first drive the adoption of higher levels of integration that, in turn, have a positive association with the adoption of CE practices.</w:t>
      </w:r>
    </w:p>
    <w:p w14:paraId="7DA2E3AB" w14:textId="77777777" w:rsidR="004804C5" w:rsidRDefault="004804C5" w:rsidP="002F7336">
      <w:r>
        <w:t>Results also shed light into the specific mechanisms by which the IPs affect the adoption of CE practices, by discussing their link to SCI. The prominent role of coercive and normative pressures is highlighted. Coercive pressures influence on CE practices is partially mediated by SCI, with normative pressures being fully mediated by it. This means that regulation and industry standards might have a predominant role over market pressures in driving higher levels of SCI; that in the absence of strong industry standards and regulations, coercive market pressures and mimetic pressures might not be sufficient to push the integration of the supply chain and to drive the adoption of CE practices.</w:t>
      </w:r>
    </w:p>
    <w:p w14:paraId="6D051021" w14:textId="62D2DEF4" w:rsidR="004804C5" w:rsidRDefault="004804C5" w:rsidP="00FD724E">
      <w:r>
        <w:t>An important aspect should be specified: the statistical analysis has included also testing moderation</w:t>
      </w:r>
      <w:r w:rsidR="00FD724E">
        <w:t>, even if this analysis was not included in the paper in Chapter 6</w:t>
      </w:r>
      <w:r>
        <w:t xml:space="preserve">. All the interaction terms were specified in the linear regression. Results showed that SCI does not moderate any of the effects of IPs on the adoption of CE practices.  This result reinforces the hypothesis on SCI having a mediating role on the relationship between IPs and the adoption of CE practices. </w:t>
      </w:r>
    </w:p>
    <w:p w14:paraId="7648A950" w14:textId="77777777" w:rsidR="004804C5" w:rsidRDefault="004804C5" w:rsidP="005035B4">
      <w:pPr>
        <w:pStyle w:val="Heading2"/>
      </w:pPr>
      <w:bookmarkStart w:id="204" w:name="_Toc157759578"/>
      <w:r>
        <w:t>Theoretical and practical contribution</w:t>
      </w:r>
      <w:bookmarkEnd w:id="204"/>
      <w:r>
        <w:t xml:space="preserve"> </w:t>
      </w:r>
    </w:p>
    <w:p w14:paraId="5C944E7B" w14:textId="72163837" w:rsidR="004804C5" w:rsidRDefault="004804C5" w:rsidP="005D1336">
      <w:r>
        <w:t>This thesis extends previous research in sustainable supply chain management that has studied drivers, enabling factors, and practices using institutional theory (</w:t>
      </w:r>
      <w:proofErr w:type="spellStart"/>
      <w:r>
        <w:t>Kauppi</w:t>
      </w:r>
      <w:proofErr w:type="spellEnd"/>
      <w:r>
        <w:t xml:space="preserve"> and </w:t>
      </w:r>
      <w:proofErr w:type="spellStart"/>
      <w:r>
        <w:t>Luzzini</w:t>
      </w:r>
      <w:proofErr w:type="spellEnd"/>
      <w:r>
        <w:t>, 2022). It is also connecting this knowledge and ideas to a more recent research field, Circular Supply Chain Management (</w:t>
      </w:r>
      <w:proofErr w:type="spellStart"/>
      <w:r>
        <w:t>Farooque</w:t>
      </w:r>
      <w:proofErr w:type="spellEnd"/>
      <w:r>
        <w:t xml:space="preserve">, 2019). This is important as it improves the theoretical understanding of the antecedents of CE approaches in supply chains by testing a conceptual framework that </w:t>
      </w:r>
      <w:r>
        <w:lastRenderedPageBreak/>
        <w:t>integrates IPs, SCI, and the adoption of CE practices. In more detail, the thesis delves deeper into the process of the adoption of CE practices from an institutional theory perspective. At first, it enriches the understanding of how IPs act on organisations, by identifying sets of common responses. Then, it scrutinises IPs in detail for a large sample of Multinational Enterprises. This represents the first attempt to understand institutional drivers behind the adoption of CE practices using validated scales from the literature in an attempt to generalise theory. This analysis contributes to the debate on the transition towards the CE in supply chain, by identifying what are the mechanisms through which IPs drive CE practices. It concludes that in the context of Multinational Enterprises’ driven supply chains regulations and industry standards are the most important drive</w:t>
      </w:r>
      <w:r w:rsidR="005D1336">
        <w:t>rs of</w:t>
      </w:r>
      <w:r>
        <w:t xml:space="preserve"> CE practices </w:t>
      </w:r>
      <w:r w:rsidR="005D1336">
        <w:t xml:space="preserve">and that their effect is </w:t>
      </w:r>
      <w:r>
        <w:t xml:space="preserve">mediated by SCI.  As such, the thesis poses some questions on the effectiveness of market pressures alone to drive any meaningful sustainability transformation of production and consumption systems. </w:t>
      </w:r>
    </w:p>
    <w:p w14:paraId="4093BE98" w14:textId="77777777" w:rsidR="004804C5" w:rsidRDefault="004804C5" w:rsidP="002F7336">
      <w:r>
        <w:t>A second theoretical contribution is related to the SCI literature and debate. Studying transitions towards a CE requires consideration of how supply chain structures and organisations are evolving. These supply chains might have developed specific capabilities and relationship links, which can provide an advantage, and at the same time, might contribute to creating conditions that foster change. This thesis partially confirms the argument that a collaborative approach to supply chain management is necessary towards the transition towards CSCs (</w:t>
      </w:r>
      <w:proofErr w:type="spellStart"/>
      <w:r>
        <w:t>Sudusinghe</w:t>
      </w:r>
      <w:proofErr w:type="spellEnd"/>
      <w:r>
        <w:t xml:space="preserve"> &amp; Seuring, 2022). However, it also warns on the undesired effects that might come from more integrated structures, which might reinforce some linear incentives and create inertia. Finally, the thesis contributes to the SCM literature that investigates research questions using secondary data and purpose-built databanks, by using unstructured data from Sustainability reporting, as well as a coding mechanism to measure concepts and test a theoretical framework. </w:t>
      </w:r>
    </w:p>
    <w:p w14:paraId="7F0394FF" w14:textId="5E5AB3D7" w:rsidR="004804C5" w:rsidRDefault="004804C5" w:rsidP="004F108A">
      <w:r>
        <w:t>This thesis contributes to practice by engaging with experts to better understand what is driving the CE in organisations and the role of supply chain management aspects. The significance of this contribution lies in the fact that this evidence comes from practitioners who are directly participating in transformation processes of existing companies in their day-to-day activities. Secondly, the thesis improves the understanding IPs in their various facets, and multidimensionality, and complexity. This can help managers to take more informed decisions - as many of their decisions might not be the most efficient ones - especially if they come from normative and mimetic pressures (risk of jumping on the bandwagon) (</w:t>
      </w:r>
      <w:proofErr w:type="spellStart"/>
      <w:r>
        <w:t>Kauppi</w:t>
      </w:r>
      <w:proofErr w:type="spellEnd"/>
      <w:r>
        <w:t xml:space="preserve"> &amp; </w:t>
      </w:r>
      <w:proofErr w:type="spellStart"/>
      <w:r>
        <w:t>Luzzini</w:t>
      </w:r>
      <w:proofErr w:type="spellEnd"/>
      <w:r>
        <w:t xml:space="preserve">, 2022).  Finally, the thesis suggests </w:t>
      </w:r>
      <w:r w:rsidR="009A07AB">
        <w:t xml:space="preserve">to </w:t>
      </w:r>
      <w:r>
        <w:t xml:space="preserve">practitioners that SCI is an essential mechanism they can leverage </w:t>
      </w:r>
      <w:r w:rsidR="009A07AB">
        <w:t xml:space="preserve">to create the necessary conditions </w:t>
      </w:r>
      <w:r>
        <w:t xml:space="preserve">to adopt CE practices. It also points out how organisations can </w:t>
      </w:r>
      <w:r>
        <w:lastRenderedPageBreak/>
        <w:t xml:space="preserve">leverage regulatory pressures and normative pressures to improve their SCI, which will then improve their circularity. Lastly, it identifies the importance of customers in the transition towards a circular economy because CI mediates more than SI the relationship between IPs and the adoption of CE practices. </w:t>
      </w:r>
      <w:r w:rsidR="004F108A">
        <w:t>As such, t</w:t>
      </w:r>
      <w:r w:rsidR="007D4D9F" w:rsidRPr="007D4D9F">
        <w:t xml:space="preserve">he study poses a question on whether the </w:t>
      </w:r>
      <w:r w:rsidR="007D4D9F">
        <w:t xml:space="preserve">popular </w:t>
      </w:r>
      <w:r w:rsidR="007D4D9F" w:rsidRPr="007D4D9F">
        <w:t xml:space="preserve">route </w:t>
      </w:r>
      <w:r w:rsidR="007D4D9F">
        <w:t>to build integrative capabilities (</w:t>
      </w:r>
      <w:r w:rsidR="007D4D9F" w:rsidRPr="007D4D9F">
        <w:t xml:space="preserve">first enhancing internal effectiveness then streamlining upstream integration with suppliers and then finally enhancing downstream integration </w:t>
      </w:r>
      <w:r w:rsidR="007D4D9F">
        <w:t xml:space="preserve">with customers) </w:t>
      </w:r>
      <w:r w:rsidR="007D4D9F" w:rsidRPr="007D4D9F">
        <w:t>needs to be followed also in the context of CSCs. In this context, downstream-upstream collaborations involving internal and external supply chain actors might be key.</w:t>
      </w:r>
    </w:p>
    <w:p w14:paraId="4777FB4A" w14:textId="77777777" w:rsidR="004804C5" w:rsidRDefault="004804C5" w:rsidP="005035B4">
      <w:pPr>
        <w:pStyle w:val="Heading2"/>
      </w:pPr>
      <w:bookmarkStart w:id="205" w:name="_Toc157759579"/>
      <w:r>
        <w:t>Research Limitations</w:t>
      </w:r>
      <w:bookmarkEnd w:id="205"/>
      <w:r>
        <w:t xml:space="preserve"> </w:t>
      </w:r>
    </w:p>
    <w:p w14:paraId="60F01B13" w14:textId="020C66B1" w:rsidR="004804C5" w:rsidRPr="004F108A" w:rsidRDefault="007D4D9F" w:rsidP="007D4D9F">
      <w:r w:rsidRPr="004F108A">
        <w:t>As already reported, w</w:t>
      </w:r>
      <w:r w:rsidR="004804C5" w:rsidRPr="004F108A">
        <w:t xml:space="preserve">hile this study has some important contributions, it is important to acknowledge its limitations. Some control variables could not be considered due to time and resource constraints, like the type of customers (B2C or B2B) or the position of the MNE in the supply chain, which may have influenced our results. The study was conducted over a single year, which may have limited our ability to capture changes over a longer period. Future research could conduct longitudinal studies to examine the processes of institutionalization and deinstitutionalization of CE practices in supply chains over time. It could also focus on specific sectors. The use of secondary data could also constitute a limitation. Future research should also </w:t>
      </w:r>
      <w:r w:rsidR="00DE4D23" w:rsidRPr="004F108A">
        <w:t xml:space="preserve">consider defining more accurate measures of CE adoption. This could include either establishing CE performance </w:t>
      </w:r>
      <w:r w:rsidR="004804C5" w:rsidRPr="004F108A">
        <w:t xml:space="preserve">indicators rather than </w:t>
      </w:r>
      <w:r w:rsidR="00DE4D23" w:rsidRPr="004F108A">
        <w:t xml:space="preserve">using </w:t>
      </w:r>
      <w:r w:rsidR="004804C5" w:rsidRPr="004F108A">
        <w:t>ordinal outcome variable</w:t>
      </w:r>
      <w:r w:rsidR="00DE4D23" w:rsidRPr="004F108A">
        <w:t>s</w:t>
      </w:r>
      <w:r w:rsidR="004804C5" w:rsidRPr="004F108A">
        <w:t xml:space="preserve">. </w:t>
      </w:r>
      <w:r w:rsidR="00DE4D23" w:rsidRPr="004F108A">
        <w:t xml:space="preserve">Another possibility could include building different ordinal outcome variables and distinguishing incremental and radical CE practices, and the potential of circular rebound effect. </w:t>
      </w:r>
      <w:r w:rsidR="004804C5" w:rsidRPr="004F108A">
        <w:t>Finally, future studies could focus on how the combination of different pressures would lead to a better adoption of CE practices, rather than on the individual effects of single pressures.</w:t>
      </w:r>
    </w:p>
    <w:p w14:paraId="764B95E5" w14:textId="77777777" w:rsidR="004804C5" w:rsidRDefault="004804C5" w:rsidP="005035B4">
      <w:pPr>
        <w:pStyle w:val="Heading2"/>
      </w:pPr>
      <w:bookmarkStart w:id="206" w:name="_Toc157759580"/>
      <w:r>
        <w:t>Future research opportunities</w:t>
      </w:r>
      <w:bookmarkEnd w:id="206"/>
    </w:p>
    <w:p w14:paraId="58BD7C57" w14:textId="6EF2A714" w:rsidR="002628DA" w:rsidRPr="004F108A" w:rsidRDefault="004804C5" w:rsidP="00E54DF1">
      <w:r w:rsidRPr="004F108A">
        <w:t xml:space="preserve">Acknowledging the role of institutional pressures as a driver of Circular Economy and sustainable practices in organisations – Future research could explore </w:t>
      </w:r>
      <w:r w:rsidR="0070715B" w:rsidRPr="004F108A">
        <w:t>different aspects related to how institutional pressures act on firms and how they enact the change in institutional norm.</w:t>
      </w:r>
      <w:r w:rsidR="00215533" w:rsidRPr="004F108A">
        <w:t xml:space="preserve"> For example, i</w:t>
      </w:r>
      <w:r w:rsidRPr="004F108A">
        <w:t xml:space="preserve">t could provide </w:t>
      </w:r>
      <w:r w:rsidR="0070715B" w:rsidRPr="004F108A">
        <w:t xml:space="preserve">more </w:t>
      </w:r>
      <w:r w:rsidRPr="004F108A">
        <w:t xml:space="preserve">clarity on the hierarchy of pressures for the </w:t>
      </w:r>
      <w:r w:rsidR="0070715B" w:rsidRPr="004F108A">
        <w:t>C</w:t>
      </w:r>
      <w:r w:rsidRPr="004F108A">
        <w:t xml:space="preserve">ircular </w:t>
      </w:r>
      <w:r w:rsidR="0070715B" w:rsidRPr="004F108A">
        <w:t>E</w:t>
      </w:r>
      <w:r w:rsidRPr="004F108A">
        <w:t>conomy</w:t>
      </w:r>
      <w:r w:rsidR="0070715B" w:rsidRPr="004F108A">
        <w:t xml:space="preserve">. This thesis has already talked about </w:t>
      </w:r>
      <w:r w:rsidR="002628DA" w:rsidRPr="004F108A">
        <w:t>this</w:t>
      </w:r>
      <w:r w:rsidR="00E54DF1" w:rsidRPr="004F108A">
        <w:t>, and</w:t>
      </w:r>
      <w:r w:rsidR="002628DA" w:rsidRPr="004F108A">
        <w:t xml:space="preserve"> </w:t>
      </w:r>
      <w:r w:rsidR="00E54DF1" w:rsidRPr="004F108A">
        <w:t>f</w:t>
      </w:r>
      <w:r w:rsidR="002628DA" w:rsidRPr="004F108A">
        <w:t xml:space="preserve">uture </w:t>
      </w:r>
      <w:r w:rsidR="00E54DF1" w:rsidRPr="004F108A">
        <w:t xml:space="preserve">studies </w:t>
      </w:r>
      <w:r w:rsidR="002628DA" w:rsidRPr="004F108A">
        <w:t>could investigate whether</w:t>
      </w:r>
      <w:r w:rsidRPr="004F108A">
        <w:t xml:space="preserve"> mimetic and normative </w:t>
      </w:r>
      <w:r w:rsidR="002628DA" w:rsidRPr="004F108A">
        <w:t xml:space="preserve">pressures </w:t>
      </w:r>
      <w:r w:rsidRPr="004F108A">
        <w:t xml:space="preserve">arise </w:t>
      </w:r>
      <w:r w:rsidR="002628DA" w:rsidRPr="004F108A">
        <w:t xml:space="preserve">in contexts of </w:t>
      </w:r>
      <w:r w:rsidRPr="004F108A">
        <w:t>where coerciv</w:t>
      </w:r>
      <w:r w:rsidR="002628DA" w:rsidRPr="004F108A">
        <w:t xml:space="preserve">e pressures are already present; </w:t>
      </w:r>
      <w:r w:rsidRPr="004F108A">
        <w:t>how combinations of pressures wor</w:t>
      </w:r>
      <w:r w:rsidR="002628DA" w:rsidRPr="004F108A">
        <w:t>k together;</w:t>
      </w:r>
      <w:r w:rsidRPr="004F108A">
        <w:t xml:space="preserve"> whether the presence of two or more pressures together </w:t>
      </w:r>
      <w:r w:rsidRPr="004F108A">
        <w:lastRenderedPageBreak/>
        <w:t>create more favourable conditions if compared to institutional fields with only one type of institutional pressures</w:t>
      </w:r>
      <w:r w:rsidR="002628DA" w:rsidRPr="004F108A">
        <w:t xml:space="preserve">. </w:t>
      </w:r>
    </w:p>
    <w:p w14:paraId="4CC264E8" w14:textId="5D823DFE" w:rsidR="004804C5" w:rsidRDefault="00E54DF1" w:rsidP="002628DA">
      <w:r>
        <w:t xml:space="preserve">Future research </w:t>
      </w:r>
      <w:r w:rsidR="004804C5">
        <w:t>could explore how external pressures impact internal factors to bring change into organisations and supply chains. It could test the same hypotheses use other methods like survey – or using other secondary datasets.</w:t>
      </w:r>
    </w:p>
    <w:p w14:paraId="58A5F5B7" w14:textId="77777777" w:rsidR="004804C5" w:rsidRDefault="004804C5" w:rsidP="002F7336">
      <w:r>
        <w:t>Acknowledging the role of Supply Chain Integration, as a key mechanism that lies in between institutional pressures and Circular Economy practices, future studies could further clarify the complex effect (</w:t>
      </w:r>
      <w:r>
        <w:rPr>
          <w:i/>
          <w:iCs/>
        </w:rPr>
        <w:t xml:space="preserve">linear lock-in </w:t>
      </w:r>
      <w:r>
        <w:t>vs</w:t>
      </w:r>
      <w:r>
        <w:rPr>
          <w:i/>
          <w:iCs/>
        </w:rPr>
        <w:t xml:space="preserve"> enabler</w:t>
      </w:r>
      <w:r>
        <w:t xml:space="preserve">) different Supply Chain Integration aspects could have on the relationship between the pressures a company faces and its behaviour. For example, it could explore the capabilities associated with Supply Chain Integration that are necessary both from a technological and relational point of view to enable different types of Circular Economy practices. At the same time, considering the undesired effects that might come from more integrated supply chain structures, future studies should also investigate the risks associated with Supply Chain Integration, as a factor that might hinder the adoption of more radical Circular Economy practices. This could be clarified through in-depth case studies. The existing dataset from the quantitative study (Chapter 6) could be used to identify some specific industrial cases to further investigate through semi-structured interviews or by using other sources of secondary data, like newspaper’ articles. Emerging literature on Supply Chain Integration, which has started to consider the reverse flows of materials and associated information flows (Bimpizas-Pinis et al., 2023), can help defining and measuring Supply Chain Integration in a Circular Economy context. </w:t>
      </w:r>
    </w:p>
    <w:p w14:paraId="25F835B7" w14:textId="46B91F4A" w:rsidR="00057501" w:rsidRPr="004F108A" w:rsidRDefault="002B2C48" w:rsidP="00057501">
      <w:r w:rsidRPr="004F108A">
        <w:t xml:space="preserve">To further explore the role of Supply Chain Integration on the adoption of CE practices, research could also </w:t>
      </w:r>
      <w:r w:rsidR="00196791" w:rsidRPr="004F108A">
        <w:t xml:space="preserve">investigate the relationship between the regionalisation of supply chain (including reshoring, back-shoring, nearshoring initiatives) with the adoption of Circular Economy practices. Regional supply chains have always integrated circular principles in the way they operate (see for instance the construction sector, the aluminium sector). </w:t>
      </w:r>
      <w:r w:rsidR="00057501" w:rsidRPr="004F108A">
        <w:t xml:space="preserve">And reshoring might be seen as a strategy to improve the integration of the supply chain and might also favour the adoption of some CE practices. </w:t>
      </w:r>
    </w:p>
    <w:p w14:paraId="3E0C34E4" w14:textId="1C2F0632" w:rsidR="004804C5" w:rsidRPr="004F108A" w:rsidRDefault="00196791" w:rsidP="004F108A">
      <w:r w:rsidRPr="004F108A">
        <w:t>Looking at EU Legislation, it can be noted that the Circular Economy is considered at the macro-level as an industrial strategy to secure, in the medium-long term, key resources, especially in a context of great dependence on other countries and geopolitical areas. As such future research could explore this and investigate how Circular Supply Chains could be also seen as</w:t>
      </w:r>
      <w:r w:rsidR="00057501" w:rsidRPr="004F108A">
        <w:t xml:space="preserve"> a</w:t>
      </w:r>
      <w:r w:rsidRPr="004F108A">
        <w:t xml:space="preserve"> solution to some supply chain risks. Shorter and circular supply chains are seen as a tool to enhance supply </w:t>
      </w:r>
      <w:r w:rsidRPr="004F108A">
        <w:lastRenderedPageBreak/>
        <w:t xml:space="preserve">chain resilience. Theoretically, minerals and critical raw materials could be secured creating recovery and recycling infrastructure and increasing the use of secondary resources. As such, </w:t>
      </w:r>
      <w:r w:rsidR="00057501" w:rsidRPr="004F108A">
        <w:t xml:space="preserve">the </w:t>
      </w:r>
      <w:r w:rsidRPr="004F108A">
        <w:t>Circular Economy has the potential to reduce dependencies from areas with different geopolitical influences, and in the end mi</w:t>
      </w:r>
      <w:r w:rsidR="00057501" w:rsidRPr="004F108A">
        <w:t>tigate shocks in supply chains, through local and highly integrated supply chains.</w:t>
      </w:r>
      <w:r w:rsidR="004804C5" w:rsidRPr="004F108A">
        <w:br w:type="page"/>
      </w:r>
    </w:p>
    <w:p w14:paraId="7555DEA0" w14:textId="77777777" w:rsidR="004804C5" w:rsidRDefault="004804C5" w:rsidP="00116B90">
      <w:pPr>
        <w:pStyle w:val="Heading2"/>
        <w:numPr>
          <w:ilvl w:val="0"/>
          <w:numId w:val="0"/>
        </w:numPr>
        <w:ind w:left="357" w:hanging="357"/>
        <w:rPr>
          <w:lang w:val="it-IT"/>
        </w:rPr>
      </w:pPr>
      <w:bookmarkStart w:id="207" w:name="_Toc157759581"/>
      <w:r>
        <w:rPr>
          <w:lang w:val="it-IT"/>
        </w:rPr>
        <w:lastRenderedPageBreak/>
        <w:t>References</w:t>
      </w:r>
      <w:bookmarkEnd w:id="207"/>
    </w:p>
    <w:p w14:paraId="7A4A8B1F" w14:textId="77777777" w:rsidR="004804C5" w:rsidRDefault="004804C5" w:rsidP="002F7336">
      <w:r>
        <w:rPr>
          <w:lang w:val="it-IT"/>
        </w:rPr>
        <w:t xml:space="preserve">Ancarani, A., Di Mauro, C., &amp; Mascali, F. (2019). </w:t>
      </w:r>
      <w:proofErr w:type="spellStart"/>
      <w:r>
        <w:t>Backshoring</w:t>
      </w:r>
      <w:proofErr w:type="spellEnd"/>
      <w:r>
        <w:t xml:space="preserve"> strategy and the adoption of Industry 4.0: Evidence from Europe. </w:t>
      </w:r>
      <w:r>
        <w:rPr>
          <w:i/>
          <w:iCs/>
        </w:rPr>
        <w:t>Journal of World Business</w:t>
      </w:r>
      <w:r>
        <w:t>, </w:t>
      </w:r>
      <w:r>
        <w:rPr>
          <w:i/>
          <w:iCs/>
        </w:rPr>
        <w:t>54</w:t>
      </w:r>
      <w:r>
        <w:t>(4), 360-371.</w:t>
      </w:r>
    </w:p>
    <w:p w14:paraId="18C80CCA" w14:textId="77777777" w:rsidR="004804C5" w:rsidRDefault="004804C5" w:rsidP="002F7336">
      <w:r>
        <w:t xml:space="preserve">Bimpizas-Pinis, M., Calzolari, T., &amp; Genovese, A., 2022. Exploring the transition towards circular supply chains through the arcs of integration. </w:t>
      </w:r>
      <w:r>
        <w:rPr>
          <w:i/>
          <w:iCs/>
        </w:rPr>
        <w:t>International Journal of Production Economics</w:t>
      </w:r>
      <w:r>
        <w:t>, 250, 108666.</w:t>
      </w:r>
    </w:p>
    <w:p w14:paraId="4D9F63D8" w14:textId="77777777" w:rsidR="004804C5" w:rsidRDefault="004804C5" w:rsidP="002F7336">
      <w:proofErr w:type="spellStart"/>
      <w:r w:rsidRPr="00293FC1">
        <w:t>Blome</w:t>
      </w:r>
      <w:proofErr w:type="spellEnd"/>
      <w:r w:rsidRPr="00293FC1">
        <w:t xml:space="preserve">, C., Paulraj, A., &amp; </w:t>
      </w:r>
      <w:proofErr w:type="spellStart"/>
      <w:r w:rsidRPr="00293FC1">
        <w:t>Schuetz</w:t>
      </w:r>
      <w:proofErr w:type="spellEnd"/>
      <w:r w:rsidRPr="00293FC1">
        <w:t xml:space="preserve">, K. (2014). </w:t>
      </w:r>
      <w:r>
        <w:t>Supply chain collaboration and sustainability: a profile deviation analysis. </w:t>
      </w:r>
      <w:r>
        <w:rPr>
          <w:i/>
          <w:iCs/>
        </w:rPr>
        <w:t>International Journal of Operations &amp; Production Management</w:t>
      </w:r>
      <w:r>
        <w:t>.</w:t>
      </w:r>
    </w:p>
    <w:p w14:paraId="76C633BA" w14:textId="77777777" w:rsidR="004804C5" w:rsidRDefault="004804C5" w:rsidP="002F7336">
      <w:r>
        <w:t xml:space="preserve">Danese, P., &amp; </w:t>
      </w:r>
      <w:proofErr w:type="spellStart"/>
      <w:r>
        <w:t>Bortolotti</w:t>
      </w:r>
      <w:proofErr w:type="spellEnd"/>
      <w:r>
        <w:t>, T. (2014). Supply chain integration patterns and operational performance: a plant-level survey-based analysis. </w:t>
      </w:r>
      <w:r>
        <w:rPr>
          <w:i/>
          <w:iCs/>
        </w:rPr>
        <w:t>International Journal of Production Research</w:t>
      </w:r>
      <w:r>
        <w:t>, </w:t>
      </w:r>
      <w:r>
        <w:rPr>
          <w:i/>
          <w:iCs/>
        </w:rPr>
        <w:t>52</w:t>
      </w:r>
      <w:r>
        <w:t>(23), 7062-7083.</w:t>
      </w:r>
    </w:p>
    <w:p w14:paraId="2CBB53BE" w14:textId="77777777" w:rsidR="004804C5" w:rsidRDefault="004804C5" w:rsidP="002F7336">
      <w:r>
        <w:t>DiMaggio, P. J., &amp; Powell, W. W. (1983). The iron cage revisited: Institutional isomorphism and collective rationality in organizational fields. </w:t>
      </w:r>
      <w:r>
        <w:rPr>
          <w:i/>
          <w:iCs/>
        </w:rPr>
        <w:t>American sociological review</w:t>
      </w:r>
      <w:r>
        <w:t>, 147-160.</w:t>
      </w:r>
    </w:p>
    <w:p w14:paraId="29886C87" w14:textId="77777777" w:rsidR="004804C5" w:rsidRDefault="004804C5" w:rsidP="002F7336">
      <w:proofErr w:type="spellStart"/>
      <w:r>
        <w:t>Farooque</w:t>
      </w:r>
      <w:proofErr w:type="spellEnd"/>
      <w:r>
        <w:t xml:space="preserve">, M., Zhang, A., </w:t>
      </w:r>
      <w:proofErr w:type="spellStart"/>
      <w:r>
        <w:t>Thürer</w:t>
      </w:r>
      <w:proofErr w:type="spellEnd"/>
      <w:r>
        <w:t xml:space="preserve">, M., Qu, T., &amp; </w:t>
      </w:r>
      <w:proofErr w:type="spellStart"/>
      <w:r>
        <w:t>Huisingh</w:t>
      </w:r>
      <w:proofErr w:type="spellEnd"/>
      <w:r>
        <w:t>, D. (2019). Circular supply chain management: A definition and structured literature review. </w:t>
      </w:r>
      <w:r>
        <w:rPr>
          <w:i/>
          <w:iCs/>
        </w:rPr>
        <w:t>Journal of cleaner production</w:t>
      </w:r>
      <w:r>
        <w:t>, </w:t>
      </w:r>
      <w:r>
        <w:rPr>
          <w:i/>
          <w:iCs/>
        </w:rPr>
        <w:t>228</w:t>
      </w:r>
      <w:r>
        <w:t>, 882-900.</w:t>
      </w:r>
    </w:p>
    <w:p w14:paraId="71B83BF9" w14:textId="77777777" w:rsidR="004804C5" w:rsidRDefault="004804C5" w:rsidP="002F7336">
      <w:proofErr w:type="spellStart"/>
      <w:r>
        <w:t>Kauppi</w:t>
      </w:r>
      <w:proofErr w:type="spellEnd"/>
      <w:r>
        <w:t xml:space="preserve">, K., &amp; </w:t>
      </w:r>
      <w:proofErr w:type="spellStart"/>
      <w:r>
        <w:t>Luzzini</w:t>
      </w:r>
      <w:proofErr w:type="spellEnd"/>
      <w:r>
        <w:t xml:space="preserve">, D., 2022. Measuring institutional pressures in a supply chain context: scale development and testing. </w:t>
      </w:r>
      <w:r>
        <w:rPr>
          <w:i/>
          <w:iCs/>
        </w:rPr>
        <w:t>Supply Chain Management: An International Journal</w:t>
      </w:r>
      <w:r>
        <w:t xml:space="preserve">, 27(7), 79-107. </w:t>
      </w:r>
    </w:p>
    <w:p w14:paraId="43E1C3DB" w14:textId="77777777" w:rsidR="004804C5" w:rsidRDefault="004804C5" w:rsidP="002F7336">
      <w:proofErr w:type="spellStart"/>
      <w:r>
        <w:t>Sudusinghe</w:t>
      </w:r>
      <w:proofErr w:type="spellEnd"/>
      <w:r>
        <w:t>, J. I., &amp; Seuring, S. (2022). Supply chain collaboration and sustainability performance in circular economy: A systematic literature review. </w:t>
      </w:r>
      <w:r>
        <w:rPr>
          <w:i/>
          <w:iCs/>
        </w:rPr>
        <w:t>International Journal of Production Economics</w:t>
      </w:r>
      <w:r>
        <w:t>, </w:t>
      </w:r>
      <w:r>
        <w:rPr>
          <w:i/>
          <w:iCs/>
        </w:rPr>
        <w:t>245</w:t>
      </w:r>
      <w:r>
        <w:t>, 108402.</w:t>
      </w:r>
    </w:p>
    <w:p w14:paraId="2E1A4D5B" w14:textId="25C77FBF" w:rsidR="00F00FB8" w:rsidRPr="00F00FB8" w:rsidRDefault="00C34BEC" w:rsidP="00F00FB8">
      <w:pPr>
        <w:pStyle w:val="Heading1"/>
        <w:numPr>
          <w:ilvl w:val="0"/>
          <w:numId w:val="0"/>
        </w:numPr>
        <w:spacing w:before="0" w:after="0"/>
        <w:ind w:left="360" w:hanging="360"/>
        <w:rPr>
          <w:rFonts w:eastAsia="Calibri" w:cs="Times New Roman"/>
          <w:sz w:val="36"/>
          <w:szCs w:val="26"/>
          <w:lang w:val="en-US"/>
        </w:rPr>
      </w:pPr>
      <w:r>
        <w:br w:type="page"/>
      </w:r>
      <w:bookmarkStart w:id="208" w:name="_Toc49839848"/>
      <w:bookmarkStart w:id="209" w:name="_Toc157759582"/>
      <w:r w:rsidR="00F00FB8">
        <w:rPr>
          <w:rFonts w:eastAsia="Calibri" w:cs="Times New Roman"/>
          <w:sz w:val="36"/>
          <w:szCs w:val="26"/>
          <w:lang w:val="en-US"/>
        </w:rPr>
        <w:lastRenderedPageBreak/>
        <w:t>Appendix 1</w:t>
      </w:r>
      <w:r w:rsidR="00F00FB8" w:rsidRPr="00F00FB8">
        <w:rPr>
          <w:rFonts w:eastAsia="Calibri" w:cs="Times New Roman"/>
          <w:sz w:val="36"/>
          <w:szCs w:val="26"/>
          <w:lang w:val="en-US"/>
        </w:rPr>
        <w:t xml:space="preserve"> – </w:t>
      </w:r>
      <w:r w:rsidR="00F00FB8" w:rsidRPr="00F00FB8">
        <w:rPr>
          <w:rFonts w:eastAsia="Calibri" w:cs="Times New Roman"/>
          <w:sz w:val="36"/>
          <w:szCs w:val="26"/>
          <w:lang w:eastAsia="en-US"/>
        </w:rPr>
        <w:t>Doctoral Development Portfolio</w:t>
      </w:r>
      <w:bookmarkEnd w:id="208"/>
      <w:bookmarkEnd w:id="209"/>
    </w:p>
    <w:p w14:paraId="42165AD9" w14:textId="77777777" w:rsidR="00F00FB8" w:rsidRPr="00F00FB8" w:rsidRDefault="00F00FB8" w:rsidP="00F00FB8">
      <w:pPr>
        <w:spacing w:after="0"/>
        <w:rPr>
          <w:rFonts w:eastAsia="Calibri" w:cs="Times New Roman"/>
          <w:b/>
          <w:bCs/>
          <w:sz w:val="22"/>
          <w:szCs w:val="22"/>
          <w:lang w:eastAsia="en-US"/>
        </w:rPr>
      </w:pPr>
      <w:r w:rsidRPr="00F00FB8">
        <w:rPr>
          <w:rFonts w:eastAsia="Calibri" w:cs="Times New Roman"/>
          <w:b/>
          <w:bCs/>
          <w:sz w:val="22"/>
          <w:szCs w:val="22"/>
          <w:lang w:eastAsia="en-US"/>
        </w:rPr>
        <w:t>SUMS MGT6225 and FCS6100 modules</w:t>
      </w:r>
    </w:p>
    <w:tbl>
      <w:tblPr>
        <w:tblStyle w:val="TableGrid7"/>
        <w:tblW w:w="0" w:type="auto"/>
        <w:tblInd w:w="720" w:type="dxa"/>
        <w:tblLook w:val="04A0" w:firstRow="1" w:lastRow="0" w:firstColumn="1" w:lastColumn="0" w:noHBand="0" w:noVBand="1"/>
      </w:tblPr>
      <w:tblGrid>
        <w:gridCol w:w="1117"/>
        <w:gridCol w:w="2974"/>
        <w:gridCol w:w="4251"/>
      </w:tblGrid>
      <w:tr w:rsidR="00F00FB8" w:rsidRPr="00AF263D" w14:paraId="050A6545" w14:textId="77777777" w:rsidTr="00A47566">
        <w:tc>
          <w:tcPr>
            <w:tcW w:w="0" w:type="auto"/>
          </w:tcPr>
          <w:p w14:paraId="6EA818E9" w14:textId="77777777" w:rsidR="00F00FB8" w:rsidRPr="00AF263D" w:rsidRDefault="00F00FB8" w:rsidP="00AF263D">
            <w:pPr>
              <w:pStyle w:val="Tabletext"/>
            </w:pPr>
            <w:r w:rsidRPr="00AF263D">
              <w:t>Code</w:t>
            </w:r>
          </w:p>
        </w:tc>
        <w:tc>
          <w:tcPr>
            <w:tcW w:w="0" w:type="auto"/>
          </w:tcPr>
          <w:p w14:paraId="41D099EE" w14:textId="77777777" w:rsidR="00F00FB8" w:rsidRPr="00AF263D" w:rsidRDefault="00F00FB8" w:rsidP="00AF263D">
            <w:pPr>
              <w:pStyle w:val="Tabletext"/>
            </w:pPr>
            <w:r w:rsidRPr="00AF263D">
              <w:t>Module</w:t>
            </w:r>
          </w:p>
        </w:tc>
        <w:tc>
          <w:tcPr>
            <w:tcW w:w="0" w:type="auto"/>
          </w:tcPr>
          <w:p w14:paraId="7AAE1FE4" w14:textId="77777777" w:rsidR="00F00FB8" w:rsidRPr="00AF263D" w:rsidRDefault="00F00FB8" w:rsidP="00AF263D">
            <w:pPr>
              <w:pStyle w:val="Tabletext"/>
            </w:pPr>
            <w:r w:rsidRPr="00AF263D">
              <w:t>Status</w:t>
            </w:r>
          </w:p>
        </w:tc>
      </w:tr>
      <w:tr w:rsidR="00F00FB8" w:rsidRPr="00AF263D" w14:paraId="74394D33" w14:textId="77777777" w:rsidTr="00A47566">
        <w:tc>
          <w:tcPr>
            <w:tcW w:w="0" w:type="auto"/>
          </w:tcPr>
          <w:p w14:paraId="7ADBA9DB" w14:textId="77777777" w:rsidR="00F00FB8" w:rsidRPr="00AF263D" w:rsidRDefault="00F00FB8" w:rsidP="00AF263D">
            <w:pPr>
              <w:pStyle w:val="Tabletext"/>
            </w:pPr>
            <w:r w:rsidRPr="00AF263D">
              <w:t>MGT6225</w:t>
            </w:r>
          </w:p>
        </w:tc>
        <w:tc>
          <w:tcPr>
            <w:tcW w:w="0" w:type="auto"/>
          </w:tcPr>
          <w:p w14:paraId="581033B0" w14:textId="77777777" w:rsidR="00F00FB8" w:rsidRPr="00AF263D" w:rsidRDefault="00F00FB8" w:rsidP="00AF263D">
            <w:pPr>
              <w:pStyle w:val="Tabletext"/>
            </w:pPr>
            <w:r w:rsidRPr="00AF263D">
              <w:t>Unfair means and plagiarism</w:t>
            </w:r>
          </w:p>
        </w:tc>
        <w:tc>
          <w:tcPr>
            <w:tcW w:w="0" w:type="auto"/>
          </w:tcPr>
          <w:p w14:paraId="009BCDF8" w14:textId="77777777" w:rsidR="00F00FB8" w:rsidRPr="00AF263D" w:rsidRDefault="00F00FB8" w:rsidP="00AF263D">
            <w:pPr>
              <w:pStyle w:val="Tabletext"/>
            </w:pPr>
            <w:r w:rsidRPr="00AF263D">
              <w:t>29 October 2019</w:t>
            </w:r>
          </w:p>
        </w:tc>
      </w:tr>
      <w:tr w:rsidR="00F00FB8" w:rsidRPr="00AF263D" w14:paraId="6851ADD2" w14:textId="77777777" w:rsidTr="00A47566">
        <w:tc>
          <w:tcPr>
            <w:tcW w:w="0" w:type="auto"/>
          </w:tcPr>
          <w:p w14:paraId="5553A0E0" w14:textId="77777777" w:rsidR="00F00FB8" w:rsidRPr="00AF263D" w:rsidRDefault="00F00FB8" w:rsidP="00AF263D">
            <w:pPr>
              <w:pStyle w:val="Tabletext"/>
            </w:pPr>
            <w:r w:rsidRPr="00AF263D">
              <w:t>MGT6225</w:t>
            </w:r>
          </w:p>
        </w:tc>
        <w:tc>
          <w:tcPr>
            <w:tcW w:w="0" w:type="auto"/>
          </w:tcPr>
          <w:p w14:paraId="044FA6CB" w14:textId="77777777" w:rsidR="00F00FB8" w:rsidRPr="00AF263D" w:rsidRDefault="00F00FB8" w:rsidP="00AF263D">
            <w:pPr>
              <w:pStyle w:val="Tabletext"/>
            </w:pPr>
            <w:r w:rsidRPr="00AF263D">
              <w:t>Finding a research question</w:t>
            </w:r>
          </w:p>
        </w:tc>
        <w:tc>
          <w:tcPr>
            <w:tcW w:w="0" w:type="auto"/>
          </w:tcPr>
          <w:p w14:paraId="7EBE5F0F" w14:textId="77777777" w:rsidR="00F00FB8" w:rsidRPr="00AF263D" w:rsidRDefault="00F00FB8" w:rsidP="00AF263D">
            <w:pPr>
              <w:pStyle w:val="Tabletext"/>
            </w:pPr>
            <w:r w:rsidRPr="00AF263D">
              <w:t>05 February 2020</w:t>
            </w:r>
          </w:p>
        </w:tc>
      </w:tr>
      <w:tr w:rsidR="00F00FB8" w:rsidRPr="00AF263D" w14:paraId="5167D9A9" w14:textId="77777777" w:rsidTr="00A47566">
        <w:tc>
          <w:tcPr>
            <w:tcW w:w="0" w:type="auto"/>
          </w:tcPr>
          <w:p w14:paraId="2086365F" w14:textId="77777777" w:rsidR="00F00FB8" w:rsidRPr="00AF263D" w:rsidRDefault="00F00FB8" w:rsidP="00AF263D">
            <w:pPr>
              <w:pStyle w:val="Tabletext"/>
            </w:pPr>
            <w:r w:rsidRPr="00AF263D">
              <w:t>MGT6225</w:t>
            </w:r>
          </w:p>
        </w:tc>
        <w:tc>
          <w:tcPr>
            <w:tcW w:w="0" w:type="auto"/>
          </w:tcPr>
          <w:p w14:paraId="57E08F43" w14:textId="77777777" w:rsidR="00F00FB8" w:rsidRPr="00AF263D" w:rsidRDefault="00F00FB8" w:rsidP="00AF263D">
            <w:pPr>
              <w:pStyle w:val="Tabletext"/>
            </w:pPr>
            <w:r w:rsidRPr="00AF263D">
              <w:t>Introduction to Social Theory</w:t>
            </w:r>
          </w:p>
        </w:tc>
        <w:tc>
          <w:tcPr>
            <w:tcW w:w="0" w:type="auto"/>
          </w:tcPr>
          <w:p w14:paraId="5CE4D262" w14:textId="77777777" w:rsidR="00F00FB8" w:rsidRPr="00AF263D" w:rsidRDefault="00F00FB8" w:rsidP="00AF263D">
            <w:pPr>
              <w:pStyle w:val="Tabletext"/>
            </w:pPr>
            <w:r w:rsidRPr="00AF263D">
              <w:t>Cancelled; I reviewed the materials uploaded on Blackboard.</w:t>
            </w:r>
          </w:p>
        </w:tc>
      </w:tr>
      <w:tr w:rsidR="00F00FB8" w:rsidRPr="00AF263D" w14:paraId="40F03894" w14:textId="77777777" w:rsidTr="00A47566">
        <w:tc>
          <w:tcPr>
            <w:tcW w:w="0" w:type="auto"/>
          </w:tcPr>
          <w:p w14:paraId="1815FCFE" w14:textId="77777777" w:rsidR="00F00FB8" w:rsidRPr="00AF263D" w:rsidRDefault="00F00FB8" w:rsidP="00AF263D">
            <w:pPr>
              <w:pStyle w:val="Tabletext"/>
            </w:pPr>
            <w:r w:rsidRPr="00AF263D">
              <w:t>MGT6225</w:t>
            </w:r>
          </w:p>
        </w:tc>
        <w:tc>
          <w:tcPr>
            <w:tcW w:w="0" w:type="auto"/>
          </w:tcPr>
          <w:p w14:paraId="1E975286" w14:textId="77777777" w:rsidR="00F00FB8" w:rsidRPr="00AF263D" w:rsidRDefault="00F00FB8" w:rsidP="00AF263D">
            <w:pPr>
              <w:pStyle w:val="Tabletext"/>
            </w:pPr>
            <w:r w:rsidRPr="00AF263D">
              <w:t>Designing your methodology</w:t>
            </w:r>
          </w:p>
        </w:tc>
        <w:tc>
          <w:tcPr>
            <w:tcW w:w="0" w:type="auto"/>
          </w:tcPr>
          <w:p w14:paraId="2E45A5A3" w14:textId="77777777" w:rsidR="00F00FB8" w:rsidRPr="00AF263D" w:rsidRDefault="00F00FB8" w:rsidP="00AF263D">
            <w:pPr>
              <w:pStyle w:val="Tabletext"/>
            </w:pPr>
            <w:r w:rsidRPr="00AF263D">
              <w:t>Cancelled; I reviewed the materials uploaded on Blackboard.</w:t>
            </w:r>
          </w:p>
        </w:tc>
      </w:tr>
      <w:tr w:rsidR="00F00FB8" w:rsidRPr="00AF263D" w14:paraId="522597B6" w14:textId="77777777" w:rsidTr="00A47566">
        <w:tc>
          <w:tcPr>
            <w:tcW w:w="0" w:type="auto"/>
          </w:tcPr>
          <w:p w14:paraId="5AB761DA" w14:textId="77777777" w:rsidR="00F00FB8" w:rsidRPr="00AF263D" w:rsidRDefault="00F00FB8" w:rsidP="00AF263D">
            <w:pPr>
              <w:pStyle w:val="Tabletext"/>
            </w:pPr>
            <w:r w:rsidRPr="00AF263D">
              <w:t>MGT6225</w:t>
            </w:r>
          </w:p>
        </w:tc>
        <w:tc>
          <w:tcPr>
            <w:tcW w:w="0" w:type="auto"/>
          </w:tcPr>
          <w:p w14:paraId="4831CB1A" w14:textId="77777777" w:rsidR="00F00FB8" w:rsidRPr="00AF263D" w:rsidRDefault="00F00FB8" w:rsidP="00AF263D">
            <w:pPr>
              <w:pStyle w:val="Tabletext"/>
            </w:pPr>
            <w:r w:rsidRPr="00AF263D">
              <w:t>Preparing for Teaching at SUMS</w:t>
            </w:r>
          </w:p>
        </w:tc>
        <w:tc>
          <w:tcPr>
            <w:tcW w:w="0" w:type="auto"/>
          </w:tcPr>
          <w:p w14:paraId="3949754B" w14:textId="77777777" w:rsidR="00F00FB8" w:rsidRPr="00AF263D" w:rsidRDefault="00F00FB8" w:rsidP="00AF263D">
            <w:pPr>
              <w:pStyle w:val="Tabletext"/>
            </w:pPr>
            <w:r w:rsidRPr="00AF263D">
              <w:t>7 May 2020</w:t>
            </w:r>
          </w:p>
        </w:tc>
      </w:tr>
      <w:tr w:rsidR="00F00FB8" w:rsidRPr="00AF263D" w14:paraId="4DD21DD0" w14:textId="77777777" w:rsidTr="00A47566">
        <w:tc>
          <w:tcPr>
            <w:tcW w:w="0" w:type="auto"/>
          </w:tcPr>
          <w:p w14:paraId="0739F650" w14:textId="77777777" w:rsidR="00F00FB8" w:rsidRPr="00AF263D" w:rsidRDefault="00F00FB8" w:rsidP="00AF263D">
            <w:pPr>
              <w:pStyle w:val="Tabletext"/>
            </w:pPr>
            <w:r w:rsidRPr="00AF263D">
              <w:t>MGT6225</w:t>
            </w:r>
          </w:p>
        </w:tc>
        <w:tc>
          <w:tcPr>
            <w:tcW w:w="0" w:type="auto"/>
          </w:tcPr>
          <w:p w14:paraId="55AB22B1" w14:textId="77777777" w:rsidR="00F00FB8" w:rsidRPr="00AF263D" w:rsidRDefault="00F00FB8" w:rsidP="00AF263D">
            <w:pPr>
              <w:pStyle w:val="Tabletext"/>
            </w:pPr>
            <w:r w:rsidRPr="00AF263D">
              <w:t>Preparing for your confirmation review</w:t>
            </w:r>
          </w:p>
        </w:tc>
        <w:tc>
          <w:tcPr>
            <w:tcW w:w="0" w:type="auto"/>
          </w:tcPr>
          <w:p w14:paraId="215ED305" w14:textId="77777777" w:rsidR="00F00FB8" w:rsidRPr="00AF263D" w:rsidRDefault="00F00FB8" w:rsidP="00AF263D">
            <w:pPr>
              <w:pStyle w:val="Tabletext"/>
            </w:pPr>
            <w:r w:rsidRPr="00AF263D">
              <w:t>12 May 2020</w:t>
            </w:r>
          </w:p>
        </w:tc>
      </w:tr>
      <w:tr w:rsidR="00F00FB8" w:rsidRPr="00AF263D" w14:paraId="5FD77D45" w14:textId="77777777" w:rsidTr="00A47566">
        <w:tc>
          <w:tcPr>
            <w:tcW w:w="0" w:type="auto"/>
          </w:tcPr>
          <w:p w14:paraId="10CE9AD8" w14:textId="77777777" w:rsidR="00F00FB8" w:rsidRPr="00AF263D" w:rsidRDefault="00F00FB8" w:rsidP="00AF263D">
            <w:pPr>
              <w:pStyle w:val="Tabletext"/>
            </w:pPr>
            <w:r w:rsidRPr="00AF263D">
              <w:t>MGT6225</w:t>
            </w:r>
          </w:p>
        </w:tc>
        <w:tc>
          <w:tcPr>
            <w:tcW w:w="0" w:type="auto"/>
          </w:tcPr>
          <w:p w14:paraId="6117019F" w14:textId="77777777" w:rsidR="00F00FB8" w:rsidRPr="00AF263D" w:rsidRDefault="00F00FB8" w:rsidP="00AF263D">
            <w:pPr>
              <w:pStyle w:val="Tabletext"/>
            </w:pPr>
            <w:r w:rsidRPr="00AF263D">
              <w:t>Social Theory for ODMS</w:t>
            </w:r>
          </w:p>
        </w:tc>
        <w:tc>
          <w:tcPr>
            <w:tcW w:w="0" w:type="auto"/>
          </w:tcPr>
          <w:p w14:paraId="4AA61098" w14:textId="77777777" w:rsidR="00F00FB8" w:rsidRPr="00AF263D" w:rsidRDefault="00F00FB8" w:rsidP="00AF263D">
            <w:pPr>
              <w:pStyle w:val="Tabletext"/>
            </w:pPr>
            <w:r w:rsidRPr="00AF263D">
              <w:t>26 May 2020</w:t>
            </w:r>
          </w:p>
        </w:tc>
      </w:tr>
      <w:tr w:rsidR="00F00FB8" w:rsidRPr="00AF263D" w14:paraId="577DC617" w14:textId="77777777" w:rsidTr="00A47566">
        <w:tc>
          <w:tcPr>
            <w:tcW w:w="0" w:type="auto"/>
          </w:tcPr>
          <w:p w14:paraId="68EDA90A" w14:textId="77777777" w:rsidR="00F00FB8" w:rsidRPr="00AF263D" w:rsidRDefault="00F00FB8" w:rsidP="00AF263D">
            <w:pPr>
              <w:pStyle w:val="Tabletext"/>
            </w:pPr>
            <w:r w:rsidRPr="00AF263D">
              <w:t>FCS6100</w:t>
            </w:r>
          </w:p>
        </w:tc>
        <w:tc>
          <w:tcPr>
            <w:tcW w:w="0" w:type="auto"/>
          </w:tcPr>
          <w:p w14:paraId="007AD0D5" w14:textId="77777777" w:rsidR="00F00FB8" w:rsidRPr="00AF263D" w:rsidRDefault="00F00FB8" w:rsidP="00AF263D">
            <w:pPr>
              <w:pStyle w:val="Tabletext"/>
            </w:pPr>
            <w:r w:rsidRPr="00AF263D">
              <w:t>Research Ethics Introductory lecture</w:t>
            </w:r>
          </w:p>
        </w:tc>
        <w:tc>
          <w:tcPr>
            <w:tcW w:w="0" w:type="auto"/>
          </w:tcPr>
          <w:p w14:paraId="02AA39F3" w14:textId="77777777" w:rsidR="00F00FB8" w:rsidRPr="00AF263D" w:rsidRDefault="00F00FB8" w:rsidP="00AF263D">
            <w:pPr>
              <w:pStyle w:val="Tabletext"/>
            </w:pPr>
            <w:r w:rsidRPr="00AF263D">
              <w:t>5 February 2020</w:t>
            </w:r>
          </w:p>
        </w:tc>
      </w:tr>
      <w:tr w:rsidR="00F00FB8" w:rsidRPr="00AF263D" w14:paraId="513F278A" w14:textId="77777777" w:rsidTr="00A47566">
        <w:tc>
          <w:tcPr>
            <w:tcW w:w="0" w:type="auto"/>
          </w:tcPr>
          <w:p w14:paraId="0F254925" w14:textId="77777777" w:rsidR="00F00FB8" w:rsidRPr="00AF263D" w:rsidRDefault="00F00FB8" w:rsidP="00AF263D">
            <w:pPr>
              <w:pStyle w:val="Tabletext"/>
            </w:pPr>
            <w:r w:rsidRPr="00AF263D">
              <w:t>FCS6100</w:t>
            </w:r>
          </w:p>
        </w:tc>
        <w:tc>
          <w:tcPr>
            <w:tcW w:w="0" w:type="auto"/>
          </w:tcPr>
          <w:p w14:paraId="2473C112" w14:textId="77777777" w:rsidR="00F00FB8" w:rsidRPr="00AF263D" w:rsidRDefault="00F00FB8" w:rsidP="00AF263D">
            <w:pPr>
              <w:pStyle w:val="Tabletext"/>
            </w:pPr>
            <w:r w:rsidRPr="00AF263D">
              <w:t>Research Ethics and Integrity</w:t>
            </w:r>
          </w:p>
        </w:tc>
        <w:tc>
          <w:tcPr>
            <w:tcW w:w="0" w:type="auto"/>
          </w:tcPr>
          <w:p w14:paraId="07C2A4F6" w14:textId="77777777" w:rsidR="00F00FB8" w:rsidRPr="00AF263D" w:rsidRDefault="00F00FB8" w:rsidP="00AF263D">
            <w:pPr>
              <w:pStyle w:val="Tabletext"/>
            </w:pPr>
            <w:r w:rsidRPr="00AF263D">
              <w:t>Completed on 24 July 2020</w:t>
            </w:r>
          </w:p>
        </w:tc>
      </w:tr>
      <w:tr w:rsidR="00AF263D" w:rsidRPr="00AF263D" w14:paraId="151D9C34" w14:textId="77777777" w:rsidTr="00A47566">
        <w:tc>
          <w:tcPr>
            <w:tcW w:w="0" w:type="auto"/>
          </w:tcPr>
          <w:p w14:paraId="6E4B2CEA" w14:textId="4960E63B" w:rsidR="00AF263D" w:rsidRPr="00AF263D" w:rsidRDefault="00AF263D" w:rsidP="00AF263D">
            <w:pPr>
              <w:pStyle w:val="Tabletext"/>
            </w:pPr>
            <w:r w:rsidRPr="00AF263D">
              <w:t>MGT6225</w:t>
            </w:r>
          </w:p>
        </w:tc>
        <w:tc>
          <w:tcPr>
            <w:tcW w:w="0" w:type="auto"/>
          </w:tcPr>
          <w:p w14:paraId="55070651" w14:textId="7112686D" w:rsidR="00AF263D" w:rsidRPr="00AF263D" w:rsidRDefault="00AF263D" w:rsidP="00AF263D">
            <w:pPr>
              <w:pStyle w:val="Tabletext"/>
            </w:pPr>
            <w:r w:rsidRPr="00AF263D">
              <w:t xml:space="preserve">Doing a Literature Review </w:t>
            </w:r>
          </w:p>
        </w:tc>
        <w:tc>
          <w:tcPr>
            <w:tcW w:w="0" w:type="auto"/>
          </w:tcPr>
          <w:p w14:paraId="098A2E44" w14:textId="144E5B03" w:rsidR="00AF263D" w:rsidRPr="00AF263D" w:rsidRDefault="00AF263D" w:rsidP="00AF263D">
            <w:pPr>
              <w:pStyle w:val="Tabletext"/>
            </w:pPr>
            <w:r w:rsidRPr="00AF263D">
              <w:t>28 January 2021 (Part 1); 4 February 2021 (Part 2)</w:t>
            </w:r>
          </w:p>
        </w:tc>
      </w:tr>
      <w:tr w:rsidR="00AF263D" w:rsidRPr="00AF263D" w14:paraId="263E6738" w14:textId="77777777" w:rsidTr="00A47566">
        <w:tc>
          <w:tcPr>
            <w:tcW w:w="0" w:type="auto"/>
          </w:tcPr>
          <w:p w14:paraId="2BFE44E4" w14:textId="0E587C91" w:rsidR="00AF263D" w:rsidRPr="00AF263D" w:rsidRDefault="00AF263D" w:rsidP="00AF263D">
            <w:pPr>
              <w:pStyle w:val="Tabletext"/>
            </w:pPr>
            <w:r w:rsidRPr="00AF263D">
              <w:t>MGT6225</w:t>
            </w:r>
          </w:p>
        </w:tc>
        <w:tc>
          <w:tcPr>
            <w:tcW w:w="0" w:type="auto"/>
          </w:tcPr>
          <w:p w14:paraId="54A5BC0A" w14:textId="4FEACE29" w:rsidR="00AF263D" w:rsidRPr="00AF263D" w:rsidRDefault="00AF263D" w:rsidP="00AF263D">
            <w:pPr>
              <w:pStyle w:val="Tabletext"/>
            </w:pPr>
            <w:r w:rsidRPr="00AF263D">
              <w:t>Preparing for Publication</w:t>
            </w:r>
          </w:p>
        </w:tc>
        <w:tc>
          <w:tcPr>
            <w:tcW w:w="0" w:type="auto"/>
          </w:tcPr>
          <w:p w14:paraId="752BA3F8" w14:textId="469F261B" w:rsidR="00AF263D" w:rsidRPr="00AF263D" w:rsidRDefault="00AF263D" w:rsidP="00AF263D">
            <w:pPr>
              <w:pStyle w:val="Tabletext"/>
            </w:pPr>
            <w:r>
              <w:t>26 May 2021</w:t>
            </w:r>
          </w:p>
        </w:tc>
      </w:tr>
      <w:tr w:rsidR="00AF263D" w:rsidRPr="00AF263D" w14:paraId="0AF1D0B4" w14:textId="77777777" w:rsidTr="00A47566">
        <w:tc>
          <w:tcPr>
            <w:tcW w:w="0" w:type="auto"/>
          </w:tcPr>
          <w:p w14:paraId="3C772C24" w14:textId="6C02A1E1" w:rsidR="00AF263D" w:rsidRPr="00AF263D" w:rsidRDefault="00AF263D" w:rsidP="00AF263D">
            <w:pPr>
              <w:pStyle w:val="Tabletext"/>
            </w:pPr>
            <w:r w:rsidRPr="00AF263D">
              <w:t>MGT6225</w:t>
            </w:r>
          </w:p>
        </w:tc>
        <w:tc>
          <w:tcPr>
            <w:tcW w:w="0" w:type="auto"/>
          </w:tcPr>
          <w:p w14:paraId="42E53ED0" w14:textId="3C092309" w:rsidR="00AF263D" w:rsidRPr="00AF263D" w:rsidRDefault="00AF263D" w:rsidP="00AF263D">
            <w:pPr>
              <w:pStyle w:val="Tabletext"/>
            </w:pPr>
            <w:r w:rsidRPr="00AF263D">
              <w:t>Transitioning out of your PhD</w:t>
            </w:r>
          </w:p>
        </w:tc>
        <w:tc>
          <w:tcPr>
            <w:tcW w:w="0" w:type="auto"/>
          </w:tcPr>
          <w:p w14:paraId="6FA79451" w14:textId="4591D222" w:rsidR="00AF263D" w:rsidRPr="00AF263D" w:rsidRDefault="00AF263D" w:rsidP="00AF263D">
            <w:pPr>
              <w:pStyle w:val="Tabletext"/>
            </w:pPr>
            <w:r>
              <w:t>16 March 2022</w:t>
            </w:r>
          </w:p>
        </w:tc>
      </w:tr>
      <w:tr w:rsidR="008C44EC" w:rsidRPr="00AF263D" w14:paraId="27DBC932" w14:textId="77777777" w:rsidTr="00A47566">
        <w:tc>
          <w:tcPr>
            <w:tcW w:w="0" w:type="auto"/>
          </w:tcPr>
          <w:p w14:paraId="47599779" w14:textId="5765E6DC" w:rsidR="008C44EC" w:rsidRPr="00AF263D" w:rsidRDefault="008C44EC" w:rsidP="00AF263D">
            <w:pPr>
              <w:pStyle w:val="Tabletext"/>
            </w:pPr>
            <w:r w:rsidRPr="008C44EC">
              <w:t>MGT6225</w:t>
            </w:r>
          </w:p>
        </w:tc>
        <w:tc>
          <w:tcPr>
            <w:tcW w:w="0" w:type="auto"/>
          </w:tcPr>
          <w:p w14:paraId="5314E1A9" w14:textId="3357D388" w:rsidR="008C44EC" w:rsidRPr="00AF263D" w:rsidRDefault="008C44EC" w:rsidP="00AF263D">
            <w:pPr>
              <w:pStyle w:val="Tabletext"/>
            </w:pPr>
            <w:r w:rsidRPr="008C44EC">
              <w:t>Assessment Information Briefing</w:t>
            </w:r>
          </w:p>
        </w:tc>
        <w:tc>
          <w:tcPr>
            <w:tcW w:w="0" w:type="auto"/>
          </w:tcPr>
          <w:p w14:paraId="6321EF07" w14:textId="06018C51" w:rsidR="008C44EC" w:rsidRDefault="008C44EC" w:rsidP="00AF263D">
            <w:pPr>
              <w:pStyle w:val="Tabletext"/>
            </w:pPr>
            <w:r>
              <w:t>13 May 2022</w:t>
            </w:r>
          </w:p>
        </w:tc>
      </w:tr>
      <w:tr w:rsidR="008C44EC" w:rsidRPr="00AF263D" w14:paraId="63E14E37" w14:textId="77777777" w:rsidTr="00A47566">
        <w:tc>
          <w:tcPr>
            <w:tcW w:w="0" w:type="auto"/>
          </w:tcPr>
          <w:p w14:paraId="7D6FA3DB" w14:textId="4DB46F91" w:rsidR="008C44EC" w:rsidRPr="00AF263D" w:rsidRDefault="008C44EC" w:rsidP="00AF263D">
            <w:pPr>
              <w:pStyle w:val="Tabletext"/>
            </w:pPr>
            <w:r w:rsidRPr="008C44EC">
              <w:t>MGT6225</w:t>
            </w:r>
          </w:p>
        </w:tc>
        <w:tc>
          <w:tcPr>
            <w:tcW w:w="0" w:type="auto"/>
          </w:tcPr>
          <w:p w14:paraId="3EEDF761" w14:textId="44B70636" w:rsidR="008C44EC" w:rsidRPr="00AF263D" w:rsidRDefault="008C44EC" w:rsidP="00AF263D">
            <w:pPr>
              <w:pStyle w:val="Tabletext"/>
            </w:pPr>
            <w:r w:rsidRPr="008C44EC">
              <w:t>Preparing for the VIVA</w:t>
            </w:r>
          </w:p>
        </w:tc>
        <w:tc>
          <w:tcPr>
            <w:tcW w:w="0" w:type="auto"/>
          </w:tcPr>
          <w:p w14:paraId="4A381097" w14:textId="6AB83A7D" w:rsidR="008C44EC" w:rsidRDefault="008C44EC" w:rsidP="00AF263D">
            <w:pPr>
              <w:pStyle w:val="Tabletext"/>
            </w:pPr>
            <w:r>
              <w:t>9 June 2022</w:t>
            </w:r>
          </w:p>
        </w:tc>
      </w:tr>
    </w:tbl>
    <w:p w14:paraId="7EDCBF7B" w14:textId="77777777" w:rsidR="00F00FB8" w:rsidRPr="00F00FB8" w:rsidRDefault="00F00FB8" w:rsidP="00F00FB8">
      <w:pPr>
        <w:spacing w:before="40" w:after="240"/>
        <w:ind w:left="720" w:hanging="360"/>
        <w:contextualSpacing/>
        <w:rPr>
          <w:rFonts w:eastAsia="Calibri" w:cs="Times New Roman"/>
          <w:sz w:val="22"/>
          <w:szCs w:val="22"/>
          <w:lang w:eastAsia="en-US"/>
        </w:rPr>
      </w:pPr>
    </w:p>
    <w:p w14:paraId="75AAD687" w14:textId="77777777" w:rsidR="00F00FB8" w:rsidRPr="00F00FB8" w:rsidRDefault="00F00FB8" w:rsidP="00F00FB8">
      <w:pPr>
        <w:spacing w:after="0"/>
        <w:rPr>
          <w:rFonts w:eastAsia="Calibri" w:cs="Times New Roman"/>
          <w:b/>
          <w:bCs/>
          <w:sz w:val="22"/>
          <w:szCs w:val="22"/>
          <w:lang w:eastAsia="en-US"/>
        </w:rPr>
      </w:pPr>
      <w:r w:rsidRPr="00F00FB8">
        <w:rPr>
          <w:rFonts w:eastAsia="Calibri" w:cs="Times New Roman"/>
          <w:b/>
          <w:bCs/>
          <w:sz w:val="22"/>
          <w:szCs w:val="22"/>
          <w:lang w:eastAsia="en-US"/>
        </w:rPr>
        <w:t>Conferences/other Training activities within UoS/SUMS/OMDS</w:t>
      </w:r>
    </w:p>
    <w:tbl>
      <w:tblPr>
        <w:tblStyle w:val="TableGrid7"/>
        <w:tblW w:w="0" w:type="auto"/>
        <w:tblInd w:w="704" w:type="dxa"/>
        <w:tblLook w:val="04A0" w:firstRow="1" w:lastRow="0" w:firstColumn="1" w:lastColumn="0" w:noHBand="0" w:noVBand="1"/>
      </w:tblPr>
      <w:tblGrid>
        <w:gridCol w:w="6658"/>
        <w:gridCol w:w="1700"/>
      </w:tblGrid>
      <w:tr w:rsidR="00F00FB8" w:rsidRPr="00F00FB8" w14:paraId="735A635D" w14:textId="77777777" w:rsidTr="00A47566">
        <w:tc>
          <w:tcPr>
            <w:tcW w:w="0" w:type="auto"/>
          </w:tcPr>
          <w:p w14:paraId="35F4FB32" w14:textId="77777777" w:rsidR="00F00FB8" w:rsidRPr="00F00FB8" w:rsidRDefault="00F00FB8" w:rsidP="00AF263D">
            <w:pPr>
              <w:pStyle w:val="Tabletext"/>
              <w:rPr>
                <w:lang w:eastAsia="en-US"/>
              </w:rPr>
            </w:pPr>
            <w:r w:rsidRPr="00F00FB8">
              <w:rPr>
                <w:lang w:eastAsia="en-US"/>
              </w:rPr>
              <w:t>Workshop/Training</w:t>
            </w:r>
          </w:p>
        </w:tc>
        <w:tc>
          <w:tcPr>
            <w:tcW w:w="0" w:type="auto"/>
          </w:tcPr>
          <w:p w14:paraId="12557446" w14:textId="77777777" w:rsidR="00F00FB8" w:rsidRPr="00F00FB8" w:rsidRDefault="00F00FB8" w:rsidP="00AF263D">
            <w:pPr>
              <w:pStyle w:val="Tabletext"/>
              <w:rPr>
                <w:lang w:eastAsia="en-US"/>
              </w:rPr>
            </w:pPr>
            <w:r w:rsidRPr="00F00FB8">
              <w:rPr>
                <w:lang w:eastAsia="en-US"/>
              </w:rPr>
              <w:t>Date</w:t>
            </w:r>
          </w:p>
        </w:tc>
      </w:tr>
      <w:tr w:rsidR="00F00FB8" w:rsidRPr="00F00FB8" w14:paraId="01097B37" w14:textId="77777777" w:rsidTr="00A47566">
        <w:tc>
          <w:tcPr>
            <w:tcW w:w="0" w:type="auto"/>
          </w:tcPr>
          <w:p w14:paraId="6DA2E0FE" w14:textId="77777777" w:rsidR="00F00FB8" w:rsidRPr="00F00FB8" w:rsidRDefault="00F00FB8" w:rsidP="00AF263D">
            <w:pPr>
              <w:pStyle w:val="Tabletext"/>
              <w:rPr>
                <w:lang w:eastAsia="en-US"/>
              </w:rPr>
            </w:pPr>
            <w:r w:rsidRPr="00F00FB8">
              <w:rPr>
                <w:lang w:eastAsia="en-US"/>
              </w:rPr>
              <w:t>SUMS Doctoral Conference</w:t>
            </w:r>
          </w:p>
        </w:tc>
        <w:tc>
          <w:tcPr>
            <w:tcW w:w="0" w:type="auto"/>
          </w:tcPr>
          <w:p w14:paraId="1C9E5401" w14:textId="77777777" w:rsidR="00F00FB8" w:rsidRPr="00F00FB8" w:rsidRDefault="00F00FB8" w:rsidP="00AF263D">
            <w:pPr>
              <w:pStyle w:val="Tabletext"/>
              <w:rPr>
                <w:lang w:eastAsia="en-US"/>
              </w:rPr>
            </w:pPr>
            <w:r w:rsidRPr="00F00FB8">
              <w:rPr>
                <w:lang w:eastAsia="en-US"/>
              </w:rPr>
              <w:t>18 September 2019</w:t>
            </w:r>
          </w:p>
        </w:tc>
      </w:tr>
      <w:tr w:rsidR="00F00FB8" w:rsidRPr="00F00FB8" w14:paraId="25BBE3C0" w14:textId="77777777" w:rsidTr="00A47566">
        <w:tc>
          <w:tcPr>
            <w:tcW w:w="0" w:type="auto"/>
          </w:tcPr>
          <w:p w14:paraId="63C8A014" w14:textId="77777777" w:rsidR="00F00FB8" w:rsidRPr="00F00FB8" w:rsidRDefault="00F00FB8" w:rsidP="00AF263D">
            <w:pPr>
              <w:pStyle w:val="Tabletext"/>
              <w:rPr>
                <w:lang w:eastAsia="en-US"/>
              </w:rPr>
            </w:pPr>
            <w:r w:rsidRPr="00F00FB8">
              <w:rPr>
                <w:lang w:eastAsia="en-US"/>
              </w:rPr>
              <w:t>Faculty of Social Sciences – PGR induction session</w:t>
            </w:r>
          </w:p>
        </w:tc>
        <w:tc>
          <w:tcPr>
            <w:tcW w:w="0" w:type="auto"/>
          </w:tcPr>
          <w:p w14:paraId="22B21AD3" w14:textId="77777777" w:rsidR="00F00FB8" w:rsidRPr="00F00FB8" w:rsidRDefault="00F00FB8" w:rsidP="00AF263D">
            <w:pPr>
              <w:pStyle w:val="Tabletext"/>
              <w:rPr>
                <w:lang w:eastAsia="en-US"/>
              </w:rPr>
            </w:pPr>
            <w:r w:rsidRPr="00F00FB8">
              <w:rPr>
                <w:lang w:eastAsia="en-US"/>
              </w:rPr>
              <w:t>16 October 2019</w:t>
            </w:r>
          </w:p>
        </w:tc>
      </w:tr>
      <w:tr w:rsidR="00F00FB8" w:rsidRPr="00F00FB8" w14:paraId="67110DCF" w14:textId="77777777" w:rsidTr="00A47566">
        <w:tc>
          <w:tcPr>
            <w:tcW w:w="0" w:type="auto"/>
          </w:tcPr>
          <w:p w14:paraId="341D0116" w14:textId="77777777" w:rsidR="00F00FB8" w:rsidRPr="00F00FB8" w:rsidRDefault="00F00FB8" w:rsidP="00AF263D">
            <w:pPr>
              <w:pStyle w:val="Tabletext"/>
              <w:rPr>
                <w:lang w:eastAsia="en-US"/>
              </w:rPr>
            </w:pPr>
            <w:r w:rsidRPr="00F00FB8">
              <w:rPr>
                <w:lang w:eastAsia="en-US"/>
              </w:rPr>
              <w:t>SUMS Statistics Workshop: Basic statistical principles</w:t>
            </w:r>
          </w:p>
        </w:tc>
        <w:tc>
          <w:tcPr>
            <w:tcW w:w="0" w:type="auto"/>
          </w:tcPr>
          <w:p w14:paraId="57BF75A5" w14:textId="77777777" w:rsidR="00F00FB8" w:rsidRPr="00F00FB8" w:rsidRDefault="00F00FB8" w:rsidP="00AF263D">
            <w:pPr>
              <w:pStyle w:val="Tabletext"/>
              <w:rPr>
                <w:lang w:eastAsia="en-US"/>
              </w:rPr>
            </w:pPr>
            <w:r w:rsidRPr="00F00FB8">
              <w:rPr>
                <w:lang w:eastAsia="en-US"/>
              </w:rPr>
              <w:t>08 January 2020</w:t>
            </w:r>
          </w:p>
        </w:tc>
      </w:tr>
      <w:tr w:rsidR="00F00FB8" w:rsidRPr="00F00FB8" w14:paraId="7FDDC0A5" w14:textId="77777777" w:rsidTr="00A47566">
        <w:tc>
          <w:tcPr>
            <w:tcW w:w="0" w:type="auto"/>
          </w:tcPr>
          <w:p w14:paraId="144BBA5C" w14:textId="77777777" w:rsidR="00F00FB8" w:rsidRPr="00F00FB8" w:rsidRDefault="00F00FB8" w:rsidP="00AF263D">
            <w:pPr>
              <w:pStyle w:val="Tabletext"/>
              <w:rPr>
                <w:lang w:eastAsia="en-US"/>
              </w:rPr>
            </w:pPr>
            <w:r w:rsidRPr="00F00FB8">
              <w:rPr>
                <w:lang w:eastAsia="en-US"/>
              </w:rPr>
              <w:t>SUMS Statistics Workshop: Introduction to SPSS</w:t>
            </w:r>
          </w:p>
        </w:tc>
        <w:tc>
          <w:tcPr>
            <w:tcW w:w="0" w:type="auto"/>
          </w:tcPr>
          <w:p w14:paraId="38390E13" w14:textId="77777777" w:rsidR="00F00FB8" w:rsidRPr="00F00FB8" w:rsidRDefault="00F00FB8" w:rsidP="00AF263D">
            <w:pPr>
              <w:pStyle w:val="Tabletext"/>
              <w:rPr>
                <w:lang w:eastAsia="en-US"/>
              </w:rPr>
            </w:pPr>
            <w:r w:rsidRPr="00F00FB8">
              <w:rPr>
                <w:lang w:eastAsia="en-US"/>
              </w:rPr>
              <w:t>08 January 2020</w:t>
            </w:r>
          </w:p>
        </w:tc>
      </w:tr>
      <w:tr w:rsidR="00F00FB8" w:rsidRPr="00F00FB8" w14:paraId="12C4813B" w14:textId="77777777" w:rsidTr="00A47566">
        <w:tc>
          <w:tcPr>
            <w:tcW w:w="0" w:type="auto"/>
          </w:tcPr>
          <w:p w14:paraId="793480A9" w14:textId="77777777" w:rsidR="00F00FB8" w:rsidRPr="00F00FB8" w:rsidRDefault="00F00FB8" w:rsidP="00AF263D">
            <w:pPr>
              <w:pStyle w:val="Tabletext"/>
              <w:rPr>
                <w:lang w:eastAsia="en-US"/>
              </w:rPr>
            </w:pPr>
            <w:r w:rsidRPr="00F00FB8">
              <w:rPr>
                <w:lang w:eastAsia="en-US"/>
              </w:rPr>
              <w:t>SUMS Statistics Workshop: Regression and ANOVA</w:t>
            </w:r>
          </w:p>
        </w:tc>
        <w:tc>
          <w:tcPr>
            <w:tcW w:w="0" w:type="auto"/>
          </w:tcPr>
          <w:p w14:paraId="6E38C402" w14:textId="77777777" w:rsidR="00F00FB8" w:rsidRPr="00F00FB8" w:rsidRDefault="00F00FB8" w:rsidP="00AF263D">
            <w:pPr>
              <w:pStyle w:val="Tabletext"/>
              <w:rPr>
                <w:lang w:eastAsia="en-US"/>
              </w:rPr>
            </w:pPr>
            <w:r w:rsidRPr="00F00FB8">
              <w:rPr>
                <w:lang w:eastAsia="en-US"/>
              </w:rPr>
              <w:t>15 January 2020</w:t>
            </w:r>
          </w:p>
        </w:tc>
      </w:tr>
      <w:tr w:rsidR="00F00FB8" w:rsidRPr="00F00FB8" w14:paraId="205F5AF4" w14:textId="77777777" w:rsidTr="00A47566">
        <w:tc>
          <w:tcPr>
            <w:tcW w:w="0" w:type="auto"/>
          </w:tcPr>
          <w:p w14:paraId="179E7BB1" w14:textId="77777777" w:rsidR="00F00FB8" w:rsidRPr="00F00FB8" w:rsidRDefault="00F00FB8" w:rsidP="00AF263D">
            <w:pPr>
              <w:pStyle w:val="Tabletext"/>
              <w:rPr>
                <w:lang w:eastAsia="en-US"/>
              </w:rPr>
            </w:pPr>
            <w:r w:rsidRPr="00F00FB8">
              <w:rPr>
                <w:lang w:eastAsia="en-US"/>
              </w:rPr>
              <w:t>SUMS Statistics Workshop: Developing questionnaire scales</w:t>
            </w:r>
          </w:p>
        </w:tc>
        <w:tc>
          <w:tcPr>
            <w:tcW w:w="0" w:type="auto"/>
          </w:tcPr>
          <w:p w14:paraId="35FC052D" w14:textId="77777777" w:rsidR="00F00FB8" w:rsidRPr="00F00FB8" w:rsidRDefault="00F00FB8" w:rsidP="00AF263D">
            <w:pPr>
              <w:pStyle w:val="Tabletext"/>
              <w:rPr>
                <w:lang w:eastAsia="en-US"/>
              </w:rPr>
            </w:pPr>
            <w:r w:rsidRPr="00F00FB8">
              <w:rPr>
                <w:lang w:eastAsia="en-US"/>
              </w:rPr>
              <w:t>29 January 2020</w:t>
            </w:r>
          </w:p>
        </w:tc>
      </w:tr>
      <w:tr w:rsidR="00F00FB8" w:rsidRPr="00F00FB8" w14:paraId="02244304" w14:textId="77777777" w:rsidTr="00A47566">
        <w:tc>
          <w:tcPr>
            <w:tcW w:w="0" w:type="auto"/>
          </w:tcPr>
          <w:p w14:paraId="053100AF" w14:textId="77777777" w:rsidR="00F00FB8" w:rsidRPr="00F00FB8" w:rsidRDefault="00F00FB8" w:rsidP="00AF263D">
            <w:pPr>
              <w:pStyle w:val="Tabletext"/>
              <w:rPr>
                <w:lang w:eastAsia="en-US"/>
              </w:rPr>
            </w:pPr>
            <w:r w:rsidRPr="00F00FB8">
              <w:rPr>
                <w:lang w:eastAsia="en-US"/>
              </w:rPr>
              <w:t>Social Sciences PGR Training: Mixing methods – why, when and how</w:t>
            </w:r>
          </w:p>
        </w:tc>
        <w:tc>
          <w:tcPr>
            <w:tcW w:w="0" w:type="auto"/>
          </w:tcPr>
          <w:p w14:paraId="43F3FC56" w14:textId="77777777" w:rsidR="00F00FB8" w:rsidRPr="00F00FB8" w:rsidRDefault="00F00FB8" w:rsidP="00AF263D">
            <w:pPr>
              <w:pStyle w:val="Tabletext"/>
              <w:rPr>
                <w:lang w:eastAsia="en-US"/>
              </w:rPr>
            </w:pPr>
            <w:r w:rsidRPr="00F00FB8">
              <w:rPr>
                <w:lang w:eastAsia="en-US"/>
              </w:rPr>
              <w:t>03 February 2020</w:t>
            </w:r>
          </w:p>
        </w:tc>
      </w:tr>
      <w:tr w:rsidR="00F00FB8" w:rsidRPr="00F00FB8" w14:paraId="6724C796" w14:textId="77777777" w:rsidTr="00A47566">
        <w:tc>
          <w:tcPr>
            <w:tcW w:w="0" w:type="auto"/>
          </w:tcPr>
          <w:p w14:paraId="442BA6C7" w14:textId="77777777" w:rsidR="00F00FB8" w:rsidRPr="00F00FB8" w:rsidRDefault="00F00FB8" w:rsidP="00AF263D">
            <w:pPr>
              <w:pStyle w:val="Tabletext"/>
              <w:rPr>
                <w:lang w:eastAsia="en-US"/>
              </w:rPr>
            </w:pPr>
            <w:r w:rsidRPr="00F00FB8">
              <w:rPr>
                <w:lang w:eastAsia="en-US"/>
              </w:rPr>
              <w:t>SUMS Research Development Workshop: 7 Secrets of highly successful research students</w:t>
            </w:r>
          </w:p>
        </w:tc>
        <w:tc>
          <w:tcPr>
            <w:tcW w:w="0" w:type="auto"/>
          </w:tcPr>
          <w:p w14:paraId="59A9EE38" w14:textId="77777777" w:rsidR="00F00FB8" w:rsidRPr="00F00FB8" w:rsidRDefault="00F00FB8" w:rsidP="00AF263D">
            <w:pPr>
              <w:pStyle w:val="Tabletext"/>
              <w:rPr>
                <w:lang w:eastAsia="en-US"/>
              </w:rPr>
            </w:pPr>
            <w:r w:rsidRPr="00F00FB8">
              <w:rPr>
                <w:lang w:eastAsia="en-US"/>
              </w:rPr>
              <w:t>6 May 2020</w:t>
            </w:r>
          </w:p>
        </w:tc>
      </w:tr>
      <w:tr w:rsidR="00F00FB8" w:rsidRPr="00F00FB8" w14:paraId="139B9D0A" w14:textId="77777777" w:rsidTr="00A47566">
        <w:tc>
          <w:tcPr>
            <w:tcW w:w="0" w:type="auto"/>
          </w:tcPr>
          <w:p w14:paraId="0909BF41" w14:textId="77777777" w:rsidR="00F00FB8" w:rsidRPr="00F00FB8" w:rsidRDefault="00F00FB8" w:rsidP="00AF263D">
            <w:pPr>
              <w:pStyle w:val="Tabletext"/>
              <w:rPr>
                <w:lang w:eastAsia="en-US"/>
              </w:rPr>
            </w:pPr>
            <w:r w:rsidRPr="00F00FB8">
              <w:rPr>
                <w:lang w:eastAsia="en-US"/>
              </w:rPr>
              <w:t>Looking after your Research Data/Making a DMP</w:t>
            </w:r>
          </w:p>
        </w:tc>
        <w:tc>
          <w:tcPr>
            <w:tcW w:w="0" w:type="auto"/>
          </w:tcPr>
          <w:p w14:paraId="55FADA75" w14:textId="77777777" w:rsidR="00F00FB8" w:rsidRPr="00F00FB8" w:rsidRDefault="00F00FB8" w:rsidP="00AF263D">
            <w:pPr>
              <w:pStyle w:val="Tabletext"/>
              <w:rPr>
                <w:lang w:eastAsia="en-US"/>
              </w:rPr>
            </w:pPr>
            <w:r w:rsidRPr="00F00FB8">
              <w:rPr>
                <w:lang w:eastAsia="en-US"/>
              </w:rPr>
              <w:t>12 May 2020</w:t>
            </w:r>
          </w:p>
        </w:tc>
      </w:tr>
      <w:tr w:rsidR="00F00FB8" w:rsidRPr="00F00FB8" w14:paraId="273838D7" w14:textId="77777777" w:rsidTr="00A47566">
        <w:tc>
          <w:tcPr>
            <w:tcW w:w="0" w:type="auto"/>
          </w:tcPr>
          <w:p w14:paraId="53E436A3" w14:textId="77777777" w:rsidR="00F00FB8" w:rsidRPr="00F00FB8" w:rsidRDefault="00F00FB8" w:rsidP="00AF263D">
            <w:pPr>
              <w:pStyle w:val="Tabletext"/>
              <w:rPr>
                <w:lang w:eastAsia="en-US"/>
              </w:rPr>
            </w:pPr>
            <w:r w:rsidRPr="00F00FB8">
              <w:rPr>
                <w:lang w:eastAsia="en-US"/>
              </w:rPr>
              <w:t>SUMS Research Development Workshop: How to plan your PhD</w:t>
            </w:r>
          </w:p>
        </w:tc>
        <w:tc>
          <w:tcPr>
            <w:tcW w:w="0" w:type="auto"/>
          </w:tcPr>
          <w:p w14:paraId="7510F948" w14:textId="77777777" w:rsidR="00F00FB8" w:rsidRPr="00F00FB8" w:rsidRDefault="00F00FB8" w:rsidP="00AF263D">
            <w:pPr>
              <w:pStyle w:val="Tabletext"/>
              <w:rPr>
                <w:lang w:eastAsia="en-US"/>
              </w:rPr>
            </w:pPr>
            <w:r w:rsidRPr="00F00FB8">
              <w:rPr>
                <w:lang w:eastAsia="en-US"/>
              </w:rPr>
              <w:t>21 May 2020</w:t>
            </w:r>
          </w:p>
        </w:tc>
      </w:tr>
      <w:tr w:rsidR="00AF263D" w:rsidRPr="00F00FB8" w14:paraId="2F6830ED" w14:textId="77777777" w:rsidTr="00A47566">
        <w:tc>
          <w:tcPr>
            <w:tcW w:w="0" w:type="auto"/>
          </w:tcPr>
          <w:p w14:paraId="35D6B60C" w14:textId="39660297" w:rsidR="00AF263D" w:rsidRPr="00F00FB8" w:rsidRDefault="00AF263D" w:rsidP="00AF263D">
            <w:pPr>
              <w:pStyle w:val="Tabletext"/>
              <w:rPr>
                <w:lang w:eastAsia="en-US"/>
              </w:rPr>
            </w:pPr>
            <w:r w:rsidRPr="00AF263D">
              <w:rPr>
                <w:lang w:eastAsia="en-US"/>
              </w:rPr>
              <w:t>SUMS Workshop</w:t>
            </w:r>
            <w:r w:rsidRPr="00AF263D">
              <w:rPr>
                <w:lang w:eastAsia="en-US"/>
              </w:rPr>
              <w:tab/>
              <w:t>Communicating research in accessible and visual ways</w:t>
            </w:r>
            <w:r w:rsidRPr="00AF263D">
              <w:rPr>
                <w:lang w:eastAsia="en-US"/>
              </w:rPr>
              <w:tab/>
            </w:r>
          </w:p>
        </w:tc>
        <w:tc>
          <w:tcPr>
            <w:tcW w:w="0" w:type="auto"/>
          </w:tcPr>
          <w:p w14:paraId="0912C04E" w14:textId="46F8A95E" w:rsidR="00AF263D" w:rsidRPr="00F00FB8" w:rsidRDefault="00AF263D" w:rsidP="00AF263D">
            <w:pPr>
              <w:pStyle w:val="Tabletext"/>
              <w:rPr>
                <w:lang w:eastAsia="en-US"/>
              </w:rPr>
            </w:pPr>
            <w:r w:rsidRPr="00AF263D">
              <w:rPr>
                <w:lang w:eastAsia="en-US"/>
              </w:rPr>
              <w:t>8 June 2021</w:t>
            </w:r>
          </w:p>
        </w:tc>
      </w:tr>
      <w:tr w:rsidR="00AF263D" w:rsidRPr="00F00FB8" w14:paraId="24CB4226" w14:textId="77777777" w:rsidTr="00A47566">
        <w:tc>
          <w:tcPr>
            <w:tcW w:w="0" w:type="auto"/>
          </w:tcPr>
          <w:p w14:paraId="4B29BD9A" w14:textId="5DFDC1D8" w:rsidR="00AF263D" w:rsidRPr="00F00FB8" w:rsidRDefault="00215C6D" w:rsidP="00AF263D">
            <w:pPr>
              <w:pStyle w:val="Tabletext"/>
              <w:rPr>
                <w:lang w:eastAsia="en-US"/>
              </w:rPr>
            </w:pPr>
            <w:r w:rsidRPr="00215C6D">
              <w:rPr>
                <w:lang w:eastAsia="en-US"/>
              </w:rPr>
              <w:t xml:space="preserve">SUMS Statistics Workshop: </w:t>
            </w:r>
            <w:proofErr w:type="spellStart"/>
            <w:r w:rsidRPr="00215C6D">
              <w:rPr>
                <w:lang w:eastAsia="en-US"/>
              </w:rPr>
              <w:t>Generalised</w:t>
            </w:r>
            <w:proofErr w:type="spellEnd"/>
            <w:r w:rsidRPr="00215C6D">
              <w:rPr>
                <w:lang w:eastAsia="en-US"/>
              </w:rPr>
              <w:t xml:space="preserve"> Linear Models (discussion)</w:t>
            </w:r>
          </w:p>
        </w:tc>
        <w:tc>
          <w:tcPr>
            <w:tcW w:w="0" w:type="auto"/>
          </w:tcPr>
          <w:p w14:paraId="1B5B9E0E" w14:textId="612A065F" w:rsidR="00AF263D" w:rsidRPr="00F00FB8" w:rsidRDefault="00215C6D" w:rsidP="00AF263D">
            <w:pPr>
              <w:pStyle w:val="Tabletext"/>
              <w:rPr>
                <w:lang w:eastAsia="en-US"/>
              </w:rPr>
            </w:pPr>
            <w:r>
              <w:rPr>
                <w:lang w:eastAsia="en-US"/>
              </w:rPr>
              <w:t>26 April</w:t>
            </w:r>
          </w:p>
        </w:tc>
      </w:tr>
      <w:tr w:rsidR="00AF263D" w:rsidRPr="00F00FB8" w14:paraId="6856E296" w14:textId="77777777" w:rsidTr="00A47566">
        <w:tc>
          <w:tcPr>
            <w:tcW w:w="0" w:type="auto"/>
          </w:tcPr>
          <w:p w14:paraId="24B57516" w14:textId="7439913A" w:rsidR="00AF263D" w:rsidRPr="00F00FB8" w:rsidRDefault="00215C6D" w:rsidP="00AF263D">
            <w:pPr>
              <w:pStyle w:val="Tabletext"/>
              <w:rPr>
                <w:lang w:eastAsia="en-US"/>
              </w:rPr>
            </w:pPr>
            <w:r w:rsidRPr="00215C6D">
              <w:rPr>
                <w:lang w:eastAsia="en-US"/>
              </w:rPr>
              <w:t>SUMS Statistics Workshop: Categorical Data Analysis</w:t>
            </w:r>
          </w:p>
        </w:tc>
        <w:tc>
          <w:tcPr>
            <w:tcW w:w="0" w:type="auto"/>
          </w:tcPr>
          <w:p w14:paraId="60599931" w14:textId="2FC7BA3D" w:rsidR="00AF263D" w:rsidRPr="00F00FB8" w:rsidRDefault="00215C6D" w:rsidP="00AF263D">
            <w:pPr>
              <w:pStyle w:val="Tabletext"/>
              <w:rPr>
                <w:lang w:eastAsia="en-US"/>
              </w:rPr>
            </w:pPr>
            <w:r>
              <w:rPr>
                <w:lang w:eastAsia="en-US"/>
              </w:rPr>
              <w:t>27 May</w:t>
            </w:r>
          </w:p>
        </w:tc>
      </w:tr>
      <w:tr w:rsidR="00AF263D" w:rsidRPr="00F00FB8" w14:paraId="626C186F" w14:textId="77777777" w:rsidTr="00A47566">
        <w:tc>
          <w:tcPr>
            <w:tcW w:w="0" w:type="auto"/>
          </w:tcPr>
          <w:p w14:paraId="683F8302" w14:textId="4FB48FD3" w:rsidR="00AF263D" w:rsidRPr="00F00FB8" w:rsidRDefault="008C44EC" w:rsidP="00AF263D">
            <w:pPr>
              <w:pStyle w:val="Tabletext"/>
              <w:rPr>
                <w:lang w:eastAsia="en-US"/>
              </w:rPr>
            </w:pPr>
            <w:r w:rsidRPr="00215C6D">
              <w:rPr>
                <w:lang w:eastAsia="en-US"/>
              </w:rPr>
              <w:t xml:space="preserve">SUMS Statistics Workshop: </w:t>
            </w:r>
            <w:r w:rsidRPr="008C44EC">
              <w:rPr>
                <w:lang w:eastAsia="en-US"/>
              </w:rPr>
              <w:t>CFA and SEM using AMOS workshop</w:t>
            </w:r>
          </w:p>
        </w:tc>
        <w:tc>
          <w:tcPr>
            <w:tcW w:w="0" w:type="auto"/>
          </w:tcPr>
          <w:p w14:paraId="6791E0DB" w14:textId="4A02C48B" w:rsidR="00AF263D" w:rsidRPr="00F00FB8" w:rsidRDefault="008C44EC" w:rsidP="00AF263D">
            <w:pPr>
              <w:pStyle w:val="Tabletext"/>
              <w:rPr>
                <w:lang w:eastAsia="en-US"/>
              </w:rPr>
            </w:pPr>
            <w:r>
              <w:rPr>
                <w:lang w:eastAsia="en-US"/>
              </w:rPr>
              <w:t>22 July 2022</w:t>
            </w:r>
          </w:p>
        </w:tc>
      </w:tr>
    </w:tbl>
    <w:p w14:paraId="32E96959" w14:textId="77777777" w:rsidR="00F00FB8" w:rsidRPr="00F00FB8" w:rsidRDefault="00F00FB8" w:rsidP="00F00FB8">
      <w:pPr>
        <w:spacing w:after="0"/>
        <w:rPr>
          <w:rFonts w:eastAsia="Calibri" w:cs="Times New Roman"/>
          <w:b/>
          <w:bCs/>
          <w:sz w:val="22"/>
          <w:szCs w:val="22"/>
          <w:lang w:eastAsia="en-US"/>
        </w:rPr>
      </w:pPr>
    </w:p>
    <w:p w14:paraId="3F7B3B9F" w14:textId="77777777" w:rsidR="00F00FB8" w:rsidRPr="00F00FB8" w:rsidRDefault="00F00FB8" w:rsidP="00F00FB8">
      <w:pPr>
        <w:numPr>
          <w:ilvl w:val="0"/>
          <w:numId w:val="24"/>
        </w:numPr>
        <w:spacing w:before="40" w:after="240"/>
        <w:contextualSpacing/>
        <w:rPr>
          <w:rFonts w:eastAsia="Calibri" w:cs="Times New Roman"/>
          <w:sz w:val="22"/>
          <w:szCs w:val="22"/>
          <w:lang w:eastAsia="en-US"/>
        </w:rPr>
      </w:pPr>
      <w:r w:rsidRPr="00F00FB8">
        <w:rPr>
          <w:rFonts w:eastAsia="Calibri" w:cs="Times New Roman"/>
          <w:sz w:val="22"/>
          <w:szCs w:val="22"/>
          <w:lang w:eastAsia="en-US"/>
        </w:rPr>
        <w:t>Conferences/other Training activities outside UoS</w:t>
      </w:r>
    </w:p>
    <w:tbl>
      <w:tblPr>
        <w:tblStyle w:val="TableGrid7"/>
        <w:tblW w:w="8505" w:type="dxa"/>
        <w:tblInd w:w="562" w:type="dxa"/>
        <w:tblLook w:val="04A0" w:firstRow="1" w:lastRow="0" w:firstColumn="1" w:lastColumn="0" w:noHBand="0" w:noVBand="1"/>
      </w:tblPr>
      <w:tblGrid>
        <w:gridCol w:w="4820"/>
        <w:gridCol w:w="1701"/>
        <w:gridCol w:w="1984"/>
      </w:tblGrid>
      <w:tr w:rsidR="00F00FB8" w:rsidRPr="00F00FB8" w14:paraId="1A8AAACB" w14:textId="77777777" w:rsidTr="00A47566">
        <w:trPr>
          <w:trHeight w:val="159"/>
        </w:trPr>
        <w:tc>
          <w:tcPr>
            <w:tcW w:w="4820" w:type="dxa"/>
          </w:tcPr>
          <w:p w14:paraId="75AB16C1" w14:textId="77777777" w:rsidR="00F00FB8" w:rsidRPr="00F00FB8" w:rsidRDefault="00F00FB8" w:rsidP="00215C6D">
            <w:pPr>
              <w:pStyle w:val="Tabletext"/>
              <w:rPr>
                <w:lang w:eastAsia="en-US"/>
              </w:rPr>
            </w:pPr>
            <w:r w:rsidRPr="00F00FB8">
              <w:rPr>
                <w:lang w:eastAsia="en-US"/>
              </w:rPr>
              <w:lastRenderedPageBreak/>
              <w:t xml:space="preserve">Training activities </w:t>
            </w:r>
          </w:p>
        </w:tc>
        <w:tc>
          <w:tcPr>
            <w:tcW w:w="1701" w:type="dxa"/>
          </w:tcPr>
          <w:p w14:paraId="3F94DBB4" w14:textId="77777777" w:rsidR="00F00FB8" w:rsidRPr="00F00FB8" w:rsidRDefault="00F00FB8" w:rsidP="00215C6D">
            <w:pPr>
              <w:pStyle w:val="Tabletext"/>
              <w:rPr>
                <w:lang w:eastAsia="en-US"/>
              </w:rPr>
            </w:pPr>
            <w:r w:rsidRPr="00F00FB8">
              <w:rPr>
                <w:lang w:eastAsia="en-US"/>
              </w:rPr>
              <w:t>Location</w:t>
            </w:r>
          </w:p>
        </w:tc>
        <w:tc>
          <w:tcPr>
            <w:tcW w:w="1984" w:type="dxa"/>
          </w:tcPr>
          <w:p w14:paraId="4CBD7051" w14:textId="77777777" w:rsidR="00F00FB8" w:rsidRPr="00F00FB8" w:rsidRDefault="00F00FB8" w:rsidP="00215C6D">
            <w:pPr>
              <w:pStyle w:val="Tabletext"/>
              <w:rPr>
                <w:lang w:eastAsia="en-US"/>
              </w:rPr>
            </w:pPr>
            <w:r w:rsidRPr="00F00FB8">
              <w:rPr>
                <w:lang w:eastAsia="en-US"/>
              </w:rPr>
              <w:t>Date</w:t>
            </w:r>
          </w:p>
        </w:tc>
      </w:tr>
      <w:tr w:rsidR="00F00FB8" w:rsidRPr="00F00FB8" w14:paraId="67065C1C" w14:textId="77777777" w:rsidTr="00A47566">
        <w:tc>
          <w:tcPr>
            <w:tcW w:w="4820" w:type="dxa"/>
          </w:tcPr>
          <w:p w14:paraId="54C6FFA4" w14:textId="77777777" w:rsidR="00F00FB8" w:rsidRPr="00F00FB8" w:rsidRDefault="00F00FB8" w:rsidP="00215C6D">
            <w:pPr>
              <w:pStyle w:val="Tabletext"/>
              <w:rPr>
                <w:lang w:eastAsia="en-US"/>
              </w:rPr>
            </w:pPr>
            <w:r w:rsidRPr="00F00FB8">
              <w:rPr>
                <w:lang w:eastAsia="en-US"/>
              </w:rPr>
              <w:t>ReTraCE Network Summer School</w:t>
            </w:r>
          </w:p>
        </w:tc>
        <w:tc>
          <w:tcPr>
            <w:tcW w:w="1701" w:type="dxa"/>
          </w:tcPr>
          <w:p w14:paraId="714A24DF" w14:textId="77777777" w:rsidR="00F00FB8" w:rsidRPr="00F00FB8" w:rsidRDefault="00F00FB8" w:rsidP="00215C6D">
            <w:pPr>
              <w:pStyle w:val="Tabletext"/>
              <w:rPr>
                <w:lang w:eastAsia="en-US"/>
              </w:rPr>
            </w:pPr>
            <w:r w:rsidRPr="00F00FB8">
              <w:rPr>
                <w:lang w:eastAsia="en-US"/>
              </w:rPr>
              <w:t>Sheffield, UK</w:t>
            </w:r>
          </w:p>
        </w:tc>
        <w:tc>
          <w:tcPr>
            <w:tcW w:w="1984" w:type="dxa"/>
          </w:tcPr>
          <w:p w14:paraId="4475673D" w14:textId="77777777" w:rsidR="00F00FB8" w:rsidRPr="00F00FB8" w:rsidRDefault="00F00FB8" w:rsidP="00215C6D">
            <w:pPr>
              <w:pStyle w:val="Tabletext"/>
              <w:rPr>
                <w:lang w:eastAsia="en-US"/>
              </w:rPr>
            </w:pPr>
            <w:r w:rsidRPr="00F00FB8">
              <w:rPr>
                <w:lang w:eastAsia="en-US"/>
              </w:rPr>
              <w:t>03-07 June 2019</w:t>
            </w:r>
          </w:p>
        </w:tc>
      </w:tr>
      <w:tr w:rsidR="00F00FB8" w:rsidRPr="00F00FB8" w14:paraId="7CC13419" w14:textId="77777777" w:rsidTr="00A47566">
        <w:tc>
          <w:tcPr>
            <w:tcW w:w="4820" w:type="dxa"/>
          </w:tcPr>
          <w:p w14:paraId="7A088CEA" w14:textId="77777777" w:rsidR="00F00FB8" w:rsidRPr="00F00FB8" w:rsidRDefault="00F00FB8" w:rsidP="00215C6D">
            <w:pPr>
              <w:pStyle w:val="Tabletext"/>
              <w:rPr>
                <w:lang w:eastAsia="en-US"/>
              </w:rPr>
            </w:pPr>
            <w:r w:rsidRPr="00F00FB8">
              <w:rPr>
                <w:lang w:eastAsia="en-US"/>
              </w:rPr>
              <w:t>OR61 Conference</w:t>
            </w:r>
          </w:p>
        </w:tc>
        <w:tc>
          <w:tcPr>
            <w:tcW w:w="1701" w:type="dxa"/>
          </w:tcPr>
          <w:p w14:paraId="3512D8AE" w14:textId="77777777" w:rsidR="00F00FB8" w:rsidRPr="00F00FB8" w:rsidRDefault="00F00FB8" w:rsidP="00215C6D">
            <w:pPr>
              <w:pStyle w:val="Tabletext"/>
              <w:rPr>
                <w:lang w:eastAsia="en-US"/>
              </w:rPr>
            </w:pPr>
            <w:r w:rsidRPr="00F00FB8">
              <w:rPr>
                <w:lang w:eastAsia="en-US"/>
              </w:rPr>
              <w:t>Canterbury (UK)</w:t>
            </w:r>
          </w:p>
        </w:tc>
        <w:tc>
          <w:tcPr>
            <w:tcW w:w="1984" w:type="dxa"/>
          </w:tcPr>
          <w:p w14:paraId="2F0F65CD" w14:textId="77777777" w:rsidR="00F00FB8" w:rsidRPr="00F00FB8" w:rsidRDefault="00F00FB8" w:rsidP="00215C6D">
            <w:pPr>
              <w:pStyle w:val="Tabletext"/>
              <w:rPr>
                <w:lang w:eastAsia="en-US"/>
              </w:rPr>
            </w:pPr>
            <w:r w:rsidRPr="00F00FB8">
              <w:rPr>
                <w:lang w:eastAsia="en-US"/>
              </w:rPr>
              <w:t>03-05 September 2019</w:t>
            </w:r>
          </w:p>
        </w:tc>
      </w:tr>
      <w:tr w:rsidR="00F00FB8" w:rsidRPr="00F00FB8" w14:paraId="7AED14FE" w14:textId="77777777" w:rsidTr="00A47566">
        <w:tc>
          <w:tcPr>
            <w:tcW w:w="4820" w:type="dxa"/>
          </w:tcPr>
          <w:p w14:paraId="1AF89FFD" w14:textId="77777777" w:rsidR="00F00FB8" w:rsidRPr="00F00FB8" w:rsidRDefault="00F00FB8" w:rsidP="00215C6D">
            <w:pPr>
              <w:pStyle w:val="Tabletext"/>
              <w:rPr>
                <w:lang w:eastAsia="en-US"/>
              </w:rPr>
            </w:pPr>
            <w:r w:rsidRPr="00F00FB8">
              <w:rPr>
                <w:lang w:eastAsia="en-US"/>
              </w:rPr>
              <w:t>Workshop “Innovation and sustainable growth: is the circular economy a disruptive model?”</w:t>
            </w:r>
          </w:p>
        </w:tc>
        <w:tc>
          <w:tcPr>
            <w:tcW w:w="1701" w:type="dxa"/>
          </w:tcPr>
          <w:p w14:paraId="4F1E7EF5" w14:textId="77777777" w:rsidR="00F00FB8" w:rsidRPr="00F00FB8" w:rsidRDefault="00F00FB8" w:rsidP="00215C6D">
            <w:pPr>
              <w:pStyle w:val="Tabletext"/>
              <w:rPr>
                <w:lang w:eastAsia="en-US"/>
              </w:rPr>
            </w:pPr>
            <w:r w:rsidRPr="00F00FB8">
              <w:rPr>
                <w:lang w:eastAsia="en-US"/>
              </w:rPr>
              <w:t>Milan (Italy)</w:t>
            </w:r>
          </w:p>
        </w:tc>
        <w:tc>
          <w:tcPr>
            <w:tcW w:w="1984" w:type="dxa"/>
          </w:tcPr>
          <w:p w14:paraId="5FF952DF" w14:textId="77777777" w:rsidR="00F00FB8" w:rsidRPr="00F00FB8" w:rsidRDefault="00F00FB8" w:rsidP="00215C6D">
            <w:pPr>
              <w:pStyle w:val="Tabletext"/>
              <w:rPr>
                <w:lang w:eastAsia="en-US"/>
              </w:rPr>
            </w:pPr>
            <w:r w:rsidRPr="00F00FB8">
              <w:rPr>
                <w:lang w:eastAsia="en-US"/>
              </w:rPr>
              <w:t>20 September 2019</w:t>
            </w:r>
          </w:p>
        </w:tc>
      </w:tr>
      <w:tr w:rsidR="00F00FB8" w:rsidRPr="00F00FB8" w14:paraId="349F00CE" w14:textId="77777777" w:rsidTr="00A47566">
        <w:tc>
          <w:tcPr>
            <w:tcW w:w="4820" w:type="dxa"/>
          </w:tcPr>
          <w:p w14:paraId="744B4842" w14:textId="77777777" w:rsidR="00F00FB8" w:rsidRPr="00F00FB8" w:rsidRDefault="00F00FB8" w:rsidP="00215C6D">
            <w:pPr>
              <w:pStyle w:val="Tabletext"/>
              <w:rPr>
                <w:lang w:eastAsia="en-US"/>
              </w:rPr>
            </w:pPr>
            <w:proofErr w:type="spellStart"/>
            <w:r w:rsidRPr="00F00FB8">
              <w:rPr>
                <w:lang w:eastAsia="en-US"/>
              </w:rPr>
              <w:t>AiIG</w:t>
            </w:r>
            <w:proofErr w:type="spellEnd"/>
            <w:r w:rsidRPr="00F00FB8">
              <w:rPr>
                <w:lang w:eastAsia="en-US"/>
              </w:rPr>
              <w:t xml:space="preserve"> 2019 Conference</w:t>
            </w:r>
          </w:p>
        </w:tc>
        <w:tc>
          <w:tcPr>
            <w:tcW w:w="1701" w:type="dxa"/>
          </w:tcPr>
          <w:p w14:paraId="07201313" w14:textId="77777777" w:rsidR="00F00FB8" w:rsidRPr="00F00FB8" w:rsidRDefault="00F00FB8" w:rsidP="00215C6D">
            <w:pPr>
              <w:pStyle w:val="Tabletext"/>
              <w:rPr>
                <w:lang w:eastAsia="en-US"/>
              </w:rPr>
            </w:pPr>
            <w:r w:rsidRPr="00F00FB8">
              <w:rPr>
                <w:lang w:eastAsia="en-US"/>
              </w:rPr>
              <w:t>Turin (Italy)</w:t>
            </w:r>
          </w:p>
        </w:tc>
        <w:tc>
          <w:tcPr>
            <w:tcW w:w="1984" w:type="dxa"/>
          </w:tcPr>
          <w:p w14:paraId="7488868F" w14:textId="77777777" w:rsidR="00F00FB8" w:rsidRPr="00F00FB8" w:rsidRDefault="00F00FB8" w:rsidP="00215C6D">
            <w:pPr>
              <w:pStyle w:val="Tabletext"/>
              <w:rPr>
                <w:lang w:eastAsia="en-US"/>
              </w:rPr>
            </w:pPr>
            <w:r w:rsidRPr="00F00FB8">
              <w:rPr>
                <w:lang w:eastAsia="en-US"/>
              </w:rPr>
              <w:t>15-18 October 2019</w:t>
            </w:r>
          </w:p>
        </w:tc>
      </w:tr>
      <w:tr w:rsidR="00F00FB8" w:rsidRPr="00F00FB8" w14:paraId="6E338A42" w14:textId="77777777" w:rsidTr="00A47566">
        <w:tc>
          <w:tcPr>
            <w:tcW w:w="4820" w:type="dxa"/>
          </w:tcPr>
          <w:p w14:paraId="52EEA531" w14:textId="77777777" w:rsidR="00F00FB8" w:rsidRPr="00F00FB8" w:rsidRDefault="00F00FB8" w:rsidP="00215C6D">
            <w:pPr>
              <w:pStyle w:val="Tabletext"/>
              <w:rPr>
                <w:lang w:eastAsia="en-US"/>
              </w:rPr>
            </w:pPr>
            <w:r w:rsidRPr="00F00FB8">
              <w:rPr>
                <w:lang w:eastAsia="en-US"/>
              </w:rPr>
              <w:t>8th International Workshop – Advances in Cleaner Production</w:t>
            </w:r>
          </w:p>
        </w:tc>
        <w:tc>
          <w:tcPr>
            <w:tcW w:w="1701" w:type="dxa"/>
          </w:tcPr>
          <w:p w14:paraId="28443825" w14:textId="77777777" w:rsidR="00F00FB8" w:rsidRPr="00F00FB8" w:rsidRDefault="00F00FB8" w:rsidP="00215C6D">
            <w:pPr>
              <w:pStyle w:val="Tabletext"/>
              <w:rPr>
                <w:lang w:eastAsia="en-US"/>
              </w:rPr>
            </w:pPr>
            <w:proofErr w:type="spellStart"/>
            <w:r w:rsidRPr="00F00FB8">
              <w:rPr>
                <w:lang w:eastAsia="en-US"/>
              </w:rPr>
              <w:t>Sanya</w:t>
            </w:r>
            <w:proofErr w:type="spellEnd"/>
            <w:r w:rsidRPr="00F00FB8">
              <w:rPr>
                <w:lang w:eastAsia="en-US"/>
              </w:rPr>
              <w:t xml:space="preserve"> (China)</w:t>
            </w:r>
          </w:p>
        </w:tc>
        <w:tc>
          <w:tcPr>
            <w:tcW w:w="1984" w:type="dxa"/>
          </w:tcPr>
          <w:p w14:paraId="5C2ABA22" w14:textId="77777777" w:rsidR="00F00FB8" w:rsidRPr="00F00FB8" w:rsidRDefault="00F00FB8" w:rsidP="00215C6D">
            <w:pPr>
              <w:pStyle w:val="Tabletext"/>
              <w:rPr>
                <w:lang w:eastAsia="en-US"/>
              </w:rPr>
            </w:pPr>
            <w:r w:rsidRPr="00F00FB8">
              <w:rPr>
                <w:lang w:eastAsia="en-US"/>
              </w:rPr>
              <w:t>13-15 November 2019</w:t>
            </w:r>
          </w:p>
        </w:tc>
      </w:tr>
      <w:tr w:rsidR="00F00FB8" w:rsidRPr="00F00FB8" w14:paraId="105D807C" w14:textId="77777777" w:rsidTr="00A47566">
        <w:tc>
          <w:tcPr>
            <w:tcW w:w="4820" w:type="dxa"/>
          </w:tcPr>
          <w:p w14:paraId="4A4BF2FF" w14:textId="77777777" w:rsidR="00F00FB8" w:rsidRPr="00F00FB8" w:rsidRDefault="00F00FB8" w:rsidP="00215C6D">
            <w:pPr>
              <w:pStyle w:val="Tabletext"/>
              <w:rPr>
                <w:lang w:eastAsia="en-US"/>
              </w:rPr>
            </w:pPr>
            <w:r w:rsidRPr="00F00FB8">
              <w:rPr>
                <w:lang w:eastAsia="en-US"/>
              </w:rPr>
              <w:t xml:space="preserve">Conference on ‘Reducing avoidable plastic waste – incentives, targets, and policy priorities’ </w:t>
            </w:r>
          </w:p>
        </w:tc>
        <w:tc>
          <w:tcPr>
            <w:tcW w:w="1701" w:type="dxa"/>
          </w:tcPr>
          <w:p w14:paraId="5EB60590" w14:textId="77777777" w:rsidR="00F00FB8" w:rsidRPr="00F00FB8" w:rsidRDefault="00F00FB8" w:rsidP="00215C6D">
            <w:pPr>
              <w:pStyle w:val="Tabletext"/>
              <w:rPr>
                <w:lang w:eastAsia="en-US"/>
              </w:rPr>
            </w:pPr>
            <w:r w:rsidRPr="00F00FB8">
              <w:rPr>
                <w:lang w:eastAsia="en-US"/>
              </w:rPr>
              <w:t>London, UK</w:t>
            </w:r>
          </w:p>
        </w:tc>
        <w:tc>
          <w:tcPr>
            <w:tcW w:w="1984" w:type="dxa"/>
          </w:tcPr>
          <w:p w14:paraId="080058DB" w14:textId="77777777" w:rsidR="00F00FB8" w:rsidRPr="00F00FB8" w:rsidRDefault="00F00FB8" w:rsidP="00215C6D">
            <w:pPr>
              <w:pStyle w:val="Tabletext"/>
              <w:rPr>
                <w:lang w:eastAsia="en-US"/>
              </w:rPr>
            </w:pPr>
            <w:r w:rsidRPr="00F00FB8">
              <w:rPr>
                <w:lang w:eastAsia="en-US"/>
              </w:rPr>
              <w:t>03 December 2019</w:t>
            </w:r>
          </w:p>
        </w:tc>
      </w:tr>
      <w:tr w:rsidR="00F00FB8" w:rsidRPr="00F00FB8" w14:paraId="487F94F7" w14:textId="77777777" w:rsidTr="00A47566">
        <w:tc>
          <w:tcPr>
            <w:tcW w:w="4820" w:type="dxa"/>
          </w:tcPr>
          <w:p w14:paraId="6E16CDFD" w14:textId="77777777" w:rsidR="00F00FB8" w:rsidRPr="00F00FB8" w:rsidRDefault="00F00FB8" w:rsidP="00215C6D">
            <w:pPr>
              <w:pStyle w:val="Tabletext"/>
              <w:rPr>
                <w:lang w:eastAsia="en-US"/>
              </w:rPr>
            </w:pPr>
            <w:r w:rsidRPr="00F00FB8">
              <w:rPr>
                <w:lang w:eastAsia="en-US"/>
              </w:rPr>
              <w:t>ReTraCE Network Winter School</w:t>
            </w:r>
          </w:p>
        </w:tc>
        <w:tc>
          <w:tcPr>
            <w:tcW w:w="1701" w:type="dxa"/>
          </w:tcPr>
          <w:p w14:paraId="7BE964E8" w14:textId="77777777" w:rsidR="00F00FB8" w:rsidRPr="00F00FB8" w:rsidRDefault="00F00FB8" w:rsidP="00215C6D">
            <w:pPr>
              <w:pStyle w:val="Tabletext"/>
              <w:rPr>
                <w:lang w:eastAsia="en-US"/>
              </w:rPr>
            </w:pPr>
            <w:r w:rsidRPr="00F00FB8">
              <w:rPr>
                <w:lang w:eastAsia="en-US"/>
              </w:rPr>
              <w:t>Naples, Italy</w:t>
            </w:r>
          </w:p>
        </w:tc>
        <w:tc>
          <w:tcPr>
            <w:tcW w:w="1984" w:type="dxa"/>
          </w:tcPr>
          <w:p w14:paraId="43D11E2E" w14:textId="77777777" w:rsidR="00F00FB8" w:rsidRPr="00F00FB8" w:rsidRDefault="00F00FB8" w:rsidP="00215C6D">
            <w:pPr>
              <w:pStyle w:val="Tabletext"/>
              <w:rPr>
                <w:lang w:eastAsia="en-US"/>
              </w:rPr>
            </w:pPr>
            <w:r w:rsidRPr="00F00FB8">
              <w:rPr>
                <w:lang w:eastAsia="en-US"/>
              </w:rPr>
              <w:t>09-14 December 2019</w:t>
            </w:r>
          </w:p>
        </w:tc>
      </w:tr>
      <w:tr w:rsidR="00F00FB8" w:rsidRPr="00F00FB8" w14:paraId="592F640F" w14:textId="77777777" w:rsidTr="00A47566">
        <w:tc>
          <w:tcPr>
            <w:tcW w:w="4820" w:type="dxa"/>
          </w:tcPr>
          <w:p w14:paraId="6182A1CB" w14:textId="77777777" w:rsidR="00F00FB8" w:rsidRPr="00F00FB8" w:rsidRDefault="00F00FB8" w:rsidP="00215C6D">
            <w:pPr>
              <w:pStyle w:val="Tabletext"/>
              <w:rPr>
                <w:lang w:eastAsia="en-US"/>
              </w:rPr>
            </w:pPr>
            <w:r w:rsidRPr="00F00FB8">
              <w:rPr>
                <w:lang w:eastAsia="en-US"/>
              </w:rPr>
              <w:t>ReTraCE ESRs Retreat in Napoli</w:t>
            </w:r>
          </w:p>
        </w:tc>
        <w:tc>
          <w:tcPr>
            <w:tcW w:w="1701" w:type="dxa"/>
          </w:tcPr>
          <w:p w14:paraId="6B85CF52" w14:textId="77777777" w:rsidR="00F00FB8" w:rsidRPr="00F00FB8" w:rsidRDefault="00F00FB8" w:rsidP="00215C6D">
            <w:pPr>
              <w:pStyle w:val="Tabletext"/>
              <w:rPr>
                <w:lang w:eastAsia="en-US"/>
              </w:rPr>
            </w:pPr>
            <w:r w:rsidRPr="00F00FB8">
              <w:rPr>
                <w:lang w:eastAsia="en-US"/>
              </w:rPr>
              <w:t>Naples, Italy</w:t>
            </w:r>
          </w:p>
        </w:tc>
        <w:tc>
          <w:tcPr>
            <w:tcW w:w="1984" w:type="dxa"/>
          </w:tcPr>
          <w:p w14:paraId="076F702F" w14:textId="77777777" w:rsidR="00F00FB8" w:rsidRPr="00F00FB8" w:rsidRDefault="00F00FB8" w:rsidP="00215C6D">
            <w:pPr>
              <w:pStyle w:val="Tabletext"/>
              <w:rPr>
                <w:lang w:eastAsia="en-US"/>
              </w:rPr>
            </w:pPr>
            <w:r w:rsidRPr="00F00FB8">
              <w:rPr>
                <w:lang w:eastAsia="en-US"/>
              </w:rPr>
              <w:t>16-18 December 2019</w:t>
            </w:r>
          </w:p>
        </w:tc>
      </w:tr>
      <w:tr w:rsidR="00F00FB8" w:rsidRPr="00F00FB8" w14:paraId="35B28327" w14:textId="77777777" w:rsidTr="00A47566">
        <w:tc>
          <w:tcPr>
            <w:tcW w:w="4820" w:type="dxa"/>
          </w:tcPr>
          <w:p w14:paraId="0A1E7B01" w14:textId="77777777" w:rsidR="00F00FB8" w:rsidRPr="00F00FB8" w:rsidRDefault="00F00FB8" w:rsidP="00215C6D">
            <w:pPr>
              <w:pStyle w:val="Tabletext"/>
              <w:rPr>
                <w:lang w:eastAsia="en-US"/>
              </w:rPr>
            </w:pPr>
            <w:r w:rsidRPr="00F00FB8">
              <w:rPr>
                <w:lang w:eastAsia="en-US"/>
              </w:rPr>
              <w:t>Twenty-first International Working Seminar on Production Economics</w:t>
            </w:r>
          </w:p>
        </w:tc>
        <w:tc>
          <w:tcPr>
            <w:tcW w:w="1701" w:type="dxa"/>
          </w:tcPr>
          <w:p w14:paraId="4E6189E3" w14:textId="77777777" w:rsidR="00F00FB8" w:rsidRPr="00F00FB8" w:rsidRDefault="00F00FB8" w:rsidP="00215C6D">
            <w:pPr>
              <w:pStyle w:val="Tabletext"/>
              <w:rPr>
                <w:lang w:eastAsia="en-US"/>
              </w:rPr>
            </w:pPr>
            <w:r w:rsidRPr="00F00FB8">
              <w:rPr>
                <w:lang w:eastAsia="en-US"/>
              </w:rPr>
              <w:t>Innsbruck (Austria)</w:t>
            </w:r>
          </w:p>
        </w:tc>
        <w:tc>
          <w:tcPr>
            <w:tcW w:w="1984" w:type="dxa"/>
          </w:tcPr>
          <w:p w14:paraId="0EF3AFF8" w14:textId="77777777" w:rsidR="00F00FB8" w:rsidRPr="00F00FB8" w:rsidRDefault="00F00FB8" w:rsidP="00215C6D">
            <w:pPr>
              <w:pStyle w:val="Tabletext"/>
              <w:rPr>
                <w:lang w:eastAsia="en-US"/>
              </w:rPr>
            </w:pPr>
            <w:r w:rsidRPr="00F00FB8">
              <w:rPr>
                <w:lang w:eastAsia="en-US"/>
              </w:rPr>
              <w:t>24-28 February 2020</w:t>
            </w:r>
          </w:p>
        </w:tc>
      </w:tr>
      <w:tr w:rsidR="00F00FB8" w:rsidRPr="00F00FB8" w14:paraId="395D9768" w14:textId="77777777" w:rsidTr="00A47566">
        <w:tc>
          <w:tcPr>
            <w:tcW w:w="4820" w:type="dxa"/>
          </w:tcPr>
          <w:p w14:paraId="1C5E42A4" w14:textId="77777777" w:rsidR="00F00FB8" w:rsidRPr="00F00FB8" w:rsidRDefault="00F00FB8" w:rsidP="00215C6D">
            <w:pPr>
              <w:pStyle w:val="Tabletext"/>
              <w:rPr>
                <w:lang w:eastAsia="en-US"/>
              </w:rPr>
            </w:pPr>
            <w:r w:rsidRPr="00F00FB8">
              <w:rPr>
                <w:lang w:eastAsia="en-US"/>
              </w:rPr>
              <w:t>Academic writing Coursera</w:t>
            </w:r>
          </w:p>
        </w:tc>
        <w:tc>
          <w:tcPr>
            <w:tcW w:w="1701" w:type="dxa"/>
          </w:tcPr>
          <w:p w14:paraId="672F4E64" w14:textId="77777777" w:rsidR="00F00FB8" w:rsidRPr="00F00FB8" w:rsidRDefault="00F00FB8" w:rsidP="00215C6D">
            <w:pPr>
              <w:pStyle w:val="Tabletext"/>
              <w:rPr>
                <w:lang w:eastAsia="en-US"/>
              </w:rPr>
            </w:pPr>
            <w:r w:rsidRPr="00F00FB8">
              <w:rPr>
                <w:lang w:eastAsia="en-US"/>
              </w:rPr>
              <w:t>Online</w:t>
            </w:r>
          </w:p>
        </w:tc>
        <w:tc>
          <w:tcPr>
            <w:tcW w:w="1984" w:type="dxa"/>
          </w:tcPr>
          <w:p w14:paraId="1CDF30BE" w14:textId="77777777" w:rsidR="00F00FB8" w:rsidRPr="00F00FB8" w:rsidRDefault="00F00FB8" w:rsidP="00215C6D">
            <w:pPr>
              <w:pStyle w:val="Tabletext"/>
              <w:rPr>
                <w:lang w:eastAsia="en-US"/>
              </w:rPr>
            </w:pPr>
            <w:r w:rsidRPr="00F00FB8">
              <w:rPr>
                <w:lang w:eastAsia="en-US"/>
              </w:rPr>
              <w:t>February-April 2020</w:t>
            </w:r>
          </w:p>
        </w:tc>
      </w:tr>
      <w:tr w:rsidR="00F00FB8" w:rsidRPr="00F00FB8" w14:paraId="2CFF5E1C" w14:textId="77777777" w:rsidTr="00A47566">
        <w:tc>
          <w:tcPr>
            <w:tcW w:w="4820" w:type="dxa"/>
          </w:tcPr>
          <w:p w14:paraId="568634F7" w14:textId="77777777" w:rsidR="00F00FB8" w:rsidRPr="00F00FB8" w:rsidRDefault="00F00FB8" w:rsidP="00215C6D">
            <w:pPr>
              <w:pStyle w:val="Tabletext"/>
              <w:rPr>
                <w:lang w:eastAsia="en-US"/>
              </w:rPr>
            </w:pPr>
            <w:r w:rsidRPr="00F00FB8">
              <w:rPr>
                <w:lang w:eastAsia="en-US"/>
              </w:rPr>
              <w:t>ReTraCE Roundtable Event with Industry and Policy Makers</w:t>
            </w:r>
          </w:p>
        </w:tc>
        <w:tc>
          <w:tcPr>
            <w:tcW w:w="1701" w:type="dxa"/>
          </w:tcPr>
          <w:p w14:paraId="75AACCCE" w14:textId="77777777" w:rsidR="00F00FB8" w:rsidRPr="00F00FB8" w:rsidRDefault="00F00FB8" w:rsidP="00215C6D">
            <w:pPr>
              <w:pStyle w:val="Tabletext"/>
              <w:rPr>
                <w:lang w:eastAsia="en-US"/>
              </w:rPr>
            </w:pPr>
            <w:r w:rsidRPr="00F00FB8">
              <w:rPr>
                <w:lang w:eastAsia="en-US"/>
              </w:rPr>
              <w:t>Online</w:t>
            </w:r>
          </w:p>
        </w:tc>
        <w:tc>
          <w:tcPr>
            <w:tcW w:w="1984" w:type="dxa"/>
          </w:tcPr>
          <w:p w14:paraId="347FFC50" w14:textId="77777777" w:rsidR="00F00FB8" w:rsidRPr="00F00FB8" w:rsidRDefault="00F00FB8" w:rsidP="00215C6D">
            <w:pPr>
              <w:pStyle w:val="Tabletext"/>
              <w:rPr>
                <w:lang w:eastAsia="en-US"/>
              </w:rPr>
            </w:pPr>
            <w:r w:rsidRPr="00F00FB8">
              <w:rPr>
                <w:lang w:eastAsia="en-US"/>
              </w:rPr>
              <w:t>11/12 May 2020</w:t>
            </w:r>
          </w:p>
        </w:tc>
      </w:tr>
      <w:tr w:rsidR="00F00FB8" w:rsidRPr="00F00FB8" w14:paraId="6DC926AB" w14:textId="77777777" w:rsidTr="00A47566">
        <w:tc>
          <w:tcPr>
            <w:tcW w:w="4820" w:type="dxa"/>
          </w:tcPr>
          <w:p w14:paraId="5BCA11DE" w14:textId="77777777" w:rsidR="00F00FB8" w:rsidRPr="00F00FB8" w:rsidRDefault="00F00FB8" w:rsidP="00215C6D">
            <w:pPr>
              <w:pStyle w:val="Tabletext"/>
              <w:rPr>
                <w:lang w:eastAsia="en-US"/>
              </w:rPr>
            </w:pPr>
            <w:r w:rsidRPr="00F00FB8">
              <w:rPr>
                <w:lang w:eastAsia="en-US"/>
              </w:rPr>
              <w:t xml:space="preserve">ReTraCE ESRs Retreat </w:t>
            </w:r>
          </w:p>
        </w:tc>
        <w:tc>
          <w:tcPr>
            <w:tcW w:w="1701" w:type="dxa"/>
          </w:tcPr>
          <w:p w14:paraId="721C463D" w14:textId="77777777" w:rsidR="00F00FB8" w:rsidRPr="00F00FB8" w:rsidRDefault="00F00FB8" w:rsidP="00215C6D">
            <w:pPr>
              <w:pStyle w:val="Tabletext"/>
              <w:rPr>
                <w:lang w:eastAsia="en-US"/>
              </w:rPr>
            </w:pPr>
            <w:r w:rsidRPr="00F00FB8">
              <w:rPr>
                <w:lang w:eastAsia="en-US"/>
              </w:rPr>
              <w:t>Online</w:t>
            </w:r>
          </w:p>
        </w:tc>
        <w:tc>
          <w:tcPr>
            <w:tcW w:w="1984" w:type="dxa"/>
          </w:tcPr>
          <w:p w14:paraId="41BF9523" w14:textId="77777777" w:rsidR="00F00FB8" w:rsidRPr="00F00FB8" w:rsidRDefault="00F00FB8" w:rsidP="00215C6D">
            <w:pPr>
              <w:pStyle w:val="Tabletext"/>
              <w:rPr>
                <w:lang w:eastAsia="en-US"/>
              </w:rPr>
            </w:pPr>
            <w:r w:rsidRPr="00F00FB8">
              <w:rPr>
                <w:lang w:eastAsia="en-US"/>
              </w:rPr>
              <w:t>13/14 May 2020</w:t>
            </w:r>
          </w:p>
        </w:tc>
      </w:tr>
      <w:tr w:rsidR="00F00FB8" w:rsidRPr="00F00FB8" w14:paraId="56BD406C" w14:textId="77777777" w:rsidTr="00A47566">
        <w:tc>
          <w:tcPr>
            <w:tcW w:w="4820" w:type="dxa"/>
          </w:tcPr>
          <w:p w14:paraId="58DD6ED9" w14:textId="77777777" w:rsidR="00F00FB8" w:rsidRPr="00F00FB8" w:rsidRDefault="00F00FB8" w:rsidP="00215C6D">
            <w:pPr>
              <w:pStyle w:val="Tabletext"/>
              <w:rPr>
                <w:lang w:eastAsia="en-US"/>
              </w:rPr>
            </w:pPr>
            <w:r w:rsidRPr="00F00FB8">
              <w:rPr>
                <w:lang w:eastAsia="en-US"/>
              </w:rPr>
              <w:t xml:space="preserve">Reuters Events Transform Europe Virtual Series – Transform: Sustainable Procurement &amp; Circularity </w:t>
            </w:r>
          </w:p>
        </w:tc>
        <w:tc>
          <w:tcPr>
            <w:tcW w:w="1701" w:type="dxa"/>
          </w:tcPr>
          <w:p w14:paraId="41F25712" w14:textId="77777777" w:rsidR="00F00FB8" w:rsidRPr="00F00FB8" w:rsidRDefault="00F00FB8" w:rsidP="00215C6D">
            <w:pPr>
              <w:pStyle w:val="Tabletext"/>
              <w:rPr>
                <w:lang w:eastAsia="en-US"/>
              </w:rPr>
            </w:pPr>
            <w:r w:rsidRPr="00F00FB8">
              <w:rPr>
                <w:lang w:eastAsia="en-US"/>
              </w:rPr>
              <w:t>Online</w:t>
            </w:r>
          </w:p>
        </w:tc>
        <w:tc>
          <w:tcPr>
            <w:tcW w:w="1984" w:type="dxa"/>
          </w:tcPr>
          <w:p w14:paraId="09031805" w14:textId="77777777" w:rsidR="00F00FB8" w:rsidRPr="00F00FB8" w:rsidRDefault="00F00FB8" w:rsidP="00215C6D">
            <w:pPr>
              <w:pStyle w:val="Tabletext"/>
              <w:rPr>
                <w:lang w:eastAsia="en-US"/>
              </w:rPr>
            </w:pPr>
            <w:r w:rsidRPr="00F00FB8">
              <w:rPr>
                <w:lang w:eastAsia="en-US"/>
              </w:rPr>
              <w:t>7-8 July 2020</w:t>
            </w:r>
          </w:p>
        </w:tc>
      </w:tr>
      <w:tr w:rsidR="00F00FB8" w:rsidRPr="00F00FB8" w14:paraId="713D11FB" w14:textId="77777777" w:rsidTr="00A47566">
        <w:tc>
          <w:tcPr>
            <w:tcW w:w="4820" w:type="dxa"/>
          </w:tcPr>
          <w:p w14:paraId="355D4973" w14:textId="77777777" w:rsidR="00F00FB8" w:rsidRPr="00F00FB8" w:rsidRDefault="00F00FB8" w:rsidP="00215C6D">
            <w:pPr>
              <w:pStyle w:val="Tabletext"/>
              <w:rPr>
                <w:lang w:eastAsia="en-US"/>
              </w:rPr>
            </w:pPr>
            <w:r w:rsidRPr="00F00FB8">
              <w:rPr>
                <w:lang w:eastAsia="en-US"/>
              </w:rPr>
              <w:t xml:space="preserve">NARTI Course: Writing, Resilience and Balance with Will Medd </w:t>
            </w:r>
          </w:p>
        </w:tc>
        <w:tc>
          <w:tcPr>
            <w:tcW w:w="1701" w:type="dxa"/>
          </w:tcPr>
          <w:p w14:paraId="56D78EED" w14:textId="77777777" w:rsidR="00F00FB8" w:rsidRPr="00F00FB8" w:rsidRDefault="00F00FB8" w:rsidP="00215C6D">
            <w:pPr>
              <w:pStyle w:val="Tabletext"/>
              <w:rPr>
                <w:lang w:eastAsia="en-US"/>
              </w:rPr>
            </w:pPr>
            <w:r w:rsidRPr="00F00FB8">
              <w:rPr>
                <w:lang w:eastAsia="en-US"/>
              </w:rPr>
              <w:t>Online</w:t>
            </w:r>
          </w:p>
        </w:tc>
        <w:tc>
          <w:tcPr>
            <w:tcW w:w="1984" w:type="dxa"/>
          </w:tcPr>
          <w:p w14:paraId="2693053F" w14:textId="77777777" w:rsidR="00F00FB8" w:rsidRPr="00F00FB8" w:rsidRDefault="00F00FB8" w:rsidP="00215C6D">
            <w:pPr>
              <w:pStyle w:val="Tabletext"/>
              <w:rPr>
                <w:lang w:eastAsia="en-US"/>
              </w:rPr>
            </w:pPr>
            <w:r w:rsidRPr="00F00FB8">
              <w:rPr>
                <w:lang w:eastAsia="en-US"/>
              </w:rPr>
              <w:t>27-30 July 2020</w:t>
            </w:r>
          </w:p>
        </w:tc>
      </w:tr>
      <w:tr w:rsidR="00215C6D" w:rsidRPr="00F00FB8" w14:paraId="439B5DBE" w14:textId="77777777" w:rsidTr="00A47566">
        <w:tc>
          <w:tcPr>
            <w:tcW w:w="4820" w:type="dxa"/>
          </w:tcPr>
          <w:p w14:paraId="5ABA1CEF" w14:textId="2AD31EBD" w:rsidR="00215C6D" w:rsidRPr="00F00FB8" w:rsidRDefault="003E6A26" w:rsidP="00215C6D">
            <w:pPr>
              <w:pStyle w:val="Tabletext"/>
              <w:rPr>
                <w:lang w:eastAsia="en-US"/>
              </w:rPr>
            </w:pPr>
            <w:r w:rsidRPr="003E6A26">
              <w:rPr>
                <w:lang w:eastAsia="en-US"/>
              </w:rPr>
              <w:t>ReTraCE Event Job fair and Meeting with the industry in Brussels</w:t>
            </w:r>
          </w:p>
        </w:tc>
        <w:tc>
          <w:tcPr>
            <w:tcW w:w="1701" w:type="dxa"/>
          </w:tcPr>
          <w:p w14:paraId="30F4F53C" w14:textId="1601AE00" w:rsidR="00215C6D" w:rsidRPr="00F00FB8" w:rsidRDefault="008C44EC" w:rsidP="00215C6D">
            <w:pPr>
              <w:pStyle w:val="Tabletext"/>
              <w:rPr>
                <w:lang w:eastAsia="en-US"/>
              </w:rPr>
            </w:pPr>
            <w:r>
              <w:rPr>
                <w:lang w:eastAsia="en-US"/>
              </w:rPr>
              <w:t>In person</w:t>
            </w:r>
          </w:p>
        </w:tc>
        <w:tc>
          <w:tcPr>
            <w:tcW w:w="1984" w:type="dxa"/>
          </w:tcPr>
          <w:p w14:paraId="4070D4AA" w14:textId="5D89DCD8" w:rsidR="00215C6D" w:rsidRPr="00F00FB8" w:rsidRDefault="003E6A26" w:rsidP="00215C6D">
            <w:pPr>
              <w:pStyle w:val="Tabletext"/>
              <w:rPr>
                <w:lang w:eastAsia="en-US"/>
              </w:rPr>
            </w:pPr>
            <w:r w:rsidRPr="003E6A26">
              <w:rPr>
                <w:lang w:eastAsia="en-US"/>
              </w:rPr>
              <w:t>7 – 10 December</w:t>
            </w:r>
            <w:r w:rsidR="008C44EC">
              <w:rPr>
                <w:lang w:eastAsia="en-US"/>
              </w:rPr>
              <w:t xml:space="preserve"> 2021</w:t>
            </w:r>
          </w:p>
        </w:tc>
      </w:tr>
      <w:tr w:rsidR="00215C6D" w:rsidRPr="00F00FB8" w14:paraId="098A5DDF" w14:textId="77777777" w:rsidTr="00A47566">
        <w:tc>
          <w:tcPr>
            <w:tcW w:w="4820" w:type="dxa"/>
          </w:tcPr>
          <w:p w14:paraId="3A680FA6" w14:textId="6A5E1246" w:rsidR="00215C6D" w:rsidRPr="00F00FB8" w:rsidRDefault="003E6A26" w:rsidP="00215C6D">
            <w:pPr>
              <w:pStyle w:val="Tabletext"/>
              <w:rPr>
                <w:lang w:eastAsia="en-US"/>
              </w:rPr>
            </w:pPr>
            <w:r>
              <w:rPr>
                <w:lang w:eastAsia="en-US"/>
              </w:rPr>
              <w:t>Circular Transition Indicator</w:t>
            </w:r>
            <w:r w:rsidRPr="003E6A26">
              <w:rPr>
                <w:lang w:eastAsia="en-US"/>
              </w:rPr>
              <w:t xml:space="preserve"> training</w:t>
            </w:r>
            <w:r>
              <w:rPr>
                <w:lang w:eastAsia="en-US"/>
              </w:rPr>
              <w:t xml:space="preserve"> - WBCSD</w:t>
            </w:r>
          </w:p>
        </w:tc>
        <w:tc>
          <w:tcPr>
            <w:tcW w:w="1701" w:type="dxa"/>
          </w:tcPr>
          <w:p w14:paraId="452D340A" w14:textId="186D77F5" w:rsidR="00215C6D" w:rsidRPr="00F00FB8" w:rsidRDefault="003E6A26" w:rsidP="00215C6D">
            <w:pPr>
              <w:pStyle w:val="Tabletext"/>
              <w:rPr>
                <w:lang w:eastAsia="en-US"/>
              </w:rPr>
            </w:pPr>
            <w:r>
              <w:rPr>
                <w:lang w:eastAsia="en-US"/>
              </w:rPr>
              <w:t>O</w:t>
            </w:r>
            <w:r w:rsidRPr="003E6A26">
              <w:rPr>
                <w:lang w:eastAsia="en-US"/>
              </w:rPr>
              <w:t>nline</w:t>
            </w:r>
          </w:p>
        </w:tc>
        <w:tc>
          <w:tcPr>
            <w:tcW w:w="1984" w:type="dxa"/>
          </w:tcPr>
          <w:p w14:paraId="72322A36" w14:textId="0979707D" w:rsidR="00215C6D" w:rsidRPr="00F00FB8" w:rsidRDefault="003E6A26" w:rsidP="00215C6D">
            <w:pPr>
              <w:pStyle w:val="Tabletext"/>
              <w:rPr>
                <w:lang w:eastAsia="en-US"/>
              </w:rPr>
            </w:pPr>
            <w:r>
              <w:rPr>
                <w:lang w:eastAsia="en-US"/>
              </w:rPr>
              <w:t>1-3 February</w:t>
            </w:r>
          </w:p>
        </w:tc>
      </w:tr>
      <w:tr w:rsidR="003E6A26" w:rsidRPr="00F00FB8" w14:paraId="50E4DF45" w14:textId="77777777" w:rsidTr="00A47566">
        <w:tc>
          <w:tcPr>
            <w:tcW w:w="4820" w:type="dxa"/>
          </w:tcPr>
          <w:p w14:paraId="1C3FD80E" w14:textId="6D551341" w:rsidR="003E6A26" w:rsidRPr="00F00FB8" w:rsidRDefault="003E6A26" w:rsidP="003E6A26">
            <w:pPr>
              <w:pStyle w:val="Tabletext"/>
              <w:rPr>
                <w:lang w:eastAsia="en-US"/>
              </w:rPr>
            </w:pPr>
            <w:r w:rsidRPr="00215C6D">
              <w:rPr>
                <w:lang w:eastAsia="en-US"/>
              </w:rPr>
              <w:t>JSCM Webinar Series 2022 – Climate Change</w:t>
            </w:r>
          </w:p>
        </w:tc>
        <w:tc>
          <w:tcPr>
            <w:tcW w:w="1701" w:type="dxa"/>
          </w:tcPr>
          <w:p w14:paraId="585052B9" w14:textId="73D0A08B" w:rsidR="003E6A26" w:rsidRPr="00F00FB8" w:rsidRDefault="003E6A26" w:rsidP="003E6A26">
            <w:pPr>
              <w:pStyle w:val="Tabletext"/>
              <w:rPr>
                <w:lang w:eastAsia="en-US"/>
              </w:rPr>
            </w:pPr>
            <w:r w:rsidRPr="00F00FB8">
              <w:rPr>
                <w:lang w:eastAsia="en-US"/>
              </w:rPr>
              <w:t>Online</w:t>
            </w:r>
          </w:p>
        </w:tc>
        <w:tc>
          <w:tcPr>
            <w:tcW w:w="1984" w:type="dxa"/>
          </w:tcPr>
          <w:p w14:paraId="1C82618B" w14:textId="25ABDF1F" w:rsidR="003E6A26" w:rsidRPr="00F00FB8" w:rsidRDefault="003E6A26" w:rsidP="003E6A26">
            <w:pPr>
              <w:pStyle w:val="Tabletext"/>
              <w:rPr>
                <w:lang w:eastAsia="en-US"/>
              </w:rPr>
            </w:pPr>
            <w:r>
              <w:rPr>
                <w:lang w:eastAsia="en-US"/>
              </w:rPr>
              <w:t>24 February 2022</w:t>
            </w:r>
          </w:p>
        </w:tc>
      </w:tr>
      <w:tr w:rsidR="003E6A26" w:rsidRPr="00F00FB8" w14:paraId="40809780" w14:textId="77777777" w:rsidTr="00A47566">
        <w:tc>
          <w:tcPr>
            <w:tcW w:w="4820" w:type="dxa"/>
          </w:tcPr>
          <w:p w14:paraId="775648BC" w14:textId="3875EB05" w:rsidR="003E6A26" w:rsidRPr="00F00FB8" w:rsidRDefault="003E6A26" w:rsidP="003E6A26">
            <w:pPr>
              <w:pStyle w:val="Tabletext"/>
              <w:rPr>
                <w:lang w:eastAsia="en-US"/>
              </w:rPr>
            </w:pPr>
            <w:r w:rsidRPr="003E6A26">
              <w:rPr>
                <w:lang w:eastAsia="en-US"/>
              </w:rPr>
              <w:t xml:space="preserve">Closing the loop or squaring the circle? - A Critical Dialogue on Circular Economy with Dr. </w:t>
            </w:r>
            <w:proofErr w:type="spellStart"/>
            <w:r w:rsidRPr="003E6A26">
              <w:rPr>
                <w:lang w:eastAsia="en-US"/>
              </w:rPr>
              <w:t>Kersty</w:t>
            </w:r>
            <w:proofErr w:type="spellEnd"/>
            <w:r w:rsidRPr="003E6A26">
              <w:rPr>
                <w:lang w:eastAsia="en-US"/>
              </w:rPr>
              <w:t xml:space="preserve"> Hobson</w:t>
            </w:r>
          </w:p>
        </w:tc>
        <w:tc>
          <w:tcPr>
            <w:tcW w:w="1701" w:type="dxa"/>
          </w:tcPr>
          <w:p w14:paraId="44313900" w14:textId="1EC5DEE2" w:rsidR="003E6A26" w:rsidRPr="00F00FB8" w:rsidRDefault="003E6A26" w:rsidP="003E6A26">
            <w:pPr>
              <w:pStyle w:val="Tabletext"/>
              <w:rPr>
                <w:lang w:eastAsia="en-US"/>
              </w:rPr>
            </w:pPr>
            <w:r w:rsidRPr="00F00FB8">
              <w:rPr>
                <w:lang w:eastAsia="en-US"/>
              </w:rPr>
              <w:t>Online</w:t>
            </w:r>
          </w:p>
        </w:tc>
        <w:tc>
          <w:tcPr>
            <w:tcW w:w="1984" w:type="dxa"/>
          </w:tcPr>
          <w:p w14:paraId="2F6493A3" w14:textId="6FA23DA9" w:rsidR="003E6A26" w:rsidRPr="00F00FB8" w:rsidRDefault="003E6A26" w:rsidP="003E6A26">
            <w:pPr>
              <w:pStyle w:val="Tabletext"/>
              <w:rPr>
                <w:lang w:eastAsia="en-US"/>
              </w:rPr>
            </w:pPr>
            <w:r w:rsidRPr="003E6A26">
              <w:rPr>
                <w:lang w:eastAsia="en-US"/>
              </w:rPr>
              <w:t>17 March</w:t>
            </w:r>
          </w:p>
        </w:tc>
      </w:tr>
      <w:tr w:rsidR="003E6A26" w:rsidRPr="00F00FB8" w14:paraId="5D0CD022" w14:textId="77777777" w:rsidTr="00A47566">
        <w:tc>
          <w:tcPr>
            <w:tcW w:w="4820" w:type="dxa"/>
          </w:tcPr>
          <w:p w14:paraId="2040E7B0" w14:textId="683D48FA" w:rsidR="003E6A26" w:rsidRPr="00F00FB8" w:rsidRDefault="00B86DD7" w:rsidP="003E6A26">
            <w:pPr>
              <w:pStyle w:val="Tabletext"/>
              <w:rPr>
                <w:lang w:eastAsia="en-US"/>
              </w:rPr>
            </w:pPr>
            <w:r w:rsidRPr="003E6A26">
              <w:rPr>
                <w:lang w:eastAsia="en-US"/>
              </w:rPr>
              <w:t xml:space="preserve">ReTraCE Event </w:t>
            </w:r>
            <w:r>
              <w:rPr>
                <w:lang w:eastAsia="en-US"/>
              </w:rPr>
              <w:t>Thessaloniki</w:t>
            </w:r>
          </w:p>
        </w:tc>
        <w:tc>
          <w:tcPr>
            <w:tcW w:w="1701" w:type="dxa"/>
          </w:tcPr>
          <w:p w14:paraId="75050AC6" w14:textId="48045AA4" w:rsidR="003E6A26" w:rsidRPr="00F00FB8" w:rsidRDefault="00D533BE" w:rsidP="003E6A26">
            <w:pPr>
              <w:pStyle w:val="Tabletext"/>
              <w:rPr>
                <w:lang w:eastAsia="en-US"/>
              </w:rPr>
            </w:pPr>
            <w:r>
              <w:rPr>
                <w:lang w:eastAsia="en-US"/>
              </w:rPr>
              <w:t>In person</w:t>
            </w:r>
          </w:p>
        </w:tc>
        <w:tc>
          <w:tcPr>
            <w:tcW w:w="1984" w:type="dxa"/>
          </w:tcPr>
          <w:p w14:paraId="5D7B44D7" w14:textId="0FD9DB3C" w:rsidR="003E6A26" w:rsidRPr="00F00FB8" w:rsidRDefault="00D533BE" w:rsidP="003E6A26">
            <w:pPr>
              <w:pStyle w:val="Tabletext"/>
              <w:rPr>
                <w:lang w:eastAsia="en-US"/>
              </w:rPr>
            </w:pPr>
            <w:r>
              <w:rPr>
                <w:lang w:eastAsia="en-US"/>
              </w:rPr>
              <w:t>26-29 June 2022</w:t>
            </w:r>
          </w:p>
        </w:tc>
      </w:tr>
    </w:tbl>
    <w:p w14:paraId="4EE7D10E" w14:textId="77777777" w:rsidR="00F00FB8" w:rsidRPr="00F00FB8" w:rsidRDefault="00F00FB8" w:rsidP="00F00FB8">
      <w:pPr>
        <w:spacing w:before="40" w:after="240"/>
        <w:ind w:left="720" w:hanging="360"/>
        <w:contextualSpacing/>
        <w:rPr>
          <w:rFonts w:eastAsia="Calibri" w:cs="Times New Roman"/>
          <w:sz w:val="22"/>
          <w:szCs w:val="22"/>
          <w:lang w:eastAsia="en-US"/>
        </w:rPr>
      </w:pPr>
    </w:p>
    <w:p w14:paraId="2E4BDE21" w14:textId="624A3D5B" w:rsidR="00F00FB8" w:rsidRPr="00F00FB8" w:rsidRDefault="00F00FB8" w:rsidP="00F00FB8">
      <w:pPr>
        <w:numPr>
          <w:ilvl w:val="0"/>
          <w:numId w:val="24"/>
        </w:numPr>
        <w:spacing w:before="40" w:after="240"/>
        <w:contextualSpacing/>
        <w:rPr>
          <w:rFonts w:eastAsia="Calibri" w:cs="Times New Roman"/>
          <w:sz w:val="22"/>
          <w:szCs w:val="22"/>
          <w:lang w:eastAsia="en-US"/>
        </w:rPr>
      </w:pPr>
      <w:r w:rsidRPr="00F00FB8">
        <w:rPr>
          <w:rFonts w:eastAsia="Calibri" w:cs="Times New Roman"/>
          <w:sz w:val="22"/>
          <w:szCs w:val="22"/>
          <w:lang w:eastAsia="en-US"/>
        </w:rPr>
        <w:t>Outreach &amp; Communication activities</w:t>
      </w:r>
      <w:r w:rsidR="007C0582">
        <w:rPr>
          <w:rFonts w:eastAsia="Calibri" w:cs="Times New Roman"/>
          <w:sz w:val="22"/>
          <w:szCs w:val="22"/>
          <w:lang w:eastAsia="en-US"/>
        </w:rPr>
        <w:t xml:space="preserve"> (see Research Dissemination at the beginning of the thesis)</w:t>
      </w:r>
    </w:p>
    <w:p w14:paraId="03BD159D" w14:textId="465371DF" w:rsidR="00293FC1" w:rsidRDefault="00293FC1">
      <w:pPr>
        <w:spacing w:line="259" w:lineRule="auto"/>
        <w:jc w:val="left"/>
      </w:pPr>
      <w:r>
        <w:br w:type="page"/>
      </w:r>
    </w:p>
    <w:p w14:paraId="73746D0B" w14:textId="77777777" w:rsidR="00293FC1" w:rsidRPr="00F00FB8" w:rsidRDefault="00293FC1" w:rsidP="00293FC1">
      <w:pPr>
        <w:pStyle w:val="Heading1"/>
        <w:numPr>
          <w:ilvl w:val="0"/>
          <w:numId w:val="0"/>
        </w:numPr>
        <w:ind w:left="360" w:hanging="360"/>
        <w:rPr>
          <w:rFonts w:eastAsia="Calibri" w:cs="Times New Roman"/>
          <w:sz w:val="36"/>
          <w:szCs w:val="26"/>
          <w:lang w:val="en-US"/>
        </w:rPr>
      </w:pPr>
      <w:bookmarkStart w:id="210" w:name="_Toc49839849"/>
      <w:bookmarkStart w:id="211" w:name="_Toc137718572"/>
      <w:bookmarkStart w:id="212" w:name="_Toc157759583"/>
      <w:r>
        <w:rPr>
          <w:rFonts w:eastAsia="Calibri" w:cs="Times New Roman"/>
          <w:sz w:val="36"/>
          <w:szCs w:val="26"/>
          <w:lang w:val="en-US"/>
        </w:rPr>
        <w:lastRenderedPageBreak/>
        <w:t>Appendix 2</w:t>
      </w:r>
      <w:r w:rsidRPr="00F00FB8">
        <w:rPr>
          <w:rFonts w:eastAsia="Calibri" w:cs="Times New Roman"/>
          <w:sz w:val="36"/>
          <w:szCs w:val="26"/>
          <w:lang w:val="en-US"/>
        </w:rPr>
        <w:t xml:space="preserve"> – Data Management Plan</w:t>
      </w:r>
      <w:bookmarkEnd w:id="210"/>
      <w:bookmarkEnd w:id="211"/>
      <w:bookmarkEnd w:id="212"/>
    </w:p>
    <w:p w14:paraId="54882293"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Last modified: 21-07-2020</w:t>
      </w:r>
    </w:p>
    <w:p w14:paraId="05A34AAE"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 xml:space="preserve">Created using </w:t>
      </w:r>
      <w:proofErr w:type="spellStart"/>
      <w:r w:rsidRPr="00F00FB8">
        <w:rPr>
          <w:rFonts w:eastAsia="Calibri" w:cs="Times New Roman"/>
          <w:sz w:val="22"/>
          <w:szCs w:val="22"/>
          <w:lang w:val="en-US"/>
        </w:rPr>
        <w:t>DMPonline</w:t>
      </w:r>
      <w:proofErr w:type="spellEnd"/>
      <w:r w:rsidRPr="00F00FB8">
        <w:rPr>
          <w:rFonts w:eastAsia="Calibri" w:cs="Times New Roman"/>
          <w:sz w:val="22"/>
          <w:szCs w:val="22"/>
          <w:lang w:val="en-US"/>
        </w:rPr>
        <w:t xml:space="preserve">. </w:t>
      </w:r>
    </w:p>
    <w:p w14:paraId="6474B08D" w14:textId="77777777" w:rsidR="00293FC1" w:rsidRPr="00F00FB8" w:rsidRDefault="00293FC1" w:rsidP="00293FC1">
      <w:pPr>
        <w:spacing w:before="40" w:after="240"/>
        <w:rPr>
          <w:rFonts w:eastAsia="Calibri" w:cs="Times New Roman"/>
          <w:b/>
          <w:bCs/>
          <w:sz w:val="22"/>
          <w:szCs w:val="22"/>
          <w:lang w:val="en-US"/>
        </w:rPr>
      </w:pPr>
      <w:r w:rsidRPr="00F00FB8">
        <w:rPr>
          <w:rFonts w:eastAsia="Calibri" w:cs="Times New Roman"/>
          <w:b/>
          <w:bCs/>
          <w:sz w:val="22"/>
          <w:szCs w:val="22"/>
          <w:lang w:val="en-US"/>
        </w:rPr>
        <w:t>Data summary</w:t>
      </w:r>
    </w:p>
    <w:p w14:paraId="6BA60C07"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The purpose of data collection is to validate and test a literature-based conceptual model, which describes the adoption of circular economy practices in firms and supply chains, as driven by institutional pressures with the moderating role of the level of integration of the supply chain.</w:t>
      </w:r>
    </w:p>
    <w:p w14:paraId="5C285D94" w14:textId="77777777" w:rsidR="00293FC1" w:rsidRPr="00F00FB8" w:rsidRDefault="00293FC1" w:rsidP="00293FC1">
      <w:pPr>
        <w:spacing w:before="40" w:after="240"/>
        <w:rPr>
          <w:rFonts w:eastAsia="Calibri" w:cs="Times New Roman"/>
          <w:i/>
          <w:iCs/>
          <w:sz w:val="22"/>
          <w:szCs w:val="22"/>
          <w:lang w:val="en-US"/>
        </w:rPr>
      </w:pPr>
      <w:r w:rsidRPr="00F00FB8">
        <w:rPr>
          <w:rFonts w:eastAsia="Calibri" w:cs="Times New Roman"/>
          <w:i/>
          <w:iCs/>
          <w:sz w:val="22"/>
          <w:szCs w:val="22"/>
          <w:lang w:val="en-US"/>
        </w:rPr>
        <w:t>Relation to the objectives:</w:t>
      </w:r>
    </w:p>
    <w:p w14:paraId="139AEC7B" w14:textId="77777777" w:rsidR="00293FC1" w:rsidRPr="00F00FB8" w:rsidRDefault="00293FC1" w:rsidP="00293FC1">
      <w:pPr>
        <w:spacing w:before="40" w:after="240"/>
        <w:ind w:left="720"/>
        <w:rPr>
          <w:rFonts w:eastAsia="Calibri" w:cs="Times New Roman"/>
          <w:sz w:val="22"/>
          <w:szCs w:val="22"/>
          <w:lang w:val="en-US"/>
        </w:rPr>
      </w:pPr>
      <w:r w:rsidRPr="00F00FB8">
        <w:rPr>
          <w:rFonts w:eastAsia="Calibri" w:cs="Times New Roman"/>
          <w:sz w:val="22"/>
          <w:szCs w:val="22"/>
          <w:lang w:val="en-US"/>
        </w:rPr>
        <w:t xml:space="preserve">1) </w:t>
      </w:r>
      <w:proofErr w:type="gramStart"/>
      <w:r w:rsidRPr="00F00FB8">
        <w:rPr>
          <w:rFonts w:eastAsia="Calibri" w:cs="Times New Roman"/>
          <w:sz w:val="22"/>
          <w:szCs w:val="22"/>
          <w:lang w:val="en-US"/>
        </w:rPr>
        <w:t>validate</w:t>
      </w:r>
      <w:proofErr w:type="gramEnd"/>
      <w:r w:rsidRPr="00F00FB8">
        <w:rPr>
          <w:rFonts w:eastAsia="Calibri" w:cs="Times New Roman"/>
          <w:sz w:val="22"/>
          <w:szCs w:val="22"/>
          <w:lang w:val="en-US"/>
        </w:rPr>
        <w:t xml:space="preserve"> the hypothesis in the conceptual framework through semi-structured interviews with ReTraCE project experts;</w:t>
      </w:r>
    </w:p>
    <w:p w14:paraId="396EEBDF" w14:textId="77777777" w:rsidR="00293FC1" w:rsidRPr="00F00FB8" w:rsidRDefault="00293FC1" w:rsidP="00293FC1">
      <w:pPr>
        <w:spacing w:before="40" w:after="240"/>
        <w:ind w:left="720"/>
        <w:rPr>
          <w:rFonts w:eastAsia="Calibri" w:cs="Times New Roman"/>
          <w:sz w:val="22"/>
          <w:szCs w:val="22"/>
          <w:lang w:val="en-US"/>
        </w:rPr>
      </w:pPr>
      <w:r w:rsidRPr="00F00FB8">
        <w:rPr>
          <w:rFonts w:eastAsia="Calibri" w:cs="Times New Roman"/>
          <w:sz w:val="22"/>
          <w:szCs w:val="22"/>
          <w:lang w:val="en-US"/>
        </w:rPr>
        <w:t xml:space="preserve">2) </w:t>
      </w:r>
      <w:proofErr w:type="gramStart"/>
      <w:r w:rsidRPr="00F00FB8">
        <w:rPr>
          <w:rFonts w:eastAsia="Calibri" w:cs="Times New Roman"/>
          <w:sz w:val="22"/>
          <w:szCs w:val="22"/>
          <w:lang w:val="en-US"/>
        </w:rPr>
        <w:t>test</w:t>
      </w:r>
      <w:proofErr w:type="gramEnd"/>
      <w:r w:rsidRPr="00F00FB8">
        <w:rPr>
          <w:rFonts w:eastAsia="Calibri" w:cs="Times New Roman"/>
          <w:sz w:val="22"/>
          <w:szCs w:val="22"/>
          <w:lang w:val="en-US"/>
        </w:rPr>
        <w:t xml:space="preserve"> the conceptual framework: measure the effect of a set of predictors (institutional pressures, supply chain integration) on the outcome (circular economy</w:t>
      </w:r>
    </w:p>
    <w:p w14:paraId="6F5BA4E6" w14:textId="77777777" w:rsidR="00293FC1" w:rsidRPr="00F00FB8" w:rsidRDefault="00293FC1" w:rsidP="00293FC1">
      <w:pPr>
        <w:spacing w:before="40" w:after="240"/>
        <w:ind w:left="720"/>
        <w:rPr>
          <w:rFonts w:eastAsia="Calibri" w:cs="Times New Roman"/>
          <w:sz w:val="22"/>
          <w:szCs w:val="22"/>
          <w:lang w:val="en-US"/>
        </w:rPr>
      </w:pPr>
      <w:proofErr w:type="gramStart"/>
      <w:r w:rsidRPr="00F00FB8">
        <w:rPr>
          <w:rFonts w:eastAsia="Calibri" w:cs="Times New Roman"/>
          <w:sz w:val="22"/>
          <w:szCs w:val="22"/>
          <w:lang w:val="en-US"/>
        </w:rPr>
        <w:t>practices</w:t>
      </w:r>
      <w:proofErr w:type="gramEnd"/>
      <w:r w:rsidRPr="00F00FB8">
        <w:rPr>
          <w:rFonts w:eastAsia="Calibri" w:cs="Times New Roman"/>
          <w:sz w:val="22"/>
          <w:szCs w:val="22"/>
          <w:lang w:val="en-US"/>
        </w:rPr>
        <w:t xml:space="preserve"> adoption) with empirical data in a sample of large European organisations;</w:t>
      </w:r>
    </w:p>
    <w:p w14:paraId="29D1F20F" w14:textId="77777777" w:rsidR="00293FC1" w:rsidRPr="00F00FB8" w:rsidRDefault="00293FC1" w:rsidP="00293FC1">
      <w:pPr>
        <w:spacing w:before="40" w:after="240"/>
        <w:rPr>
          <w:rFonts w:eastAsia="Calibri" w:cs="Times New Roman"/>
          <w:i/>
          <w:iCs/>
          <w:sz w:val="22"/>
          <w:szCs w:val="22"/>
          <w:lang w:val="en-US"/>
        </w:rPr>
      </w:pPr>
      <w:r w:rsidRPr="00F00FB8">
        <w:rPr>
          <w:rFonts w:eastAsia="Calibri" w:cs="Times New Roman"/>
          <w:i/>
          <w:iCs/>
          <w:sz w:val="22"/>
          <w:szCs w:val="22"/>
          <w:lang w:val="en-US"/>
        </w:rPr>
        <w:t>Types and formats/origins of data generated/collected:</w:t>
      </w:r>
    </w:p>
    <w:p w14:paraId="763FEF81" w14:textId="77777777" w:rsidR="00293FC1" w:rsidRPr="00F00FB8" w:rsidRDefault="00293FC1" w:rsidP="00293FC1">
      <w:pPr>
        <w:spacing w:before="40" w:after="240"/>
        <w:ind w:left="720"/>
        <w:rPr>
          <w:rFonts w:eastAsia="Calibri" w:cs="Times New Roman"/>
          <w:sz w:val="22"/>
          <w:szCs w:val="22"/>
          <w:lang w:val="en-US"/>
        </w:rPr>
      </w:pPr>
      <w:r w:rsidRPr="00F00FB8">
        <w:rPr>
          <w:rFonts w:eastAsia="Calibri" w:cs="Times New Roman"/>
          <w:sz w:val="22"/>
          <w:szCs w:val="22"/>
          <w:lang w:val="en-US"/>
        </w:rPr>
        <w:t>(1): audio (.mp3), notes (.</w:t>
      </w:r>
      <w:proofErr w:type="spellStart"/>
      <w:r w:rsidRPr="00F00FB8">
        <w:rPr>
          <w:rFonts w:eastAsia="Calibri" w:cs="Times New Roman"/>
          <w:sz w:val="22"/>
          <w:szCs w:val="22"/>
          <w:lang w:val="en-US"/>
        </w:rPr>
        <w:t>docx</w:t>
      </w:r>
      <w:proofErr w:type="spellEnd"/>
      <w:r w:rsidRPr="00F00FB8">
        <w:rPr>
          <w:rFonts w:eastAsia="Calibri" w:cs="Times New Roman"/>
          <w:sz w:val="22"/>
          <w:szCs w:val="22"/>
          <w:lang w:val="en-US"/>
        </w:rPr>
        <w:t>): Data collection from semi-structured interviews with ReTraCE project experts: the interviews are firstly recorded and then translated into writing.</w:t>
      </w:r>
    </w:p>
    <w:p w14:paraId="0DD421B3" w14:textId="77777777" w:rsidR="00293FC1" w:rsidRPr="00F00FB8" w:rsidRDefault="00293FC1" w:rsidP="00293FC1">
      <w:pPr>
        <w:spacing w:before="40" w:after="240"/>
        <w:ind w:left="720"/>
        <w:rPr>
          <w:rFonts w:eastAsia="Calibri" w:cs="Times New Roman"/>
          <w:sz w:val="22"/>
          <w:szCs w:val="22"/>
          <w:lang w:val="en-US"/>
        </w:rPr>
      </w:pPr>
      <w:r w:rsidRPr="00F00FB8">
        <w:rPr>
          <w:rFonts w:eastAsia="Calibri" w:cs="Times New Roman"/>
          <w:sz w:val="22"/>
          <w:szCs w:val="22"/>
          <w:lang w:val="en-US"/>
        </w:rPr>
        <w:t>(2) (NVivo, SPSS text, excel): Data collection from publicly available secondary data sources: company annual and sustainability reports, newspaper article sources, press releases are reviewed and codified. All the secondary sources are collected and organised in a google drive folder; the relevant text is firstly extracted from each source and codified in binary terms in spreadsheets (.</w:t>
      </w:r>
      <w:proofErr w:type="spellStart"/>
      <w:r w:rsidRPr="00F00FB8">
        <w:rPr>
          <w:rFonts w:eastAsia="Calibri" w:cs="Times New Roman"/>
          <w:sz w:val="22"/>
          <w:szCs w:val="22"/>
          <w:lang w:val="en-US"/>
        </w:rPr>
        <w:t>xlsx</w:t>
      </w:r>
      <w:proofErr w:type="spellEnd"/>
      <w:r w:rsidRPr="00F00FB8">
        <w:rPr>
          <w:rFonts w:eastAsia="Calibri" w:cs="Times New Roman"/>
          <w:sz w:val="22"/>
          <w:szCs w:val="22"/>
          <w:lang w:val="en-US"/>
        </w:rPr>
        <w:t>, .SPSS). Data mining software with text analytics purpose (NVivo12, SPSS text) will guarantee a certain degree of automation.</w:t>
      </w:r>
    </w:p>
    <w:p w14:paraId="1E1D90FE"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i/>
          <w:iCs/>
          <w:sz w:val="22"/>
          <w:szCs w:val="22"/>
          <w:lang w:val="en-US"/>
        </w:rPr>
        <w:t>Data analysis:</w:t>
      </w:r>
      <w:r w:rsidRPr="00F00FB8">
        <w:rPr>
          <w:rFonts w:eastAsia="Calibri" w:cs="Times New Roman"/>
          <w:sz w:val="22"/>
          <w:szCs w:val="22"/>
          <w:lang w:val="en-US"/>
        </w:rPr>
        <w:t xml:space="preserve"> multivariate statistics regression through SPSS software.</w:t>
      </w:r>
    </w:p>
    <w:p w14:paraId="6F502641"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i/>
          <w:iCs/>
          <w:sz w:val="22"/>
          <w:szCs w:val="22"/>
          <w:lang w:val="en-US"/>
        </w:rPr>
        <w:t>Data utility:</w:t>
      </w:r>
      <w:r w:rsidRPr="00F00FB8">
        <w:rPr>
          <w:rFonts w:eastAsia="Calibri" w:cs="Times New Roman"/>
          <w:sz w:val="22"/>
          <w:szCs w:val="22"/>
          <w:lang w:val="en-US"/>
        </w:rPr>
        <w:t xml:space="preserve"> Collected data will be useful in the data analysis process, to prove the </w:t>
      </w:r>
      <w:proofErr w:type="spellStart"/>
      <w:r w:rsidRPr="00F00FB8">
        <w:rPr>
          <w:rFonts w:eastAsia="Calibri" w:cs="Times New Roman"/>
          <w:sz w:val="22"/>
          <w:szCs w:val="22"/>
          <w:lang w:val="en-US"/>
        </w:rPr>
        <w:t>hypothesised</w:t>
      </w:r>
      <w:proofErr w:type="spellEnd"/>
      <w:r w:rsidRPr="00F00FB8">
        <w:rPr>
          <w:rFonts w:eastAsia="Calibri" w:cs="Times New Roman"/>
          <w:sz w:val="22"/>
          <w:szCs w:val="22"/>
          <w:lang w:val="en-US"/>
        </w:rPr>
        <w:t xml:space="preserve"> relationships derived from the literature with a large sample of empirical data. Data and results will be shared with the ReTraCE project and could be made publicly available.</w:t>
      </w:r>
    </w:p>
    <w:p w14:paraId="70D87E7A" w14:textId="77777777" w:rsidR="00293FC1" w:rsidRPr="00F00FB8" w:rsidRDefault="00293FC1" w:rsidP="00293FC1">
      <w:pPr>
        <w:spacing w:before="40" w:after="240"/>
        <w:rPr>
          <w:rFonts w:eastAsia="Calibri" w:cs="Times New Roman"/>
          <w:sz w:val="22"/>
          <w:szCs w:val="22"/>
          <w:lang w:val="en-US"/>
        </w:rPr>
      </w:pPr>
    </w:p>
    <w:p w14:paraId="3C78F9B1" w14:textId="77777777" w:rsidR="00293FC1" w:rsidRPr="00F00FB8" w:rsidRDefault="00293FC1" w:rsidP="00293FC1">
      <w:pPr>
        <w:spacing w:before="40" w:after="240"/>
        <w:rPr>
          <w:rFonts w:eastAsia="Calibri" w:cs="Times New Roman"/>
          <w:b/>
          <w:bCs/>
          <w:sz w:val="22"/>
          <w:szCs w:val="22"/>
          <w:lang w:val="en-US"/>
        </w:rPr>
      </w:pPr>
      <w:r w:rsidRPr="00F00FB8">
        <w:rPr>
          <w:rFonts w:eastAsia="Calibri" w:cs="Times New Roman"/>
          <w:b/>
          <w:bCs/>
          <w:sz w:val="22"/>
          <w:szCs w:val="22"/>
          <w:lang w:val="en-US"/>
        </w:rPr>
        <w:lastRenderedPageBreak/>
        <w:t>FAIR data</w:t>
      </w:r>
    </w:p>
    <w:p w14:paraId="080FE062"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A data collection protocol will be circulated in the research team. Readme.txt files will be kept with the data, containing information on the folder structure, on the methodology used to collect the data, on the variables, on the units of measurement, on the assumptions made, on the format and the file type of the data and on the software used to collect and/or process the data. File names will be concise but meaningful and consistent across versions. A coherent date format will be part of the file name.</w:t>
      </w:r>
    </w:p>
    <w:p w14:paraId="641FC459"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i/>
          <w:iCs/>
          <w:sz w:val="22"/>
          <w:szCs w:val="22"/>
          <w:lang w:val="en-US"/>
        </w:rPr>
        <w:t>Making data openly accessible</w:t>
      </w:r>
      <w:r w:rsidRPr="00F00FB8">
        <w:rPr>
          <w:rFonts w:eastAsia="Calibri" w:cs="Times New Roman"/>
          <w:sz w:val="22"/>
          <w:szCs w:val="22"/>
          <w:lang w:val="en-US"/>
        </w:rPr>
        <w:t>:</w:t>
      </w:r>
    </w:p>
    <w:p w14:paraId="31BC85BD"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 xml:space="preserve">Access is restricted only to the researchers directly involved in the project and the supervisory team. As part of the ReTraCE project, part of the research data will be shared with the other researchers in the consortium. Collaboration within the project researchers is encouraged. A confidentiality agreement is included in the Grant and Consortium Agreement signed by the project partners. No external collaborating/partner organisation or service providers are included. All data will be </w:t>
      </w:r>
      <w:proofErr w:type="spellStart"/>
      <w:r w:rsidRPr="00F00FB8">
        <w:rPr>
          <w:rFonts w:eastAsia="Calibri" w:cs="Times New Roman"/>
          <w:sz w:val="22"/>
          <w:szCs w:val="22"/>
          <w:lang w:val="en-US"/>
        </w:rPr>
        <w:t>anonymised</w:t>
      </w:r>
      <w:proofErr w:type="spellEnd"/>
      <w:r w:rsidRPr="00F00FB8">
        <w:rPr>
          <w:rFonts w:eastAsia="Calibri" w:cs="Times New Roman"/>
          <w:sz w:val="22"/>
          <w:szCs w:val="22"/>
          <w:lang w:val="en-US"/>
        </w:rPr>
        <w:t>. As suggested by the European Commission, when possible, research generated data will be made available to the research community: part of the research project deals with the creation of a database of circular economy practices adopted in the most important European enterprises, which will be created by codifying</w:t>
      </w:r>
    </w:p>
    <w:p w14:paraId="286383B8" w14:textId="77777777" w:rsidR="00293FC1" w:rsidRPr="00F00FB8" w:rsidRDefault="00293FC1" w:rsidP="00293FC1">
      <w:pPr>
        <w:spacing w:before="40" w:after="240"/>
        <w:rPr>
          <w:rFonts w:eastAsia="Calibri" w:cs="Times New Roman"/>
          <w:sz w:val="22"/>
          <w:szCs w:val="22"/>
          <w:lang w:val="en-US"/>
        </w:rPr>
      </w:pPr>
      <w:proofErr w:type="gramStart"/>
      <w:r w:rsidRPr="00F00FB8">
        <w:rPr>
          <w:rFonts w:eastAsia="Calibri" w:cs="Times New Roman"/>
          <w:sz w:val="22"/>
          <w:szCs w:val="22"/>
          <w:lang w:val="en-US"/>
        </w:rPr>
        <w:t>information</w:t>
      </w:r>
      <w:proofErr w:type="gramEnd"/>
      <w:r w:rsidRPr="00F00FB8">
        <w:rPr>
          <w:rFonts w:eastAsia="Calibri" w:cs="Times New Roman"/>
          <w:sz w:val="22"/>
          <w:szCs w:val="22"/>
          <w:lang w:val="en-US"/>
        </w:rPr>
        <w:t xml:space="preserve"> that is already publicly available in company reports or other sources. The database has the potential of becoming open-source, being shared with the research community, and updated yearly. The feasibility of such a project will be considered in the final part of the PhD and will be done in accordance with </w:t>
      </w:r>
      <w:proofErr w:type="spellStart"/>
      <w:r w:rsidRPr="00F00FB8">
        <w:rPr>
          <w:rFonts w:eastAsia="Calibri" w:cs="Times New Roman"/>
          <w:sz w:val="22"/>
          <w:szCs w:val="22"/>
          <w:lang w:val="en-US"/>
        </w:rPr>
        <w:t>thee</w:t>
      </w:r>
      <w:proofErr w:type="spellEnd"/>
      <w:r w:rsidRPr="00F00FB8">
        <w:rPr>
          <w:rFonts w:eastAsia="Calibri" w:cs="Times New Roman"/>
          <w:sz w:val="22"/>
          <w:szCs w:val="22"/>
          <w:lang w:val="en-US"/>
        </w:rPr>
        <w:t xml:space="preserve"> EC guidelines.</w:t>
      </w:r>
    </w:p>
    <w:p w14:paraId="0CC0FE71" w14:textId="77777777" w:rsidR="00293FC1" w:rsidRPr="00F00FB8" w:rsidRDefault="00293FC1" w:rsidP="00293FC1">
      <w:pPr>
        <w:spacing w:before="40" w:after="240"/>
        <w:rPr>
          <w:rFonts w:eastAsia="Calibri" w:cs="Times New Roman"/>
          <w:i/>
          <w:iCs/>
          <w:sz w:val="22"/>
          <w:szCs w:val="22"/>
          <w:lang w:val="en-US"/>
        </w:rPr>
      </w:pPr>
      <w:r w:rsidRPr="00F00FB8">
        <w:rPr>
          <w:rFonts w:eastAsia="Calibri" w:cs="Times New Roman"/>
          <w:i/>
          <w:iCs/>
          <w:sz w:val="22"/>
          <w:szCs w:val="22"/>
          <w:lang w:val="en-US"/>
        </w:rPr>
        <w:t>Making data interoperable:</w:t>
      </w:r>
    </w:p>
    <w:p w14:paraId="62EDEB4C"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Metadata will be created to facilitate data re-use. The research protocol will be made available and stored with the data. The protocol will include: how the data</w:t>
      </w:r>
    </w:p>
    <w:p w14:paraId="5C68AFEE" w14:textId="77777777" w:rsidR="00293FC1" w:rsidRPr="00F00FB8" w:rsidRDefault="00293FC1" w:rsidP="00293FC1">
      <w:pPr>
        <w:spacing w:before="40" w:after="240"/>
        <w:rPr>
          <w:rFonts w:eastAsia="Calibri" w:cs="Times New Roman"/>
          <w:sz w:val="22"/>
          <w:szCs w:val="22"/>
          <w:lang w:val="en-US"/>
        </w:rPr>
      </w:pPr>
      <w:proofErr w:type="gramStart"/>
      <w:r w:rsidRPr="00F00FB8">
        <w:rPr>
          <w:rFonts w:eastAsia="Calibri" w:cs="Times New Roman"/>
          <w:sz w:val="22"/>
          <w:szCs w:val="22"/>
          <w:lang w:val="en-US"/>
        </w:rPr>
        <w:t>collection</w:t>
      </w:r>
      <w:proofErr w:type="gramEnd"/>
      <w:r w:rsidRPr="00F00FB8">
        <w:rPr>
          <w:rFonts w:eastAsia="Calibri" w:cs="Times New Roman"/>
          <w:sz w:val="22"/>
          <w:szCs w:val="22"/>
          <w:lang w:val="en-US"/>
        </w:rPr>
        <w:t xml:space="preserve"> and analysis process has been conducted, the software used in the analysis, the assumptions made, the variables used.</w:t>
      </w:r>
    </w:p>
    <w:p w14:paraId="373217D3"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i/>
          <w:iCs/>
          <w:sz w:val="22"/>
          <w:szCs w:val="22"/>
          <w:lang w:val="en-US"/>
        </w:rPr>
        <w:t>Allocation of resources:</w:t>
      </w:r>
    </w:p>
    <w:p w14:paraId="17C8D5BE"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 xml:space="preserve">Interview data (recordings, transcriptions, written-form consents) will be </w:t>
      </w:r>
      <w:proofErr w:type="spellStart"/>
      <w:r w:rsidRPr="00F00FB8">
        <w:rPr>
          <w:rFonts w:eastAsia="Calibri" w:cs="Times New Roman"/>
          <w:sz w:val="22"/>
          <w:szCs w:val="22"/>
          <w:lang w:val="en-US"/>
        </w:rPr>
        <w:t>anonymised</w:t>
      </w:r>
      <w:proofErr w:type="spellEnd"/>
      <w:r w:rsidRPr="00F00FB8">
        <w:rPr>
          <w:rFonts w:eastAsia="Calibri" w:cs="Times New Roman"/>
          <w:sz w:val="22"/>
          <w:szCs w:val="22"/>
          <w:lang w:val="en-US"/>
        </w:rPr>
        <w:t xml:space="preserve"> and stored on the password-protected University Google drive. A copy of all collected data will be stored on the University of Sheffield storage area network for a further 60 months after the end of the project, to allow further</w:t>
      </w:r>
    </w:p>
    <w:p w14:paraId="0EBC9692" w14:textId="77777777" w:rsidR="00293FC1" w:rsidRPr="00F00FB8" w:rsidRDefault="00293FC1" w:rsidP="00293FC1">
      <w:pPr>
        <w:spacing w:before="40" w:after="240"/>
        <w:rPr>
          <w:rFonts w:eastAsia="Calibri" w:cs="Times New Roman"/>
          <w:sz w:val="22"/>
          <w:szCs w:val="22"/>
          <w:lang w:val="en-US"/>
        </w:rPr>
      </w:pPr>
      <w:proofErr w:type="gramStart"/>
      <w:r w:rsidRPr="00F00FB8">
        <w:rPr>
          <w:rFonts w:eastAsia="Calibri" w:cs="Times New Roman"/>
          <w:sz w:val="22"/>
          <w:szCs w:val="22"/>
          <w:lang w:val="en-US"/>
        </w:rPr>
        <w:t>analysis</w:t>
      </w:r>
      <w:proofErr w:type="gramEnd"/>
      <w:r w:rsidRPr="00F00FB8">
        <w:rPr>
          <w:rFonts w:eastAsia="Calibri" w:cs="Times New Roman"/>
          <w:sz w:val="22"/>
          <w:szCs w:val="22"/>
          <w:lang w:val="en-US"/>
        </w:rPr>
        <w:t xml:space="preserve"> and possible publications. Afterward, data will be destroyed.</w:t>
      </w:r>
    </w:p>
    <w:p w14:paraId="73E90985" w14:textId="77777777" w:rsidR="00293FC1" w:rsidRPr="00F00FB8" w:rsidRDefault="00293FC1" w:rsidP="00293FC1">
      <w:pPr>
        <w:spacing w:before="40" w:after="240"/>
        <w:rPr>
          <w:rFonts w:eastAsia="Calibri" w:cs="Times New Roman"/>
          <w:sz w:val="22"/>
          <w:szCs w:val="22"/>
          <w:lang w:val="en-US"/>
        </w:rPr>
      </w:pPr>
    </w:p>
    <w:p w14:paraId="4E1F3325" w14:textId="77777777" w:rsidR="00293FC1" w:rsidRPr="00F00FB8" w:rsidRDefault="00293FC1" w:rsidP="00293FC1">
      <w:pPr>
        <w:spacing w:before="40" w:after="240"/>
        <w:rPr>
          <w:rFonts w:eastAsia="Calibri" w:cs="Times New Roman"/>
          <w:i/>
          <w:iCs/>
          <w:sz w:val="22"/>
          <w:szCs w:val="22"/>
          <w:lang w:val="en-US"/>
        </w:rPr>
      </w:pPr>
      <w:r w:rsidRPr="00F00FB8">
        <w:rPr>
          <w:rFonts w:eastAsia="Calibri" w:cs="Times New Roman"/>
          <w:i/>
          <w:iCs/>
          <w:sz w:val="22"/>
          <w:szCs w:val="22"/>
          <w:lang w:val="en-US"/>
        </w:rPr>
        <w:lastRenderedPageBreak/>
        <w:t>Data security</w:t>
      </w:r>
    </w:p>
    <w:p w14:paraId="1DF9E7CA" w14:textId="77777777" w:rsidR="00293FC1" w:rsidRPr="00F00FB8" w:rsidRDefault="00293FC1" w:rsidP="00293FC1">
      <w:pPr>
        <w:spacing w:before="40" w:after="240"/>
        <w:rPr>
          <w:rFonts w:eastAsia="Calibri" w:cs="Times New Roman"/>
          <w:sz w:val="22"/>
          <w:szCs w:val="22"/>
          <w:lang w:val="en-US"/>
        </w:rPr>
      </w:pPr>
      <w:r w:rsidRPr="00F00FB8">
        <w:rPr>
          <w:rFonts w:eastAsia="Calibri" w:cs="Times New Roman"/>
          <w:sz w:val="22"/>
          <w:szCs w:val="22"/>
          <w:lang w:val="en-US"/>
        </w:rPr>
        <w:t xml:space="preserve">All data being </w:t>
      </w:r>
      <w:proofErr w:type="spellStart"/>
      <w:r w:rsidRPr="00F00FB8">
        <w:rPr>
          <w:rFonts w:eastAsia="Calibri" w:cs="Times New Roman"/>
          <w:sz w:val="22"/>
          <w:szCs w:val="22"/>
          <w:lang w:val="en-US"/>
        </w:rPr>
        <w:t>utilised</w:t>
      </w:r>
      <w:proofErr w:type="spellEnd"/>
      <w:r w:rsidRPr="00F00FB8">
        <w:rPr>
          <w:rFonts w:eastAsia="Calibri" w:cs="Times New Roman"/>
          <w:sz w:val="22"/>
          <w:szCs w:val="22"/>
          <w:lang w:val="en-US"/>
        </w:rPr>
        <w:t xml:space="preserve"> for research purposes within the project will be </w:t>
      </w:r>
      <w:proofErr w:type="spellStart"/>
      <w:r w:rsidRPr="00F00FB8">
        <w:rPr>
          <w:rFonts w:eastAsia="Calibri" w:cs="Times New Roman"/>
          <w:sz w:val="22"/>
          <w:szCs w:val="22"/>
          <w:lang w:val="en-US"/>
        </w:rPr>
        <w:t>anonymised</w:t>
      </w:r>
      <w:proofErr w:type="spellEnd"/>
      <w:r w:rsidRPr="00F00FB8">
        <w:rPr>
          <w:rFonts w:eastAsia="Calibri" w:cs="Times New Roman"/>
          <w:sz w:val="22"/>
          <w:szCs w:val="22"/>
          <w:lang w:val="en-US"/>
        </w:rPr>
        <w:t xml:space="preserve"> and will not be making any reference to personal characteristics. The consortium will comply with national and EU legislation on the protection of personal data. Following face-to-face interviews aim towards obtaining more insights related to the company operations of each respondent in alignment with the survey</w:t>
      </w:r>
    </w:p>
    <w:p w14:paraId="0A445274" w14:textId="173DDF97" w:rsidR="007C0582" w:rsidRDefault="00293FC1" w:rsidP="00293FC1">
      <w:proofErr w:type="gramStart"/>
      <w:r w:rsidRPr="00F00FB8">
        <w:rPr>
          <w:rFonts w:eastAsia="Calibri" w:cs="Times New Roman"/>
          <w:sz w:val="22"/>
          <w:szCs w:val="22"/>
          <w:lang w:val="en-US"/>
        </w:rPr>
        <w:t>questions</w:t>
      </w:r>
      <w:proofErr w:type="gramEnd"/>
      <w:r w:rsidRPr="00F00FB8">
        <w:rPr>
          <w:rFonts w:eastAsia="Calibri" w:cs="Times New Roman"/>
          <w:sz w:val="22"/>
          <w:szCs w:val="22"/>
          <w:lang w:val="en-US"/>
        </w:rPr>
        <w:t xml:space="preserve">. Consequently, it does not involve the collection and/or processing of sensitive personal data (e.g. health, sex, ethnic origin, </w:t>
      </w:r>
      <w:proofErr w:type="gramStart"/>
      <w:r w:rsidRPr="00F00FB8">
        <w:rPr>
          <w:rFonts w:eastAsia="Calibri" w:cs="Times New Roman"/>
          <w:sz w:val="22"/>
          <w:szCs w:val="22"/>
          <w:lang w:val="en-US"/>
        </w:rPr>
        <w:t>political</w:t>
      </w:r>
      <w:proofErr w:type="gramEnd"/>
      <w:r w:rsidRPr="00F00FB8">
        <w:rPr>
          <w:rFonts w:eastAsia="Calibri" w:cs="Times New Roman"/>
          <w:sz w:val="22"/>
          <w:szCs w:val="22"/>
          <w:lang w:val="en-US"/>
        </w:rPr>
        <w:t xml:space="preserve"> opinions, religious or philosophical beliefs). In addition, it neither involves tracking or observation of participants nor processing of genetic information. All transcripts will be in MS Word .doc format.</w:t>
      </w:r>
    </w:p>
    <w:p w14:paraId="55748C9C" w14:textId="23CC6E41" w:rsidR="00293FC1" w:rsidRDefault="00293FC1" w:rsidP="007C0582"/>
    <w:p w14:paraId="74AE6B6F" w14:textId="77777777" w:rsidR="00293FC1" w:rsidRDefault="00293FC1" w:rsidP="007C0582"/>
    <w:p w14:paraId="44EDF20A" w14:textId="3F8F80FE" w:rsidR="00F00FB8" w:rsidRPr="00F00FB8" w:rsidRDefault="00763897" w:rsidP="0026104D">
      <w:pPr>
        <w:pStyle w:val="Heading1"/>
        <w:numPr>
          <w:ilvl w:val="0"/>
          <w:numId w:val="0"/>
        </w:numPr>
        <w:ind w:left="360" w:hanging="360"/>
        <w:rPr>
          <w:rFonts w:eastAsia="Calibri" w:cs="Times New Roman"/>
          <w:sz w:val="22"/>
          <w:szCs w:val="22"/>
          <w:lang w:val="en-US"/>
        </w:rPr>
      </w:pPr>
      <w:r w:rsidRPr="007C0582">
        <w:br w:type="page"/>
      </w:r>
    </w:p>
    <w:p w14:paraId="0D472379" w14:textId="77777777" w:rsidR="00A47566" w:rsidRDefault="00A47566" w:rsidP="007765F7">
      <w:pPr>
        <w:sectPr w:rsidR="00A47566" w:rsidSect="00DB1C55">
          <w:footerReference w:type="default" r:id="rId153"/>
          <w:type w:val="continuous"/>
          <w:pgSz w:w="11906" w:h="16838"/>
          <w:pgMar w:top="1417" w:right="1417" w:bottom="1375" w:left="1417" w:header="708" w:footer="316" w:gutter="0"/>
          <w:cols w:space="708"/>
          <w:docGrid w:linePitch="360"/>
        </w:sectPr>
      </w:pPr>
    </w:p>
    <w:p w14:paraId="06F37C85" w14:textId="1E4A1A67" w:rsidR="00A47566" w:rsidRDefault="00A47566" w:rsidP="00A47566">
      <w:pPr>
        <w:pStyle w:val="Heading1"/>
        <w:numPr>
          <w:ilvl w:val="0"/>
          <w:numId w:val="0"/>
        </w:numPr>
        <w:ind w:left="360" w:hanging="360"/>
        <w:rPr>
          <w:lang w:val="en-US"/>
        </w:rPr>
      </w:pPr>
      <w:bookmarkStart w:id="213" w:name="_Toc49839852"/>
      <w:bookmarkStart w:id="214" w:name="_Toc157759584"/>
      <w:r>
        <w:rPr>
          <w:lang w:val="en-US"/>
        </w:rPr>
        <w:lastRenderedPageBreak/>
        <w:t xml:space="preserve">Appendix </w:t>
      </w:r>
      <w:r w:rsidR="00293FC1">
        <w:rPr>
          <w:lang w:val="en-US"/>
        </w:rPr>
        <w:t>3</w:t>
      </w:r>
      <w:r>
        <w:rPr>
          <w:lang w:val="en-US"/>
        </w:rPr>
        <w:t xml:space="preserve"> – Ethics Approval</w:t>
      </w:r>
      <w:bookmarkEnd w:id="213"/>
      <w:bookmarkEnd w:id="214"/>
    </w:p>
    <w:p w14:paraId="45FCBBF4" w14:textId="77777777" w:rsidR="00A47566" w:rsidRDefault="00A47566" w:rsidP="00A47566">
      <w:pPr>
        <w:rPr>
          <w:lang w:val="en-US"/>
        </w:rPr>
      </w:pPr>
    </w:p>
    <w:p w14:paraId="0BC35DFB" w14:textId="77777777" w:rsidR="00A47566" w:rsidRDefault="00A47566" w:rsidP="00A47566">
      <w:pPr>
        <w:rPr>
          <w:lang w:val="en-US"/>
        </w:rPr>
      </w:pPr>
      <w:r>
        <w:rPr>
          <w:noProof/>
          <w:lang w:eastAsia="zh-CN"/>
        </w:rPr>
        <w:drawing>
          <wp:inline distT="0" distB="0" distL="0" distR="0" wp14:anchorId="4D8B6EE3" wp14:editId="7929DF2A">
            <wp:extent cx="8863330" cy="3451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8863330" cy="3451860"/>
                    </a:xfrm>
                    <a:prstGeom prst="rect">
                      <a:avLst/>
                    </a:prstGeom>
                  </pic:spPr>
                </pic:pic>
              </a:graphicData>
            </a:graphic>
          </wp:inline>
        </w:drawing>
      </w:r>
      <w:r>
        <w:rPr>
          <w:noProof/>
          <w:lang w:eastAsia="zh-CN"/>
        </w:rPr>
        <w:drawing>
          <wp:inline distT="0" distB="0" distL="0" distR="0" wp14:anchorId="56635341" wp14:editId="3B7DCE56">
            <wp:extent cx="8863330" cy="974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863330" cy="974725"/>
                    </a:xfrm>
                    <a:prstGeom prst="rect">
                      <a:avLst/>
                    </a:prstGeom>
                  </pic:spPr>
                </pic:pic>
              </a:graphicData>
            </a:graphic>
          </wp:inline>
        </w:drawing>
      </w:r>
    </w:p>
    <w:p w14:paraId="7F58300A" w14:textId="77777777" w:rsidR="002034F2" w:rsidRDefault="002034F2" w:rsidP="007765F7"/>
    <w:p w14:paraId="7EA8FDF6" w14:textId="77777777" w:rsidR="00293FC1" w:rsidRDefault="00293FC1" w:rsidP="00293FC1">
      <w:pPr>
        <w:pStyle w:val="Heading1"/>
        <w:numPr>
          <w:ilvl w:val="0"/>
          <w:numId w:val="0"/>
        </w:numPr>
        <w:spacing w:before="0" w:after="0"/>
        <w:ind w:left="360" w:hanging="360"/>
        <w:rPr>
          <w:lang w:val="en-US"/>
        </w:rPr>
      </w:pPr>
      <w:bookmarkStart w:id="215" w:name="_Toc49839851"/>
      <w:bookmarkStart w:id="216" w:name="_Toc137718574"/>
      <w:bookmarkStart w:id="217" w:name="_Toc157759585"/>
      <w:r>
        <w:rPr>
          <w:lang w:val="en-US"/>
        </w:rPr>
        <w:t>Appendix 4 – TNA form</w:t>
      </w:r>
      <w:bookmarkEnd w:id="215"/>
      <w:bookmarkEnd w:id="216"/>
      <w:bookmarkEnd w:id="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93FC1" w:rsidRPr="007E5B70" w14:paraId="5A606DFA" w14:textId="77777777" w:rsidTr="007B6F6D">
        <w:trPr>
          <w:trHeight w:val="370"/>
        </w:trPr>
        <w:tc>
          <w:tcPr>
            <w:tcW w:w="14174" w:type="dxa"/>
            <w:shd w:val="clear" w:color="auto" w:fill="auto"/>
          </w:tcPr>
          <w:p w14:paraId="3423BEEE" w14:textId="77777777" w:rsidR="00293FC1" w:rsidRPr="007E5B70" w:rsidRDefault="00293FC1" w:rsidP="007B6F6D">
            <w:pPr>
              <w:spacing w:after="0" w:line="240" w:lineRule="auto"/>
            </w:pPr>
            <w:r w:rsidRPr="007E5B70">
              <w:t>Name of student:</w:t>
            </w:r>
            <w:r>
              <w:t xml:space="preserve"> Tommaso Calzolari</w:t>
            </w:r>
          </w:p>
        </w:tc>
      </w:tr>
      <w:tr w:rsidR="00293FC1" w:rsidRPr="007E5B70" w14:paraId="6E36A1A8" w14:textId="77777777" w:rsidTr="007B6F6D">
        <w:trPr>
          <w:trHeight w:val="370"/>
        </w:trPr>
        <w:tc>
          <w:tcPr>
            <w:tcW w:w="14174" w:type="dxa"/>
            <w:shd w:val="clear" w:color="auto" w:fill="auto"/>
          </w:tcPr>
          <w:p w14:paraId="4067EE88" w14:textId="77777777" w:rsidR="00293FC1" w:rsidRPr="007E5B70" w:rsidRDefault="00293FC1" w:rsidP="007B6F6D">
            <w:pPr>
              <w:spacing w:after="0" w:line="240" w:lineRule="auto"/>
            </w:pPr>
            <w:r w:rsidRPr="007E5B70">
              <w:t>Department or School:</w:t>
            </w:r>
            <w:r>
              <w:t xml:space="preserve"> Sheffield University Management School</w:t>
            </w:r>
          </w:p>
        </w:tc>
      </w:tr>
      <w:tr w:rsidR="00293FC1" w:rsidRPr="007E5B70" w14:paraId="1F6C313C" w14:textId="77777777" w:rsidTr="007B6F6D">
        <w:trPr>
          <w:trHeight w:val="370"/>
        </w:trPr>
        <w:tc>
          <w:tcPr>
            <w:tcW w:w="14174" w:type="dxa"/>
            <w:shd w:val="clear" w:color="auto" w:fill="auto"/>
          </w:tcPr>
          <w:p w14:paraId="40E4AA75" w14:textId="77777777" w:rsidR="00293FC1" w:rsidRPr="007E5B70" w:rsidRDefault="00293FC1" w:rsidP="007B6F6D">
            <w:pPr>
              <w:spacing w:after="0" w:line="240" w:lineRule="auto"/>
            </w:pPr>
            <w:r w:rsidRPr="007E5B70">
              <w:t>Names of all supervisors:</w:t>
            </w:r>
            <w:r>
              <w:t xml:space="preserve"> Andrea Genovese, Andrew Brint</w:t>
            </w:r>
          </w:p>
        </w:tc>
      </w:tr>
      <w:tr w:rsidR="00293FC1" w:rsidRPr="007E5B70" w14:paraId="45893329" w14:textId="77777777" w:rsidTr="007B6F6D">
        <w:trPr>
          <w:trHeight w:val="370"/>
        </w:trPr>
        <w:tc>
          <w:tcPr>
            <w:tcW w:w="14174" w:type="dxa"/>
            <w:shd w:val="clear" w:color="auto" w:fill="auto"/>
          </w:tcPr>
          <w:p w14:paraId="14A97F66" w14:textId="77777777" w:rsidR="00293FC1" w:rsidRPr="007E5B70" w:rsidRDefault="00293FC1" w:rsidP="007B6F6D">
            <w:pPr>
              <w:spacing w:after="0" w:line="240" w:lineRule="auto"/>
            </w:pPr>
            <w:r w:rsidRPr="007E5B70">
              <w:t>Year of study:</w:t>
            </w:r>
            <w:r>
              <w:t xml:space="preserve"> 2019/2020</w:t>
            </w:r>
          </w:p>
        </w:tc>
      </w:tr>
    </w:tbl>
    <w:p w14:paraId="3B7C9432" w14:textId="77777777" w:rsidR="00293FC1" w:rsidRDefault="00293FC1" w:rsidP="00293FC1">
      <w:pPr>
        <w:rPr>
          <w:lang w:val="en-US"/>
        </w:rPr>
      </w:pPr>
    </w:p>
    <w:p w14:paraId="354E1603" w14:textId="77777777" w:rsidR="00293FC1" w:rsidRDefault="00293FC1" w:rsidP="00293FC1">
      <w:pPr>
        <w:tabs>
          <w:tab w:val="left" w:pos="13338"/>
        </w:tabs>
        <w:rPr>
          <w:lang w:val="en-US"/>
        </w:rPr>
      </w:pPr>
      <w:r>
        <w:rPr>
          <w:lang w:val="en-US"/>
        </w:rPr>
        <w:tab/>
      </w:r>
    </w:p>
    <w:p w14:paraId="0FAF2E62" w14:textId="77777777" w:rsidR="00293FC1" w:rsidRPr="00403859" w:rsidRDefault="00293FC1" w:rsidP="00293FC1">
      <w:pPr>
        <w:tabs>
          <w:tab w:val="left" w:pos="13338"/>
        </w:tabs>
        <w:rPr>
          <w:lang w:val="en-US"/>
        </w:rPr>
        <w:sectPr w:rsidR="00293FC1" w:rsidRPr="00403859" w:rsidSect="00DB1C55">
          <w:pgSz w:w="11906" w:h="16838"/>
          <w:pgMar w:top="1418" w:right="1418" w:bottom="1372" w:left="1418" w:header="708" w:footer="316" w:gutter="0"/>
          <w:cols w:space="708"/>
          <w:docGrid w:linePitch="360"/>
        </w:sectPr>
      </w:pPr>
      <w:r>
        <w:rPr>
          <w:lang w:val="en-US"/>
        </w:rPr>
        <w:tab/>
      </w:r>
    </w:p>
    <w:p w14:paraId="4E932F68" w14:textId="77777777" w:rsidR="00293FC1" w:rsidRDefault="00293FC1" w:rsidP="00293FC1">
      <w:pPr>
        <w:rPr>
          <w:lang w:val="en-US"/>
        </w:rPr>
      </w:pPr>
    </w:p>
    <w:tbl>
      <w:tblPr>
        <w:tblW w:w="14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01"/>
        <w:gridCol w:w="2496"/>
        <w:gridCol w:w="2736"/>
        <w:gridCol w:w="52"/>
        <w:gridCol w:w="4683"/>
      </w:tblGrid>
      <w:tr w:rsidR="00293FC1" w:rsidRPr="007E5B70" w14:paraId="3CF5B57E" w14:textId="77777777" w:rsidTr="007B6F6D">
        <w:trPr>
          <w:trHeight w:val="556"/>
          <w:jc w:val="center"/>
        </w:trPr>
        <w:tc>
          <w:tcPr>
            <w:tcW w:w="14768" w:type="dxa"/>
            <w:gridSpan w:val="5"/>
            <w:shd w:val="clear" w:color="auto" w:fill="DAEEF3"/>
            <w:vAlign w:val="center"/>
          </w:tcPr>
          <w:p w14:paraId="7F8E7F65" w14:textId="77777777" w:rsidR="00293FC1" w:rsidRPr="007E5B70" w:rsidRDefault="00293FC1" w:rsidP="007B6F6D">
            <w:pPr>
              <w:spacing w:after="0" w:line="240" w:lineRule="auto"/>
              <w:rPr>
                <w:b/>
                <w:bCs/>
              </w:rPr>
            </w:pPr>
            <w:r w:rsidRPr="007E5B70">
              <w:rPr>
                <w:b/>
                <w:bCs/>
              </w:rPr>
              <w:t>RDF Domain A: Knowledge and Intellectual Abilities</w:t>
            </w:r>
          </w:p>
          <w:p w14:paraId="18BA44FF" w14:textId="77777777" w:rsidR="00293FC1" w:rsidRPr="007E5B70" w:rsidRDefault="00293FC1" w:rsidP="007B6F6D">
            <w:pPr>
              <w:spacing w:after="0" w:line="240" w:lineRule="auto"/>
              <w:rPr>
                <w:bCs/>
              </w:rPr>
            </w:pPr>
            <w:r w:rsidRPr="007E5B70">
              <w:rPr>
                <w:bCs/>
                <w:i/>
                <w:iCs/>
              </w:rPr>
              <w:t>the knowledge, intellectual abilities and techniques to do research</w:t>
            </w:r>
          </w:p>
        </w:tc>
      </w:tr>
      <w:tr w:rsidR="00293FC1" w:rsidRPr="007E5B70" w14:paraId="559E8A80" w14:textId="77777777" w:rsidTr="007B6F6D">
        <w:trPr>
          <w:jc w:val="center"/>
        </w:trPr>
        <w:tc>
          <w:tcPr>
            <w:tcW w:w="4801" w:type="dxa"/>
            <w:shd w:val="clear" w:color="auto" w:fill="auto"/>
          </w:tcPr>
          <w:p w14:paraId="394067DC" w14:textId="77777777" w:rsidR="00293FC1" w:rsidRPr="007E5B70" w:rsidRDefault="00293FC1" w:rsidP="007B6F6D">
            <w:pPr>
              <w:spacing w:after="0" w:line="240" w:lineRule="auto"/>
              <w:rPr>
                <w:b/>
                <w:bCs/>
              </w:rPr>
            </w:pPr>
          </w:p>
        </w:tc>
        <w:tc>
          <w:tcPr>
            <w:tcW w:w="5284" w:type="dxa"/>
            <w:gridSpan w:val="3"/>
            <w:shd w:val="clear" w:color="auto" w:fill="auto"/>
          </w:tcPr>
          <w:p w14:paraId="76DD2887" w14:textId="77777777" w:rsidR="00293FC1" w:rsidRPr="007E5B70" w:rsidRDefault="00293FC1" w:rsidP="007B6F6D">
            <w:pPr>
              <w:spacing w:after="0" w:line="240" w:lineRule="auto"/>
              <w:rPr>
                <w:b/>
                <w:bCs/>
              </w:rPr>
            </w:pPr>
            <w:r w:rsidRPr="007E5B70">
              <w:rPr>
                <w:b/>
                <w:bCs/>
              </w:rPr>
              <w:t xml:space="preserve">Reflection on your current ability/experience in this area and </w:t>
            </w:r>
            <w:r>
              <w:rPr>
                <w:b/>
                <w:bCs/>
              </w:rPr>
              <w:t>main priorities</w:t>
            </w:r>
            <w:r w:rsidRPr="007E5B70">
              <w:rPr>
                <w:b/>
                <w:bCs/>
              </w:rPr>
              <w:t xml:space="preserve"> for the coming year</w:t>
            </w:r>
          </w:p>
        </w:tc>
        <w:tc>
          <w:tcPr>
            <w:tcW w:w="4683" w:type="dxa"/>
            <w:shd w:val="clear" w:color="auto" w:fill="auto"/>
          </w:tcPr>
          <w:p w14:paraId="1D68B96F" w14:textId="77777777" w:rsidR="00293FC1" w:rsidRPr="007E5B70" w:rsidRDefault="00293FC1" w:rsidP="007B6F6D">
            <w:pPr>
              <w:spacing w:after="0" w:line="240" w:lineRule="auto"/>
              <w:rPr>
                <w:b/>
                <w:bCs/>
              </w:rPr>
            </w:pPr>
            <w:r>
              <w:rPr>
                <w:b/>
                <w:bCs/>
              </w:rPr>
              <w:t xml:space="preserve">Action to be taken to </w:t>
            </w:r>
            <w:r w:rsidRPr="007E5B70">
              <w:rPr>
                <w:b/>
                <w:bCs/>
              </w:rPr>
              <w:t>develop this area (if appropriate), agreed with you</w:t>
            </w:r>
            <w:r>
              <w:rPr>
                <w:b/>
                <w:bCs/>
              </w:rPr>
              <w:t>r</w:t>
            </w:r>
            <w:r w:rsidRPr="007E5B70">
              <w:rPr>
                <w:b/>
                <w:bCs/>
              </w:rPr>
              <w:t xml:space="preserve"> supervisor(s).</w:t>
            </w:r>
          </w:p>
        </w:tc>
      </w:tr>
      <w:tr w:rsidR="00293FC1" w:rsidRPr="007E5B70" w14:paraId="5AC3641E" w14:textId="77777777" w:rsidTr="007B6F6D">
        <w:trPr>
          <w:trHeight w:val="491"/>
          <w:jc w:val="center"/>
        </w:trPr>
        <w:tc>
          <w:tcPr>
            <w:tcW w:w="4801" w:type="dxa"/>
            <w:shd w:val="clear" w:color="auto" w:fill="auto"/>
            <w:vAlign w:val="center"/>
          </w:tcPr>
          <w:p w14:paraId="3E342CAA" w14:textId="77777777" w:rsidR="00293FC1" w:rsidRPr="007E5B70" w:rsidRDefault="00293FC1" w:rsidP="007B6F6D">
            <w:pPr>
              <w:spacing w:after="0" w:line="240" w:lineRule="auto"/>
            </w:pPr>
            <w:r w:rsidRPr="007E5B70">
              <w:rPr>
                <w:b/>
              </w:rPr>
              <w:t>Knowledge base (RDF subdomain A1)</w:t>
            </w:r>
            <w:r w:rsidRPr="007E5B70">
              <w:rPr>
                <w:b/>
              </w:rPr>
              <w:br/>
            </w:r>
            <w:r w:rsidRPr="007E5B70">
              <w:rPr>
                <w:i/>
                <w:iCs/>
              </w:rPr>
              <w:t>Including:</w:t>
            </w:r>
            <w:r w:rsidRPr="007E5B70">
              <w:t xml:space="preserve"> </w:t>
            </w:r>
          </w:p>
          <w:p w14:paraId="72A23944" w14:textId="77777777" w:rsidR="00293FC1" w:rsidRPr="007E5B70" w:rsidRDefault="00293FC1" w:rsidP="00293FC1">
            <w:pPr>
              <w:numPr>
                <w:ilvl w:val="0"/>
                <w:numId w:val="35"/>
              </w:numPr>
              <w:spacing w:after="0" w:line="240" w:lineRule="auto"/>
              <w:jc w:val="left"/>
            </w:pPr>
            <w:r>
              <w:t>S</w:t>
            </w:r>
            <w:r w:rsidRPr="007E5B70">
              <w:t>ubject</w:t>
            </w:r>
            <w:r>
              <w:t xml:space="preserve"> knowledge</w:t>
            </w:r>
          </w:p>
          <w:p w14:paraId="547BD8CB" w14:textId="77777777" w:rsidR="00293FC1" w:rsidRPr="007E5B70" w:rsidRDefault="00293FC1" w:rsidP="00293FC1">
            <w:pPr>
              <w:numPr>
                <w:ilvl w:val="0"/>
                <w:numId w:val="35"/>
              </w:numPr>
              <w:spacing w:after="0" w:line="240" w:lineRule="auto"/>
              <w:jc w:val="left"/>
            </w:pPr>
            <w:r>
              <w:t>R</w:t>
            </w:r>
            <w:r w:rsidRPr="007E5B70">
              <w:t xml:space="preserve">esearch methods </w:t>
            </w:r>
            <w:r>
              <w:t xml:space="preserve">– theoretical knowledge </w:t>
            </w:r>
            <w:r w:rsidRPr="007E5B70">
              <w:t>and practical application</w:t>
            </w:r>
          </w:p>
          <w:p w14:paraId="2E38BD96" w14:textId="77777777" w:rsidR="00293FC1" w:rsidRPr="007E5B70" w:rsidRDefault="00293FC1" w:rsidP="00293FC1">
            <w:pPr>
              <w:numPr>
                <w:ilvl w:val="0"/>
                <w:numId w:val="35"/>
              </w:numPr>
              <w:spacing w:after="0" w:line="240" w:lineRule="auto"/>
              <w:jc w:val="left"/>
            </w:pPr>
            <w:r>
              <w:t>Information seeking and information management skills</w:t>
            </w:r>
          </w:p>
          <w:p w14:paraId="51CDF52A" w14:textId="77777777" w:rsidR="00293FC1" w:rsidRPr="007E5B70" w:rsidRDefault="00293FC1" w:rsidP="00293FC1">
            <w:pPr>
              <w:numPr>
                <w:ilvl w:val="0"/>
                <w:numId w:val="35"/>
              </w:numPr>
              <w:spacing w:after="0" w:line="240" w:lineRule="auto"/>
              <w:jc w:val="left"/>
            </w:pPr>
            <w:r w:rsidRPr="007E5B70">
              <w:t>A</w:t>
            </w:r>
            <w:r>
              <w:t>cademic literacy and numeracy</w:t>
            </w:r>
          </w:p>
        </w:tc>
        <w:tc>
          <w:tcPr>
            <w:tcW w:w="5284" w:type="dxa"/>
            <w:gridSpan w:val="3"/>
            <w:shd w:val="clear" w:color="auto" w:fill="auto"/>
          </w:tcPr>
          <w:p w14:paraId="654325A5" w14:textId="77777777" w:rsidR="00293FC1" w:rsidRDefault="00293FC1" w:rsidP="00293FC1">
            <w:pPr>
              <w:numPr>
                <w:ilvl w:val="0"/>
                <w:numId w:val="35"/>
              </w:numPr>
              <w:spacing w:after="0" w:line="240" w:lineRule="auto"/>
              <w:jc w:val="left"/>
            </w:pPr>
            <w:r>
              <w:t>I have developed knowledge in the Supply Chain Management (SCM) discipline through my previous study and work experiences. During the past year I have identified the most prominent researchers in the SCM field, with a particular attention to those who concentrate their research on sustainability issues or to SCM issues in a CE context. Keeping up with the emerging research and trend, related with my research problem and discipline is a priority of the next years. Being updated with what is happening in the industrial practice is also a priority;</w:t>
            </w:r>
          </w:p>
          <w:p w14:paraId="5C081F87" w14:textId="77777777" w:rsidR="00293FC1" w:rsidRDefault="00293FC1" w:rsidP="00293FC1">
            <w:pPr>
              <w:numPr>
                <w:ilvl w:val="0"/>
                <w:numId w:val="35"/>
              </w:numPr>
              <w:spacing w:after="0" w:line="240" w:lineRule="auto"/>
              <w:jc w:val="left"/>
            </w:pPr>
            <w:r>
              <w:t xml:space="preserve">During the past year I have applied myself in a couple of literature reviews: I spent some months analysing how the transition towards the CE is measured at the supply chain level. For my Confirmation Review documents I critically reviewed the literature on the drivers and the supply chain mechanisms behind the adoption of practices; I want to further develop my understanding of literature review, </w:t>
            </w:r>
            <w:r w:rsidRPr="00865E9B">
              <w:t xml:space="preserve">research design,  </w:t>
            </w:r>
            <w:r>
              <w:t>theory testing and building, case study building and qualitative research methods;</w:t>
            </w:r>
          </w:p>
          <w:p w14:paraId="3EAE7029" w14:textId="77777777" w:rsidR="00293FC1" w:rsidRDefault="00293FC1" w:rsidP="00293FC1">
            <w:pPr>
              <w:numPr>
                <w:ilvl w:val="0"/>
                <w:numId w:val="35"/>
              </w:numPr>
              <w:spacing w:after="0" w:line="240" w:lineRule="auto"/>
              <w:jc w:val="left"/>
            </w:pPr>
            <w:r>
              <w:t xml:space="preserve">I improved my ability to analyse and codify text from company reports to extract information related to my research problem. A priority is to explore how and to what extent this process could be </w:t>
            </w:r>
            <w:proofErr w:type="spellStart"/>
            <w:r>
              <w:t>automathised</w:t>
            </w:r>
            <w:proofErr w:type="spellEnd"/>
            <w:r>
              <w:t xml:space="preserve"> thanks to text mining </w:t>
            </w:r>
            <w:proofErr w:type="spellStart"/>
            <w:r>
              <w:t>softwares</w:t>
            </w:r>
            <w:proofErr w:type="spellEnd"/>
            <w:r>
              <w:t>;</w:t>
            </w:r>
          </w:p>
          <w:p w14:paraId="4511A0DF" w14:textId="77777777" w:rsidR="00293FC1" w:rsidRDefault="00293FC1" w:rsidP="00293FC1">
            <w:pPr>
              <w:numPr>
                <w:ilvl w:val="0"/>
                <w:numId w:val="35"/>
              </w:numPr>
              <w:spacing w:after="0" w:line="240" w:lineRule="auto"/>
              <w:jc w:val="left"/>
            </w:pPr>
            <w:r>
              <w:t xml:space="preserve">I have developed my knowledge in the Circular Economy field of study through individual study. In the last year, I had the possibility to open an on-going discussion with the fellow ESR in the ReTraCE project I am improving my knowledge, particularly considering the different level of </w:t>
            </w:r>
            <w:proofErr w:type="spellStart"/>
            <w:r>
              <w:t>analuysis</w:t>
            </w:r>
            <w:proofErr w:type="spellEnd"/>
            <w:r>
              <w:t xml:space="preserve">, and the different perspectives (e.g. natural capitalism, environmental or ecological economics, </w:t>
            </w:r>
            <w:proofErr w:type="spellStart"/>
            <w:r>
              <w:t>degrowth</w:t>
            </w:r>
            <w:proofErr w:type="spellEnd"/>
            <w:r>
              <w:t xml:space="preserve">). </w:t>
            </w:r>
          </w:p>
          <w:p w14:paraId="50556BE5" w14:textId="77777777" w:rsidR="00293FC1" w:rsidRDefault="00293FC1" w:rsidP="00293FC1">
            <w:pPr>
              <w:numPr>
                <w:ilvl w:val="0"/>
                <w:numId w:val="35"/>
              </w:numPr>
              <w:spacing w:after="0" w:line="240" w:lineRule="auto"/>
              <w:jc w:val="left"/>
            </w:pPr>
            <w:r>
              <w:t xml:space="preserve">I have a good understanding of information seeking and information literacy from previous experiences. I improved my knowledge of reference management </w:t>
            </w:r>
            <w:proofErr w:type="spellStart"/>
            <w:r>
              <w:t>softwares</w:t>
            </w:r>
            <w:proofErr w:type="spellEnd"/>
            <w:r>
              <w:t>;</w:t>
            </w:r>
          </w:p>
          <w:p w14:paraId="781904B5" w14:textId="77777777" w:rsidR="00293FC1" w:rsidRDefault="00293FC1" w:rsidP="00293FC1">
            <w:pPr>
              <w:numPr>
                <w:ilvl w:val="0"/>
                <w:numId w:val="35"/>
              </w:numPr>
              <w:spacing w:after="0" w:line="240" w:lineRule="auto"/>
              <w:jc w:val="left"/>
            </w:pPr>
            <w:r>
              <w:t>I am regularly following courses to improve my confidence and productivity in my scientific/technical writing;</w:t>
            </w:r>
          </w:p>
          <w:p w14:paraId="72D68FC2" w14:textId="77777777" w:rsidR="00293FC1" w:rsidRDefault="00293FC1" w:rsidP="00293FC1">
            <w:pPr>
              <w:numPr>
                <w:ilvl w:val="0"/>
                <w:numId w:val="35"/>
              </w:numPr>
              <w:spacing w:after="0" w:line="240" w:lineRule="auto"/>
              <w:jc w:val="left"/>
            </w:pPr>
            <w:r>
              <w:lastRenderedPageBreak/>
              <w:t>During the first semester, I attended Econometric methods module (</w:t>
            </w:r>
            <w:r w:rsidRPr="009543F0">
              <w:t>Module code: ECN6540</w:t>
            </w:r>
            <w:r>
              <w:t xml:space="preserve">); I want to improve my knowledge of Multivariate Statistics, and of </w:t>
            </w:r>
            <w:proofErr w:type="spellStart"/>
            <w:r>
              <w:t>softwares</w:t>
            </w:r>
            <w:proofErr w:type="spellEnd"/>
            <w:r>
              <w:t xml:space="preserve"> used to do these analysis;</w:t>
            </w:r>
          </w:p>
          <w:p w14:paraId="2C55F6FF" w14:textId="77777777" w:rsidR="00293FC1" w:rsidRDefault="00293FC1" w:rsidP="00293FC1">
            <w:pPr>
              <w:numPr>
                <w:ilvl w:val="0"/>
                <w:numId w:val="35"/>
              </w:numPr>
              <w:spacing w:after="0" w:line="240" w:lineRule="auto"/>
              <w:jc w:val="left"/>
            </w:pPr>
            <w:r>
              <w:t xml:space="preserve">I started to improve my knowledge of the most important theories that can be used in management studies. A priority is to going into depth with the most relevant ones for my research and apply them. </w:t>
            </w:r>
          </w:p>
          <w:p w14:paraId="78F14F4D" w14:textId="77777777" w:rsidR="00293FC1" w:rsidRPr="007E5B70" w:rsidRDefault="00293FC1" w:rsidP="00293FC1">
            <w:pPr>
              <w:numPr>
                <w:ilvl w:val="0"/>
                <w:numId w:val="35"/>
              </w:numPr>
              <w:spacing w:after="0" w:line="240" w:lineRule="auto"/>
              <w:jc w:val="left"/>
            </w:pPr>
            <w:r>
              <w:t>I do not have a significant experience in qualitative research. I would like to reach proficiency in the use of qualitative analysis packages;</w:t>
            </w:r>
          </w:p>
        </w:tc>
        <w:tc>
          <w:tcPr>
            <w:tcW w:w="4683" w:type="dxa"/>
            <w:shd w:val="clear" w:color="auto" w:fill="auto"/>
          </w:tcPr>
          <w:p w14:paraId="5C7C45CA" w14:textId="77777777" w:rsidR="00293FC1" w:rsidRDefault="00293FC1" w:rsidP="00293FC1">
            <w:pPr>
              <w:numPr>
                <w:ilvl w:val="0"/>
                <w:numId w:val="35"/>
              </w:numPr>
              <w:spacing w:after="0" w:line="240" w:lineRule="auto"/>
              <w:jc w:val="left"/>
            </w:pPr>
            <w:r>
              <w:lastRenderedPageBreak/>
              <w:t xml:space="preserve">Attend a session text mining software </w:t>
            </w:r>
          </w:p>
          <w:p w14:paraId="268E4A4C" w14:textId="77777777" w:rsidR="00293FC1" w:rsidRDefault="00293FC1" w:rsidP="00293FC1">
            <w:pPr>
              <w:numPr>
                <w:ilvl w:val="0"/>
                <w:numId w:val="35"/>
              </w:numPr>
              <w:spacing w:after="0" w:line="240" w:lineRule="auto"/>
              <w:jc w:val="left"/>
            </w:pPr>
            <w:r>
              <w:t>Attend multivariate statistics session or course</w:t>
            </w:r>
          </w:p>
          <w:p w14:paraId="3BC51F60" w14:textId="77777777" w:rsidR="00293FC1" w:rsidRDefault="00293FC1" w:rsidP="00293FC1">
            <w:pPr>
              <w:numPr>
                <w:ilvl w:val="0"/>
                <w:numId w:val="35"/>
              </w:numPr>
              <w:spacing w:after="0" w:line="240" w:lineRule="auto"/>
              <w:jc w:val="left"/>
            </w:pPr>
            <w:r>
              <w:t>Attend statistics workshops software</w:t>
            </w:r>
          </w:p>
          <w:p w14:paraId="14517095" w14:textId="77777777" w:rsidR="00293FC1" w:rsidRDefault="00293FC1" w:rsidP="00293FC1">
            <w:pPr>
              <w:numPr>
                <w:ilvl w:val="0"/>
                <w:numId w:val="35"/>
              </w:numPr>
              <w:spacing w:after="0" w:line="240" w:lineRule="auto"/>
              <w:jc w:val="left"/>
            </w:pPr>
            <w:r>
              <w:t>Attend writing classes offered by UoS;</w:t>
            </w:r>
          </w:p>
          <w:p w14:paraId="1358BB47" w14:textId="77777777" w:rsidR="00293FC1" w:rsidRDefault="00293FC1" w:rsidP="00293FC1">
            <w:pPr>
              <w:numPr>
                <w:ilvl w:val="0"/>
                <w:numId w:val="35"/>
              </w:numPr>
              <w:spacing w:after="0" w:line="240" w:lineRule="auto"/>
              <w:jc w:val="left"/>
            </w:pPr>
            <w:r>
              <w:t xml:space="preserve">Attend </w:t>
            </w:r>
            <w:r w:rsidRPr="009543F0">
              <w:t>SUMS Statistics Workshops</w:t>
            </w:r>
            <w:r>
              <w:t xml:space="preserve"> in January</w:t>
            </w:r>
          </w:p>
          <w:p w14:paraId="4E1560A5" w14:textId="77777777" w:rsidR="00293FC1" w:rsidRDefault="00293FC1" w:rsidP="00293FC1">
            <w:pPr>
              <w:numPr>
                <w:ilvl w:val="0"/>
                <w:numId w:val="35"/>
              </w:numPr>
              <w:spacing w:after="0" w:line="240" w:lineRule="auto"/>
              <w:jc w:val="left"/>
            </w:pPr>
            <w:r>
              <w:t>Follow online courses on environmental economics (</w:t>
            </w:r>
            <w:r w:rsidRPr="008C7CD0">
              <w:t>Introduction to Sustainability</w:t>
            </w:r>
            <w:r>
              <w:t xml:space="preserve"> on Coursera; Valuing Nature University of Exeter on </w:t>
            </w:r>
            <w:proofErr w:type="spellStart"/>
            <w:r>
              <w:t>Futurelearn</w:t>
            </w:r>
            <w:proofErr w:type="spellEnd"/>
            <w:r>
              <w:t>);</w:t>
            </w:r>
          </w:p>
          <w:p w14:paraId="25296938" w14:textId="77777777" w:rsidR="00293FC1" w:rsidRDefault="00293FC1" w:rsidP="00293FC1">
            <w:pPr>
              <w:numPr>
                <w:ilvl w:val="0"/>
                <w:numId w:val="35"/>
              </w:numPr>
              <w:spacing w:after="0" w:line="240" w:lineRule="auto"/>
              <w:jc w:val="left"/>
            </w:pPr>
            <w:r>
              <w:t xml:space="preserve">Individual study of ecological economics subject (An Introduction on Ecological Economics by Robert </w:t>
            </w:r>
            <w:proofErr w:type="spellStart"/>
            <w:r>
              <w:t>Costanza</w:t>
            </w:r>
            <w:proofErr w:type="spellEnd"/>
            <w:r>
              <w:t xml:space="preserve"> et al.);</w:t>
            </w:r>
          </w:p>
          <w:p w14:paraId="40B64390" w14:textId="77777777" w:rsidR="00293FC1" w:rsidRDefault="00293FC1" w:rsidP="00293FC1">
            <w:pPr>
              <w:numPr>
                <w:ilvl w:val="0"/>
                <w:numId w:val="35"/>
              </w:numPr>
              <w:spacing w:after="0" w:line="240" w:lineRule="auto"/>
              <w:jc w:val="left"/>
            </w:pPr>
            <w:r>
              <w:t>Attend ReTraCE Network School events (December 2020);</w:t>
            </w:r>
          </w:p>
          <w:p w14:paraId="2B4ACA53" w14:textId="77777777" w:rsidR="00293FC1" w:rsidRDefault="00293FC1" w:rsidP="00293FC1">
            <w:pPr>
              <w:numPr>
                <w:ilvl w:val="0"/>
                <w:numId w:val="35"/>
              </w:numPr>
              <w:spacing w:after="0" w:line="240" w:lineRule="auto"/>
              <w:jc w:val="left"/>
            </w:pPr>
            <w:r>
              <w:t>Attend modules on scientific/technical writing (i.e. ELT 6050 and ELT 6051 offered by UoS);</w:t>
            </w:r>
          </w:p>
          <w:p w14:paraId="6F4091EA" w14:textId="77777777" w:rsidR="00293FC1" w:rsidRDefault="00293FC1" w:rsidP="00293FC1">
            <w:pPr>
              <w:numPr>
                <w:ilvl w:val="0"/>
                <w:numId w:val="35"/>
              </w:numPr>
              <w:spacing w:after="0" w:line="240" w:lineRule="auto"/>
              <w:jc w:val="left"/>
            </w:pPr>
            <w:r>
              <w:t xml:space="preserve">Attend First Steps with </w:t>
            </w:r>
            <w:proofErr w:type="spellStart"/>
            <w:r>
              <w:t>Nvivo</w:t>
            </w:r>
            <w:proofErr w:type="spellEnd"/>
          </w:p>
          <w:p w14:paraId="1B2AADF4" w14:textId="77777777" w:rsidR="00293FC1" w:rsidRDefault="00293FC1" w:rsidP="00293FC1">
            <w:pPr>
              <w:numPr>
                <w:ilvl w:val="0"/>
                <w:numId w:val="35"/>
              </w:numPr>
              <w:spacing w:after="0" w:line="240" w:lineRule="auto"/>
              <w:jc w:val="left"/>
            </w:pPr>
            <w:r>
              <w:t xml:space="preserve">Attend Next steps with </w:t>
            </w:r>
            <w:proofErr w:type="spellStart"/>
            <w:r>
              <w:t>Nvivo</w:t>
            </w:r>
            <w:proofErr w:type="spellEnd"/>
          </w:p>
          <w:p w14:paraId="4F602B81" w14:textId="77777777" w:rsidR="00293FC1" w:rsidRDefault="00293FC1" w:rsidP="00293FC1">
            <w:pPr>
              <w:numPr>
                <w:ilvl w:val="0"/>
                <w:numId w:val="35"/>
              </w:numPr>
              <w:spacing w:after="0" w:line="240" w:lineRule="auto"/>
              <w:jc w:val="left"/>
            </w:pPr>
            <w:r>
              <w:t>Attend Getting data into SPSS</w:t>
            </w:r>
          </w:p>
          <w:p w14:paraId="3771C0BE" w14:textId="77777777" w:rsidR="00293FC1" w:rsidRDefault="00293FC1" w:rsidP="00293FC1">
            <w:pPr>
              <w:numPr>
                <w:ilvl w:val="0"/>
                <w:numId w:val="35"/>
              </w:numPr>
              <w:spacing w:after="0" w:line="240" w:lineRule="auto"/>
              <w:jc w:val="left"/>
            </w:pPr>
            <w:r>
              <w:t>Attend Going Further with SPSS</w:t>
            </w:r>
          </w:p>
          <w:p w14:paraId="21FBFA70" w14:textId="77777777" w:rsidR="00293FC1" w:rsidRPr="007E5B70" w:rsidRDefault="00293FC1" w:rsidP="00293FC1">
            <w:pPr>
              <w:numPr>
                <w:ilvl w:val="0"/>
                <w:numId w:val="35"/>
              </w:numPr>
              <w:spacing w:after="0" w:line="240" w:lineRule="auto"/>
              <w:jc w:val="left"/>
            </w:pPr>
            <w:r>
              <w:t xml:space="preserve">Attend </w:t>
            </w:r>
            <w:r w:rsidRPr="00E759A5">
              <w:t>Beyond the Impact Factor: using metrics to help identify highly-cited and highly-discussed research</w:t>
            </w:r>
            <w:r>
              <w:t xml:space="preserve"> </w:t>
            </w:r>
          </w:p>
        </w:tc>
      </w:tr>
      <w:tr w:rsidR="00293FC1" w:rsidRPr="007E5B70" w14:paraId="53AF7DFD" w14:textId="77777777" w:rsidTr="007B6F6D">
        <w:trPr>
          <w:trHeight w:val="491"/>
          <w:jc w:val="center"/>
        </w:trPr>
        <w:tc>
          <w:tcPr>
            <w:tcW w:w="4801" w:type="dxa"/>
            <w:shd w:val="clear" w:color="auto" w:fill="auto"/>
            <w:vAlign w:val="center"/>
          </w:tcPr>
          <w:p w14:paraId="14E4AD0A" w14:textId="77777777" w:rsidR="00293FC1" w:rsidRPr="007E5B70" w:rsidRDefault="00293FC1" w:rsidP="007B6F6D">
            <w:pPr>
              <w:spacing w:after="0" w:line="240" w:lineRule="auto"/>
            </w:pPr>
            <w:r w:rsidRPr="007E5B70">
              <w:rPr>
                <w:b/>
              </w:rPr>
              <w:t>Cognitive abilities (A2)</w:t>
            </w:r>
            <w:r w:rsidRPr="007E5B70">
              <w:rPr>
                <w:b/>
              </w:rPr>
              <w:br/>
            </w:r>
            <w:r w:rsidRPr="007E5B70">
              <w:rPr>
                <w:i/>
                <w:iCs/>
              </w:rPr>
              <w:t>Including:</w:t>
            </w:r>
          </w:p>
          <w:p w14:paraId="23CF1FD1" w14:textId="77777777" w:rsidR="00293FC1" w:rsidRPr="007E5B70" w:rsidRDefault="00293FC1" w:rsidP="00293FC1">
            <w:pPr>
              <w:numPr>
                <w:ilvl w:val="0"/>
                <w:numId w:val="36"/>
              </w:numPr>
              <w:spacing w:after="0" w:line="240" w:lineRule="auto"/>
              <w:jc w:val="left"/>
            </w:pPr>
            <w:r>
              <w:t>Analysing</w:t>
            </w:r>
          </w:p>
          <w:p w14:paraId="5C045DD4" w14:textId="77777777" w:rsidR="00293FC1" w:rsidRDefault="00293FC1" w:rsidP="00293FC1">
            <w:pPr>
              <w:numPr>
                <w:ilvl w:val="0"/>
                <w:numId w:val="36"/>
              </w:numPr>
              <w:spacing w:after="0" w:line="240" w:lineRule="auto"/>
              <w:jc w:val="left"/>
            </w:pPr>
            <w:r>
              <w:t>Synthesising knowledge</w:t>
            </w:r>
          </w:p>
          <w:p w14:paraId="2E90841B" w14:textId="77777777" w:rsidR="00293FC1" w:rsidRPr="007E5B70" w:rsidRDefault="00293FC1" w:rsidP="00293FC1">
            <w:pPr>
              <w:numPr>
                <w:ilvl w:val="0"/>
                <w:numId w:val="36"/>
              </w:numPr>
              <w:spacing w:after="0" w:line="240" w:lineRule="auto"/>
              <w:jc w:val="left"/>
            </w:pPr>
            <w:r>
              <w:t>Critical thinking</w:t>
            </w:r>
          </w:p>
        </w:tc>
        <w:tc>
          <w:tcPr>
            <w:tcW w:w="5284" w:type="dxa"/>
            <w:gridSpan w:val="3"/>
            <w:shd w:val="clear" w:color="auto" w:fill="auto"/>
          </w:tcPr>
          <w:p w14:paraId="7928BD79" w14:textId="77777777" w:rsidR="00293FC1" w:rsidRDefault="00293FC1" w:rsidP="00293FC1">
            <w:pPr>
              <w:numPr>
                <w:ilvl w:val="0"/>
                <w:numId w:val="36"/>
              </w:numPr>
              <w:spacing w:after="0" w:line="240" w:lineRule="auto"/>
              <w:jc w:val="left"/>
            </w:pPr>
            <w:r>
              <w:t xml:space="preserve">I am regularly participating to events, conferences (inside and outside the ReTraCE network) giving presentations and listening to other researchers presentation; this is helping me to improve my ability of analysing and thinking critically of mine and of their datasets, methods, and results; </w:t>
            </w:r>
          </w:p>
          <w:p w14:paraId="2AF9B79B" w14:textId="77777777" w:rsidR="00293FC1" w:rsidRDefault="00293FC1" w:rsidP="00293FC1">
            <w:pPr>
              <w:numPr>
                <w:ilvl w:val="0"/>
                <w:numId w:val="36"/>
              </w:numPr>
              <w:spacing w:after="0" w:line="240" w:lineRule="auto"/>
              <w:jc w:val="left"/>
            </w:pPr>
            <w:r>
              <w:t xml:space="preserve">I am gradually building up synthesis skills and linking my research problem with existing research, disciplines and ideas. A priority is to </w:t>
            </w:r>
            <w:proofErr w:type="spellStart"/>
            <w:r>
              <w:t>synthetise</w:t>
            </w:r>
            <w:proofErr w:type="spellEnd"/>
            <w:r>
              <w:t xml:space="preserve"> the connection of my research with all the other research fields (e.g. economics, management, environmental economics, ecological economics)</w:t>
            </w:r>
          </w:p>
          <w:p w14:paraId="49057778" w14:textId="77777777" w:rsidR="00293FC1" w:rsidRPr="007E5B70" w:rsidRDefault="00293FC1" w:rsidP="00293FC1">
            <w:pPr>
              <w:numPr>
                <w:ilvl w:val="0"/>
                <w:numId w:val="36"/>
              </w:numPr>
              <w:spacing w:after="0" w:line="240" w:lineRule="auto"/>
              <w:jc w:val="left"/>
            </w:pPr>
            <w:r>
              <w:t xml:space="preserve">Being at the beginning of my path I could improve my critical thinking, how to develop my own arguments, connect different ideas and looking at the same problem with different theoretical perspectives. </w:t>
            </w:r>
          </w:p>
        </w:tc>
        <w:tc>
          <w:tcPr>
            <w:tcW w:w="4683" w:type="dxa"/>
            <w:shd w:val="clear" w:color="auto" w:fill="auto"/>
          </w:tcPr>
          <w:p w14:paraId="71C51F57" w14:textId="77777777" w:rsidR="00293FC1" w:rsidRPr="00732047" w:rsidRDefault="00293FC1" w:rsidP="00293FC1">
            <w:pPr>
              <w:numPr>
                <w:ilvl w:val="0"/>
                <w:numId w:val="36"/>
              </w:numPr>
              <w:spacing w:after="0" w:line="240" w:lineRule="auto"/>
              <w:jc w:val="left"/>
            </w:pPr>
            <w:r w:rsidRPr="00732047">
              <w:t>Attend training sessions on qualitative analysis research methods</w:t>
            </w:r>
          </w:p>
          <w:p w14:paraId="32504A43" w14:textId="77777777" w:rsidR="00293FC1" w:rsidRPr="00732047" w:rsidRDefault="00293FC1" w:rsidP="00293FC1">
            <w:pPr>
              <w:numPr>
                <w:ilvl w:val="0"/>
                <w:numId w:val="36"/>
              </w:numPr>
              <w:spacing w:after="0" w:line="240" w:lineRule="auto"/>
              <w:jc w:val="left"/>
            </w:pPr>
            <w:r w:rsidRPr="00732047">
              <w:t xml:space="preserve">Build a summary presentation, which synthesises the interlinks with other disciplines, and existing research streams </w:t>
            </w:r>
          </w:p>
          <w:p w14:paraId="4D3DB758" w14:textId="77777777" w:rsidR="00293FC1" w:rsidRPr="00732047" w:rsidRDefault="00293FC1" w:rsidP="00293FC1">
            <w:pPr>
              <w:numPr>
                <w:ilvl w:val="0"/>
                <w:numId w:val="36"/>
              </w:numPr>
              <w:spacing w:after="0" w:line="240" w:lineRule="auto"/>
              <w:jc w:val="left"/>
            </w:pPr>
            <w:r w:rsidRPr="00732047">
              <w:t>Attend workshop on Critical thinking and Writing organised by 301 Academic Skills Centre</w:t>
            </w:r>
            <w:r>
              <w:t>.</w:t>
            </w:r>
          </w:p>
        </w:tc>
      </w:tr>
      <w:tr w:rsidR="00293FC1" w:rsidRPr="007E5B70" w14:paraId="1772EBD6" w14:textId="77777777" w:rsidTr="007B6F6D">
        <w:trPr>
          <w:trHeight w:val="491"/>
          <w:jc w:val="center"/>
        </w:trPr>
        <w:tc>
          <w:tcPr>
            <w:tcW w:w="4801" w:type="dxa"/>
            <w:shd w:val="clear" w:color="auto" w:fill="auto"/>
            <w:vAlign w:val="center"/>
          </w:tcPr>
          <w:p w14:paraId="0E8136A5" w14:textId="77777777" w:rsidR="00293FC1" w:rsidRPr="007E5B70" w:rsidRDefault="00293FC1" w:rsidP="007B6F6D">
            <w:pPr>
              <w:spacing w:after="0" w:line="240" w:lineRule="auto"/>
            </w:pPr>
            <w:r w:rsidRPr="007E5B70">
              <w:rPr>
                <w:b/>
              </w:rPr>
              <w:t>Creativity (A3)</w:t>
            </w:r>
            <w:r w:rsidRPr="007E5B70">
              <w:t xml:space="preserve"> </w:t>
            </w:r>
          </w:p>
          <w:p w14:paraId="0E1A025B" w14:textId="77777777" w:rsidR="00293FC1" w:rsidRPr="007E5B70" w:rsidRDefault="00293FC1" w:rsidP="007B6F6D">
            <w:pPr>
              <w:spacing w:after="0" w:line="240" w:lineRule="auto"/>
              <w:rPr>
                <w:i/>
                <w:iCs/>
              </w:rPr>
            </w:pPr>
            <w:r w:rsidRPr="007E5B70">
              <w:rPr>
                <w:i/>
                <w:iCs/>
              </w:rPr>
              <w:t>Including:</w:t>
            </w:r>
          </w:p>
          <w:p w14:paraId="16D90932" w14:textId="77777777" w:rsidR="00293FC1" w:rsidRPr="003E0B3F" w:rsidRDefault="00293FC1" w:rsidP="00293FC1">
            <w:pPr>
              <w:numPr>
                <w:ilvl w:val="0"/>
                <w:numId w:val="27"/>
              </w:numPr>
              <w:spacing w:after="0" w:line="240" w:lineRule="auto"/>
              <w:ind w:left="360"/>
              <w:jc w:val="left"/>
            </w:pPr>
            <w:r w:rsidRPr="003E0B3F">
              <w:t>Intellectual insight</w:t>
            </w:r>
          </w:p>
          <w:p w14:paraId="1F42761E" w14:textId="77777777" w:rsidR="00293FC1" w:rsidRPr="003E0B3F" w:rsidRDefault="00293FC1" w:rsidP="00293FC1">
            <w:pPr>
              <w:numPr>
                <w:ilvl w:val="0"/>
                <w:numId w:val="27"/>
              </w:numPr>
              <w:spacing w:after="0" w:line="240" w:lineRule="auto"/>
              <w:ind w:left="360"/>
              <w:jc w:val="left"/>
            </w:pPr>
            <w:r w:rsidRPr="003E0B3F">
              <w:t>Innovation</w:t>
            </w:r>
          </w:p>
          <w:p w14:paraId="53BA2428" w14:textId="77777777" w:rsidR="00293FC1" w:rsidRPr="00DC4AFE" w:rsidRDefault="00293FC1" w:rsidP="00293FC1">
            <w:pPr>
              <w:numPr>
                <w:ilvl w:val="0"/>
                <w:numId w:val="27"/>
              </w:numPr>
              <w:spacing w:after="0" w:line="240" w:lineRule="auto"/>
              <w:ind w:left="360"/>
              <w:jc w:val="left"/>
            </w:pPr>
            <w:r w:rsidRPr="00DC4AFE">
              <w:t>Argument Construction</w:t>
            </w:r>
          </w:p>
        </w:tc>
        <w:tc>
          <w:tcPr>
            <w:tcW w:w="5284" w:type="dxa"/>
            <w:gridSpan w:val="3"/>
            <w:shd w:val="clear" w:color="auto" w:fill="auto"/>
          </w:tcPr>
          <w:p w14:paraId="2709E268" w14:textId="77777777" w:rsidR="00293FC1" w:rsidRDefault="00293FC1" w:rsidP="00293FC1">
            <w:pPr>
              <w:numPr>
                <w:ilvl w:val="0"/>
                <w:numId w:val="36"/>
              </w:numPr>
              <w:spacing w:after="0" w:line="240" w:lineRule="auto"/>
              <w:jc w:val="left"/>
            </w:pPr>
            <w:r>
              <w:t xml:space="preserve">Being part of the ReTraCE project allows me to get insights, identify potential areas of interest and explore new ideas. I am discussing often with the other 14 ESRs and with my supervisor. </w:t>
            </w:r>
          </w:p>
          <w:p w14:paraId="413F7B62" w14:textId="77777777" w:rsidR="00293FC1" w:rsidRDefault="00293FC1" w:rsidP="00293FC1">
            <w:pPr>
              <w:numPr>
                <w:ilvl w:val="0"/>
                <w:numId w:val="36"/>
              </w:numPr>
              <w:spacing w:after="0" w:line="240" w:lineRule="auto"/>
              <w:jc w:val="left"/>
            </w:pPr>
            <w:r>
              <w:t xml:space="preserve">My background and experience is mostly related to Supply Chain Management domain. For this reason I need to explore more in the detail and get in touch with more general economic and environmental perspectives. </w:t>
            </w:r>
          </w:p>
          <w:p w14:paraId="3B6D4302" w14:textId="77777777" w:rsidR="00293FC1" w:rsidRDefault="00293FC1" w:rsidP="00293FC1">
            <w:pPr>
              <w:numPr>
                <w:ilvl w:val="0"/>
                <w:numId w:val="36"/>
              </w:numPr>
              <w:spacing w:after="0" w:line="240" w:lineRule="auto"/>
              <w:jc w:val="left"/>
            </w:pPr>
            <w:r>
              <w:t>I took part to two reading groups (on political ecology in the Political Science School, on Sustainable Development Goals (SDGs) in SUMS).</w:t>
            </w:r>
          </w:p>
          <w:p w14:paraId="69B0667C" w14:textId="77777777" w:rsidR="00293FC1" w:rsidRPr="007E5B70" w:rsidRDefault="00293FC1" w:rsidP="007B6F6D">
            <w:pPr>
              <w:spacing w:after="0" w:line="240" w:lineRule="auto"/>
            </w:pPr>
          </w:p>
        </w:tc>
        <w:tc>
          <w:tcPr>
            <w:tcW w:w="4683" w:type="dxa"/>
            <w:shd w:val="clear" w:color="auto" w:fill="auto"/>
          </w:tcPr>
          <w:p w14:paraId="2F589D2E" w14:textId="77777777" w:rsidR="00293FC1" w:rsidRDefault="00293FC1" w:rsidP="00293FC1">
            <w:pPr>
              <w:numPr>
                <w:ilvl w:val="0"/>
                <w:numId w:val="36"/>
              </w:numPr>
              <w:spacing w:after="0" w:line="240" w:lineRule="auto"/>
              <w:jc w:val="left"/>
            </w:pPr>
            <w:r>
              <w:t xml:space="preserve">Read newspapers and blogs on a weekly basis; </w:t>
            </w:r>
          </w:p>
          <w:p w14:paraId="7592CA65" w14:textId="77777777" w:rsidR="00293FC1" w:rsidRDefault="00293FC1" w:rsidP="00293FC1">
            <w:pPr>
              <w:numPr>
                <w:ilvl w:val="0"/>
                <w:numId w:val="36"/>
              </w:numPr>
              <w:spacing w:after="0" w:line="240" w:lineRule="auto"/>
              <w:jc w:val="left"/>
            </w:pPr>
            <w:r>
              <w:t>Participate to events and conferences organised by ODMS and SUMS (e.g. research presentations, workshops, reading groups);</w:t>
            </w:r>
          </w:p>
          <w:p w14:paraId="1B6B78FC" w14:textId="77777777" w:rsidR="00293FC1" w:rsidRDefault="00293FC1" w:rsidP="00293FC1">
            <w:pPr>
              <w:numPr>
                <w:ilvl w:val="0"/>
                <w:numId w:val="36"/>
              </w:numPr>
              <w:spacing w:after="0" w:line="240" w:lineRule="auto"/>
              <w:jc w:val="left"/>
            </w:pPr>
            <w:r>
              <w:t>Continue to engage with ReTraCE ESRs, in particular with WP1 ESRs (i.e. face-to-face meetings, monthly skype meetings);</w:t>
            </w:r>
          </w:p>
          <w:p w14:paraId="050D0B6E" w14:textId="77777777" w:rsidR="00293FC1" w:rsidRDefault="00293FC1" w:rsidP="00293FC1">
            <w:pPr>
              <w:numPr>
                <w:ilvl w:val="0"/>
                <w:numId w:val="36"/>
              </w:numPr>
              <w:spacing w:after="0" w:line="240" w:lineRule="auto"/>
              <w:jc w:val="left"/>
            </w:pPr>
            <w:r>
              <w:t>Keep building contacts in the UoS with both Professors and Researchers and engaging in fruitful discussions around my subject and other stimulating topics;</w:t>
            </w:r>
          </w:p>
          <w:p w14:paraId="607C310F" w14:textId="77777777" w:rsidR="00293FC1" w:rsidRPr="007E5B70" w:rsidRDefault="00293FC1" w:rsidP="00293FC1">
            <w:pPr>
              <w:numPr>
                <w:ilvl w:val="0"/>
                <w:numId w:val="36"/>
              </w:numPr>
              <w:spacing w:after="0" w:line="240" w:lineRule="auto"/>
              <w:jc w:val="left"/>
            </w:pPr>
            <w:r>
              <w:t xml:space="preserve">Participate and present my work in conferences to improve communication and argumentation skills; </w:t>
            </w:r>
          </w:p>
        </w:tc>
      </w:tr>
      <w:tr w:rsidR="00293FC1" w:rsidRPr="007E5B70" w14:paraId="4A62BA0D" w14:textId="77777777" w:rsidTr="007B6F6D">
        <w:trPr>
          <w:trHeight w:val="481"/>
          <w:jc w:val="center"/>
        </w:trPr>
        <w:tc>
          <w:tcPr>
            <w:tcW w:w="14768" w:type="dxa"/>
            <w:gridSpan w:val="5"/>
            <w:shd w:val="clear" w:color="auto" w:fill="E5DFEC"/>
            <w:vAlign w:val="center"/>
          </w:tcPr>
          <w:p w14:paraId="2ECE2CFC" w14:textId="77777777" w:rsidR="00293FC1" w:rsidRPr="007E5B70" w:rsidRDefault="00293FC1" w:rsidP="007B6F6D">
            <w:pPr>
              <w:spacing w:after="0" w:line="240" w:lineRule="auto"/>
              <w:rPr>
                <w:b/>
                <w:bCs/>
              </w:rPr>
            </w:pPr>
            <w:r w:rsidRPr="007E5B70">
              <w:rPr>
                <w:b/>
                <w:bCs/>
              </w:rPr>
              <w:t>RDF Domain B: Personal Effectiveness</w:t>
            </w:r>
          </w:p>
          <w:p w14:paraId="36A09AE3" w14:textId="77777777" w:rsidR="00293FC1" w:rsidRPr="007E5B70" w:rsidRDefault="00293FC1" w:rsidP="007B6F6D">
            <w:pPr>
              <w:spacing w:after="0" w:line="240" w:lineRule="auto"/>
            </w:pPr>
            <w:r w:rsidRPr="007E5B70">
              <w:rPr>
                <w:i/>
                <w:iCs/>
              </w:rPr>
              <w:t>the personal qualities and approach to be an effective researcher</w:t>
            </w:r>
          </w:p>
        </w:tc>
      </w:tr>
      <w:tr w:rsidR="00293FC1" w:rsidRPr="007E5B70" w14:paraId="6CF5E3C9" w14:textId="77777777" w:rsidTr="007B6F6D">
        <w:trPr>
          <w:jc w:val="center"/>
        </w:trPr>
        <w:tc>
          <w:tcPr>
            <w:tcW w:w="4801" w:type="dxa"/>
            <w:shd w:val="clear" w:color="auto" w:fill="auto"/>
          </w:tcPr>
          <w:p w14:paraId="4888586B" w14:textId="77777777" w:rsidR="00293FC1" w:rsidRPr="007E5B70" w:rsidRDefault="00293FC1" w:rsidP="007B6F6D">
            <w:pPr>
              <w:spacing w:after="0" w:line="240" w:lineRule="auto"/>
            </w:pPr>
          </w:p>
        </w:tc>
        <w:tc>
          <w:tcPr>
            <w:tcW w:w="5284" w:type="dxa"/>
            <w:gridSpan w:val="3"/>
            <w:shd w:val="clear" w:color="auto" w:fill="auto"/>
          </w:tcPr>
          <w:p w14:paraId="31B4D697" w14:textId="77777777" w:rsidR="00293FC1" w:rsidRPr="007E5B70" w:rsidRDefault="00293FC1" w:rsidP="007B6F6D">
            <w:pPr>
              <w:spacing w:after="0" w:line="240" w:lineRule="auto"/>
              <w:rPr>
                <w:b/>
                <w:bCs/>
              </w:rPr>
            </w:pPr>
            <w:r w:rsidRPr="007E5B70">
              <w:rPr>
                <w:b/>
                <w:bCs/>
              </w:rPr>
              <w:t xml:space="preserve">Reflection on your current ability/experience in this area and </w:t>
            </w:r>
            <w:r>
              <w:rPr>
                <w:b/>
                <w:bCs/>
              </w:rPr>
              <w:t>main priorities</w:t>
            </w:r>
            <w:r w:rsidRPr="007E5B70">
              <w:rPr>
                <w:b/>
                <w:bCs/>
              </w:rPr>
              <w:t xml:space="preserve"> for the coming year</w:t>
            </w:r>
          </w:p>
        </w:tc>
        <w:tc>
          <w:tcPr>
            <w:tcW w:w="4683" w:type="dxa"/>
            <w:shd w:val="clear" w:color="auto" w:fill="auto"/>
          </w:tcPr>
          <w:p w14:paraId="019930E8" w14:textId="77777777" w:rsidR="00293FC1" w:rsidRPr="007E5B70" w:rsidRDefault="00293FC1" w:rsidP="007B6F6D">
            <w:pPr>
              <w:spacing w:after="0" w:line="240" w:lineRule="auto"/>
              <w:rPr>
                <w:b/>
                <w:bCs/>
              </w:rPr>
            </w:pPr>
            <w:r>
              <w:rPr>
                <w:b/>
                <w:bCs/>
              </w:rPr>
              <w:t xml:space="preserve">Action to be taken to </w:t>
            </w:r>
            <w:r w:rsidRPr="007E5B70">
              <w:rPr>
                <w:b/>
                <w:bCs/>
              </w:rPr>
              <w:t>develop this area (if appropriate), agreed with you</w:t>
            </w:r>
            <w:r>
              <w:rPr>
                <w:b/>
                <w:bCs/>
              </w:rPr>
              <w:t>r</w:t>
            </w:r>
            <w:r w:rsidRPr="007E5B70">
              <w:rPr>
                <w:b/>
                <w:bCs/>
              </w:rPr>
              <w:t xml:space="preserve"> supervisor(s).</w:t>
            </w:r>
          </w:p>
        </w:tc>
      </w:tr>
      <w:tr w:rsidR="00293FC1" w:rsidRPr="007E5B70" w14:paraId="1728A32B" w14:textId="77777777" w:rsidTr="007B6F6D">
        <w:trPr>
          <w:trHeight w:val="435"/>
          <w:jc w:val="center"/>
        </w:trPr>
        <w:tc>
          <w:tcPr>
            <w:tcW w:w="4801" w:type="dxa"/>
            <w:shd w:val="clear" w:color="auto" w:fill="auto"/>
            <w:vAlign w:val="center"/>
          </w:tcPr>
          <w:p w14:paraId="30307601" w14:textId="77777777" w:rsidR="00293FC1" w:rsidRPr="007E5B70" w:rsidRDefault="00293FC1" w:rsidP="007B6F6D">
            <w:pPr>
              <w:spacing w:after="0" w:line="240" w:lineRule="auto"/>
              <w:rPr>
                <w:bCs/>
                <w:i/>
                <w:iCs/>
              </w:rPr>
            </w:pPr>
            <w:r w:rsidRPr="007E5B70">
              <w:rPr>
                <w:b/>
              </w:rPr>
              <w:t>Personal qualities (B1)</w:t>
            </w:r>
            <w:r w:rsidRPr="007E5B70">
              <w:rPr>
                <w:b/>
              </w:rPr>
              <w:br/>
            </w:r>
            <w:r>
              <w:rPr>
                <w:bCs/>
                <w:i/>
                <w:iCs/>
              </w:rPr>
              <w:t>I</w:t>
            </w:r>
            <w:r w:rsidRPr="007E5B70">
              <w:rPr>
                <w:bCs/>
                <w:i/>
                <w:iCs/>
              </w:rPr>
              <w:t>ncluding:</w:t>
            </w:r>
          </w:p>
          <w:p w14:paraId="4E2BDD9A" w14:textId="77777777" w:rsidR="00293FC1" w:rsidRPr="001B5F65" w:rsidRDefault="00293FC1" w:rsidP="00293FC1">
            <w:pPr>
              <w:numPr>
                <w:ilvl w:val="0"/>
                <w:numId w:val="26"/>
              </w:numPr>
              <w:spacing w:after="0" w:line="240" w:lineRule="auto"/>
              <w:jc w:val="left"/>
            </w:pPr>
            <w:r w:rsidRPr="001B5F65">
              <w:t>Resilience</w:t>
            </w:r>
          </w:p>
          <w:p w14:paraId="03E1439A" w14:textId="77777777" w:rsidR="00293FC1" w:rsidRPr="001B5F65" w:rsidRDefault="00293FC1" w:rsidP="00293FC1">
            <w:pPr>
              <w:numPr>
                <w:ilvl w:val="0"/>
                <w:numId w:val="26"/>
              </w:numPr>
              <w:spacing w:after="0" w:line="240" w:lineRule="auto"/>
              <w:jc w:val="left"/>
            </w:pPr>
            <w:r w:rsidRPr="001B5F65">
              <w:lastRenderedPageBreak/>
              <w:t>Self-confidence</w:t>
            </w:r>
          </w:p>
          <w:p w14:paraId="73EB1893" w14:textId="77777777" w:rsidR="00293FC1" w:rsidRPr="007E5B70" w:rsidRDefault="00293FC1" w:rsidP="00293FC1">
            <w:pPr>
              <w:numPr>
                <w:ilvl w:val="0"/>
                <w:numId w:val="26"/>
              </w:numPr>
              <w:spacing w:after="0" w:line="240" w:lineRule="auto"/>
              <w:jc w:val="left"/>
            </w:pPr>
            <w:r>
              <w:t>Integrity</w:t>
            </w:r>
          </w:p>
          <w:p w14:paraId="1D1AB0FF" w14:textId="77777777" w:rsidR="00293FC1" w:rsidRPr="007E5B70" w:rsidRDefault="00293FC1" w:rsidP="00293FC1">
            <w:pPr>
              <w:numPr>
                <w:ilvl w:val="0"/>
                <w:numId w:val="26"/>
              </w:numPr>
              <w:spacing w:after="0" w:line="240" w:lineRule="auto"/>
              <w:jc w:val="left"/>
            </w:pPr>
            <w:r>
              <w:t>Self-reflection</w:t>
            </w:r>
          </w:p>
        </w:tc>
        <w:tc>
          <w:tcPr>
            <w:tcW w:w="5284" w:type="dxa"/>
            <w:gridSpan w:val="3"/>
            <w:shd w:val="clear" w:color="auto" w:fill="auto"/>
          </w:tcPr>
          <w:p w14:paraId="2404E833" w14:textId="77777777" w:rsidR="00293FC1" w:rsidRDefault="00293FC1" w:rsidP="00293FC1">
            <w:pPr>
              <w:numPr>
                <w:ilvl w:val="0"/>
                <w:numId w:val="26"/>
              </w:numPr>
              <w:spacing w:after="0" w:line="240" w:lineRule="auto"/>
              <w:jc w:val="left"/>
            </w:pPr>
            <w:r>
              <w:lastRenderedPageBreak/>
              <w:t xml:space="preserve">In the past I have shown a very good resiliency dealing successfully with very different research and working and cultural environments; </w:t>
            </w:r>
          </w:p>
          <w:p w14:paraId="6B4CC3E4" w14:textId="77777777" w:rsidR="00293FC1" w:rsidRDefault="00293FC1" w:rsidP="00293FC1">
            <w:pPr>
              <w:numPr>
                <w:ilvl w:val="0"/>
                <w:numId w:val="26"/>
              </w:numPr>
              <w:spacing w:after="0" w:line="240" w:lineRule="auto"/>
              <w:jc w:val="left"/>
            </w:pPr>
            <w:r>
              <w:lastRenderedPageBreak/>
              <w:t xml:space="preserve">I’m a self-confident person, and I am aware both of areas of strength and of improvement;  </w:t>
            </w:r>
          </w:p>
          <w:p w14:paraId="7B03FA16" w14:textId="77777777" w:rsidR="00293FC1" w:rsidRDefault="00293FC1" w:rsidP="00293FC1">
            <w:pPr>
              <w:numPr>
                <w:ilvl w:val="0"/>
                <w:numId w:val="26"/>
              </w:numPr>
              <w:spacing w:after="0" w:line="240" w:lineRule="auto"/>
              <w:jc w:val="left"/>
            </w:pPr>
            <w:r>
              <w:t>I’ve completed trainings on research ethics and integrity, with which I was not very familiar. I am aware that I need to constantly reflect and integrate these principles within my research;</w:t>
            </w:r>
          </w:p>
          <w:p w14:paraId="629E0C5C" w14:textId="77777777" w:rsidR="00293FC1" w:rsidRPr="007E5B70" w:rsidRDefault="00293FC1" w:rsidP="00293FC1">
            <w:pPr>
              <w:numPr>
                <w:ilvl w:val="0"/>
                <w:numId w:val="26"/>
              </w:numPr>
              <w:spacing w:after="0" w:line="240" w:lineRule="auto"/>
              <w:jc w:val="left"/>
            </w:pPr>
            <w:r>
              <w:t xml:space="preserve">For the ReTraCE project, I am keeping track of all my activities in a diary. During the process of updating this diary I have the occasion to reflect on my progress towards deliverables. </w:t>
            </w:r>
          </w:p>
        </w:tc>
        <w:tc>
          <w:tcPr>
            <w:tcW w:w="4683" w:type="dxa"/>
            <w:shd w:val="clear" w:color="auto" w:fill="auto"/>
          </w:tcPr>
          <w:p w14:paraId="644D14B0" w14:textId="77777777" w:rsidR="00293FC1" w:rsidRDefault="00293FC1" w:rsidP="00293FC1">
            <w:pPr>
              <w:numPr>
                <w:ilvl w:val="0"/>
                <w:numId w:val="26"/>
              </w:numPr>
              <w:spacing w:after="0" w:line="240" w:lineRule="auto"/>
              <w:jc w:val="left"/>
            </w:pPr>
            <w:r>
              <w:lastRenderedPageBreak/>
              <w:t xml:space="preserve">Development of self-confidence: </w:t>
            </w:r>
          </w:p>
          <w:p w14:paraId="7C1F9A05" w14:textId="77777777" w:rsidR="00293FC1" w:rsidRDefault="00293FC1" w:rsidP="00293FC1">
            <w:pPr>
              <w:numPr>
                <w:ilvl w:val="1"/>
                <w:numId w:val="26"/>
              </w:numPr>
              <w:spacing w:after="0" w:line="240" w:lineRule="auto"/>
              <w:jc w:val="left"/>
            </w:pPr>
            <w:r>
              <w:lastRenderedPageBreak/>
              <w:t xml:space="preserve"> Through the process of working on my research (e.g. literature review will help closing my knowledge gap)</w:t>
            </w:r>
          </w:p>
          <w:p w14:paraId="6364BC35" w14:textId="77777777" w:rsidR="00293FC1" w:rsidRDefault="00293FC1" w:rsidP="00293FC1">
            <w:pPr>
              <w:numPr>
                <w:ilvl w:val="1"/>
                <w:numId w:val="26"/>
              </w:numPr>
              <w:spacing w:after="0" w:line="240" w:lineRule="auto"/>
              <w:jc w:val="left"/>
            </w:pPr>
            <w:r>
              <w:t>Presenting/discussing my PhD with fellow ESRs, PhD students;</w:t>
            </w:r>
          </w:p>
          <w:p w14:paraId="2A9529FA" w14:textId="77777777" w:rsidR="00293FC1" w:rsidRDefault="00293FC1" w:rsidP="00293FC1">
            <w:pPr>
              <w:numPr>
                <w:ilvl w:val="0"/>
                <w:numId w:val="26"/>
              </w:numPr>
              <w:spacing w:after="0" w:line="240" w:lineRule="auto"/>
              <w:jc w:val="left"/>
            </w:pPr>
            <w:r>
              <w:t>Keep updating ReTraCE diary on a weekly basis;</w:t>
            </w:r>
          </w:p>
          <w:p w14:paraId="377824CD" w14:textId="77777777" w:rsidR="00293FC1" w:rsidRPr="007E5B70" w:rsidRDefault="00293FC1" w:rsidP="00293FC1">
            <w:pPr>
              <w:numPr>
                <w:ilvl w:val="0"/>
                <w:numId w:val="26"/>
              </w:numPr>
              <w:spacing w:after="0" w:line="240" w:lineRule="auto"/>
              <w:jc w:val="left"/>
            </w:pPr>
            <w:r>
              <w:t xml:space="preserve">Keep reflecting and integrating ethics issues in my research.  </w:t>
            </w:r>
          </w:p>
        </w:tc>
      </w:tr>
      <w:tr w:rsidR="00293FC1" w:rsidRPr="007E5B70" w14:paraId="0E73000A" w14:textId="77777777" w:rsidTr="007B6F6D">
        <w:trPr>
          <w:trHeight w:val="435"/>
          <w:jc w:val="center"/>
        </w:trPr>
        <w:tc>
          <w:tcPr>
            <w:tcW w:w="4801" w:type="dxa"/>
            <w:shd w:val="clear" w:color="auto" w:fill="auto"/>
            <w:vAlign w:val="center"/>
          </w:tcPr>
          <w:p w14:paraId="0D08622B" w14:textId="77777777" w:rsidR="00293FC1" w:rsidRPr="007E5B70" w:rsidRDefault="00293FC1" w:rsidP="007B6F6D">
            <w:pPr>
              <w:spacing w:after="0" w:line="240" w:lineRule="auto"/>
              <w:rPr>
                <w:b/>
              </w:rPr>
            </w:pPr>
            <w:r>
              <w:rPr>
                <w:b/>
              </w:rPr>
              <w:lastRenderedPageBreak/>
              <w:t>S</w:t>
            </w:r>
            <w:r w:rsidRPr="007E5B70">
              <w:rPr>
                <w:b/>
              </w:rPr>
              <w:t>elf-management (B2)</w:t>
            </w:r>
          </w:p>
          <w:p w14:paraId="15AAD248" w14:textId="77777777" w:rsidR="00293FC1" w:rsidRPr="007E5B70" w:rsidRDefault="00293FC1" w:rsidP="007B6F6D">
            <w:pPr>
              <w:spacing w:after="0" w:line="240" w:lineRule="auto"/>
              <w:rPr>
                <w:bCs/>
                <w:i/>
                <w:iCs/>
              </w:rPr>
            </w:pPr>
            <w:r w:rsidRPr="007E5B70">
              <w:rPr>
                <w:bCs/>
                <w:i/>
                <w:iCs/>
              </w:rPr>
              <w:t>Including:</w:t>
            </w:r>
          </w:p>
          <w:p w14:paraId="5551D2A5" w14:textId="77777777" w:rsidR="00293FC1" w:rsidRPr="007E5B70" w:rsidRDefault="00293FC1" w:rsidP="00293FC1">
            <w:pPr>
              <w:numPr>
                <w:ilvl w:val="0"/>
                <w:numId w:val="29"/>
              </w:numPr>
              <w:spacing w:after="0" w:line="240" w:lineRule="auto"/>
              <w:jc w:val="left"/>
            </w:pPr>
            <w:r>
              <w:t>Time management</w:t>
            </w:r>
          </w:p>
          <w:p w14:paraId="3F0AF083" w14:textId="77777777" w:rsidR="00293FC1" w:rsidRPr="007E5B70" w:rsidRDefault="00293FC1" w:rsidP="00293FC1">
            <w:pPr>
              <w:numPr>
                <w:ilvl w:val="0"/>
                <w:numId w:val="28"/>
              </w:numPr>
              <w:spacing w:after="0" w:line="240" w:lineRule="auto"/>
              <w:jc w:val="left"/>
            </w:pPr>
            <w:r>
              <w:t>Responsiveness to change</w:t>
            </w:r>
          </w:p>
          <w:p w14:paraId="21B9B300" w14:textId="77777777" w:rsidR="00293FC1" w:rsidRPr="007E5B70" w:rsidRDefault="00293FC1" w:rsidP="00293FC1">
            <w:pPr>
              <w:numPr>
                <w:ilvl w:val="0"/>
                <w:numId w:val="28"/>
              </w:numPr>
              <w:spacing w:after="0" w:line="240" w:lineRule="auto"/>
              <w:jc w:val="left"/>
            </w:pPr>
            <w:r>
              <w:t>Work-life balance</w:t>
            </w:r>
          </w:p>
        </w:tc>
        <w:tc>
          <w:tcPr>
            <w:tcW w:w="5284" w:type="dxa"/>
            <w:gridSpan w:val="3"/>
            <w:shd w:val="clear" w:color="auto" w:fill="auto"/>
          </w:tcPr>
          <w:p w14:paraId="6C14BF92" w14:textId="77777777" w:rsidR="00293FC1" w:rsidRDefault="00293FC1" w:rsidP="00293FC1">
            <w:pPr>
              <w:numPr>
                <w:ilvl w:val="0"/>
                <w:numId w:val="28"/>
              </w:numPr>
              <w:spacing w:after="0" w:line="240" w:lineRule="auto"/>
              <w:jc w:val="left"/>
            </w:pPr>
            <w:r>
              <w:t xml:space="preserve">As a full-time PhD student and Early Stage Researcher for the ReTraCE project, I have to prioritise and manage time adequately in order to perform all what is needed in my PhD, and in terms of deliverables for the project. For this reason I benefit from having a structured timetable to plan my time and schedule all the activities. I still can improve the organisation of my working/personal schedule by following courses. </w:t>
            </w:r>
          </w:p>
          <w:p w14:paraId="73062332" w14:textId="77777777" w:rsidR="00293FC1" w:rsidRPr="00FC4320" w:rsidRDefault="00293FC1" w:rsidP="00293FC1">
            <w:pPr>
              <w:numPr>
                <w:ilvl w:val="0"/>
                <w:numId w:val="28"/>
              </w:numPr>
              <w:spacing w:after="0" w:line="240" w:lineRule="auto"/>
              <w:jc w:val="left"/>
            </w:pPr>
            <w:r>
              <w:t xml:space="preserve">I have a very balanced and thoughtful personality and, as such I feel to be very responsive to change, both in terms of upcoming challenges and opportunities. </w:t>
            </w:r>
          </w:p>
          <w:p w14:paraId="4D812961" w14:textId="77777777" w:rsidR="00293FC1" w:rsidRPr="007E5B70" w:rsidRDefault="00293FC1" w:rsidP="00293FC1">
            <w:pPr>
              <w:numPr>
                <w:ilvl w:val="0"/>
                <w:numId w:val="28"/>
              </w:numPr>
              <w:spacing w:after="0" w:line="240" w:lineRule="auto"/>
              <w:jc w:val="left"/>
            </w:pPr>
            <w:r>
              <w:t xml:space="preserve">I believe work-life balance will keep to be an extremely important point also in these years: I engage in different activities such as reading books, spending time with friends, traveling, playing guitar and watching movies. I also consider a very important aspect doing regular sport activities. </w:t>
            </w:r>
          </w:p>
        </w:tc>
        <w:tc>
          <w:tcPr>
            <w:tcW w:w="4683" w:type="dxa"/>
            <w:shd w:val="clear" w:color="auto" w:fill="auto"/>
          </w:tcPr>
          <w:p w14:paraId="6F1D3D96" w14:textId="77777777" w:rsidR="00293FC1" w:rsidRPr="00625CDA" w:rsidRDefault="00293FC1" w:rsidP="00293FC1">
            <w:pPr>
              <w:numPr>
                <w:ilvl w:val="0"/>
                <w:numId w:val="28"/>
              </w:numPr>
              <w:spacing w:after="0" w:line="240" w:lineRule="auto"/>
              <w:jc w:val="left"/>
            </w:pPr>
            <w:r>
              <w:t>Attend workshop on Managing Your Time and Avoiding Distractions organised by 301 Academic Skills Centre</w:t>
            </w:r>
            <w:r>
              <w:rPr>
                <w:i/>
                <w:iCs/>
              </w:rPr>
              <w:t xml:space="preserve">; </w:t>
            </w:r>
          </w:p>
          <w:p w14:paraId="4FD08B0B" w14:textId="77777777" w:rsidR="00293FC1" w:rsidRPr="007E5B70" w:rsidRDefault="00293FC1" w:rsidP="00293FC1">
            <w:pPr>
              <w:numPr>
                <w:ilvl w:val="0"/>
                <w:numId w:val="28"/>
              </w:numPr>
              <w:spacing w:after="0" w:line="240" w:lineRule="auto"/>
              <w:jc w:val="left"/>
            </w:pPr>
            <w:proofErr w:type="spellStart"/>
            <w:r>
              <w:t>Enroll</w:t>
            </w:r>
            <w:proofErr w:type="spellEnd"/>
            <w:r>
              <w:t xml:space="preserve"> in Social Football Group in UoS Goodwin Sport </w:t>
            </w:r>
            <w:proofErr w:type="spellStart"/>
            <w:r>
              <w:t>center</w:t>
            </w:r>
            <w:proofErr w:type="spellEnd"/>
            <w:r>
              <w:t xml:space="preserve"> (as soon as it will be possible and safe playing again).</w:t>
            </w:r>
          </w:p>
        </w:tc>
      </w:tr>
      <w:tr w:rsidR="00293FC1" w:rsidRPr="007E5B70" w14:paraId="5F959C99" w14:textId="77777777" w:rsidTr="007B6F6D">
        <w:trPr>
          <w:trHeight w:val="415"/>
          <w:jc w:val="center"/>
        </w:trPr>
        <w:tc>
          <w:tcPr>
            <w:tcW w:w="4801" w:type="dxa"/>
            <w:shd w:val="clear" w:color="auto" w:fill="auto"/>
            <w:vAlign w:val="center"/>
          </w:tcPr>
          <w:p w14:paraId="6CD52758" w14:textId="77777777" w:rsidR="00293FC1" w:rsidRPr="007E5B70" w:rsidRDefault="00293FC1" w:rsidP="007B6F6D">
            <w:pPr>
              <w:spacing w:after="0" w:line="240" w:lineRule="auto"/>
              <w:rPr>
                <w:b/>
              </w:rPr>
            </w:pPr>
            <w:r w:rsidRPr="007E5B70">
              <w:rPr>
                <w:b/>
              </w:rPr>
              <w:t>Professional and career development (B3)</w:t>
            </w:r>
          </w:p>
          <w:p w14:paraId="48533F26" w14:textId="77777777" w:rsidR="00293FC1" w:rsidRPr="007E5B70" w:rsidRDefault="00293FC1" w:rsidP="007B6F6D">
            <w:pPr>
              <w:spacing w:after="0" w:line="240" w:lineRule="auto"/>
              <w:rPr>
                <w:i/>
                <w:iCs/>
              </w:rPr>
            </w:pPr>
            <w:r w:rsidRPr="007E5B70">
              <w:rPr>
                <w:i/>
                <w:iCs/>
              </w:rPr>
              <w:t>Including:</w:t>
            </w:r>
          </w:p>
          <w:p w14:paraId="3CAA6919" w14:textId="77777777" w:rsidR="00293FC1" w:rsidRPr="007E5B70" w:rsidRDefault="00293FC1" w:rsidP="00293FC1">
            <w:pPr>
              <w:numPr>
                <w:ilvl w:val="0"/>
                <w:numId w:val="30"/>
              </w:numPr>
              <w:spacing w:after="0" w:line="240" w:lineRule="auto"/>
              <w:jc w:val="left"/>
            </w:pPr>
            <w:r>
              <w:t>Career management</w:t>
            </w:r>
          </w:p>
          <w:p w14:paraId="708ECB2E" w14:textId="77777777" w:rsidR="00293FC1" w:rsidRPr="007E5B70" w:rsidRDefault="00293FC1" w:rsidP="00293FC1">
            <w:pPr>
              <w:numPr>
                <w:ilvl w:val="0"/>
                <w:numId w:val="30"/>
              </w:numPr>
              <w:spacing w:after="0" w:line="240" w:lineRule="auto"/>
              <w:jc w:val="left"/>
            </w:pPr>
            <w:r>
              <w:t>Networking</w:t>
            </w:r>
          </w:p>
          <w:p w14:paraId="3115A184" w14:textId="77777777" w:rsidR="00293FC1" w:rsidRPr="007E5B70" w:rsidRDefault="00293FC1" w:rsidP="00293FC1">
            <w:pPr>
              <w:numPr>
                <w:ilvl w:val="0"/>
                <w:numId w:val="30"/>
              </w:numPr>
              <w:spacing w:after="0" w:line="240" w:lineRule="auto"/>
              <w:jc w:val="left"/>
            </w:pPr>
            <w:r>
              <w:t>Reputation and esteem</w:t>
            </w:r>
          </w:p>
        </w:tc>
        <w:tc>
          <w:tcPr>
            <w:tcW w:w="5284" w:type="dxa"/>
            <w:gridSpan w:val="3"/>
            <w:shd w:val="clear" w:color="auto" w:fill="auto"/>
          </w:tcPr>
          <w:p w14:paraId="25E21DE5" w14:textId="77777777" w:rsidR="00293FC1" w:rsidRDefault="00293FC1" w:rsidP="00293FC1">
            <w:pPr>
              <w:numPr>
                <w:ilvl w:val="0"/>
                <w:numId w:val="30"/>
              </w:numPr>
              <w:spacing w:after="0" w:line="240" w:lineRule="auto"/>
              <w:jc w:val="left"/>
            </w:pPr>
            <w:r>
              <w:t>In the past, I have managed my career choices independently, striving for my research interests and intellectual curiosity.  Nevertheless, it is important for me to continue developing this area and acquiring a structured perspective to manage properly my next career steps;</w:t>
            </w:r>
          </w:p>
          <w:p w14:paraId="6EA1A4F8" w14:textId="77777777" w:rsidR="00293FC1" w:rsidRDefault="00293FC1" w:rsidP="00293FC1">
            <w:pPr>
              <w:numPr>
                <w:ilvl w:val="0"/>
                <w:numId w:val="30"/>
              </w:numPr>
              <w:spacing w:after="0" w:line="240" w:lineRule="auto"/>
              <w:jc w:val="left"/>
            </w:pPr>
            <w:r>
              <w:t xml:space="preserve">During my past work experiences, I have engaged on social media with different groups working on my subject area. However I need to improve my online engagement. </w:t>
            </w:r>
          </w:p>
          <w:p w14:paraId="4A42A293" w14:textId="77777777" w:rsidR="00293FC1" w:rsidRDefault="00293FC1" w:rsidP="00293FC1">
            <w:pPr>
              <w:numPr>
                <w:ilvl w:val="0"/>
                <w:numId w:val="30"/>
              </w:numPr>
              <w:spacing w:after="0" w:line="240" w:lineRule="auto"/>
              <w:jc w:val="left"/>
            </w:pPr>
            <w:r>
              <w:t xml:space="preserve">In my previous job, I was incentivised to network both inside and outside the company environment. During these months I had the possibility to start building contacts in various conferences I took part to. I wish I will be able to recognise which of these contacts should be fed and kept alive and could help me improving and building my voice. </w:t>
            </w:r>
          </w:p>
          <w:p w14:paraId="7963AB34" w14:textId="77777777" w:rsidR="00293FC1" w:rsidRPr="007E5B70" w:rsidRDefault="00293FC1" w:rsidP="00293FC1">
            <w:pPr>
              <w:numPr>
                <w:ilvl w:val="0"/>
                <w:numId w:val="30"/>
              </w:numPr>
              <w:spacing w:after="0" w:line="240" w:lineRule="auto"/>
              <w:jc w:val="left"/>
            </w:pPr>
            <w:r>
              <w:t xml:space="preserve">I want to improve my ability in building social media content to spread the key messages of my research </w:t>
            </w:r>
            <w:r>
              <w:lastRenderedPageBreak/>
              <w:t xml:space="preserve">and engage with the scientific and non-scientific communities </w:t>
            </w:r>
          </w:p>
        </w:tc>
        <w:tc>
          <w:tcPr>
            <w:tcW w:w="4683" w:type="dxa"/>
            <w:shd w:val="clear" w:color="auto" w:fill="auto"/>
          </w:tcPr>
          <w:p w14:paraId="7FABE6DE" w14:textId="77777777" w:rsidR="00293FC1" w:rsidRDefault="00293FC1" w:rsidP="00293FC1">
            <w:pPr>
              <w:numPr>
                <w:ilvl w:val="0"/>
                <w:numId w:val="30"/>
              </w:numPr>
              <w:spacing w:after="0" w:line="240" w:lineRule="auto"/>
              <w:jc w:val="left"/>
            </w:pPr>
            <w:r>
              <w:lastRenderedPageBreak/>
              <w:t>Participate in career planning and/or job fairs targeting PhD students;</w:t>
            </w:r>
          </w:p>
          <w:p w14:paraId="00C4D1F5" w14:textId="77777777" w:rsidR="00293FC1" w:rsidRDefault="00293FC1" w:rsidP="00293FC1">
            <w:pPr>
              <w:numPr>
                <w:ilvl w:val="0"/>
                <w:numId w:val="30"/>
              </w:numPr>
              <w:spacing w:after="0" w:line="240" w:lineRule="auto"/>
              <w:jc w:val="left"/>
            </w:pPr>
            <w:r>
              <w:t>Attend seminars on social media engagement during ESR ReTraCE retreat in Naples (December 2019);</w:t>
            </w:r>
          </w:p>
          <w:p w14:paraId="19B7487F" w14:textId="77777777" w:rsidR="00293FC1" w:rsidRDefault="00293FC1" w:rsidP="00293FC1">
            <w:pPr>
              <w:numPr>
                <w:ilvl w:val="0"/>
                <w:numId w:val="30"/>
              </w:numPr>
              <w:spacing w:after="0" w:line="240" w:lineRule="auto"/>
              <w:jc w:val="left"/>
            </w:pPr>
            <w:r>
              <w:t>Make use of conferences to present my work and networking with the scientific community;</w:t>
            </w:r>
          </w:p>
          <w:p w14:paraId="2764F539" w14:textId="77777777" w:rsidR="00293FC1" w:rsidRDefault="00293FC1" w:rsidP="00293FC1">
            <w:pPr>
              <w:numPr>
                <w:ilvl w:val="0"/>
                <w:numId w:val="30"/>
              </w:numPr>
              <w:spacing w:after="0" w:line="240" w:lineRule="auto"/>
              <w:jc w:val="left"/>
            </w:pPr>
            <w:r>
              <w:t>Make use of existing events to engage with the existing organisations and citizens communities;</w:t>
            </w:r>
          </w:p>
          <w:p w14:paraId="67205CD1" w14:textId="77777777" w:rsidR="00293FC1" w:rsidRPr="007E5B70" w:rsidRDefault="00293FC1" w:rsidP="00293FC1">
            <w:pPr>
              <w:numPr>
                <w:ilvl w:val="0"/>
                <w:numId w:val="30"/>
              </w:numPr>
              <w:spacing w:after="0" w:line="240" w:lineRule="auto"/>
              <w:jc w:val="left"/>
            </w:pPr>
            <w:r>
              <w:t>Before the end of my PhD I want to organise at least one event to stimulate a multidisciplinary discussion on the potential of Circular Economy in Sheffield;</w:t>
            </w:r>
          </w:p>
        </w:tc>
      </w:tr>
      <w:tr w:rsidR="00293FC1" w:rsidRPr="007E5B70" w14:paraId="36CD5290" w14:textId="77777777" w:rsidTr="007B6F6D">
        <w:trPr>
          <w:trHeight w:val="553"/>
          <w:jc w:val="center"/>
        </w:trPr>
        <w:tc>
          <w:tcPr>
            <w:tcW w:w="14768" w:type="dxa"/>
            <w:gridSpan w:val="5"/>
            <w:shd w:val="clear" w:color="auto" w:fill="EAF1DD"/>
            <w:vAlign w:val="center"/>
          </w:tcPr>
          <w:p w14:paraId="09A57380" w14:textId="77777777" w:rsidR="00293FC1" w:rsidRPr="007E5B70" w:rsidRDefault="00293FC1" w:rsidP="007B6F6D">
            <w:pPr>
              <w:spacing w:after="0" w:line="240" w:lineRule="auto"/>
              <w:rPr>
                <w:b/>
                <w:bCs/>
              </w:rPr>
            </w:pPr>
            <w:r w:rsidRPr="007E5B70">
              <w:rPr>
                <w:b/>
                <w:bCs/>
              </w:rPr>
              <w:t>RDF Domain C: Research Governance and Organisation</w:t>
            </w:r>
          </w:p>
          <w:p w14:paraId="2B4CA7C7" w14:textId="77777777" w:rsidR="00293FC1" w:rsidRPr="007E5B70" w:rsidRDefault="00293FC1" w:rsidP="007B6F6D">
            <w:pPr>
              <w:spacing w:after="0" w:line="240" w:lineRule="auto"/>
              <w:rPr>
                <w:bCs/>
                <w:i/>
                <w:iCs/>
              </w:rPr>
            </w:pPr>
            <w:r w:rsidRPr="007E5B70">
              <w:rPr>
                <w:bCs/>
                <w:i/>
                <w:iCs/>
              </w:rPr>
              <w:t>the knowledge of the standards, requirements and professionalism to do research</w:t>
            </w:r>
          </w:p>
        </w:tc>
      </w:tr>
      <w:tr w:rsidR="00293FC1" w:rsidRPr="007E5B70" w14:paraId="0CF3CDF3" w14:textId="77777777" w:rsidTr="007B6F6D">
        <w:trPr>
          <w:jc w:val="center"/>
        </w:trPr>
        <w:tc>
          <w:tcPr>
            <w:tcW w:w="4801" w:type="dxa"/>
            <w:shd w:val="clear" w:color="auto" w:fill="auto"/>
          </w:tcPr>
          <w:p w14:paraId="7DE52CE9" w14:textId="77777777" w:rsidR="00293FC1" w:rsidRPr="007E5B70" w:rsidRDefault="00293FC1" w:rsidP="007B6F6D">
            <w:pPr>
              <w:spacing w:after="0" w:line="240" w:lineRule="auto"/>
            </w:pPr>
          </w:p>
        </w:tc>
        <w:tc>
          <w:tcPr>
            <w:tcW w:w="5232" w:type="dxa"/>
            <w:gridSpan w:val="2"/>
            <w:shd w:val="clear" w:color="auto" w:fill="auto"/>
          </w:tcPr>
          <w:p w14:paraId="5BF8D53D" w14:textId="77777777" w:rsidR="00293FC1" w:rsidRPr="007E5B70" w:rsidRDefault="00293FC1" w:rsidP="007B6F6D">
            <w:pPr>
              <w:spacing w:after="0" w:line="240" w:lineRule="auto"/>
              <w:rPr>
                <w:b/>
                <w:bCs/>
              </w:rPr>
            </w:pPr>
            <w:r w:rsidRPr="007E5B70">
              <w:rPr>
                <w:b/>
                <w:bCs/>
              </w:rPr>
              <w:t xml:space="preserve">Reflection on your current ability/experience in this area and </w:t>
            </w:r>
            <w:r>
              <w:rPr>
                <w:b/>
                <w:bCs/>
              </w:rPr>
              <w:t>main priorities</w:t>
            </w:r>
            <w:r w:rsidRPr="007E5B70">
              <w:rPr>
                <w:b/>
                <w:bCs/>
              </w:rPr>
              <w:t xml:space="preserve"> for the coming year</w:t>
            </w:r>
          </w:p>
        </w:tc>
        <w:tc>
          <w:tcPr>
            <w:tcW w:w="4735" w:type="dxa"/>
            <w:gridSpan w:val="2"/>
            <w:shd w:val="clear" w:color="auto" w:fill="auto"/>
          </w:tcPr>
          <w:p w14:paraId="741962E5" w14:textId="77777777" w:rsidR="00293FC1" w:rsidRPr="007E5B70" w:rsidRDefault="00293FC1" w:rsidP="007B6F6D">
            <w:pPr>
              <w:spacing w:after="0" w:line="240" w:lineRule="auto"/>
              <w:rPr>
                <w:b/>
                <w:bCs/>
              </w:rPr>
            </w:pPr>
            <w:r>
              <w:rPr>
                <w:b/>
                <w:bCs/>
              </w:rPr>
              <w:t xml:space="preserve">Action to be taken to </w:t>
            </w:r>
            <w:r w:rsidRPr="007E5B70">
              <w:rPr>
                <w:b/>
                <w:bCs/>
              </w:rPr>
              <w:t>develop this area (if appropriate), agreed with you</w:t>
            </w:r>
            <w:r>
              <w:rPr>
                <w:b/>
                <w:bCs/>
              </w:rPr>
              <w:t>r</w:t>
            </w:r>
            <w:r w:rsidRPr="007E5B70">
              <w:rPr>
                <w:b/>
                <w:bCs/>
              </w:rPr>
              <w:t xml:space="preserve"> supervisor(s).</w:t>
            </w:r>
          </w:p>
        </w:tc>
      </w:tr>
      <w:tr w:rsidR="00293FC1" w:rsidRPr="007E5B70" w14:paraId="6C124FC9" w14:textId="77777777" w:rsidTr="007B6F6D">
        <w:trPr>
          <w:trHeight w:val="1668"/>
          <w:jc w:val="center"/>
        </w:trPr>
        <w:tc>
          <w:tcPr>
            <w:tcW w:w="4801" w:type="dxa"/>
            <w:shd w:val="clear" w:color="auto" w:fill="auto"/>
          </w:tcPr>
          <w:p w14:paraId="0030A658" w14:textId="77777777" w:rsidR="00293FC1" w:rsidRDefault="00293FC1" w:rsidP="007B6F6D">
            <w:pPr>
              <w:spacing w:after="0" w:line="240" w:lineRule="auto"/>
              <w:rPr>
                <w:b/>
              </w:rPr>
            </w:pPr>
            <w:r w:rsidRPr="007E5B70">
              <w:rPr>
                <w:b/>
              </w:rPr>
              <w:t>Professional conduct (C1)</w:t>
            </w:r>
          </w:p>
          <w:p w14:paraId="656A20E2" w14:textId="77777777" w:rsidR="00293FC1" w:rsidRPr="001816AD" w:rsidRDefault="00293FC1" w:rsidP="007B6F6D">
            <w:pPr>
              <w:spacing w:after="0" w:line="240" w:lineRule="auto"/>
              <w:rPr>
                <w:i/>
              </w:rPr>
            </w:pPr>
            <w:r w:rsidRPr="001816AD">
              <w:rPr>
                <w:i/>
              </w:rPr>
              <w:t>Including</w:t>
            </w:r>
            <w:r>
              <w:rPr>
                <w:i/>
              </w:rPr>
              <w:t>:</w:t>
            </w:r>
          </w:p>
          <w:p w14:paraId="337C70AB" w14:textId="77777777" w:rsidR="00293FC1" w:rsidRPr="007E5B70" w:rsidRDefault="00293FC1" w:rsidP="00293FC1">
            <w:pPr>
              <w:numPr>
                <w:ilvl w:val="0"/>
                <w:numId w:val="25"/>
              </w:numPr>
              <w:spacing w:after="0" w:line="240" w:lineRule="auto"/>
              <w:jc w:val="left"/>
            </w:pPr>
            <w:r>
              <w:t>Ethics</w:t>
            </w:r>
          </w:p>
          <w:p w14:paraId="47FB2DEE" w14:textId="77777777" w:rsidR="00293FC1" w:rsidRPr="007E5B70" w:rsidRDefault="00293FC1" w:rsidP="00293FC1">
            <w:pPr>
              <w:numPr>
                <w:ilvl w:val="0"/>
                <w:numId w:val="25"/>
              </w:numPr>
              <w:spacing w:after="0" w:line="240" w:lineRule="auto"/>
              <w:jc w:val="left"/>
            </w:pPr>
            <w:r>
              <w:t>Respect and confidentiality</w:t>
            </w:r>
          </w:p>
          <w:p w14:paraId="0A1DED30" w14:textId="77777777" w:rsidR="00293FC1" w:rsidRPr="007E5B70" w:rsidRDefault="00293FC1" w:rsidP="00293FC1">
            <w:pPr>
              <w:numPr>
                <w:ilvl w:val="0"/>
                <w:numId w:val="25"/>
              </w:numPr>
              <w:spacing w:after="0" w:line="240" w:lineRule="auto"/>
              <w:jc w:val="left"/>
              <w:rPr>
                <w:b/>
              </w:rPr>
            </w:pPr>
            <w:r>
              <w:t>Attribution and co-authorship</w:t>
            </w:r>
          </w:p>
        </w:tc>
        <w:tc>
          <w:tcPr>
            <w:tcW w:w="5232" w:type="dxa"/>
            <w:gridSpan w:val="2"/>
            <w:shd w:val="clear" w:color="auto" w:fill="auto"/>
          </w:tcPr>
          <w:p w14:paraId="3921093A" w14:textId="77777777" w:rsidR="00293FC1" w:rsidRDefault="00293FC1" w:rsidP="00293FC1">
            <w:pPr>
              <w:numPr>
                <w:ilvl w:val="0"/>
                <w:numId w:val="25"/>
              </w:numPr>
              <w:spacing w:after="0" w:line="240" w:lineRule="auto"/>
              <w:jc w:val="left"/>
            </w:pPr>
            <w:r>
              <w:t>As part of my initial training at UoS, I have completed an online module on professional conduct (e.g. Ethics, on Confidentiality, on Health and safety on respect and confidentiality);</w:t>
            </w:r>
          </w:p>
          <w:p w14:paraId="436BD827" w14:textId="77777777" w:rsidR="00293FC1" w:rsidRPr="007E5B70" w:rsidRDefault="00293FC1" w:rsidP="00293FC1">
            <w:pPr>
              <w:numPr>
                <w:ilvl w:val="0"/>
                <w:numId w:val="25"/>
              </w:numPr>
              <w:spacing w:after="0" w:line="240" w:lineRule="auto"/>
              <w:jc w:val="left"/>
            </w:pPr>
            <w:r>
              <w:t xml:space="preserve">I am aware of the relevance of my research topic in the context of the research of my division (OMDS) and on SUMS strategic focus. It is important that I will follow up on the future strategic choices of the faculty in terms of research priority and on possible changes to eventually adjust my research focus; </w:t>
            </w:r>
          </w:p>
        </w:tc>
        <w:tc>
          <w:tcPr>
            <w:tcW w:w="4735" w:type="dxa"/>
            <w:gridSpan w:val="2"/>
            <w:shd w:val="clear" w:color="auto" w:fill="auto"/>
          </w:tcPr>
          <w:p w14:paraId="1B502118" w14:textId="77777777" w:rsidR="00293FC1" w:rsidRPr="007E5B70" w:rsidRDefault="00293FC1" w:rsidP="00293FC1">
            <w:pPr>
              <w:numPr>
                <w:ilvl w:val="0"/>
                <w:numId w:val="25"/>
              </w:numPr>
              <w:spacing w:after="0" w:line="240" w:lineRule="auto"/>
              <w:jc w:val="left"/>
            </w:pPr>
            <w:r>
              <w:t>Follow SUMS procedures in terms of professional conduct and data confidentiality.</w:t>
            </w:r>
          </w:p>
        </w:tc>
      </w:tr>
      <w:tr w:rsidR="00293FC1" w:rsidRPr="007E5B70" w14:paraId="69AE2A7A" w14:textId="77777777" w:rsidTr="007B6F6D">
        <w:trPr>
          <w:trHeight w:val="1010"/>
          <w:jc w:val="center"/>
        </w:trPr>
        <w:tc>
          <w:tcPr>
            <w:tcW w:w="4801" w:type="dxa"/>
            <w:shd w:val="clear" w:color="auto" w:fill="auto"/>
            <w:vAlign w:val="center"/>
          </w:tcPr>
          <w:p w14:paraId="158BC975" w14:textId="77777777" w:rsidR="00293FC1" w:rsidRDefault="00293FC1" w:rsidP="007B6F6D">
            <w:pPr>
              <w:spacing w:after="0" w:line="240" w:lineRule="auto"/>
              <w:rPr>
                <w:b/>
              </w:rPr>
            </w:pPr>
            <w:r w:rsidRPr="007E5B70">
              <w:rPr>
                <w:b/>
              </w:rPr>
              <w:t>Research management (C2)</w:t>
            </w:r>
          </w:p>
          <w:p w14:paraId="2EBC55A9" w14:textId="77777777" w:rsidR="00293FC1" w:rsidRPr="001816AD" w:rsidRDefault="00293FC1" w:rsidP="007B6F6D">
            <w:pPr>
              <w:spacing w:after="0" w:line="240" w:lineRule="auto"/>
              <w:rPr>
                <w:i/>
              </w:rPr>
            </w:pPr>
            <w:r w:rsidRPr="001816AD">
              <w:rPr>
                <w:i/>
              </w:rPr>
              <w:t>Including</w:t>
            </w:r>
            <w:r>
              <w:rPr>
                <w:i/>
              </w:rPr>
              <w:t>:</w:t>
            </w:r>
          </w:p>
          <w:p w14:paraId="0A2F0B2A" w14:textId="77777777" w:rsidR="00293FC1" w:rsidRPr="007E5B70" w:rsidRDefault="00293FC1" w:rsidP="00293FC1">
            <w:pPr>
              <w:numPr>
                <w:ilvl w:val="0"/>
                <w:numId w:val="25"/>
              </w:numPr>
              <w:spacing w:after="0" w:line="240" w:lineRule="auto"/>
              <w:jc w:val="left"/>
            </w:pPr>
            <w:r>
              <w:t>Research strategy</w:t>
            </w:r>
            <w:r w:rsidRPr="007E5B70">
              <w:t xml:space="preserve">; </w:t>
            </w:r>
          </w:p>
          <w:p w14:paraId="49CC0AC5" w14:textId="77777777" w:rsidR="00293FC1" w:rsidRPr="001816AD" w:rsidRDefault="00293FC1" w:rsidP="00293FC1">
            <w:pPr>
              <w:numPr>
                <w:ilvl w:val="0"/>
                <w:numId w:val="25"/>
              </w:numPr>
              <w:spacing w:after="0" w:line="240" w:lineRule="auto"/>
              <w:jc w:val="left"/>
              <w:rPr>
                <w:bCs/>
              </w:rPr>
            </w:pPr>
            <w:r>
              <w:t>Project planning and delivery;</w:t>
            </w:r>
          </w:p>
          <w:p w14:paraId="33C61078" w14:textId="77777777" w:rsidR="00293FC1" w:rsidRPr="007E5B70" w:rsidRDefault="00293FC1" w:rsidP="00293FC1">
            <w:pPr>
              <w:numPr>
                <w:ilvl w:val="0"/>
                <w:numId w:val="25"/>
              </w:numPr>
              <w:spacing w:after="0" w:line="240" w:lineRule="auto"/>
              <w:jc w:val="left"/>
              <w:rPr>
                <w:bCs/>
              </w:rPr>
            </w:pPr>
            <w:r>
              <w:t>Risk management</w:t>
            </w:r>
            <w:r w:rsidRPr="007E5B70">
              <w:rPr>
                <w:bCs/>
              </w:rPr>
              <w:t>.</w:t>
            </w:r>
          </w:p>
        </w:tc>
        <w:tc>
          <w:tcPr>
            <w:tcW w:w="5232" w:type="dxa"/>
            <w:gridSpan w:val="2"/>
            <w:shd w:val="clear" w:color="auto" w:fill="auto"/>
          </w:tcPr>
          <w:p w14:paraId="50728A75" w14:textId="77777777" w:rsidR="00293FC1" w:rsidRDefault="00293FC1" w:rsidP="00293FC1">
            <w:pPr>
              <w:numPr>
                <w:ilvl w:val="0"/>
                <w:numId w:val="25"/>
              </w:numPr>
              <w:spacing w:after="0" w:line="240" w:lineRule="auto"/>
              <w:jc w:val="left"/>
            </w:pPr>
            <w:r>
              <w:t>I have little experience of research strategy and need to develop more skills;</w:t>
            </w:r>
          </w:p>
          <w:p w14:paraId="5536938D" w14:textId="77777777" w:rsidR="00293FC1" w:rsidRDefault="00293FC1" w:rsidP="00293FC1">
            <w:pPr>
              <w:numPr>
                <w:ilvl w:val="0"/>
                <w:numId w:val="25"/>
              </w:numPr>
              <w:spacing w:after="0" w:line="240" w:lineRule="auto"/>
              <w:jc w:val="left"/>
            </w:pPr>
            <w:r>
              <w:t xml:space="preserve">I am keeping track of the progress and of the research project and activities changes in a Gantt chart;  </w:t>
            </w:r>
          </w:p>
          <w:p w14:paraId="29C77B64" w14:textId="77777777" w:rsidR="00293FC1" w:rsidRPr="007E5B70" w:rsidRDefault="00293FC1" w:rsidP="00293FC1">
            <w:pPr>
              <w:numPr>
                <w:ilvl w:val="0"/>
                <w:numId w:val="25"/>
              </w:numPr>
              <w:spacing w:after="0" w:line="240" w:lineRule="auto"/>
              <w:jc w:val="left"/>
            </w:pPr>
            <w:r>
              <w:t xml:space="preserve">I developed my knowledge on risk management and become familiar with the procedures at SUMS in terms of plagiarism. </w:t>
            </w:r>
          </w:p>
        </w:tc>
        <w:tc>
          <w:tcPr>
            <w:tcW w:w="4735" w:type="dxa"/>
            <w:gridSpan w:val="2"/>
            <w:shd w:val="clear" w:color="auto" w:fill="auto"/>
          </w:tcPr>
          <w:p w14:paraId="64D565C5" w14:textId="77777777" w:rsidR="00293FC1" w:rsidRPr="007E5B70" w:rsidRDefault="00293FC1" w:rsidP="00293FC1">
            <w:pPr>
              <w:numPr>
                <w:ilvl w:val="0"/>
                <w:numId w:val="25"/>
              </w:numPr>
              <w:spacing w:after="0" w:line="240" w:lineRule="auto"/>
              <w:jc w:val="left"/>
            </w:pPr>
            <w:r>
              <w:t xml:space="preserve">Review every 6 months my Gantt chart and reflect on my progress towards milestones/deliverables - </w:t>
            </w:r>
            <w:r w:rsidRPr="00CF1FE3">
              <w:rPr>
                <w:i/>
                <w:iCs/>
              </w:rPr>
              <w:t>HIGH;</w:t>
            </w:r>
            <w:r>
              <w:t xml:space="preserve"> </w:t>
            </w:r>
          </w:p>
        </w:tc>
      </w:tr>
      <w:tr w:rsidR="00293FC1" w:rsidRPr="007E5B70" w14:paraId="219C6EEC" w14:textId="77777777" w:rsidTr="007B6F6D">
        <w:trPr>
          <w:trHeight w:val="1010"/>
          <w:jc w:val="center"/>
        </w:trPr>
        <w:tc>
          <w:tcPr>
            <w:tcW w:w="4801" w:type="dxa"/>
            <w:shd w:val="clear" w:color="auto" w:fill="auto"/>
            <w:vAlign w:val="center"/>
          </w:tcPr>
          <w:p w14:paraId="59A08A72" w14:textId="77777777" w:rsidR="00293FC1" w:rsidRDefault="00293FC1" w:rsidP="007B6F6D">
            <w:pPr>
              <w:spacing w:after="0" w:line="240" w:lineRule="auto"/>
              <w:rPr>
                <w:b/>
              </w:rPr>
            </w:pPr>
            <w:r w:rsidRPr="007E5B70">
              <w:rPr>
                <w:b/>
              </w:rPr>
              <w:t>Finance, funding and resources (C3)</w:t>
            </w:r>
          </w:p>
          <w:p w14:paraId="7EEC287A" w14:textId="77777777" w:rsidR="00293FC1" w:rsidRPr="00331D2A" w:rsidRDefault="00293FC1" w:rsidP="007B6F6D">
            <w:pPr>
              <w:spacing w:after="0" w:line="240" w:lineRule="auto"/>
              <w:rPr>
                <w:i/>
              </w:rPr>
            </w:pPr>
            <w:r w:rsidRPr="00331D2A">
              <w:rPr>
                <w:i/>
              </w:rPr>
              <w:t>Including</w:t>
            </w:r>
          </w:p>
          <w:p w14:paraId="44D9D432" w14:textId="77777777" w:rsidR="00293FC1" w:rsidRPr="007E5B70" w:rsidRDefault="00293FC1" w:rsidP="00293FC1">
            <w:pPr>
              <w:numPr>
                <w:ilvl w:val="0"/>
                <w:numId w:val="25"/>
              </w:numPr>
              <w:spacing w:after="0" w:line="240" w:lineRule="auto"/>
              <w:jc w:val="left"/>
              <w:rPr>
                <w:b/>
              </w:rPr>
            </w:pPr>
            <w:r>
              <w:t>Income and funding</w:t>
            </w:r>
            <w:r w:rsidRPr="007E5B70">
              <w:t>;</w:t>
            </w:r>
          </w:p>
          <w:p w14:paraId="73AE5003" w14:textId="77777777" w:rsidR="00293FC1" w:rsidRPr="007E5B70" w:rsidRDefault="00293FC1" w:rsidP="00293FC1">
            <w:pPr>
              <w:numPr>
                <w:ilvl w:val="0"/>
                <w:numId w:val="25"/>
              </w:numPr>
              <w:spacing w:after="0" w:line="240" w:lineRule="auto"/>
              <w:jc w:val="left"/>
            </w:pPr>
            <w:r>
              <w:t>Financial management</w:t>
            </w:r>
            <w:r w:rsidRPr="007E5B70">
              <w:t>.</w:t>
            </w:r>
          </w:p>
        </w:tc>
        <w:tc>
          <w:tcPr>
            <w:tcW w:w="5232" w:type="dxa"/>
            <w:gridSpan w:val="2"/>
            <w:shd w:val="clear" w:color="auto" w:fill="auto"/>
          </w:tcPr>
          <w:p w14:paraId="014078BB" w14:textId="77777777" w:rsidR="00293FC1" w:rsidRPr="007E5B70" w:rsidRDefault="00293FC1" w:rsidP="00293FC1">
            <w:pPr>
              <w:numPr>
                <w:ilvl w:val="0"/>
                <w:numId w:val="25"/>
              </w:numPr>
              <w:spacing w:after="0" w:line="240" w:lineRule="auto"/>
              <w:jc w:val="left"/>
            </w:pPr>
            <w:r>
              <w:t xml:space="preserve">I am aware of how the ReTraCE budget works; I have created a excel document, which I’ve been updating with the conducted activities and costs covered by the project. </w:t>
            </w:r>
          </w:p>
        </w:tc>
        <w:tc>
          <w:tcPr>
            <w:tcW w:w="4735" w:type="dxa"/>
            <w:gridSpan w:val="2"/>
            <w:shd w:val="clear" w:color="auto" w:fill="auto"/>
          </w:tcPr>
          <w:p w14:paraId="2164584E" w14:textId="77777777" w:rsidR="00293FC1" w:rsidRPr="007E5B70" w:rsidRDefault="00293FC1" w:rsidP="00293FC1">
            <w:pPr>
              <w:numPr>
                <w:ilvl w:val="0"/>
                <w:numId w:val="25"/>
              </w:numPr>
              <w:spacing w:after="0" w:line="240" w:lineRule="auto"/>
              <w:jc w:val="left"/>
            </w:pPr>
            <w:r>
              <w:t>Update the budget spreadsheet monthly;</w:t>
            </w:r>
          </w:p>
        </w:tc>
      </w:tr>
      <w:tr w:rsidR="00293FC1" w:rsidRPr="007E5B70" w14:paraId="7AA1E895" w14:textId="77777777" w:rsidTr="007B6F6D">
        <w:trPr>
          <w:trHeight w:val="521"/>
          <w:jc w:val="center"/>
        </w:trPr>
        <w:tc>
          <w:tcPr>
            <w:tcW w:w="14768" w:type="dxa"/>
            <w:gridSpan w:val="5"/>
            <w:shd w:val="clear" w:color="auto" w:fill="F2DBDB"/>
            <w:vAlign w:val="center"/>
          </w:tcPr>
          <w:p w14:paraId="095816C3" w14:textId="77777777" w:rsidR="00293FC1" w:rsidRPr="007E5B70" w:rsidRDefault="00293FC1" w:rsidP="007B6F6D">
            <w:pPr>
              <w:spacing w:after="0" w:line="240" w:lineRule="auto"/>
              <w:rPr>
                <w:b/>
                <w:bCs/>
              </w:rPr>
            </w:pPr>
            <w:r w:rsidRPr="007E5B70">
              <w:rPr>
                <w:b/>
                <w:bCs/>
              </w:rPr>
              <w:t>RDF Domain D: Engagement, Influence and Impact</w:t>
            </w:r>
          </w:p>
          <w:p w14:paraId="136DE975" w14:textId="77777777" w:rsidR="00293FC1" w:rsidRPr="007E5B70" w:rsidRDefault="00293FC1" w:rsidP="007B6F6D">
            <w:pPr>
              <w:spacing w:after="0" w:line="240" w:lineRule="auto"/>
              <w:rPr>
                <w:b/>
                <w:bCs/>
              </w:rPr>
            </w:pPr>
            <w:r w:rsidRPr="007E5B70">
              <w:rPr>
                <w:i/>
                <w:iCs/>
              </w:rPr>
              <w:t>the knowledge and skills to work with others and ensure the wider impact of research</w:t>
            </w:r>
          </w:p>
        </w:tc>
      </w:tr>
      <w:tr w:rsidR="00293FC1" w:rsidRPr="007E5B70" w14:paraId="5CCA9183" w14:textId="77777777" w:rsidTr="007B6F6D">
        <w:trPr>
          <w:trHeight w:val="521"/>
          <w:jc w:val="center"/>
        </w:trPr>
        <w:tc>
          <w:tcPr>
            <w:tcW w:w="4801" w:type="dxa"/>
            <w:shd w:val="clear" w:color="auto" w:fill="auto"/>
          </w:tcPr>
          <w:p w14:paraId="306491BB" w14:textId="77777777" w:rsidR="00293FC1" w:rsidRPr="007E5B70" w:rsidRDefault="00293FC1" w:rsidP="007B6F6D">
            <w:pPr>
              <w:spacing w:after="0" w:line="240" w:lineRule="auto"/>
            </w:pPr>
          </w:p>
        </w:tc>
        <w:tc>
          <w:tcPr>
            <w:tcW w:w="5232" w:type="dxa"/>
            <w:gridSpan w:val="2"/>
            <w:shd w:val="clear" w:color="auto" w:fill="auto"/>
          </w:tcPr>
          <w:p w14:paraId="1D377CE4" w14:textId="77777777" w:rsidR="00293FC1" w:rsidRPr="007E5B70" w:rsidRDefault="00293FC1" w:rsidP="007B6F6D">
            <w:pPr>
              <w:spacing w:after="0" w:line="240" w:lineRule="auto"/>
              <w:rPr>
                <w:b/>
                <w:bCs/>
              </w:rPr>
            </w:pPr>
            <w:r w:rsidRPr="007E5B70">
              <w:rPr>
                <w:b/>
                <w:bCs/>
              </w:rPr>
              <w:t xml:space="preserve">Reflection on your current ability/experience in this area and </w:t>
            </w:r>
            <w:r>
              <w:rPr>
                <w:b/>
                <w:bCs/>
              </w:rPr>
              <w:t>main priorities</w:t>
            </w:r>
            <w:r w:rsidRPr="007E5B70">
              <w:rPr>
                <w:b/>
                <w:bCs/>
              </w:rPr>
              <w:t xml:space="preserve"> for the coming year</w:t>
            </w:r>
          </w:p>
        </w:tc>
        <w:tc>
          <w:tcPr>
            <w:tcW w:w="4735" w:type="dxa"/>
            <w:gridSpan w:val="2"/>
            <w:shd w:val="clear" w:color="auto" w:fill="auto"/>
          </w:tcPr>
          <w:p w14:paraId="74BEF504" w14:textId="77777777" w:rsidR="00293FC1" w:rsidRPr="007E5B70" w:rsidRDefault="00293FC1" w:rsidP="007B6F6D">
            <w:pPr>
              <w:spacing w:after="0" w:line="240" w:lineRule="auto"/>
              <w:rPr>
                <w:b/>
                <w:bCs/>
              </w:rPr>
            </w:pPr>
            <w:r>
              <w:rPr>
                <w:b/>
                <w:bCs/>
              </w:rPr>
              <w:t xml:space="preserve">Action to be taken to </w:t>
            </w:r>
            <w:r w:rsidRPr="007E5B70">
              <w:rPr>
                <w:b/>
                <w:bCs/>
              </w:rPr>
              <w:t>develop this area (if appropriate), agreed with you</w:t>
            </w:r>
            <w:r>
              <w:rPr>
                <w:b/>
                <w:bCs/>
              </w:rPr>
              <w:t>r</w:t>
            </w:r>
            <w:r w:rsidRPr="007E5B70">
              <w:rPr>
                <w:b/>
                <w:bCs/>
              </w:rPr>
              <w:t xml:space="preserve"> supervisor(s).</w:t>
            </w:r>
          </w:p>
        </w:tc>
      </w:tr>
      <w:tr w:rsidR="00293FC1" w:rsidRPr="007E5B70" w14:paraId="038C11B7" w14:textId="77777777" w:rsidTr="007B6F6D">
        <w:trPr>
          <w:trHeight w:val="212"/>
          <w:jc w:val="center"/>
        </w:trPr>
        <w:tc>
          <w:tcPr>
            <w:tcW w:w="4801" w:type="dxa"/>
            <w:shd w:val="clear" w:color="auto" w:fill="auto"/>
            <w:vAlign w:val="center"/>
          </w:tcPr>
          <w:p w14:paraId="623D408E" w14:textId="77777777" w:rsidR="00293FC1" w:rsidRPr="007E5B70" w:rsidRDefault="00293FC1" w:rsidP="007B6F6D">
            <w:pPr>
              <w:spacing w:after="0" w:line="240" w:lineRule="auto"/>
              <w:rPr>
                <w:b/>
              </w:rPr>
            </w:pPr>
            <w:r w:rsidRPr="007E5B70">
              <w:rPr>
                <w:b/>
              </w:rPr>
              <w:t>Working with others (D1)</w:t>
            </w:r>
          </w:p>
          <w:p w14:paraId="62E26BFD" w14:textId="77777777" w:rsidR="00293FC1" w:rsidRPr="007E5B70" w:rsidRDefault="00293FC1" w:rsidP="007B6F6D">
            <w:pPr>
              <w:spacing w:after="0" w:line="240" w:lineRule="auto"/>
              <w:rPr>
                <w:i/>
                <w:iCs/>
              </w:rPr>
            </w:pPr>
            <w:r w:rsidRPr="007E5B70">
              <w:rPr>
                <w:i/>
                <w:iCs/>
              </w:rPr>
              <w:t>Including:</w:t>
            </w:r>
          </w:p>
          <w:p w14:paraId="2355B209" w14:textId="77777777" w:rsidR="00293FC1" w:rsidRPr="007E5B70" w:rsidRDefault="00293FC1" w:rsidP="00293FC1">
            <w:pPr>
              <w:numPr>
                <w:ilvl w:val="0"/>
                <w:numId w:val="31"/>
              </w:numPr>
              <w:spacing w:after="0" w:line="240" w:lineRule="auto"/>
              <w:jc w:val="left"/>
            </w:pPr>
            <w:r w:rsidRPr="007E5B70">
              <w:t>Team working;</w:t>
            </w:r>
          </w:p>
          <w:p w14:paraId="299BD70B" w14:textId="77777777" w:rsidR="00293FC1" w:rsidRPr="003C72A0" w:rsidRDefault="00293FC1" w:rsidP="00293FC1">
            <w:pPr>
              <w:numPr>
                <w:ilvl w:val="0"/>
                <w:numId w:val="31"/>
              </w:numPr>
              <w:spacing w:after="0" w:line="240" w:lineRule="auto"/>
              <w:jc w:val="left"/>
              <w:rPr>
                <w:b/>
              </w:rPr>
            </w:pPr>
            <w:r w:rsidRPr="003C72A0">
              <w:t>People Management;</w:t>
            </w:r>
          </w:p>
          <w:p w14:paraId="5A957751" w14:textId="77777777" w:rsidR="00293FC1" w:rsidRPr="007E5B70" w:rsidRDefault="00293FC1" w:rsidP="00293FC1">
            <w:pPr>
              <w:numPr>
                <w:ilvl w:val="0"/>
                <w:numId w:val="31"/>
              </w:numPr>
              <w:spacing w:after="0" w:line="240" w:lineRule="auto"/>
              <w:jc w:val="left"/>
              <w:rPr>
                <w:b/>
              </w:rPr>
            </w:pPr>
            <w:r>
              <w:t>Influence and leadership</w:t>
            </w:r>
            <w:r w:rsidRPr="007E5B70">
              <w:t>.</w:t>
            </w:r>
          </w:p>
        </w:tc>
        <w:tc>
          <w:tcPr>
            <w:tcW w:w="5232" w:type="dxa"/>
            <w:gridSpan w:val="2"/>
            <w:shd w:val="clear" w:color="auto" w:fill="auto"/>
          </w:tcPr>
          <w:p w14:paraId="330F52B7" w14:textId="77777777" w:rsidR="00293FC1" w:rsidRDefault="00293FC1" w:rsidP="00293FC1">
            <w:pPr>
              <w:numPr>
                <w:ilvl w:val="0"/>
                <w:numId w:val="31"/>
              </w:numPr>
              <w:spacing w:after="0" w:line="240" w:lineRule="auto"/>
              <w:jc w:val="left"/>
            </w:pPr>
            <w:r>
              <w:t>During my MSc I have taken part to many group projects that were integrative part of the final exam. I am an excellent team player and enjoy working in group;</w:t>
            </w:r>
          </w:p>
          <w:p w14:paraId="6DE50CB8" w14:textId="77777777" w:rsidR="00293FC1" w:rsidRDefault="00293FC1" w:rsidP="00293FC1">
            <w:pPr>
              <w:numPr>
                <w:ilvl w:val="0"/>
                <w:numId w:val="31"/>
              </w:numPr>
              <w:spacing w:after="0" w:line="240" w:lineRule="auto"/>
              <w:jc w:val="left"/>
            </w:pPr>
            <w:r>
              <w:t xml:space="preserve">My current research project is included in the WP1 of ReTraCE (which focus on SCM and the CE) and, in order to work and engage with the other ESRs, we’ve establish monthly online meetings with our supervisors.  </w:t>
            </w:r>
          </w:p>
          <w:p w14:paraId="0725F1AC" w14:textId="77777777" w:rsidR="00293FC1" w:rsidRPr="007E5B70" w:rsidRDefault="00293FC1" w:rsidP="00293FC1">
            <w:pPr>
              <w:numPr>
                <w:ilvl w:val="0"/>
                <w:numId w:val="31"/>
              </w:numPr>
              <w:spacing w:after="0" w:line="240" w:lineRule="auto"/>
              <w:jc w:val="left"/>
            </w:pPr>
            <w:r>
              <w:t xml:space="preserve">I believe I have some influence and leadership skills. In the past I have represented the high school students in </w:t>
            </w:r>
            <w:proofErr w:type="gramStart"/>
            <w:r>
              <w:t>the  and</w:t>
            </w:r>
            <w:proofErr w:type="gramEnd"/>
            <w:r>
              <w:t xml:space="preserve"> I would like to further develop them. During the next year I will represent ReTraCE ESR in the Supervisory Board. </w:t>
            </w:r>
          </w:p>
        </w:tc>
        <w:tc>
          <w:tcPr>
            <w:tcW w:w="4735" w:type="dxa"/>
            <w:gridSpan w:val="2"/>
            <w:shd w:val="clear" w:color="auto" w:fill="auto"/>
          </w:tcPr>
          <w:p w14:paraId="55B50CA7" w14:textId="77777777" w:rsidR="00293FC1" w:rsidRDefault="00293FC1" w:rsidP="00293FC1">
            <w:pPr>
              <w:numPr>
                <w:ilvl w:val="0"/>
                <w:numId w:val="31"/>
              </w:numPr>
              <w:spacing w:after="0" w:line="240" w:lineRule="auto"/>
              <w:jc w:val="left"/>
            </w:pPr>
            <w:r>
              <w:t>Attend workshop on leadership;</w:t>
            </w:r>
          </w:p>
          <w:p w14:paraId="1DB35336" w14:textId="77777777" w:rsidR="00293FC1" w:rsidRPr="007E5B70" w:rsidRDefault="00293FC1" w:rsidP="00293FC1">
            <w:pPr>
              <w:numPr>
                <w:ilvl w:val="0"/>
                <w:numId w:val="31"/>
              </w:numPr>
              <w:spacing w:after="0" w:line="240" w:lineRule="auto"/>
              <w:jc w:val="left"/>
            </w:pPr>
            <w:r>
              <w:t xml:space="preserve">Responsibly represent Retrace ESRs in the supervisory board. Keep engaging with them in the established communication channels and become the </w:t>
            </w:r>
          </w:p>
        </w:tc>
      </w:tr>
      <w:tr w:rsidR="00293FC1" w:rsidRPr="007E5B70" w14:paraId="1E270CE1" w14:textId="77777777" w:rsidTr="007B6F6D">
        <w:trPr>
          <w:trHeight w:val="212"/>
          <w:jc w:val="center"/>
        </w:trPr>
        <w:tc>
          <w:tcPr>
            <w:tcW w:w="4801" w:type="dxa"/>
            <w:shd w:val="clear" w:color="auto" w:fill="auto"/>
            <w:vAlign w:val="center"/>
          </w:tcPr>
          <w:p w14:paraId="2F905DD1" w14:textId="77777777" w:rsidR="00293FC1" w:rsidRPr="007E5B70" w:rsidRDefault="00293FC1" w:rsidP="007B6F6D">
            <w:pPr>
              <w:spacing w:after="0" w:line="240" w:lineRule="auto"/>
              <w:rPr>
                <w:b/>
              </w:rPr>
            </w:pPr>
            <w:r w:rsidRPr="007E5B70">
              <w:rPr>
                <w:b/>
              </w:rPr>
              <w:t>Communication and dissemination (D2)</w:t>
            </w:r>
          </w:p>
          <w:p w14:paraId="506BE794" w14:textId="77777777" w:rsidR="00293FC1" w:rsidRPr="007E5B70" w:rsidRDefault="00293FC1" w:rsidP="007B6F6D">
            <w:pPr>
              <w:spacing w:after="0" w:line="240" w:lineRule="auto"/>
              <w:rPr>
                <w:bCs/>
                <w:i/>
                <w:iCs/>
              </w:rPr>
            </w:pPr>
            <w:r w:rsidRPr="007E5B70">
              <w:rPr>
                <w:bCs/>
                <w:i/>
                <w:iCs/>
              </w:rPr>
              <w:t>Including:</w:t>
            </w:r>
          </w:p>
          <w:p w14:paraId="569FEBA3" w14:textId="77777777" w:rsidR="00293FC1" w:rsidRPr="007E5B70" w:rsidRDefault="00293FC1" w:rsidP="00293FC1">
            <w:pPr>
              <w:numPr>
                <w:ilvl w:val="0"/>
                <w:numId w:val="32"/>
              </w:numPr>
              <w:spacing w:after="0" w:line="240" w:lineRule="auto"/>
              <w:jc w:val="left"/>
            </w:pPr>
            <w:r>
              <w:t>Communication Methods</w:t>
            </w:r>
            <w:r w:rsidRPr="007E5B70">
              <w:t>;</w:t>
            </w:r>
          </w:p>
          <w:p w14:paraId="501FA202" w14:textId="77777777" w:rsidR="00293FC1" w:rsidRDefault="00293FC1" w:rsidP="00293FC1">
            <w:pPr>
              <w:numPr>
                <w:ilvl w:val="0"/>
                <w:numId w:val="32"/>
              </w:numPr>
              <w:spacing w:after="0" w:line="240" w:lineRule="auto"/>
              <w:jc w:val="left"/>
            </w:pPr>
            <w:r>
              <w:lastRenderedPageBreak/>
              <w:t>Publication</w:t>
            </w:r>
            <w:r w:rsidRPr="007E5B70">
              <w:t>.</w:t>
            </w:r>
          </w:p>
          <w:p w14:paraId="6896FFBD" w14:textId="77777777" w:rsidR="00293FC1" w:rsidRPr="00B717A3" w:rsidRDefault="00293FC1" w:rsidP="00293FC1">
            <w:pPr>
              <w:numPr>
                <w:ilvl w:val="0"/>
                <w:numId w:val="32"/>
              </w:numPr>
              <w:spacing w:after="0" w:line="240" w:lineRule="auto"/>
              <w:jc w:val="left"/>
            </w:pPr>
            <w:r w:rsidRPr="00B717A3">
              <w:t>Technical Report Writing</w:t>
            </w:r>
          </w:p>
          <w:p w14:paraId="03DDEDC6" w14:textId="77777777" w:rsidR="00293FC1" w:rsidRPr="00B717A3" w:rsidRDefault="00293FC1" w:rsidP="00293FC1">
            <w:pPr>
              <w:numPr>
                <w:ilvl w:val="0"/>
                <w:numId w:val="32"/>
              </w:numPr>
              <w:spacing w:after="0" w:line="240" w:lineRule="auto"/>
              <w:jc w:val="left"/>
            </w:pPr>
            <w:r w:rsidRPr="00B717A3">
              <w:t xml:space="preserve">Policy Briefs </w:t>
            </w:r>
          </w:p>
          <w:p w14:paraId="73F77EEC" w14:textId="77777777" w:rsidR="00293FC1" w:rsidRPr="007E5B70" w:rsidRDefault="00293FC1" w:rsidP="00293FC1">
            <w:pPr>
              <w:numPr>
                <w:ilvl w:val="0"/>
                <w:numId w:val="32"/>
              </w:numPr>
              <w:spacing w:after="0" w:line="240" w:lineRule="auto"/>
              <w:jc w:val="left"/>
            </w:pPr>
            <w:r w:rsidRPr="00B717A3">
              <w:t>Press Releases</w:t>
            </w:r>
          </w:p>
        </w:tc>
        <w:tc>
          <w:tcPr>
            <w:tcW w:w="5232" w:type="dxa"/>
            <w:gridSpan w:val="2"/>
            <w:shd w:val="clear" w:color="auto" w:fill="auto"/>
          </w:tcPr>
          <w:p w14:paraId="78CD1433" w14:textId="77777777" w:rsidR="00293FC1" w:rsidRDefault="00293FC1" w:rsidP="00293FC1">
            <w:pPr>
              <w:numPr>
                <w:ilvl w:val="0"/>
                <w:numId w:val="32"/>
              </w:numPr>
              <w:spacing w:after="0" w:line="240" w:lineRule="auto"/>
              <w:jc w:val="left"/>
            </w:pPr>
            <w:r>
              <w:lastRenderedPageBreak/>
              <w:t xml:space="preserve">In the past, I’ve presented my research outcomes (both at academic and professional level), where I </w:t>
            </w:r>
            <w:r>
              <w:lastRenderedPageBreak/>
              <w:t>had to defend the results, methodology applied and proposed solutions.</w:t>
            </w:r>
          </w:p>
          <w:p w14:paraId="6E8CDB17" w14:textId="77777777" w:rsidR="00293FC1" w:rsidRDefault="00293FC1" w:rsidP="00293FC1">
            <w:pPr>
              <w:numPr>
                <w:ilvl w:val="0"/>
                <w:numId w:val="32"/>
              </w:numPr>
              <w:spacing w:after="0" w:line="240" w:lineRule="auto"/>
              <w:jc w:val="left"/>
            </w:pPr>
            <w:r>
              <w:t>I’ve not published an article before. Thus, I would like to further develop my skills in this area, gaining awareness of the publishing procedures and requirements.</w:t>
            </w:r>
          </w:p>
          <w:p w14:paraId="2CBDF738" w14:textId="77777777" w:rsidR="00293FC1" w:rsidRDefault="00293FC1" w:rsidP="00293FC1">
            <w:pPr>
              <w:numPr>
                <w:ilvl w:val="0"/>
                <w:numId w:val="32"/>
              </w:numPr>
              <w:spacing w:after="0" w:line="240" w:lineRule="auto"/>
              <w:jc w:val="left"/>
            </w:pPr>
            <w:r>
              <w:t xml:space="preserve">In my previous work experience, I collaborated in writing some technical reports. I will not have difficulties to write technical reports in my future secondments by companies. </w:t>
            </w:r>
          </w:p>
          <w:p w14:paraId="0EC1EE8C" w14:textId="77777777" w:rsidR="00293FC1" w:rsidRDefault="00293FC1" w:rsidP="00293FC1">
            <w:pPr>
              <w:numPr>
                <w:ilvl w:val="0"/>
                <w:numId w:val="32"/>
              </w:numPr>
              <w:spacing w:after="0" w:line="240" w:lineRule="auto"/>
              <w:jc w:val="left"/>
            </w:pPr>
            <w:r w:rsidRPr="001B658E">
              <w:t xml:space="preserve">In my first months I have written two blogs that have been published in the ReTraCE website and I am working at other two blogs. </w:t>
            </w:r>
          </w:p>
          <w:p w14:paraId="40E9241C" w14:textId="77777777" w:rsidR="00293FC1" w:rsidRPr="007E5B70" w:rsidRDefault="00293FC1" w:rsidP="00293FC1">
            <w:pPr>
              <w:numPr>
                <w:ilvl w:val="0"/>
                <w:numId w:val="32"/>
              </w:numPr>
              <w:spacing w:after="0" w:line="240" w:lineRule="auto"/>
              <w:jc w:val="left"/>
            </w:pPr>
            <w:r w:rsidRPr="001B658E">
              <w:t xml:space="preserve">I have little knowledge on writing policy briefs. I hope that the results of my research can be used to support decision-making and perhaps, policy-making at </w:t>
            </w:r>
            <w:proofErr w:type="spellStart"/>
            <w:r w:rsidRPr="001B658E">
              <w:t>microlevel</w:t>
            </w:r>
            <w:proofErr w:type="spellEnd"/>
            <w:r w:rsidRPr="001B658E">
              <w:t>. Therefore, I would like to further explore this area by having specific training or gain experience through a secondment experience.</w:t>
            </w:r>
          </w:p>
        </w:tc>
        <w:tc>
          <w:tcPr>
            <w:tcW w:w="4735" w:type="dxa"/>
            <w:gridSpan w:val="2"/>
            <w:shd w:val="clear" w:color="auto" w:fill="auto"/>
          </w:tcPr>
          <w:p w14:paraId="4B1B294D" w14:textId="77777777" w:rsidR="00293FC1" w:rsidRDefault="00293FC1" w:rsidP="00293FC1">
            <w:pPr>
              <w:numPr>
                <w:ilvl w:val="0"/>
                <w:numId w:val="32"/>
              </w:numPr>
              <w:spacing w:after="0" w:line="240" w:lineRule="auto"/>
              <w:jc w:val="left"/>
            </w:pPr>
            <w:r>
              <w:lastRenderedPageBreak/>
              <w:t xml:space="preserve">Attend module on Speaking Skills for Research Purposes (ELT6060); </w:t>
            </w:r>
          </w:p>
          <w:p w14:paraId="6C0C54B9" w14:textId="77777777" w:rsidR="00293FC1" w:rsidRDefault="00293FC1" w:rsidP="00293FC1">
            <w:pPr>
              <w:numPr>
                <w:ilvl w:val="0"/>
                <w:numId w:val="32"/>
              </w:numPr>
              <w:spacing w:after="0" w:line="240" w:lineRule="auto"/>
              <w:jc w:val="left"/>
            </w:pPr>
            <w:r>
              <w:t xml:space="preserve">Attend Writing retreats organised </w:t>
            </w:r>
            <w:proofErr w:type="spellStart"/>
            <w:r>
              <w:t>buy</w:t>
            </w:r>
            <w:proofErr w:type="spellEnd"/>
            <w:r>
              <w:t xml:space="preserve"> UoS;</w:t>
            </w:r>
          </w:p>
          <w:p w14:paraId="301B30AC" w14:textId="77777777" w:rsidR="00293FC1" w:rsidRPr="007E5B70" w:rsidRDefault="00293FC1" w:rsidP="00293FC1">
            <w:pPr>
              <w:numPr>
                <w:ilvl w:val="0"/>
                <w:numId w:val="32"/>
              </w:numPr>
              <w:spacing w:after="0" w:line="240" w:lineRule="auto"/>
              <w:jc w:val="left"/>
            </w:pPr>
            <w:r>
              <w:lastRenderedPageBreak/>
              <w:t xml:space="preserve">Individual study on how to write blogs </w:t>
            </w:r>
          </w:p>
        </w:tc>
      </w:tr>
      <w:tr w:rsidR="00293FC1" w:rsidRPr="007E5B70" w14:paraId="4A35C799" w14:textId="77777777" w:rsidTr="007B6F6D">
        <w:trPr>
          <w:trHeight w:val="212"/>
          <w:jc w:val="center"/>
        </w:trPr>
        <w:tc>
          <w:tcPr>
            <w:tcW w:w="4801" w:type="dxa"/>
            <w:tcBorders>
              <w:bottom w:val="single" w:sz="4" w:space="0" w:color="auto"/>
            </w:tcBorders>
            <w:shd w:val="clear" w:color="auto" w:fill="auto"/>
            <w:vAlign w:val="center"/>
          </w:tcPr>
          <w:p w14:paraId="5B25D7C6" w14:textId="77777777" w:rsidR="00293FC1" w:rsidRPr="007E5B70" w:rsidRDefault="00293FC1" w:rsidP="007B6F6D">
            <w:pPr>
              <w:spacing w:after="0" w:line="240" w:lineRule="auto"/>
              <w:rPr>
                <w:i/>
                <w:iCs/>
              </w:rPr>
            </w:pPr>
            <w:r w:rsidRPr="007E5B70">
              <w:rPr>
                <w:b/>
              </w:rPr>
              <w:lastRenderedPageBreak/>
              <w:t>Engagement and impact (D3)</w:t>
            </w:r>
            <w:r w:rsidRPr="007E5B70">
              <w:rPr>
                <w:b/>
              </w:rPr>
              <w:br/>
            </w:r>
            <w:r w:rsidRPr="007E5B70">
              <w:rPr>
                <w:i/>
                <w:iCs/>
              </w:rPr>
              <w:t>Including:</w:t>
            </w:r>
          </w:p>
          <w:p w14:paraId="55D39E12" w14:textId="77777777" w:rsidR="00293FC1" w:rsidRPr="007E5B70" w:rsidRDefault="00293FC1" w:rsidP="00293FC1">
            <w:pPr>
              <w:numPr>
                <w:ilvl w:val="0"/>
                <w:numId w:val="34"/>
              </w:numPr>
              <w:spacing w:after="0" w:line="240" w:lineRule="auto"/>
              <w:jc w:val="left"/>
              <w:rPr>
                <w:b/>
              </w:rPr>
            </w:pPr>
            <w:r w:rsidRPr="007E5B70">
              <w:t xml:space="preserve">Teaching; </w:t>
            </w:r>
          </w:p>
          <w:p w14:paraId="3263FBE5" w14:textId="77777777" w:rsidR="00293FC1" w:rsidRPr="007E5B70" w:rsidRDefault="00293FC1" w:rsidP="00293FC1">
            <w:pPr>
              <w:numPr>
                <w:ilvl w:val="0"/>
                <w:numId w:val="33"/>
              </w:numPr>
              <w:spacing w:after="0" w:line="240" w:lineRule="auto"/>
              <w:jc w:val="left"/>
            </w:pPr>
            <w:r>
              <w:t>Public Engagement;</w:t>
            </w:r>
          </w:p>
          <w:p w14:paraId="40C3547C" w14:textId="77777777" w:rsidR="00293FC1" w:rsidRPr="007E5B70" w:rsidRDefault="00293FC1" w:rsidP="00293FC1">
            <w:pPr>
              <w:numPr>
                <w:ilvl w:val="0"/>
                <w:numId w:val="33"/>
              </w:numPr>
              <w:spacing w:after="0" w:line="240" w:lineRule="auto"/>
              <w:jc w:val="left"/>
            </w:pPr>
            <w:r w:rsidRPr="00CF1FE3">
              <w:t>Global Citizenship</w:t>
            </w:r>
            <w:r w:rsidRPr="007E5B70">
              <w:t>.</w:t>
            </w:r>
          </w:p>
        </w:tc>
        <w:tc>
          <w:tcPr>
            <w:tcW w:w="5232" w:type="dxa"/>
            <w:gridSpan w:val="2"/>
            <w:tcBorders>
              <w:bottom w:val="single" w:sz="4" w:space="0" w:color="auto"/>
            </w:tcBorders>
            <w:shd w:val="clear" w:color="auto" w:fill="auto"/>
          </w:tcPr>
          <w:p w14:paraId="208D0027" w14:textId="77777777" w:rsidR="00293FC1" w:rsidRDefault="00293FC1" w:rsidP="00293FC1">
            <w:pPr>
              <w:numPr>
                <w:ilvl w:val="0"/>
                <w:numId w:val="33"/>
              </w:numPr>
              <w:spacing w:after="0" w:line="240" w:lineRule="auto"/>
              <w:jc w:val="left"/>
            </w:pPr>
            <w:r>
              <w:t>Teaching is not a priority area to me in this moment. However I would like to get some preparation in order to have the possibility to teach in the future;</w:t>
            </w:r>
          </w:p>
          <w:p w14:paraId="5C4B893F" w14:textId="77777777" w:rsidR="00293FC1" w:rsidRPr="007E5B70" w:rsidRDefault="00293FC1" w:rsidP="00293FC1">
            <w:pPr>
              <w:numPr>
                <w:ilvl w:val="0"/>
                <w:numId w:val="33"/>
              </w:numPr>
              <w:spacing w:after="0" w:line="240" w:lineRule="auto"/>
              <w:jc w:val="left"/>
            </w:pPr>
            <w:r>
              <w:t>In my previous work experience, I’ve organised and facilitated a workshop with students and young professionals.  However I would like to improve my capacity of talking in public and engaging with a group of people;</w:t>
            </w:r>
          </w:p>
        </w:tc>
        <w:tc>
          <w:tcPr>
            <w:tcW w:w="4735" w:type="dxa"/>
            <w:gridSpan w:val="2"/>
            <w:tcBorders>
              <w:bottom w:val="single" w:sz="4" w:space="0" w:color="auto"/>
            </w:tcBorders>
            <w:shd w:val="clear" w:color="auto" w:fill="auto"/>
          </w:tcPr>
          <w:p w14:paraId="58DD0EC0" w14:textId="77777777" w:rsidR="00293FC1" w:rsidRDefault="00293FC1" w:rsidP="00293FC1">
            <w:pPr>
              <w:numPr>
                <w:ilvl w:val="0"/>
                <w:numId w:val="33"/>
              </w:numPr>
              <w:spacing w:after="0" w:line="240" w:lineRule="auto"/>
              <w:jc w:val="left"/>
            </w:pPr>
            <w:r>
              <w:t>Attend workshop on Preparing for teaching (part of MGT6225);</w:t>
            </w:r>
          </w:p>
          <w:p w14:paraId="338BC5ED" w14:textId="77777777" w:rsidR="00293FC1" w:rsidRDefault="00293FC1" w:rsidP="00293FC1">
            <w:pPr>
              <w:numPr>
                <w:ilvl w:val="0"/>
                <w:numId w:val="33"/>
              </w:numPr>
              <w:spacing w:after="0" w:line="240" w:lineRule="auto"/>
              <w:jc w:val="left"/>
            </w:pPr>
            <w:r>
              <w:t>How to talk in public session</w:t>
            </w:r>
          </w:p>
          <w:p w14:paraId="1434D756" w14:textId="77777777" w:rsidR="00293FC1" w:rsidRPr="007E5B70" w:rsidRDefault="00293FC1" w:rsidP="00293FC1">
            <w:pPr>
              <w:numPr>
                <w:ilvl w:val="0"/>
                <w:numId w:val="33"/>
              </w:numPr>
              <w:spacing w:after="0" w:line="240" w:lineRule="auto"/>
              <w:jc w:val="left"/>
            </w:pPr>
            <w:r>
              <w:t>Attend Conferences engaging with pupils that are doing research in the same topic.</w:t>
            </w:r>
          </w:p>
        </w:tc>
      </w:tr>
      <w:tr w:rsidR="00293FC1" w:rsidRPr="007E5B70" w14:paraId="19C4EF68" w14:textId="77777777" w:rsidTr="007B6F6D">
        <w:trPr>
          <w:trHeight w:val="762"/>
          <w:jc w:val="center"/>
        </w:trPr>
        <w:tc>
          <w:tcPr>
            <w:tcW w:w="14768" w:type="dxa"/>
            <w:gridSpan w:val="5"/>
            <w:tcBorders>
              <w:bottom w:val="single" w:sz="4" w:space="0" w:color="auto"/>
            </w:tcBorders>
            <w:shd w:val="pct5" w:color="auto" w:fill="auto"/>
          </w:tcPr>
          <w:p w14:paraId="0C370BC2" w14:textId="77777777" w:rsidR="00293FC1" w:rsidRDefault="00293FC1" w:rsidP="007B6F6D">
            <w:pPr>
              <w:spacing w:after="0" w:line="240" w:lineRule="auto"/>
              <w:rPr>
                <w:b/>
                <w:bCs/>
                <w:i/>
                <w:iCs/>
              </w:rPr>
            </w:pPr>
          </w:p>
          <w:p w14:paraId="36CAB66B" w14:textId="77777777" w:rsidR="00293FC1" w:rsidRPr="007E5B70" w:rsidRDefault="00293FC1" w:rsidP="007B6F6D">
            <w:pPr>
              <w:spacing w:after="0" w:line="240" w:lineRule="auto"/>
            </w:pPr>
            <w:r>
              <w:rPr>
                <w:b/>
                <w:bCs/>
                <w:i/>
                <w:iCs/>
              </w:rPr>
              <w:t>Feedback (to be completed after the supervision in which the TNA is discussed)</w:t>
            </w:r>
          </w:p>
        </w:tc>
      </w:tr>
      <w:tr w:rsidR="00293FC1" w:rsidRPr="007E5B70" w14:paraId="63BA1050" w14:textId="77777777" w:rsidTr="007B6F6D">
        <w:trPr>
          <w:trHeight w:val="762"/>
          <w:jc w:val="center"/>
        </w:trPr>
        <w:tc>
          <w:tcPr>
            <w:tcW w:w="7297" w:type="dxa"/>
            <w:gridSpan w:val="2"/>
            <w:shd w:val="clear" w:color="auto" w:fill="auto"/>
            <w:vAlign w:val="center"/>
          </w:tcPr>
          <w:p w14:paraId="332115AA" w14:textId="77777777" w:rsidR="00293FC1" w:rsidRPr="007E5B70" w:rsidRDefault="00293FC1" w:rsidP="007B6F6D">
            <w:pPr>
              <w:spacing w:after="0" w:line="240" w:lineRule="auto"/>
            </w:pPr>
            <w:r>
              <w:rPr>
                <w:b/>
                <w:bCs/>
                <w:i/>
                <w:iCs/>
              </w:rPr>
              <w:t>Comments from supervisor(s)</w:t>
            </w:r>
          </w:p>
        </w:tc>
        <w:tc>
          <w:tcPr>
            <w:tcW w:w="7471" w:type="dxa"/>
            <w:gridSpan w:val="3"/>
            <w:shd w:val="clear" w:color="auto" w:fill="auto"/>
            <w:vAlign w:val="center"/>
          </w:tcPr>
          <w:p w14:paraId="1748ED08" w14:textId="77777777" w:rsidR="00293FC1" w:rsidRPr="007E5B70" w:rsidRDefault="00293FC1" w:rsidP="007B6F6D">
            <w:pPr>
              <w:spacing w:after="0" w:line="240" w:lineRule="auto"/>
            </w:pPr>
            <w:r>
              <w:rPr>
                <w:b/>
                <w:bCs/>
                <w:i/>
                <w:iCs/>
              </w:rPr>
              <w:t xml:space="preserve">Any further action </w:t>
            </w:r>
            <w:r w:rsidRPr="007E5B70">
              <w:rPr>
                <w:b/>
                <w:bCs/>
                <w:i/>
                <w:iCs/>
              </w:rPr>
              <w:t>agreed by the supervisor and the student [please specify]:</w:t>
            </w:r>
          </w:p>
        </w:tc>
      </w:tr>
      <w:tr w:rsidR="00293FC1" w:rsidRPr="007E5B70" w14:paraId="1778966B" w14:textId="77777777" w:rsidTr="007B6F6D">
        <w:trPr>
          <w:trHeight w:val="762"/>
          <w:jc w:val="center"/>
        </w:trPr>
        <w:tc>
          <w:tcPr>
            <w:tcW w:w="7297" w:type="dxa"/>
            <w:gridSpan w:val="2"/>
            <w:shd w:val="clear" w:color="auto" w:fill="auto"/>
          </w:tcPr>
          <w:p w14:paraId="7410C70B" w14:textId="77777777" w:rsidR="00293FC1" w:rsidRDefault="00293FC1" w:rsidP="007B6F6D">
            <w:pPr>
              <w:spacing w:after="0" w:line="240" w:lineRule="auto"/>
              <w:rPr>
                <w:b/>
                <w:bCs/>
                <w:i/>
                <w:iCs/>
              </w:rPr>
            </w:pPr>
          </w:p>
        </w:tc>
        <w:tc>
          <w:tcPr>
            <w:tcW w:w="7471" w:type="dxa"/>
            <w:gridSpan w:val="3"/>
            <w:shd w:val="clear" w:color="auto" w:fill="auto"/>
          </w:tcPr>
          <w:p w14:paraId="42B0E61C" w14:textId="77777777" w:rsidR="00293FC1" w:rsidRDefault="00293FC1" w:rsidP="007B6F6D">
            <w:pPr>
              <w:spacing w:after="0" w:line="240" w:lineRule="auto"/>
              <w:rPr>
                <w:b/>
                <w:bCs/>
                <w:i/>
                <w:iCs/>
              </w:rPr>
            </w:pPr>
          </w:p>
        </w:tc>
      </w:tr>
    </w:tbl>
    <w:p w14:paraId="082F3CF9" w14:textId="77777777" w:rsidR="00293FC1" w:rsidRDefault="00293FC1" w:rsidP="00293FC1"/>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2"/>
        <w:gridCol w:w="2288"/>
      </w:tblGrid>
      <w:tr w:rsidR="00293FC1" w:rsidRPr="007E5B70" w14:paraId="2AFA8D80" w14:textId="77777777" w:rsidTr="007B6F6D">
        <w:trPr>
          <w:trHeight w:val="432"/>
        </w:trPr>
        <w:tc>
          <w:tcPr>
            <w:tcW w:w="10328" w:type="dxa"/>
            <w:tcBorders>
              <w:top w:val="single" w:sz="4" w:space="0" w:color="000000"/>
              <w:left w:val="single" w:sz="4" w:space="0" w:color="000000"/>
              <w:bottom w:val="single" w:sz="4" w:space="0" w:color="000000"/>
              <w:right w:val="single" w:sz="4" w:space="0" w:color="000000"/>
            </w:tcBorders>
            <w:vAlign w:val="center"/>
            <w:hideMark/>
          </w:tcPr>
          <w:p w14:paraId="768345EF" w14:textId="77777777" w:rsidR="00293FC1" w:rsidRPr="007E5B70" w:rsidRDefault="00293FC1" w:rsidP="007B6F6D">
            <w:pPr>
              <w:spacing w:after="0" w:line="240" w:lineRule="auto"/>
              <w:rPr>
                <w:rFonts w:cs="Calibri"/>
                <w:b/>
                <w:bCs/>
              </w:rPr>
            </w:pPr>
            <w:r w:rsidRPr="007E5B70">
              <w:rPr>
                <w:rFonts w:cs="Calibri"/>
                <w:b/>
                <w:bCs/>
              </w:rPr>
              <w:t>Signature of researcher:</w:t>
            </w:r>
          </w:p>
        </w:tc>
        <w:tc>
          <w:tcPr>
            <w:tcW w:w="3460" w:type="dxa"/>
            <w:tcBorders>
              <w:top w:val="single" w:sz="4" w:space="0" w:color="000000"/>
              <w:left w:val="single" w:sz="4" w:space="0" w:color="000000"/>
              <w:bottom w:val="single" w:sz="4" w:space="0" w:color="000000"/>
              <w:right w:val="single" w:sz="4" w:space="0" w:color="000000"/>
            </w:tcBorders>
            <w:vAlign w:val="center"/>
            <w:hideMark/>
          </w:tcPr>
          <w:p w14:paraId="251ED5BE" w14:textId="77777777" w:rsidR="00293FC1" w:rsidRPr="007E5B70" w:rsidRDefault="00293FC1" w:rsidP="007B6F6D">
            <w:pPr>
              <w:spacing w:after="0" w:line="240" w:lineRule="auto"/>
              <w:rPr>
                <w:rFonts w:cs="Calibri"/>
                <w:b/>
                <w:bCs/>
              </w:rPr>
            </w:pPr>
            <w:r w:rsidRPr="007E5B70">
              <w:rPr>
                <w:rFonts w:cs="Calibri"/>
                <w:b/>
                <w:bCs/>
              </w:rPr>
              <w:t>Date:</w:t>
            </w:r>
          </w:p>
        </w:tc>
      </w:tr>
      <w:tr w:rsidR="00293FC1" w:rsidRPr="007E5B70" w14:paraId="0C1DFF1B" w14:textId="77777777" w:rsidTr="007B6F6D">
        <w:trPr>
          <w:trHeight w:val="432"/>
        </w:trPr>
        <w:tc>
          <w:tcPr>
            <w:tcW w:w="10328" w:type="dxa"/>
            <w:tcBorders>
              <w:top w:val="single" w:sz="4" w:space="0" w:color="000000"/>
              <w:left w:val="single" w:sz="4" w:space="0" w:color="000000"/>
              <w:bottom w:val="single" w:sz="4" w:space="0" w:color="000000"/>
              <w:right w:val="single" w:sz="4" w:space="0" w:color="000000"/>
            </w:tcBorders>
            <w:vAlign w:val="center"/>
            <w:hideMark/>
          </w:tcPr>
          <w:p w14:paraId="6913392B" w14:textId="77777777" w:rsidR="00293FC1" w:rsidRPr="007E5B70" w:rsidRDefault="00293FC1" w:rsidP="007B6F6D">
            <w:pPr>
              <w:spacing w:after="0" w:line="240" w:lineRule="auto"/>
              <w:rPr>
                <w:rFonts w:cs="Calibri"/>
                <w:b/>
                <w:bCs/>
              </w:rPr>
            </w:pPr>
            <w:r w:rsidRPr="007E5B70">
              <w:rPr>
                <w:rFonts w:cs="Calibri"/>
                <w:b/>
                <w:bCs/>
              </w:rPr>
              <w:t>Signatures of supervisor(s):</w:t>
            </w:r>
          </w:p>
        </w:tc>
        <w:tc>
          <w:tcPr>
            <w:tcW w:w="3460" w:type="dxa"/>
            <w:tcBorders>
              <w:top w:val="single" w:sz="4" w:space="0" w:color="000000"/>
              <w:left w:val="single" w:sz="4" w:space="0" w:color="000000"/>
              <w:bottom w:val="single" w:sz="4" w:space="0" w:color="000000"/>
              <w:right w:val="single" w:sz="4" w:space="0" w:color="000000"/>
            </w:tcBorders>
            <w:vAlign w:val="center"/>
            <w:hideMark/>
          </w:tcPr>
          <w:p w14:paraId="21852660" w14:textId="77777777" w:rsidR="00293FC1" w:rsidRPr="007E5B70" w:rsidRDefault="00293FC1" w:rsidP="007B6F6D">
            <w:pPr>
              <w:spacing w:after="0" w:line="240" w:lineRule="auto"/>
              <w:rPr>
                <w:rFonts w:cs="Calibri"/>
                <w:b/>
                <w:bCs/>
              </w:rPr>
            </w:pPr>
            <w:r w:rsidRPr="007E5B70">
              <w:rPr>
                <w:rFonts w:cs="Calibri"/>
                <w:b/>
                <w:bCs/>
              </w:rPr>
              <w:t>Date:</w:t>
            </w:r>
          </w:p>
        </w:tc>
      </w:tr>
      <w:tr w:rsidR="00293FC1" w:rsidRPr="007E5B70" w14:paraId="74C2D9E4" w14:textId="77777777" w:rsidTr="007B6F6D">
        <w:trPr>
          <w:trHeight w:val="432"/>
        </w:trPr>
        <w:tc>
          <w:tcPr>
            <w:tcW w:w="10328" w:type="dxa"/>
            <w:tcBorders>
              <w:top w:val="single" w:sz="4" w:space="0" w:color="000000"/>
              <w:left w:val="single" w:sz="4" w:space="0" w:color="000000"/>
              <w:bottom w:val="single" w:sz="4" w:space="0" w:color="000000"/>
              <w:right w:val="single" w:sz="4" w:space="0" w:color="000000"/>
            </w:tcBorders>
            <w:vAlign w:val="center"/>
            <w:hideMark/>
          </w:tcPr>
          <w:p w14:paraId="75D05432" w14:textId="77777777" w:rsidR="00293FC1" w:rsidRPr="007E5B70" w:rsidRDefault="00293FC1" w:rsidP="007B6F6D">
            <w:pPr>
              <w:spacing w:after="0" w:line="240" w:lineRule="auto"/>
              <w:rPr>
                <w:rFonts w:cs="Calibri"/>
                <w:b/>
                <w:bCs/>
              </w:rPr>
            </w:pPr>
            <w:r w:rsidRPr="007E5B70">
              <w:rPr>
                <w:rFonts w:cs="Calibri"/>
                <w:b/>
                <w:bCs/>
              </w:rPr>
              <w:t>Signature of departmental PGR Director:</w:t>
            </w:r>
          </w:p>
        </w:tc>
        <w:tc>
          <w:tcPr>
            <w:tcW w:w="3460" w:type="dxa"/>
            <w:tcBorders>
              <w:top w:val="single" w:sz="4" w:space="0" w:color="000000"/>
              <w:left w:val="single" w:sz="4" w:space="0" w:color="000000"/>
              <w:bottom w:val="single" w:sz="4" w:space="0" w:color="000000"/>
              <w:right w:val="single" w:sz="4" w:space="0" w:color="000000"/>
            </w:tcBorders>
            <w:vAlign w:val="center"/>
            <w:hideMark/>
          </w:tcPr>
          <w:p w14:paraId="543AF481" w14:textId="77777777" w:rsidR="00293FC1" w:rsidRPr="007E5B70" w:rsidRDefault="00293FC1" w:rsidP="007B6F6D">
            <w:pPr>
              <w:spacing w:after="0" w:line="240" w:lineRule="auto"/>
              <w:rPr>
                <w:rFonts w:cs="Calibri"/>
                <w:b/>
                <w:bCs/>
              </w:rPr>
            </w:pPr>
            <w:r w:rsidRPr="007E5B70">
              <w:rPr>
                <w:rFonts w:cs="Calibri"/>
                <w:b/>
                <w:bCs/>
              </w:rPr>
              <w:t>Date:</w:t>
            </w:r>
          </w:p>
        </w:tc>
      </w:tr>
    </w:tbl>
    <w:p w14:paraId="6910C26F" w14:textId="14223501" w:rsidR="00293FC1" w:rsidRDefault="00293FC1" w:rsidP="007765F7">
      <w:pPr>
        <w:sectPr w:rsidR="00293FC1" w:rsidSect="00DB1C55">
          <w:pgSz w:w="11906" w:h="16838"/>
          <w:pgMar w:top="1418" w:right="1418" w:bottom="1372" w:left="1418" w:header="708" w:footer="316" w:gutter="0"/>
          <w:cols w:space="708"/>
          <w:docGrid w:linePitch="360"/>
        </w:sectPr>
      </w:pPr>
    </w:p>
    <w:p w14:paraId="401676AB" w14:textId="1072A6F3" w:rsidR="00F00FB8" w:rsidRPr="00F00FB8" w:rsidRDefault="00F00FB8" w:rsidP="00A47566">
      <w:pPr>
        <w:pStyle w:val="Heading1"/>
        <w:numPr>
          <w:ilvl w:val="0"/>
          <w:numId w:val="0"/>
        </w:numPr>
        <w:ind w:left="360" w:hanging="360"/>
        <w:rPr>
          <w:rFonts w:eastAsia="Calibri" w:cs="Times New Roman"/>
          <w:sz w:val="36"/>
          <w:szCs w:val="26"/>
          <w:lang w:val="en-US"/>
        </w:rPr>
      </w:pPr>
      <w:bookmarkStart w:id="218" w:name="_Toc157759586"/>
      <w:r>
        <w:rPr>
          <w:rFonts w:eastAsia="Calibri" w:cs="Times New Roman"/>
          <w:sz w:val="36"/>
          <w:szCs w:val="26"/>
          <w:lang w:val="en-US"/>
        </w:rPr>
        <w:lastRenderedPageBreak/>
        <w:t xml:space="preserve">Appendix </w:t>
      </w:r>
      <w:r w:rsidR="00293FC1">
        <w:rPr>
          <w:rFonts w:eastAsia="Calibri" w:cs="Times New Roman"/>
          <w:sz w:val="36"/>
          <w:szCs w:val="26"/>
          <w:lang w:val="en-US"/>
        </w:rPr>
        <w:t>5</w:t>
      </w:r>
      <w:r w:rsidRPr="00F00FB8">
        <w:rPr>
          <w:rFonts w:eastAsia="Calibri" w:cs="Times New Roman"/>
          <w:sz w:val="36"/>
          <w:szCs w:val="26"/>
          <w:lang w:val="en-US"/>
        </w:rPr>
        <w:t xml:space="preserve"> – </w:t>
      </w:r>
      <w:r>
        <w:rPr>
          <w:rFonts w:eastAsia="Calibri" w:cs="Times New Roman"/>
          <w:sz w:val="36"/>
          <w:szCs w:val="26"/>
          <w:lang w:val="en-US"/>
        </w:rPr>
        <w:t>Circular Economy Indicators for Supply</w:t>
      </w:r>
      <w:r w:rsidR="00A47566">
        <w:rPr>
          <w:rFonts w:eastAsia="Calibri" w:cs="Times New Roman"/>
          <w:sz w:val="36"/>
          <w:szCs w:val="26"/>
          <w:lang w:val="en-US"/>
        </w:rPr>
        <w:t xml:space="preserve"> </w:t>
      </w:r>
      <w:r>
        <w:rPr>
          <w:rFonts w:eastAsia="Calibri" w:cs="Times New Roman"/>
          <w:sz w:val="36"/>
          <w:szCs w:val="26"/>
          <w:lang w:val="en-US"/>
        </w:rPr>
        <w:t>Chains: A Systematic Literature Review</w:t>
      </w:r>
      <w:bookmarkEnd w:id="218"/>
    </w:p>
    <w:p w14:paraId="0B48D181" w14:textId="0161562D" w:rsidR="00C34BEC" w:rsidRPr="00C34BEC" w:rsidRDefault="00C34BEC" w:rsidP="00C34BEC">
      <w:pPr>
        <w:rPr>
          <w:b/>
        </w:rPr>
      </w:pPr>
      <w:r w:rsidRPr="00C34BEC">
        <w:rPr>
          <w:b/>
        </w:rPr>
        <w:t>Abstract</w:t>
      </w:r>
      <w:r>
        <w:rPr>
          <w:b/>
        </w:rPr>
        <w:t>:</w:t>
      </w:r>
    </w:p>
    <w:p w14:paraId="039A05AD" w14:textId="77777777" w:rsidR="00C34BEC" w:rsidRPr="00C34BEC" w:rsidRDefault="00C34BEC" w:rsidP="00C34BEC">
      <w:r w:rsidRPr="00C34BEC">
        <w:t xml:space="preserve">Recently, the Circular Economy paradigm has emerged as an alternative to linear and unsustainable production and consumption systems. In order to implement Circular Economy practices and evaluate their effects, organisations need adequate measurement tools. These tools should extend beyond the single firm boundary and consider the complexity of supply chains, material flows, and environmental and social impacts. No established indicator exists to assist the transition of supply chains to a higher degree of circularity; also, most of the literature on Circular Economy indicators has focused on the firm rather than on the supply chain as the level of analysis. Through a Systematic Literature Review method, this paper examines decision support tools, and related indicators, employed for assessing the performance of Circular Supply Chains in the academic literature. In parallel, a content analysis and a template technique are employed to evaluate how Multi National Enterprises measure the effect of the adoption of Circular Economy practices in their reports. Results are synthesised in two composite indicators, which aggregate the most commonly employed measures. Findings show that both academic literature and industrial practice show a scarce consideration of social and circularity metrics, rather focusing on classical environmental impacts and economic measure. In the academic literature, the economic dimension is prevalent, while practitioners seem to evaluate and communicate more often the environmental impacts of already adopted Circular Economy practices. Also, different indicators’ categories (monetary, biophysical, composite indicators) are recognised, according to their choices in terms of selection and aggregation of different metrics and to the contribution they can bring to the transition from linear to circular supply chains. </w:t>
      </w:r>
    </w:p>
    <w:p w14:paraId="46D88016" w14:textId="77777777" w:rsidR="00C34BEC" w:rsidRPr="00C34BEC" w:rsidRDefault="00C34BEC" w:rsidP="00C34BEC">
      <w:r w:rsidRPr="00C34BEC">
        <w:rPr>
          <w:b/>
          <w:bCs/>
        </w:rPr>
        <w:t>Keywords</w:t>
      </w:r>
      <w:r w:rsidRPr="00C34BEC">
        <w:t>: Circular Economy, Indicators, Systematic Literature Review, Supply Chains, Performance Measurement, Sustainability Assessment</w:t>
      </w:r>
    </w:p>
    <w:p w14:paraId="7AB69558" w14:textId="77777777" w:rsidR="00C34BEC" w:rsidRPr="00C34BEC" w:rsidRDefault="00C34BEC" w:rsidP="00C34BEC">
      <w:r w:rsidRPr="00C34BEC">
        <w:br w:type="page"/>
      </w:r>
    </w:p>
    <w:p w14:paraId="498C4A81" w14:textId="785299B7" w:rsidR="00C34BEC" w:rsidRPr="00C34BEC" w:rsidRDefault="007765F7" w:rsidP="007765F7">
      <w:pPr>
        <w:pStyle w:val="Heading2"/>
        <w:numPr>
          <w:ilvl w:val="0"/>
          <w:numId w:val="0"/>
        </w:numPr>
        <w:ind w:left="357" w:hanging="357"/>
      </w:pPr>
      <w:bookmarkStart w:id="219" w:name="_Toc157759587"/>
      <w:r>
        <w:lastRenderedPageBreak/>
        <w:t xml:space="preserve">1 </w:t>
      </w:r>
      <w:r w:rsidR="00C34BEC" w:rsidRPr="00C34BEC">
        <w:t>Introduction</w:t>
      </w:r>
      <w:bookmarkEnd w:id="219"/>
    </w:p>
    <w:p w14:paraId="26130251" w14:textId="77777777" w:rsidR="00C34BEC" w:rsidRPr="00C34BEC" w:rsidRDefault="00C34BEC" w:rsidP="00C34BEC">
      <w:r w:rsidRPr="00C34BEC">
        <w:t xml:space="preserve">Since the first industrial revolution, supply chains have operated according to a linear paradigm, based on the extraction and unsustainable use of natural resources. This has caused irreversible ecological damage, as half of the total greenhouse gas emissions and more than 90% of biodiversity and water losses are related to resource extraction and processing </w:t>
      </w:r>
      <w:r w:rsidRPr="00C34BEC">
        <w:fldChar w:fldCharType="begin" w:fldLock="1"/>
      </w:r>
      <w:r w:rsidRPr="00C34BEC">
        <w:instrText>ADDIN CSL_CITATION {"citationItems":[{"id":"ITEM-1","itemData":{"DOI":"10.1080/00207543.2018.1471244","ISSN":"1366588X","abstract":"Reverse Logistics and Closed Loop Supply Chain Management (RL&amp;CLSCM) are universally recognised as two environmentally friendly practices that could help in greening conventional supply chains. The popularity of these fields of research has led to the evolution of a vast number of publications in the literature. Various journals have so far contributed to the advancement of the field, with the International Journal of Production of Research (IJPR) being one of the most prominent contributed journals. To celebrate the 55th volume anniversary of IJPR, this review study aims to investigate the studies in the area of RL&amp;CLSCM published in IJPR. The paper presents a thorough bibliometric and content analysis of 94 studies that were published in IJPR from 2000 until July 2017. The studies initially underwent a rigorous bibliometric and mapping analysis that helped to identify their characteristics. Subsequently, the contents of the sample papers were evaluated thoroughly. The content analysis led to classification of the papers into two main categories and sub-categories, and then to rigorous identification of the papers’ attributes. The bibliometric and content analysis disclosed several research gaps that remain to be addressed in IJPR.","author":[{"dropping-particle":"","family":"Kazemi","given":"Nima","non-dropping-particle":"","parse-names":false,"suffix":""},{"dropping-particle":"","family":"Modak","given":"Nikunja Mohan","non-dropping-particle":"","parse-names":false,"suffix":""},{"dropping-particle":"","family":"Govindan","given":"Kannan","non-dropping-particle":"","parse-names":false,"suffix":""}],"container-title":"International Journal of Production Research","id":"ITEM-1","issue":"15-16","issued":{"date-parts":[["2019"]]},"page":"4937-4960","title":"A review of reverse logistics and closed loop supply chain management studies published in IJPR: a bibliometric and content analysis","type":"article-journal","volume":"57"},"uris":["http://www.mendeley.com/documents/?uuid=68eb7cdc-b352-449f-a853-f97babfc3b4a"]},{"id":"ITEM-2","itemData":{"DOI":"10.1080/00207543.2018.1542176","ISSN":"1366588X","abstract":"Despite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Research","id":"ITEM-2","issue":"23","issued":{"date-parts":[["2019"]]},"page":"7395-7422","publisher":"Taylor &amp; Francis","title":"Challenges in supply chain redesign for the Circular Economy: a literature review and a multiple case study","type":"article-journal","volume":"57"},"uris":["http://www.mendeley.com/documents/?uuid=66ed4a77-74f5-4258-a3a6-d2c5ce0085d1"]},{"id":"ITEM-3","itemData":{"author":[{"dropping-particle":"","family":"European Commission","given":"","non-dropping-particle":"","parse-names":false,"suffix":""}],"id":"ITEM-3","issued":{"date-parts":[["2020"]]},"title":"A new Circular Economy Action Plan For a cleaner and more competitive Europe. Available online at: https://eur-lex.europa.eu/legal-content/EN/TXT/?qid=1583933814386&amp;uri=COM:2020:98:FIN. Last accessed: 11/06/2020","type":"article-journal"},"uris":["http://www.mendeley.com/documents/?uuid=80927fc1-a7b0-4e03-aa0a-7f0c5cce5d72"]}],"mendeley":{"formattedCitation":"(Bressanelli et al., 2019; Kazemi et al., 2019; European Commission, 2020)","plainTextFormattedCitation":"(Bressanelli et al., 2019; Kazemi et al., 2019; European Commission, 2020)","previouslyFormattedCitation":"(Bressanelli et al., 2019; Kazemi et al., 2019; European Commission, 2020)"},"properties":{"noteIndex":0},"schema":"https://github.com/citation-style-language/schema/raw/master/csl-citation.json"}</w:instrText>
      </w:r>
      <w:r w:rsidRPr="00C34BEC">
        <w:fldChar w:fldCharType="separate"/>
      </w:r>
      <w:r w:rsidRPr="00C34BEC">
        <w:t>(Bressanelli et al., 2019; Kazemi et al., 2019; European Commission, 2020)</w:t>
      </w:r>
      <w:r w:rsidRPr="00C34BEC">
        <w:fldChar w:fldCharType="end"/>
      </w:r>
      <w:r w:rsidRPr="00C34BEC">
        <w:t xml:space="preserve">. The Circular Economy (CE) concept was developed to reverse unsustainable patterns of development and create long-term prosperity </w:t>
      </w:r>
      <w:r w:rsidRPr="00C34BEC">
        <w:fldChar w:fldCharType="begin" w:fldLock="1"/>
      </w:r>
      <w:r w:rsidRPr="00C34BEC">
        <w:instrText>ADDIN CSL_CITATION {"citationItems":[{"id":"ITEM-1","itemData":{"DOI":"10.1080/09644016.2019.1673996","ISSN":"17438934","abstract":"The circular economy (CE) concept is informing the governance of resource use and waste management on a global scale, leading to widespread policy instrument innovation. However, the recent appearance of CE ‘policy portfolios’ raises questions about whether such policies are genuinely path-breaking or are merely adjustments to existing arrangements. Tracing the emergence of the European Union’s Circular Economy Package shows that, while some measures are genuinely novel, many others are ‘patched’ onto pre-existing instruments and that the overall portfolio exhibits a high degree of institutional ‘layering’. Given the evidence of relative ineffectiveness of past incremental environmental interventions, there is a mismatch between such approaches and the scale, pace, and scope of transformation implied by contemporary articulations of the circular economy concept. Creating the policy conditions for sustainable production and consumption may require more radical policy formulations than CE proponents acknowledge.","author":[{"dropping-particle":"","family":"Fitch-Roy","given":"Oscar","non-dropping-particle":"","parse-names":false,"suffix":""},{"dropping-particle":"","family":"Benson","given":"David","non-dropping-particle":"","parse-names":false,"suffix":""},{"dropping-particle":"","family":"Monciardini","given":"David","non-dropping-particle":"","parse-names":false,"suffix":""}],"container-title":"Environmental Politics","id":"ITEM-1","issue":"6","issued":{"date-parts":[["2020"]]},"page":"983-1003","publisher":"Routledge","title":"Going around in circles? Conceptual recycling, patching and policy layering in the EU circular economy package","type":"article-journal","volume":"29"},"uris":["http://www.mendeley.com/documents/?uuid=36ccac88-f60c-4911-99d6-9fabbca97f82"]}],"mendeley":{"formattedCitation":"(Fitch-Roy et al., 2020)","plainTextFormattedCitation":"(Fitch-Roy et al., 2020)","previouslyFormattedCitation":"(Fitch-Roy et al., 2020)"},"properties":{"noteIndex":0},"schema":"https://github.com/citation-style-language/schema/raw/master/csl-citation.json"}</w:instrText>
      </w:r>
      <w:r w:rsidRPr="00C34BEC">
        <w:fldChar w:fldCharType="separate"/>
      </w:r>
      <w:r w:rsidRPr="00C34BEC">
        <w:t>(Fitch-Roy et al., 2020)</w:t>
      </w:r>
      <w:r w:rsidRPr="00C34BEC">
        <w:fldChar w:fldCharType="end"/>
      </w:r>
      <w:r w:rsidRPr="00C34BEC">
        <w:t xml:space="preserve">. In the CE paradigm, every economic activity should maximise ecosystem functions and human well-being </w:t>
      </w:r>
      <w:r w:rsidRPr="00C34BEC">
        <w:fldChar w:fldCharType="begin" w:fldLock="1"/>
      </w:r>
      <w:r w:rsidRPr="00C34BEC">
        <w:instrText>ADDIN CSL_CITATION {"citationItems":[{"id":"ITEM-1","itemData":{"DOI":"10.1007/s10551-015-2693-2","ISSN":"15730697","abstract":"© 2015, Springer Science+Business Media Dordrecht. There have long been calls from industry for guidance in implementing strategies for sustainable development. The Circular Economy represents the most recent attempt to conceptualize the integration of economic activity and environmental wellbeing in a sustainable way. This set of ideas has been adopted by China as the basis of their economic development (included in both the 11th and the 12th ‘Five Year Plan’), escalating the concept in minds of western policymakers and NGOs. This paper traces the conceptualisations and origins of the Circular Economy, tracing its meanings, and exploring its antecedents in economics and ecology, and discusses how the Circular Economy has been operationalized in business and policy. The paper finds that while the Circular Economy places emphasis on the redesign of processes and cycling of materials, which may contribute to more sustainable business models, it also encapsulates tensions and limitations. These include an absence of the social dimension inherent in sustainable development that limits its ethical dimensions, and some unintended consequences. This leads us to propose a revised definition of the Circular Economy as “an economic model wherein planning, resourcing, procurement, production and reprocessing are designed and managed, as both process and output, to maximize ecosystem functioning and human well-being”.","author":[{"dropping-particle":"","family":"Murray","given":"Alan","non-dropping-particle":"","parse-names":false,"suffix":""},{"dropping-particle":"","family":"Skene","given":"Keith","non-dropping-particle":"","parse-names":false,"suffix":""},{"dropping-particle":"","family":"Haynes","given":"Kathryn","non-dropping-particle":"","parse-names":false,"suffix":""}],"container-title":"Journal of Business Ethics","id":"ITEM-1","issue":"3","issued":{"date-parts":[["2017","2","1"]]},"page":"369-380","publisher":"Springer Netherlands","title":"The Circular Economy: An Interdisciplinary Exploration of the Concept and Application in a Global Context","type":"article-journal","volume":"140"},"uris":["http://www.mendeley.com/documents/?uuid=18ddad2d-f943-3a65-a9c5-ba6c9849a1b8"]}],"mendeley":{"formattedCitation":"(Murray et al., 2017)","plainTextFormattedCitation":"(Murray et al., 2017)","previouslyFormattedCitation":"(Murray et al., 2017)"},"properties":{"noteIndex":0},"schema":"https://github.com/citation-style-language/schema/raw/master/csl-citation.json"}</w:instrText>
      </w:r>
      <w:r w:rsidRPr="00C34BEC">
        <w:fldChar w:fldCharType="separate"/>
      </w:r>
      <w:r w:rsidRPr="00C34BEC">
        <w:t>(Murray et al., 2017)</w:t>
      </w:r>
      <w:r w:rsidRPr="00C34BEC">
        <w:fldChar w:fldCharType="end"/>
      </w:r>
      <w:r w:rsidRPr="00C34BEC">
        <w:t xml:space="preserve">. As such, the frontiers of environmental sustainability are pushed forward, and products are transformed in such a way that there are workable relationships between ecological systems, economic growth and human well-being. A higher circularity in the use of materials is supposed to provide organisations with a wide range of economic benefits. These benefits include reduced materials costs, greater value extraction from resources and greater resilience </w:t>
      </w:r>
      <w:r w:rsidRPr="00C34BEC">
        <w:fldChar w:fldCharType="begin" w:fldLock="1"/>
      </w:r>
      <w:r w:rsidRPr="00C34BEC">
        <w:instrText>ADDIN CSL_CITATION {"citationItems":[{"id":"ITEM-1","itemData":{"DOI":"10.1016/j.jclepro.2019.05.310","ISSN":"09596526","abstract":"Huge depletion of raw materials, inefficient waste management practices, increasing population and consumerist lifestyles, are even more coping companies with the adoption of Circular Economy (CE) principles in their Business Models (BMs). However, benefits coming from the implementation of CE within companies are not always clear to managers. To this aim, the paper has a multiple purpose. Firstly, the work provides to academics the list of the benefits deriving from CE adoption through a systematic literature review, declined under the Triple Bottom Line (TBL) perspective of sustainability, also by validating and grounding them through four practical use cases. Secondly, the work links CE benefits with a set of CBMs – based on Product-Service Systems (PSSs) – through a set of interviews with experts belonging to the Waste from Electrical and Electronic Equipment (WEEE) sector, trying to support industrials in both i) detecting benefits related with the adoption of CBMs, ii) increasing their awareness on benefits and iii) reaching them into practice. Given that PSS-based CBMs are renown both by the scientific and industrial community as the most suitable ones to achieve circularity, they were considered as the most appropriate to adopt also in this work. Finally, four use cases coming from the WEEE sector demonstrate how to link CBMs with CE benefits.","author":[{"dropping-particle":"","family":"Rosa","given":"Paolo","non-dropping-particle":"","parse-names":false,"suffix":""},{"dropping-particle":"","family":"Sassanelli","given":"Claudio","non-dropping-particle":"","parse-names":false,"suffix":""},{"dropping-particle":"","family":"Terzi","given":"Sergio","non-dropping-particle":"","parse-names":false,"suffix":""}],"container-title":"Journal of Cleaner Production","id":"ITEM-1","issued":{"date-parts":[["2019"]]},"page":"940-952","publisher":"Elsevier Ltd","title":"Circular Business Models versus circular benefits: An assessment in the waste from Electrical and Electronic Equipments sector","type":"article-journal","volume":"231"},"uris":["http://www.mendeley.com/documents/?uuid=d510050a-512d-4e2a-9cb3-e8aa816d9beb"]}],"mendeley":{"formattedCitation":"(Rosa et al., 2019)","plainTextFormattedCitation":"(Rosa et al., 2019)","previouslyFormattedCitation":"(Rosa et al., 2019)"},"properties":{"noteIndex":0},"schema":"https://github.com/citation-style-language/schema/raw/master/csl-citation.json"}</w:instrText>
      </w:r>
      <w:r w:rsidRPr="00C34BEC">
        <w:fldChar w:fldCharType="separate"/>
      </w:r>
      <w:r w:rsidRPr="00C34BEC">
        <w:t>(Rosa et al., 2019)</w:t>
      </w:r>
      <w:r w:rsidRPr="00C34BEC">
        <w:fldChar w:fldCharType="end"/>
      </w:r>
      <w:r w:rsidRPr="00C34BEC">
        <w:t xml:space="preserve">, as well as a positive contribution to environment and society as a whole </w:t>
      </w:r>
      <w:r w:rsidRPr="00C34BEC">
        <w:fldChar w:fldCharType="begin" w:fldLock="1"/>
      </w:r>
      <w:r w:rsidRPr="00C34BEC">
        <w:instrText>ADDIN CSL_CITATION {"citationItems":[{"id":"ITEM-1","itemData":{"abstract":"Today, our world is 9 % circular. As the pressure to shift from linear to more circular ways of doing business increases, the good news is that the opportunity to improve stands at 91%. The momentum to transition is growing and both the private and public sectors are beginning to set ambitious circular targets. Transparency and alignment are critical to establishing a common language across industries and governments. For this reason, some 25 global companies came together under Factor10 to co-create Circular Transition Indicators. Their objective was to establish a harmonized set of indicators that help them identify circular opportunities and linear risks and determine their circular priorities and targets. The Circular Transition Indicators | Proposed metrics for business, by business are open for public consultation. This is the first introduction of the working group’s proposal on how the business community can calculate and talk about circular economy, in order to connect with value chain partners and work towards collective transformation. We invite anyone to download and read the document and share your feedback to the proposed circular metrics with us. The period for public consultation will be open until 31 August 2019. Feedback can be provided through the online feedback form at the link here: www.surveymonkey.com/r/circular_transition_indicators We are pleased to offer four webinars throughout August to present the Circular Transition Indicators. Additionally, these webinars will provide an opportunity to ask questions and discuss the framework with the WBCSD team. Registration for anyone of the webinars can be done at the link here: https://wbcsd.zoom.us/j/438528787 After the feedback period, the Working Group will consider and process all feedback towards the next stage of the project. The final methodology and implementation tool (in development) will be published in January 2020. We'll only reach our shared destination of the SDGs or Paris Agreement by moving towards a circular economy. We hope the proposed Circular Transition Indicators serve as that measuring stick that illustrates how close to our destination we are today.","author":[{"dropping-particle":"","family":"WBCSD","given":"","non-dropping-particle":"","parse-names":false,"suffix":""}],"id":"ITEM-1","issue":"July","issued":{"date-parts":[["2019"]]},"page":"40","title":"Circular Transition Indicators","type":"article-journal"},"uris":["http://www.mendeley.com/documents/?uuid=342aaa13-e862-43a0-9bf7-382e443d3bb6"]},{"id":"ITEM-2","itemData":{"DOI":"10.1016/j.jclepro.2019.03.038","ISSN":"09596526","abstract":"The adoption of the circular economy (CE) at the firm level has rarely intersected with human resource management (HRM) – here called ‘the human side of organizations’ – and these two fields remain largely separate areas of knowledge. While the literature on the CE is expanding, discussion of its implementation in organizations is, so far, rare, along with exploration of the necessary alignment of the CE with green human resource management (GHRM). In this article, we extend the state-of-the-art literature on CE business models through the inclusion of the ‘human side’ of such issues. This goal is met by offering an original integrative GHRM framework for organizations developing CE. The theoretical lenses of stakeholders' theory and the resource based view (RBV) form the foundation of this framework, which represents a ‘middle range theory’. We underline the practices and dimensions of the links between GHRM and the ‘ReSOLVE’ CE model. Through an exploration of this integrative framework, we propose a future research agenda along with original research propositions. Furthermore, the middle-range integrated theoretical framework we propose can serve both academics and practitioners in developing understanding of the human resource management (HRM) and change management aspects of the CE.","author":[{"dropping-particle":"","family":"Chiappetta Jabbour","given":"Charbel Jose","non-dropping-particle":"","parse-names":false,"suffix":""},{"dropping-particle":"","family":"Sarkis","given":"Joseph","non-dropping-particle":"","parse-names":false,"suffix":""},{"dropping-particle":"","family":"Lopes de Sousa Jabbour","given":"Ana Beatriz","non-dropping-particle":"","parse-names":false,"suffix":""},{"dropping-particle":"","family":"Scott Renwick","given":"Douglas William","non-dropping-particle":"","parse-names":false,"suffix":""},{"dropping-particle":"","family":"Singh","given":"Sanjay Kumar","non-dropping-particle":"","parse-names":false,"suffix":""},{"dropping-particle":"","family":"Grebinevych","given":"Oksana","non-dropping-particle":"","parse-names":false,"suffix":""},{"dropping-particle":"","family":"Kruglianskas","given":"Isak","non-dropping-particle":"","parse-names":false,"suffix":""},{"dropping-particle":"","family":"Filho","given":"Moacir Godinho","non-dropping-particle":"","parse-names":false,"suffix":""}],"container-title":"Journal of Cleaner Production","id":"ITEM-2","issued":{"date-parts":[["2019"]]},"page":"793-801","publisher":"Elsevier Ltd","title":"Who is in charge? A review and a research agenda on the ‘human side’ of the circular economy","type":"article-journal","volume":"222"},"uris":["http://www.mendeley.com/documents/?uuid=5b01dd68-2b33-454b-abc9-f54327bdfcaf"]}],"mendeley":{"formattedCitation":"(Chiappetta Jabbour et al., 2019; WBCSD, 2019)","plainTextFormattedCitation":"(Chiappetta Jabbour et al., 2019; WBCSD, 2019)","previouslyFormattedCitation":"(Chiappetta Jabbour et al., 2019; WBCSD, 2019)"},"properties":{"noteIndex":0},"schema":"https://github.com/citation-style-language/schema/raw/master/csl-citation.json"}</w:instrText>
      </w:r>
      <w:r w:rsidRPr="00C34BEC">
        <w:fldChar w:fldCharType="separate"/>
      </w:r>
      <w:r w:rsidRPr="00C34BEC">
        <w:t>(Chiappetta Jabbour et al., 2019; WBCSD, 2019)</w:t>
      </w:r>
      <w:r w:rsidRPr="00C34BEC">
        <w:fldChar w:fldCharType="end"/>
      </w:r>
      <w:r w:rsidRPr="00C34BEC">
        <w:t xml:space="preserve">. </w:t>
      </w:r>
    </w:p>
    <w:p w14:paraId="424CB3E5" w14:textId="77777777" w:rsidR="00C34BEC" w:rsidRPr="00C34BEC" w:rsidRDefault="00C34BEC" w:rsidP="00C34BEC">
      <w:r w:rsidRPr="00C34BEC">
        <w:t xml:space="preserve">Because of the benefits of circular supply chains (CSCs), companies have recently been placing more emphasis on achieving sustainable production, by shifting from simple mitigation actions to a focus on prevention of environmental damage, based on whole lifecycle assessment and integrated environmental strategies and management systems </w:t>
      </w:r>
      <w:r w:rsidRPr="00C34BEC">
        <w:fldChar w:fldCharType="begin" w:fldLock="1"/>
      </w:r>
      <w:r w:rsidRPr="00C34BEC">
        <w:instrText>ADDIN CSL_CITATION {"citationItems":[{"id":"ITEM-1","itemData":{"DOI":"10.1080/09537287.2017.1390178","ISSN":"13665871","abstract":"The ongoing transition to a circular economy is changing the shape of supply chains. They are becoming more ‘Closed-Loop’, combining forward and reverse flows of products and materials. Reverse supply chains (RSCs), originally considered as a solution for handling waste or recovering residual value, can play a pivotal role in determining the competitive advantage of the firm. Firms do not always exploit the potential of the RSC, and the conditions allowing the exploitation remain unclear. This paper explores the alignment between the RSC and the competitive strategy of the firm. Results from seven case studies, focusing on original equipment manufacturers, show how the RSC can play a strategic, tactical or operational role for the firm. The paper applies for the first time the concept of strategic alignment to the RSC, and practitioners can use the proposed framework to analyse the role of the RSC within their firm.","author":[{"dropping-particle":"","family":"Larsen","given":"Samuel Brüning","non-dropping-particle":"","parse-names":false,"suffix":""},{"dropping-particle":"","family":"Masi","given":"Donato","non-dropping-particle":"","parse-names":false,"suffix":""},{"dropping-particle":"","family":"Jacobsen","given":"Peter","non-dropping-particle":"","parse-names":false,"suffix":""},{"dropping-particle":"","family":"Godsell","given":"Janet","non-dropping-particle":"","parse-names":false,"suffix":""}],"container-title":"Production Planning and Control","id":"ITEM-1","issue":"6","issued":{"date-parts":[["2018"]]},"page":"452-463","publisher":"Taylor &amp; Francis","title":"How the reverse supply chain contributes to a firm’s competitive strategy: a strategic alignment perspective","type":"article-journal","volume":"29"},"uris":["http://www.mendeley.com/documents/?uuid=314c9140-ec38-467a-bae6-277ed9e2ae7f"]},{"id":"ITEM-2","itemData":{"DOI":"10.1111/j.1530-9290.2011.00329.x","ISSN":"15309290","abstract":"Due to resource scarcity and environmental degradation, a new development concept emphasizing environmental concerns, called the circular economy (CE), has been enacted in legislation in China. This environmental management concept can be implemented at three levels, namely, region, industrial zone, and individual enterprise, with the objective of boosting economic development while lessening environmental and resource challenges. Environmental supply chain cooperation (ESCC), an approach that utilizes customer and supplier cooperation in environmental management, has been initiated among Chinese enterprises. Using survey data collected from 396 Chinese manufacturers, we examine the role of ESCC practices in influencing the relationship between implementing CE practices and the achievement of performance outcomes by testing the moderation and mediation effects of ESCC practices on the CE practice-performance relationship through hierarchical regression analysis. Our data analyses indicate that ESCC practices are useful by moderation and, in some cases, essential by mediation, for Chinese manufacturers seeking to realize the performance targets desired in CE practices. The results highlight the need for Chinese manufacturers to improve supply chain coordination in their implementation of CE. On the policy side, our research findings suggest that ESCC practices are beneficial and, in some cases, necessary for the development of CE in China. © 2011 by Yale University.","author":[{"dropping-particle":"","family":"Zhu","given":"Qinghua","non-dropping-particle":"","parse-names":false,"suffix":""},{"dropping-particle":"","family":"Geng","given":"Yong","non-dropping-particle":"","parse-names":false,"suffix":""},{"dropping-particle":"","family":"Lai","given":"Kee hung","non-dropping-particle":"","parse-names":false,"suffix":""}],"container-title":"Journal of Industrial Ecology","id":"ITEM-2","issue":"3","issued":{"date-parts":[["2011"]]},"note":"Moderating effect explained","page":"405-419","title":"Environmental supply chain cooperation and its effect on the circular economy practice-performance relationship among Chinese manufacturers","type":"article-journal","volume":"15"},"uris":["http://www.mendeley.com/documents/?uuid=06db7da4-47ba-43ff-8288-c72ac197a176"]}],"mendeley":{"formattedCitation":"(Zhu et al., 2011; Larsen et al., 2018)","plainTextFormattedCitation":"(Zhu et al., 2011; Larsen et al., 2018)","previouslyFormattedCitation":"(Zhu et al., 2011; Larsen et al., 2018)"},"properties":{"noteIndex":0},"schema":"https://github.com/citation-style-language/schema/raw/master/csl-citation.json"}</w:instrText>
      </w:r>
      <w:r w:rsidRPr="00C34BEC">
        <w:fldChar w:fldCharType="separate"/>
      </w:r>
      <w:r w:rsidRPr="00C34BEC">
        <w:t>(Zhu et al., 2011; Larsen et al., 2018)</w:t>
      </w:r>
      <w:r w:rsidRPr="00C34BEC">
        <w:fldChar w:fldCharType="end"/>
      </w:r>
      <w:r w:rsidRPr="00C34BEC">
        <w:t xml:space="preserve">. This trend has also become apparent in the academic literature focused on supply chain management (SCM) where many scholars have analysed how to close the loop of products and materials </w:t>
      </w:r>
      <w:r w:rsidRPr="00C34BEC">
        <w:fldChar w:fldCharType="begin" w:fldLock="1"/>
      </w:r>
      <w:r w:rsidRPr="00C34BEC">
        <w:instrText>ADDIN CSL_CITATION {"citationItems":[{"id":"ITEM-1","itemData":{"DOI":"10.1016/j.jclepro.2020.120859","ISSN":"09596526","abstract":"The notion of circular economy (CE) has gained considerable attention recently among researchers, practitioners, and policymakers due to the enormous waste generation at all phases of a product life cycle. CE acts as alternative solutions to the dominant linear economic model of production and consumption. The incorporation of the CE into supply chain management is known as circular supply chain management (CSCM). The objective of this study is to conduct a state-of-art review of CSCM using content analysis methodology. This review covers the available circular supply chain literature, highlights the research trends, gaps and set up the potential research directions for future studies. Total 125 CSCM articles published in journals covering the span of last one decade (2010 to July 2019) are selected. The CSCM research articles are evaluated and segregated in 13 pre-defined structural dimensions and analytics. The result shows that there exist ample scope and open doors for the growth of CSCM which should be investigated with the help of advanced quantitative modeling approaches, highly developed optimization techniques, integrated multi-criteria decision making techniques, and proficient algorithms. Also, CSCM research needs to recognize enablers/drivers/critical success factors, barriers/obstacles, new circular business models and innovative frameworks. Therefore, this examination will prop up new opportunities for researchers to figure out the novel dimensions in the field of CSCM.","author":[{"dropping-particle":"","family":"Lahane","given":"Swapnil","non-dropping-particle":"","parse-names":false,"suffix":""},{"dropping-particle":"","family":"Kant","given":"Ravi","non-dropping-particle":"","parse-names":false,"suffix":""},{"dropping-particle":"","family":"Shankar","given":"Ravi","non-dropping-particle":"","parse-names":false,"suffix":""}],"container-title":"Journal of Cleaner Production","id":"ITEM-1","issued":{"date-parts":[["2020"]]},"page":"120859","publisher":"Elsevier Ltd","title":"Circular supply chain management: A state-of-art review and future opportunities","type":"article-journal","volume":"258"},"uris":["http://www.mendeley.com/documents/?uuid=23330932-4a53-4d51-948c-e152a0244a6f"]},{"id":"ITEM-2","itemData":{"DOI":"10.1016/j.jclepro.2018.03.040","ISSN":"09596526","abstract":"The emergence of stricter environmental regulations and the growing environmental consciousness of customers have forced industries to start thinking about environmental operations management with the help of reverse logistics application. In this process, influential factors such as drivers and barriers have to be examined, and stakeholders’ different perspectives on RL implementation and development should also be considered. This paper presents a multi-perspective framework for reverse logistics implementation using the lens of stakeholder theory. The multiple stakeholders’ perspective framework was developed based upon a structured literature review process. Fifty-four papers concerning these topical areas were thoroughly assessed and classified according to their structural dimensions and analytical categories. Two extensive lists of 37 drivers and 36 barriers, categorized and analyzed against the dimensions and categories, served as a basis for the development of the referred framework. Thereby, the overall contribution of this work proposes an understanding of the factors required for employing reverse logistics from multiple perspectives, including those of the company, society, government, and customer. Additionally, each perspective is discussed separately with the aid of previous works developed in the field. Most of the encountered barriers are placed in the firm's perspective; however, these barriers may be an effect from outside impediments. On the drivers’ side, the factors must be acknowledged so managers can prepare for changes by exploring these positive influential factors. A consideration of the influential factors from multiple perspectives is critical for creating a comprehensive industry strategy to successfully implement product return.","author":[{"dropping-particle":"","family":"Govindan","given":"Kannan","non-dropping-particle":"","parse-names":false,"suffix":""},{"dropping-particle":"","family":"Bouzon","given":"Marina","non-dropping-particle":"","parse-names":false,"suffix":""}],"container-title":"Journal of Cleaner Production","id":"ITEM-2","issued":{"date-parts":[["2018"]]},"page":"318-337","publisher":"Elsevier Ltd","title":"From a literature review to a multi-perspective framework for reverse logistics barriers and drivers","type":"article-journal","volume":"187"},"uris":["http://www.mendeley.com/documents/?uuid=6286af1a-63ca-4217-a2ae-27dc882880d2"]}],"mendeley":{"formattedCitation":"(Govindan &amp; Bouzon, 2018; Lahane et al., 2020)","plainTextFormattedCitation":"(Govindan &amp; Bouzon, 2018; Lahane et al., 2020)","previouslyFormattedCitation":"(Govindan &amp; Bouzon, 2018; Lahane et al., 2020)"},"properties":{"noteIndex":0},"schema":"https://github.com/citation-style-language/schema/raw/master/csl-citation.json"}</w:instrText>
      </w:r>
      <w:r w:rsidRPr="00C34BEC">
        <w:fldChar w:fldCharType="separate"/>
      </w:r>
      <w:r w:rsidRPr="00C34BEC">
        <w:t>(Govindan &amp; Bouzon, 2018; Lahane et al., 2020)</w:t>
      </w:r>
      <w:r w:rsidRPr="00C34BEC">
        <w:fldChar w:fldCharType="end"/>
      </w:r>
      <w:r w:rsidRPr="00C34BEC">
        <w:t xml:space="preserve">.  Within the Industrial Ecology (IE) </w:t>
      </w:r>
      <w:r w:rsidRPr="00C34BEC">
        <w:fldChar w:fldCharType="begin" w:fldLock="1"/>
      </w:r>
      <w:r w:rsidRPr="00C34BEC">
        <w:instrText>ADDIN CSL_CITATION {"citationItems":[{"id":"ITEM-1","itemData":{"DOI":"10.1111/jiec.12924","ISSN":"15309290","abstract":"Understanding how a circular economy (CE) can reduce environmental pressures from economic activities is crucial for policy and practice. Science provides a range of indicators to monitor and assess CE activities. However, common CE activities, such as recycling and eco-design, are contested in terms of their contribution to environmental sustainability. This article assesses whether and to what extent current approaches to assess CE activities sufficiently capture environmental pressures to monitor progress toward environmental sustainability. Based on a material flow perspective, we show that most indicators do not capture environmental pressures related to the CE activities they address. Many focus on a single CE activity or process, which does not necessarily contribute to increased environmental sustainability overall. Based on these results, we suggest complementing CE management indicators with indicators capturing basic environmental pressures related to the respective CE activity. Given the conceptual linkage between CE activities, resource extraction, and waste flows, we suggest that a resource-based footprint approach accounting for major environmental inputs and outputs is necessary—while not sufficient—to assess the environmental sustainability of CE activities. As footprint approaches can be used across scales, they could aid the challenging process of developing indicators for monitoring progress toward an environmentally sustainable CE at the European, national, and company levels.","author":[{"dropping-particle":"","family":"Helander","given":"Hanna","non-dropping-particle":"","parse-names":false,"suffix":""},{"dropping-particle":"","family":"Petit-Boix","given":"Anna","non-dropping-particle":"","parse-names":false,"suffix":""},{"dropping-particle":"","family":"Leipold","given":"Sina","non-dropping-particle":"","parse-names":false,"suffix":""},{"dropping-particle":"","family":"Bringezu","given":"Stefan","non-dropping-particle":"","parse-names":false,"suffix":""}],"container-title":"Journal of Industrial Ecology","id":"ITEM-1","issue":"5","issued":{"date-parts":[["2019"]]},"page":"1278-1291","title":"How to monitor environmental pressures of a circular economy: An assessment of indicators","type":"article-journal","volume":"23"},"uris":["http://www.mendeley.com/documents/?uuid=3053412c-0d2d-4b00-9db9-6e3b5fa6f149"]}],"mendeley":{"formattedCitation":"(Helander et al., 2019)","plainTextFormattedCitation":"(Helander et al., 2019)","previouslyFormattedCitation":"(Helander et al., 2019)"},"properties":{"noteIndex":0},"schema":"https://github.com/citation-style-language/schema/raw/master/csl-citation.json"}</w:instrText>
      </w:r>
      <w:r w:rsidRPr="00C34BEC">
        <w:fldChar w:fldCharType="separate"/>
      </w:r>
      <w:r w:rsidRPr="00C34BEC">
        <w:t>(Helander et al., 2019)</w:t>
      </w:r>
      <w:r w:rsidRPr="00C34BEC">
        <w:fldChar w:fldCharType="end"/>
      </w:r>
      <w:r w:rsidRPr="00C34BEC">
        <w:t xml:space="preserve">, Green and Sustainable Supply Chain Management (GSCM and SSCM) </w:t>
      </w:r>
      <w:r w:rsidRPr="00C34BEC">
        <w:fldChar w:fldCharType="begin" w:fldLock="1"/>
      </w:r>
      <w:r w:rsidRPr="00C34BEC">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applications","type":"article-journal","volume":"66"},"uris":["http://www.mendeley.com/documents/?uuid=5dd8e2c4-fae0-4040-ae7c-ed96e73d9ca4"]}],"mendeley":{"formattedCitation":"(Genovese, Acquaye, et al., 2017)","plainTextFormattedCitation":"(Genovese, Acquaye, et al., 2017)","previouslyFormattedCitation":"(Genovese, Acquaye, et al., 2017)"},"properties":{"noteIndex":0},"schema":"https://github.com/citation-style-language/schema/raw/master/csl-citation.json"}</w:instrText>
      </w:r>
      <w:r w:rsidRPr="00C34BEC">
        <w:fldChar w:fldCharType="separate"/>
      </w:r>
      <w:r w:rsidRPr="00C34BEC">
        <w:t>(Genovese, Acquaye, et al., 2017)</w:t>
      </w:r>
      <w:r w:rsidRPr="00C34BEC">
        <w:fldChar w:fldCharType="end"/>
      </w:r>
      <w:r w:rsidRPr="00C34BEC">
        <w:t xml:space="preserve"> and Closed-Loop Supply Chain Management (CLSCM) streams of literature </w:t>
      </w:r>
      <w:r w:rsidRPr="00C34BEC">
        <w:fldChar w:fldCharType="begin" w:fldLock="1"/>
      </w:r>
      <w:r w:rsidRPr="00C34BEC">
        <w:instrText>ADDIN CSL_CITATION {"citationItems":[{"id":"ITEM-1","itemData":{"DOI":"10.1016/j.jclepro.2019.118227","ISSN":"09596526","abstract":"Water reclamation and reuse not only reduce the negative impacts of wastewater to the environment, but also provide an alternative to withdrawal from natural water resources, forming a closed-loop water supply chain. The design of such a supply chain requires an appropriate sustainability assessment, which simultaneously accounts for economic, environmental, and social dimensions. In this study, a multi-objective optimization model was developed to minimize the costs and carbon footprint (as an environmental indicator), and maximize the value of resource recovery (representing a social benefit) of the water reclamation systems by locating the treatment facility, allocating the treatment capacity, selecting the treatment technology, and allocating customers (final reclaimed water users). The optimizer CPLEX 12.7 was applied and the Triangle Splitting Method was used for the optimization algorithm. The expansion of a water reclamation system in Hillsborough County, Florida was evaluated to illustrate the use of the model. The impacts of population density and elevation variation in the water service area on the model outputs were also investigated. Although the centralization of treatment facilities takes advantage of the economies of scale, the results revealed that simultaneous consideration of economic and environmental indicators favored decentralization of treatment facilities in the study area. This was mainly due to the significant decrease in water transfer requirements, especially in less populous areas. Moreover, the results revealed that contribution of population density to the optimal degree of decentralization of treatment facilities was significant.","author":[{"dropping-particle":"","family":"Rezaei","given":"Nader","non-dropping-particle":"","parse-names":false,"suffix":""},{"dropping-particle":"","family":"Sierra-Altamiranda","given":"Alvaro","non-dropping-particle":"","parse-names":false,"suffix":""},{"dropping-particle":"","family":"Diaz-Elsayed","given":"Nancy","non-dropping-particle":"","parse-names":false,"suffix":""},{"dropping-particle":"","family":"Charkhgard","given":"Hadi","non-dropping-particle":"","parse-names":false,"suffix":""},{"dropping-particle":"","family":"Zhang","given":"Qiong","non-dropping-particle":"","parse-names":false,"suffix":""}],"container-title":"Journal of Cleaner Production","id":"ITEM-1","issued":{"date-parts":[["2019"]]},"page":"118227","publisher":"Elsevier Ltd","title":"A multi-objective optimization model for decision support in water reclamation system planning","type":"article-journal","volume":"240"},"uris":["http://www.mendeley.com/documents/?uuid=7b47987a-6324-4ebe-b229-a4041003e747"]}],"mendeley":{"formattedCitation":"(Rezaei et al., 2019)","plainTextFormattedCitation":"(Rezaei et al., 2019)","previouslyFormattedCitation":"(Rezaei et al., 2019)"},"properties":{"noteIndex":0},"schema":"https://github.com/citation-style-language/schema/raw/master/csl-citation.json"}</w:instrText>
      </w:r>
      <w:r w:rsidRPr="00C34BEC">
        <w:fldChar w:fldCharType="separate"/>
      </w:r>
      <w:r w:rsidRPr="00C34BEC">
        <w:t>(Rezaei et al., 2019)</w:t>
      </w:r>
      <w:r w:rsidRPr="00C34BEC">
        <w:fldChar w:fldCharType="end"/>
      </w:r>
      <w:r w:rsidRPr="00C34BEC">
        <w:t xml:space="preserve">, decision support tools (DSTs) for designing and assessing CSCs have been proposed </w:t>
      </w:r>
      <w:r w:rsidRPr="00C34BEC">
        <w:fldChar w:fldCharType="begin" w:fldLock="1"/>
      </w:r>
      <w:r w:rsidRPr="00C34BEC">
        <w:instrText>ADDIN CSL_CITATION {"citationItems":[{"id":"ITEM-1","itemData":{"DOI":"10.1080/00207543.2018.1471244","ISSN":"1366588X","abstract":"Reverse Logistics and Closed Loop Supply Chain Management (RL&amp;CLSCM) are universally recognised as two environmentally friendly practices that could help in greening conventional supply chains. The popularity of these fields of research has led to the evolution of a vast number of publications in the literature. Various journals have so far contributed to the advancement of the field, with the International Journal of Production of Research (IJPR) being one of the most prominent contributed journals. To celebrate the 55th volume anniversary of IJPR, this review study aims to investigate the studies in the area of RL&amp;CLSCM published in IJPR. The paper presents a thorough bibliometric and content analysis of 94 studies that were published in IJPR from 2000 until July 2017. The studies initially underwent a rigorous bibliometric and mapping analysis that helped to identify their characteristics. Subsequently, the contents of the sample papers were evaluated thoroughly. The content analysis led to classification of the papers into two main categories and sub-categories, and then to rigorous identification of the papers’ attributes. The bibliometric and content analysis disclosed several research gaps that remain to be addressed in IJPR.","author":[{"dropping-particle":"","family":"Kazemi","given":"Nima","non-dropping-particle":"","parse-names":false,"suffix":""},{"dropping-particle":"","family":"Modak","given":"Nikunja Mohan","non-dropping-particle":"","parse-names":false,"suffix":""},{"dropping-particle":"","family":"Govindan","given":"Kannan","non-dropping-particle":"","parse-names":false,"suffix":""}],"container-title":"International Journal of Production Research","id":"ITEM-1","issue":"15-16","issued":{"date-parts":[["2019"]]},"page":"4937-4960","title":"A review of reverse logistics and closed loop supply chain management studies published in IJPR: a bibliometric and content analysis","type":"article-journal","volume":"57"},"uris":["http://www.mendeley.com/documents/?uuid=68eb7cdc-b352-449f-a853-f97babfc3b4a"]},{"id":"ITEM-2","itemData":{"DOI":"10.1080/00207543.2018.1542176","ISSN":"1366588X","abstract":"Despite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Research","id":"ITEM-2","issue":"23","issued":{"date-parts":[["2019"]]},"page":"7395-7422","publisher":"Taylor &amp; Francis","title":"Challenges in supply chain redesign for the Circular Economy: a literature review and a multiple case study","type":"article-journal","volume":"57"},"uris":["http://www.mendeley.com/documents/?uuid=66ed4a77-74f5-4258-a3a6-d2c5ce0085d1"]}],"mendeley":{"formattedCitation":"(Bressanelli et al., 2019; Kazemi et al., 2019)","plainTextFormattedCitation":"(Bressanelli et al., 2019; Kazemi et al., 2019)","previouslyFormattedCitation":"(Bressanelli et al., 2019; Kazemi et al., 2019)"},"properties":{"noteIndex":0},"schema":"https://github.com/citation-style-language/schema/raw/master/csl-citation.json"}</w:instrText>
      </w:r>
      <w:r w:rsidRPr="00C34BEC">
        <w:fldChar w:fldCharType="separate"/>
      </w:r>
      <w:r w:rsidRPr="00C34BEC">
        <w:t>(Bressanelli et al., 2019; Kazemi et al., 2019)</w:t>
      </w:r>
      <w:r w:rsidRPr="00C34BEC">
        <w:fldChar w:fldCharType="end"/>
      </w:r>
      <w:r w:rsidRPr="00C34BEC">
        <w:t xml:space="preserve">. These DSTs employ many CE indicators to measure the adoption of CE practices towards desired targets (e.g. economic, environmental and social) </w:t>
      </w:r>
      <w:r w:rsidRPr="00C34BEC">
        <w:fldChar w:fldCharType="begin" w:fldLock="1"/>
      </w:r>
      <w:r w:rsidRPr="00C34BEC">
        <w:instrText>ADDIN CSL_CITATION {"citationItems":[{"id":"ITEM-1","itemData":{"DOI":"10.1016/j.resconrec.2019.104553","ISSN":"18790658","abstract":"The transition to a circular economy requires actions and policies. In the praxis of governance, a common way to steer the transition to a different state proceeds through the setting of targets. Thus far, no study has investigated circular economy targets in a systematic way. To bridge this gap, this study examines which targets can facilitate the transition towards a circular economy. The analysis focuses both on existing and new targets; the latter complement existing targets which are limited to a few discrete cases addressing only partially the goal of a more circular economy. A framework based on 10 common circular economy strategies (i.e. recover, recycling, repurpose, remanufacture, refurbish, repair, re-use, reduce, rethink, refuse) is applied to scrutinise the selected targets. The study clarifies that existing targets for recovery and recycling do not necessarily promote a circular economy, though they are the most commonly applied targets so far. Because of lack of efficacy of recovery and recycling, targets should instead favour other more powerful circular economy strategies. In relation to these, the study looks into new and existing targets showing how they can reduce waste, increase efficiency, close production loops, and maximise retention of the economic value of materials and products. In particular, the study proposes an expanded set of brand new targets for the transition to a circular economy together with a fresh view on targets aimed at scholars and decision-makers alike.","author":[{"dropping-particle":"","family":"Morseletto","given":"Piero","non-dropping-particle":"","parse-names":false,"suffix":""}],"container-title":"Resources, Conservation and Recycling","id":"ITEM-1","issue":"October 2019","issued":{"date-parts":[["2020"]]},"page":"104553","publisher":"Elsevier","title":"Targets for a circular economy","type":"article-journal","volume":"153"},"uris":["http://www.mendeley.com/documents/?uuid=1aee4d7d-190c-4fe9-9630-d12fe3490815"]}],"mendeley":{"formattedCitation":"(Morseletto, 2020)","plainTextFormattedCitation":"(Morseletto, 2020)","previouslyFormattedCitation":"(Morseletto, 2020)"},"properties":{"noteIndex":0},"schema":"https://github.com/citation-style-language/schema/raw/master/csl-citation.json"}</w:instrText>
      </w:r>
      <w:r w:rsidRPr="00C34BEC">
        <w:fldChar w:fldCharType="separate"/>
      </w:r>
      <w:r w:rsidRPr="00C34BEC">
        <w:t>(Morseletto, 2020)</w:t>
      </w:r>
      <w:r w:rsidRPr="00C34BEC">
        <w:fldChar w:fldCharType="end"/>
      </w:r>
      <w:r w:rsidRPr="00C34BEC">
        <w:t xml:space="preserve">. </w:t>
      </w:r>
    </w:p>
    <w:p w14:paraId="139E2333" w14:textId="77777777" w:rsidR="00C34BEC" w:rsidRPr="00C34BEC" w:rsidRDefault="00C34BEC" w:rsidP="00C34BEC">
      <w:r w:rsidRPr="00C34BEC">
        <w:t xml:space="preserve">Existing reviews of CE indicators show that there is no agreement among researchers and practitioners on what metrics should be selected for the different sustainability pillar and on how to deal with trade-offs </w:t>
      </w:r>
      <w:r w:rsidRPr="00C34BEC">
        <w:fldChar w:fldCharType="begin" w:fldLock="1"/>
      </w:r>
      <w:r w:rsidRPr="00C34BEC">
        <w:instrText>ADDIN CSL_CITATION {"citationItems":[{"id":"ITEM-1","itemData":{"DOI":"10.1016/j.jclepro.2019.05.019","ISSN":"09596526","abstract":"The depletion of resources and the downgrading of the environment, driven by globalization and consumerism phenomena, is worldwide pushing the interest on the Circular Economy (CE)concept. Supposed to substitute the end-of-life notion with restoration and closed-loop product lifecycles, CE wants to eliminate wastes, retain the value embedded into products and materials, foster the use of renewable energies and eliminate toxic chemicals. However, the measurement and assessment of circularity performances are not yet a common practice in companies. To this aim, the paper wants to detect, through a systematic literature review, which are the existing CE performance assessment methods proposed in literature and, based on key findings, develop a positioning framework for measuring and assessing the circularity degree of a company.","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Production","id":"ITEM-1","issued":{"date-parts":[["2019"]]},"page":"440-453","publisher":"Elsevier Ltd","title":"Circular economy performance assessment methods: A systematic literature review","type":"article-journal","volume":"229"},"uris":["http://www.mendeley.com/documents/?uuid=5273591e-185a-4bbe-ab72-78cdc197cdf7"]},{"id":"ITEM-2","itemData":{"DOI":"10.1016/j.jclepro.2020.125090","ISSN":"09596526","abstract":"With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Production","id":"ITEM-2","issued":{"date-parts":[["2021"]]},"note":"Chen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framework","type":"article-journal","volume":"288"},"uris":["http://www.mendeley.com/documents/?uuid=5b20dff5-2c8b-4680-9d5a-f69f918c49a9"]},{"id":"ITEM-3","itemData":{"DOI":"10.1016/j.jclepro.2018.10.014","ISSN":"09596526","abstract":"Implementing circular economy (CE) principles is increasingly recommended as a convenient solution to meet the goals of sustainable development. New tools are required to support practitioners, decision-makers and policy-makers towards more CE practices, as well as to monitor the effects of CE adoption. Worldwide, academics, industrialists and politicians all agree on the need to use CE-related measuring instruments to manage this transition at different systemic levels. In this context, a wide range of circularity indicators (C-indicators) has been developed in recent years. Yet, as there is not one single definition of the CE concept, it is of the utmost importance to know what the available indicators measure in order to use them properly. Indeed, through a systematic literature review – considering both academic and grey literature – 55 sets of C-indicators, developed by scholars, consulting companies and governmental agencies, have been identified, encompassing different purposes, scopes, and potential usages. Inspired by existing taxonomies of eco-design tools and sustainability indicators, and in line with the CE characteristics, a classification of indicators aiming to assess, improve, monitor and communicate on the CE performance is proposed and discussed. In the developed taxonomy including 10 categories, C-indicators are differentiated regarding criteria such as the levels of CE implementation (e.g. micro, meso, macro), the CE loops (maintain, reuse, remanufacture, recycle), the performance (intrinsic, impacts), the perspective of circularity (actual, potential) they are taking into account, or their degree of transversality (generic, sector-specific). In addition, the database inventorying the 55 sets of C-indicators is linked to an Excel-based query tool to facilitate the selection of appropriate indicators according to the specific user's needs and requirements. This study enriches the literature by giving a first need-driven taxonomy of C-indicators, which is experienced on several use cases. It provides a synthesis and clarification to the emerging and must-needed research theme of C-indicators, and sheds some light on remaining key challenges like their effective uptake by industry. Eventually, limitations, improvement areas, as well as implications of the proposed taxonomy are intently addressed to guide future research on C-indicators and CE implementation.","author":[{"dropping-particle":"","family":"Saidani","given":"Michael","non-dropping-particle":"","parse-names":false,"suffix":""},{"dropping-particle":"","family":"Yannou","given":"Bernard","non-dropping-particle":"","parse-names":false,"suffix":""},{"dropping-particle":"","family":"Leroy","given":"Yann","non-dropping-particle":"","parse-names":false,"suffix":""},{"dropping-particle":"","family":"Cluzel","given":"François","non-dropping-particle":"","parse-names":false,"suffix":""},{"dropping-particle":"","family":"Kendall","given":"Alissa","non-dropping-particle":"","parse-names":false,"suffix":""}],"container-title":"Journal of Cleaner Production","id":"ITEM-3","issued":{"date-parts":[["2019"]]},"title":"A taxonomy of circular economy indicators","type":"article"},"uris":["http://www.mendeley.com/documents/?uuid=0efa71bc-506f-3a3d-9903-50fcae4591be"]}],"mendeley":{"formattedCitation":"(Saidani et al., 2019; Sassanelli, Rosa, et al., 2019; Vinante et al., 2021)","manualFormatting":"(Sassanelli et al., 2019; Saidani et al., 2019; Vinante et al., 2021)","plainTextFormattedCitation":"(Saidani et al., 2019; Sassanelli, Rosa, et al., 2019; Vinante et al., 2021)","previouslyFormattedCitation":"(Saidani et al., 2019; Sassanelli, Rosa, et al., 2019; Vinante et al., 2021)"},"properties":{"noteIndex":0},"schema":"https://github.com/citation-style-language/schema/raw/master/csl-citation.json"}</w:instrText>
      </w:r>
      <w:r w:rsidRPr="00C34BEC">
        <w:fldChar w:fldCharType="separate"/>
      </w:r>
      <w:r w:rsidRPr="00C34BEC">
        <w:t>(Sassanelli et al., 2019; Saidani et al., 2019; Vinante et al., 2021)</w:t>
      </w:r>
      <w:r w:rsidRPr="00C34BEC">
        <w:fldChar w:fldCharType="end"/>
      </w:r>
      <w:r w:rsidRPr="00C34BEC">
        <w:t xml:space="preserve">. There is no consensus on a set of indicators that should measure desirable levels of circularity and establish improvement pathways for production and consumption systems </w:t>
      </w:r>
      <w:r w:rsidRPr="00C34BEC">
        <w:fldChar w:fldCharType="begin" w:fldLock="1"/>
      </w:r>
      <w:r w:rsidRPr="00C34BEC">
        <w:instrText>ADDIN CSL_CITATION {"citationItems":[{"id":"ITEM-1","itemData":{"DOI":"10.1016/j.jclepro.2020.125090","ISSN":"09596526","abstract":"With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Production","id":"ITEM-1","issued":{"date-parts":[["2021"]]},"note":"Chen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framework","type":"article-journal","volume":"288"},"uris":["http://www.mendeley.com/documents/?uuid=5b20dff5-2c8b-4680-9d5a-f69f918c49a9"]}],"mendeley":{"formattedCitation":"(Vinante et al., 2021)","plainTextFormattedCitation":"(Vinante et al., 2021)","previouslyFormattedCitation":"(Vinante et al., 2021)"},"properties":{"noteIndex":0},"schema":"https://github.com/citation-style-language/schema/raw/master/csl-citation.json"}</w:instrText>
      </w:r>
      <w:r w:rsidRPr="00C34BEC">
        <w:fldChar w:fldCharType="separate"/>
      </w:r>
      <w:r w:rsidRPr="00C34BEC">
        <w:t>(Vinante et al., 2021)</w:t>
      </w:r>
      <w:r w:rsidRPr="00C34BEC">
        <w:fldChar w:fldCharType="end"/>
      </w:r>
      <w:r w:rsidRPr="00C34BEC">
        <w:t xml:space="preserve">. However, </w:t>
      </w:r>
      <w:r w:rsidRPr="00C34BEC">
        <w:lastRenderedPageBreak/>
        <w:t xml:space="preserve">these reviews </w:t>
      </w:r>
      <w:r w:rsidRPr="00C34BEC">
        <w:fldChar w:fldCharType="begin" w:fldLock="1"/>
      </w:r>
      <w:r w:rsidRPr="00C34BEC">
        <w:instrText>ADDIN CSL_CITATION {"citationItems":[{"id":"ITEM-1","itemData":{"DOI":"10.1016/j.jclepro.2019.05.019","ISSN":"09596526","abstract":"The depletion of resources and the downgrading of the environment, driven by globalization and consumerism phenomena, is worldwide pushing the interest on the Circular Economy (CE)concept. Supposed to substitute the end-of-life notion with restoration and closed-loop product lifecycles, CE wants to eliminate wastes, retain the value embedded into products and materials, foster the use of renewable energies and eliminate toxic chemicals. However, the measurement and assessment of circularity performances are not yet a common practice in companies. To this aim, the paper wants to detect, through a systematic literature review, which are the existing CE performance assessment methods proposed in literature and, based on key findings, develop a positioning framework for measuring and assessing the circularity degree of a company.","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Production","id":"ITEM-1","issued":{"date-parts":[["2019"]]},"page":"440-453","publisher":"Elsevier Ltd","title":"Circular economy performance assessment methods: A systematic literature review","type":"article-journal","volume":"229"},"uris":["http://www.mendeley.com/documents/?uuid=5273591e-185a-4bbe-ab72-78cdc197cdf7"]},{"id":"ITEM-2","itemData":{"DOI":"10.1016/j.jclepro.2020.125090","ISSN":"09596526","abstract":"With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Production","id":"ITEM-2","issued":{"date-parts":[["2021"]]},"note":"Chen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framework","type":"article-journal","volume":"288"},"uris":["http://www.mendeley.com/documents/?uuid=5b20dff5-2c8b-4680-9d5a-f69f918c49a9"]},{"id":"ITEM-3","itemData":{"DOI":"10.1016/j.jclepro.2018.10.014","ISSN":"09596526","abstract":"Implementing circular economy (CE) principles is increasingly recommended as a convenient solution to meet the goals of sustainable development. New tools are required to support practitioners, decision-makers and policy-makers towards more CE practices, as well as to monitor the effects of CE adoption. Worldwide, academics, industrialists and politicians all agree on the need to use CE-related measuring instruments to manage this transition at different systemic levels. In this context, a wide range of circularity indicators (C-indicators) has been developed in recent years. Yet, as there is not one single definition of the CE concept, it is of the utmost importance to know what the available indicators measure in order to use them properly. Indeed, through a systematic literature review – considering both academic and grey literature – 55 sets of C-indicators, developed by scholars, consulting companies and governmental agencies, have been identified, encompassing different purposes, scopes, and potential usages. Inspired by existing taxonomies of eco-design tools and sustainability indicators, and in line with the CE characteristics, a classification of indicators aiming to assess, improve, monitor and communicate on the CE performance is proposed and discussed. In the developed taxonomy including 10 categories, C-indicators are differentiated regarding criteria such as the levels of CE implementation (e.g. micro, meso, macro), the CE loops (maintain, reuse, remanufacture, recycle), the performance (intrinsic, impacts), the perspective of circularity (actual, potential) they are taking into account, or their degree of transversality (generic, sector-specific). In addition, the database inventorying the 55 sets of C-indicators is linked to an Excel-based query tool to facilitate the selection of appropriate indicators according to the specific user's needs and requirements. This study enriches the literature by giving a first need-driven taxonomy of C-indicators, which is experienced on several use cases. It provides a synthesis and clarification to the emerging and must-needed research theme of C-indicators, and sheds some light on remaining key challenges like their effective uptake by industry. Eventually, limitations, improvement areas, as well as implications of the proposed taxonomy are intently addressed to guide future research on C-indicators and CE implementation.","author":[{"dropping-particle":"","family":"Saidani","given":"Michael","non-dropping-particle":"","parse-names":false,"suffix":""},{"dropping-particle":"","family":"Yannou","given":"Bernard","non-dropping-particle":"","parse-names":false,"suffix":""},{"dropping-particle":"","family":"Leroy","given":"Yann","non-dropping-particle":"","parse-names":false,"suffix":""},{"dropping-particle":"","family":"Cluzel","given":"François","non-dropping-particle":"","parse-names":false,"suffix":""},{"dropping-particle":"","family":"Kendall","given":"Alissa","non-dropping-particle":"","parse-names":false,"suffix":""}],"container-title":"Journal of Cleaner Production","id":"ITEM-3","issued":{"date-parts":[["2019"]]},"title":"A taxonomy of circular economy indicators","type":"article"},"uris":["http://www.mendeley.com/documents/?uuid=0efa71bc-506f-3a3d-9903-50fcae4591be"]}],"mendeley":{"formattedCitation":"(Saidani et al., 2019; Sassanelli, Rosa, et al., 2019; Vinante et al., 2021)","manualFormatting":"(Saidani et al., 2019; Sassanelli et al., 2019; Vinante et al., 2021)","plainTextFormattedCitation":"(Saidani et al., 2019; Sassanelli, Rosa, et al., 2019; Vinante et al., 2021)","previouslyFormattedCitation":"(Saidani et al., 2019; Sassanelli, Rosa, et al., 2019; Vinante et al., 2021)"},"properties":{"noteIndex":0},"schema":"https://github.com/citation-style-language/schema/raw/master/csl-citation.json"}</w:instrText>
      </w:r>
      <w:r w:rsidRPr="00C34BEC">
        <w:fldChar w:fldCharType="separate"/>
      </w:r>
      <w:r w:rsidRPr="00C34BEC">
        <w:t>(Saidani et al., 2019; Sassanelli et al., 2019; Vinante et al., 2021)</w:t>
      </w:r>
      <w:r w:rsidRPr="00C34BEC">
        <w:fldChar w:fldCharType="end"/>
      </w:r>
      <w:r w:rsidRPr="00C34BEC">
        <w:t xml:space="preserve"> focus on indicators and tools at the firm level rather than including existing knowledge and research gaps at the supply chain level. </w:t>
      </w:r>
    </w:p>
    <w:p w14:paraId="34B90830" w14:textId="77777777" w:rsidR="00C34BEC" w:rsidRPr="00C34BEC" w:rsidRDefault="00C34BEC" w:rsidP="00C34BEC">
      <w:r w:rsidRPr="00C34BEC">
        <w:t xml:space="preserve">To fill this gap, this study reviews CE indicators at a supply chain level developed and employed in the academic literature and in the industrial practice. This will allow the identification of a subset of frequently employed metrics across all the sustainability pillars and the proposal of two prototypes of indicators. These two indicators select and aggregate the most frequently mentioned metrics in the academic literature and in industrial practice. The review also questions the reductionist nature of the different approaches employed for measuring the performance of supply chains from a CE perspective. It then proposes a research agenda aimed at overcoming the limitations of the current literature. </w:t>
      </w:r>
    </w:p>
    <w:p w14:paraId="397BD6CE" w14:textId="5AFD2DE4" w:rsidR="00C34BEC" w:rsidRPr="00C34BEC" w:rsidRDefault="00C34BEC" w:rsidP="00C34BEC">
      <w:r w:rsidRPr="00C34BEC">
        <w:t xml:space="preserve">The remainder of this paper is arranged as follows. The next section introduces the research background, defining CSCs and the different approaches that decision support systems can adopt, along with the general sustainability measurement debate. In Section 3, the method utilised to tackle the research questions is illustrated. Firstly, a systematic literature review (SLR) explores DSTs in the context of decision making in CSCs. Secondly, content analysis is used to reveal the CE Indicators in a general sample of Corporate Sustainability (CS) Reports from Multi National Enterprises (MNEs). Section 4 shows the results of both analyses, the most frequent metrics in DSTs for CSCs, the type of decision supported, and the type of sustainability dimension considered. Indicator systems are classified in to three groups on the basis of their underlying assumptions; a taxonomy of CE indicators for MNEs is also presented. In Section 5, results are </w:t>
      </w:r>
      <w:r w:rsidR="00F07293" w:rsidRPr="00C34BEC">
        <w:t>discussed,</w:t>
      </w:r>
      <w:r w:rsidRPr="00C34BEC">
        <w:t xml:space="preserve"> and a research agenda is proposed for supporting the development of CE indicators for supply chains. </w:t>
      </w:r>
    </w:p>
    <w:p w14:paraId="5EEC6D9B" w14:textId="2F578BA3" w:rsidR="00C34BEC" w:rsidRPr="00C34BEC" w:rsidRDefault="007765F7" w:rsidP="007765F7">
      <w:pPr>
        <w:pStyle w:val="Heading2"/>
        <w:numPr>
          <w:ilvl w:val="0"/>
          <w:numId w:val="0"/>
        </w:numPr>
        <w:ind w:left="357" w:hanging="357"/>
      </w:pPr>
      <w:bookmarkStart w:id="220" w:name="_Toc157759588"/>
      <w:r>
        <w:t xml:space="preserve">2 </w:t>
      </w:r>
      <w:r w:rsidR="00C34BEC" w:rsidRPr="00C34BEC">
        <w:t>Research background</w:t>
      </w:r>
      <w:bookmarkEnd w:id="220"/>
    </w:p>
    <w:p w14:paraId="2F35CC2B" w14:textId="77777777" w:rsidR="00C34BEC" w:rsidRPr="00C34BEC" w:rsidRDefault="00C34BEC" w:rsidP="00C34BEC">
      <w:r w:rsidRPr="00C34BEC">
        <w:t xml:space="preserve">Supply chains and inter-firm relationships have a crucial role in supporting the transition towards a CE </w:t>
      </w:r>
      <w:r w:rsidRPr="00C34BEC">
        <w:fldChar w:fldCharType="begin" w:fldLock="1"/>
      </w:r>
      <w:r w:rsidRPr="00C34BEC">
        <w:instrText>ADDIN CSL_CITATION {"citationItems":[{"id":"ITEM-1","itemData":{"DOI":"Article","ISBN":"00178012","ISSN":"00178012","PMID":"803973233","abstract":"The circular economy is gaining increasing attention in Europe and around the world as a potential way for our society to increase prosperity, while reducing dependence on primary materials and energy. The European Commission is expected to propose a “circular economy package” by the end of 2015, and many business leaders embrace the circular economy as a path to increasing growth and profitability. At the same time, a lively debate is going on about the attractiveness of a circular economy for different stakeholders and its implications for employment, growth, and the environment. This report aims to contribute to a fact base to inform this debate, especially in Europe. The report suggests what a circular European economy could look like and compares its potential impact with the current development path. The report models potential European economic and environmental outcomes in both scenarios. It also examines how a more circular way of satisfying human needs could play out in three of the largest and most resource-intensive European value chains: mobility, food, and the built environment. In aggregate, the circular scenarios suggest that the opportunity for Europe’s economy could be large. The report does not aim to provide final answers or projections for a circular economy—this would be impossible given the major uncertainties involved in the transition. Rather, the report tries to identify and describe major differences that circularity could bring to the European economy and offers directional quantification of the most important differences. In doing so, the report builds on previous circular economy research, including work by the Ellen MacArthur Foundation and the McKinsey Center for Business and Environment. This report is the product of a knowledge partnership between the Ellen MacArthur Foundation, Stiftungsfonds für Umweltökonomie und Nachhaltigkeit (SUN),the new environmental economics branch of the Deutsche Post Foundation, and the McKinsey Center for Business and Environment. We encourage policy-makers inspired by the vision presented in this report to read the Ellen MacArthur Foundation’s new and complementary report, Delivering the circular economy: A toolkit for policy-makers. The toolkit offers an actionable, step-by-step methodology to help transition towards a circular economy. We are grateful to our numerous partners and advisors for their insights and support throughout this project, as acknowledged in the pages that follow. Th…","author":[{"dropping-particle":"","family":"EMAF","given":"","non-dropping-particle":"","parse-names":false,"suffix":""}],"container-title":"Ellen MacArthur Foundation","id":"ITEM-1","issued":{"date-parts":[["2015"]]},"page":"100","title":"Growth within: a circular economy vision for a competitive europe","type":"article-journal"},"uris":["http://www.mendeley.com/documents/?uuid=2aa20ca8-59e8-4d34-8a5f-30b9fe01eef2"]},{"id":"ITEM-2","itemData":{"DOI":"10.1016/j.jclepro.2016.12.038","ISSN":"09596526","abstract":"The aim of this paper is to gain insight into how requirements for transitioning to circular economy creates new organizational forms in inter-firm collaborations, and ultimately how they stimulate the emergence of new institutions enhancing sustainability. Two strands of literature, one on circular economy and one on institutional analysis, provide the theoretical background for this research. Currently a clearly formulated and unified theory on the institutions of circular economy is lacking. Therefore this research compares and contrasts empirical evidence from cases derived from the textile industry in The Netherlands, and concepts derived from institutional analysis and literature on circular economy to inductively build a cohesive conceptual framework. Using information from cases we identified two pathways to transition into circular economy and to manage circular material flows. We define these pathways Status Quo arrangements (SQ), when firms focus on optimizing up-cycling technologies and infrastructure in their circular relations and collaborations, and Product as Service arrangements (PAS), to indicate a focus on providing products in service contracts. Chain coordination, contracting, and financial mechanisms were identified as key organizational elements for creating new pathways to transition into circular materials flows. However in analyzing these elements we also highlight differences between SQ and PAS arrangements. SQ arrangements may have implications at the level of formal rules, for example by creating a new industry standards for up-cycled fabrics. PAS arrangements may have wider implications, for example by reshaping ownership in service contracts and creating cascading activities. Moving ownership to the supply chain will result in increased responsibility for materials and will create an incentive for improving quality of products, including their environmental performance. This is expected to generate positive socio-environmental impacts at a system level as well. Moreover PAS arrangements may have bottom up effects at a formal institutional level, resulting in alteration and creation of formal rules, for example in terms of new approaches to the ownership of materials.","author":[{"dropping-particle":"","family":"Fischer","given":"Aglaia","non-dropping-particle":"","parse-names":false,"suffix":""},{"dropping-particle":"","family":"Pascucci","given":"Stefano","non-dropping-particle":"","parse-names":false,"suffix":""}],"container-title":"Journal of Cleaner Production","id":"ITEM-2","issued":{"date-parts":[["2017"]]},"page":"17-32","publisher":"Elsevier Ltd","title":"Institutional incentives in circular economy transition: The case of material use in the Dutch textile industry","type":"article-journal","volume":"155"},"uris":["http://www.mendeley.com/documents/?uuid=6cd9ca76-7869-4127-902d-28a600c2f957"]},{"id":"ITEM-3","itemData":{"DOI":"10.1016/j.jclepro.2017.10.046","ISSN":"09596526","abstract":"A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Production","id":"ITEM-3","issued":{"date-parts":[["2018"]]},"page":"1058-1067","title":"Supply chain collaboration in industrial symbiosis networks","type":"article-journal","volume":"171"},"uris":["http://www.mendeley.com/documents/?uuid=20a570de-bacf-423c-a7ed-fc4796e6dabf"]}],"mendeley":{"formattedCitation":"(EMAF, 2015; Fischer &amp; Pascucci, 2017; Herczeg et al., 2018)","plainTextFormattedCitation":"(EMAF, 2015; Fischer &amp; Pascucci, 2017; Herczeg et al., 2018)","previouslyFormattedCitation":"(EMAF, 2015; Fischer &amp; Pascucci, 2017; Herczeg et al., 2018)"},"properties":{"noteIndex":0},"schema":"https://github.com/citation-style-language/schema/raw/master/csl-citation.json"}</w:instrText>
      </w:r>
      <w:r w:rsidRPr="00C34BEC">
        <w:fldChar w:fldCharType="separate"/>
      </w:r>
      <w:r w:rsidRPr="00C34BEC">
        <w:t>(EMAF, 2015; Fischer &amp; Pascucci, 2017; Herczeg et al., 2018)</w:t>
      </w:r>
      <w:r w:rsidRPr="00C34BEC">
        <w:fldChar w:fldCharType="end"/>
      </w:r>
      <w:r w:rsidRPr="00C34BEC">
        <w:t xml:space="preserve">. In CSCs (Figure 1), companies cooperate not only to deliver goods and services to customers, but also to provide feedback loops that allow for methods of production to be self-sustaining and for materials to be used multiple times </w:t>
      </w:r>
      <w:r w:rsidRPr="00C34BEC">
        <w:fldChar w:fldCharType="begin" w:fldLock="1"/>
      </w:r>
      <w:r w:rsidRPr="00C34BEC">
        <w:instrText>ADDIN CSL_CITATION {"citationItems":[{"id":"ITEM-1","itemData":{"author":[{"dropping-particle":"","family":"Webster","given":"Ken","non-dropping-particle":"","parse-names":false,"suffix":""}],"editor":[{"dropping-particle":"","family":"Publishing","given":"Ellen MacArthur Foundation","non-dropping-particle":"","parse-names":false,"suffix":""}],"id":"ITEM-1","issued":{"date-parts":[["2017"]]},"title":"The circular economy: A wealth of flows","type":"book"},"uris":["http://www.mendeley.com/documents/?uuid=86861a01-f024-4a7e-86d5-b09b432e5e88"]},{"id":"ITEM-2","itemData":{"DOI":"10.1111/jiec.12610","ISSN":"15309290","abstract":"In a circular economy (CE), the economic and environmental value of materials is preserved for as long as possible by keeping them in the economic system, either by lengthening the life of the products formed from them or by looping them back in the system to be reused. The notion of waste no longer exists in a CE, because products and materials are, in principle, reused and cycled indefinitely. Taking this description as a starting point, the article asks which guiding principles, design strategies, and methods are required for circular product design and to what extent these differ from the principles, strategies, and methods of eco-design. The article argues that there is a fundamental distinction to be made between eco-design and circular product design and proceeds to develop, based on an extensive literature review, a set of new concepts and definitions, starting from a redefinition of product lifetime and introducing new terms such as presource and recovery horizon. The article then takes Walter Stahel's Inertia Principle as the guiding principle in circular product design and develops a typology of approaches for Design for Product Integrity, with a focus on tangible durable consumer products. The newly developed typology contributes to a deeper understanding of the CE as a concept and informs the discussion on the role of product design in a CE.","author":[{"dropping-particle":"","family":"Hollander","given":"Marcel C.","non-dropping-particle":"den","parse-names":false,"suffix":""},{"dropping-particle":"","family":"Bakker","given":"Conny A.","non-dropping-particle":"","parse-names":false,"suffix":""},{"dropping-particle":"","family":"Hultink","given":"Erik Jan","non-dropping-particle":"","parse-names":false,"suffix":""}],"container-title":"Journal of Industrial Ecology","id":"ITEM-2","issue":"3","issued":{"date-parts":[["2017"]]},"page":"517-525","title":"Product Design in a Circular Economy: Development of a Typology of Key Concepts and Terms","type":"article-journal","volume":"21"},"uris":["http://www.mendeley.com/documents/?uuid=8f42a9c8-f632-4107-aed2-75e4130971be"]},{"id":"ITEM-3","itemData":{"DOI":"https://doi.org/10.1108/CG-06-2013-0078","author":[{"dropping-particle":"","family":"Bocken","given":"N. M. P.","non-dropping-particle":"","parse-names":false,"suffix":""},{"dropping-particle":"","family":"Short","given":"S.","non-dropping-particle":"","parse-names":false,"suffix":""},{"dropping-particle":"","family":"Rana","given":"P.","non-dropping-particle":"","parse-names":false,"suffix":""},{"dropping-particle":"","family":"Evans","given":"S.","non-dropping-particle":"","parse-names":false,"suffix":""}],"container-title":"Corporate Governance","id":"ITEM-3","issue":"5","issued":{"date-parts":[["2013"]]},"page":"482-497","title":"A value mapping tool for sustainable business modelling","type":"article-journal","volume":"13"},"uris":["http://www.mendeley.com/documents/?uuid=1ac33c01-860f-4c89-a20e-7944ec49ba75"]}],"mendeley":{"formattedCitation":"(N. M. P. Bocken et al., 2013; den Hollander et al., 2017; Webster, 2017)","manualFormatting":"(Bocken et al., 2013; den Hollander et al., 2017; Webster, 2017)","plainTextFormattedCitation":"(N. M. P. Bocken et al., 2013; den Hollander et al., 2017; Webster, 2017)","previouslyFormattedCitation":"(N. M. P. Bocken et al., 2013; den Hollander et al., 2017; Webster, 2017)"},"properties":{"noteIndex":0},"schema":"https://github.com/citation-style-language/schema/raw/master/csl-citation.json"}</w:instrText>
      </w:r>
      <w:r w:rsidRPr="00C34BEC">
        <w:fldChar w:fldCharType="separate"/>
      </w:r>
      <w:r w:rsidRPr="00C34BEC">
        <w:t>(Bocken et al., 2013; den Hollander et al., 2017; Webster, 2017)</w:t>
      </w:r>
      <w:r w:rsidRPr="00C34BEC">
        <w:fldChar w:fldCharType="end"/>
      </w:r>
      <w:r w:rsidRPr="00C34BEC">
        <w:t xml:space="preserve">. Products are designed to last longer and to flow through multiple use phases </w:t>
      </w:r>
      <w:r w:rsidRPr="00C34BEC">
        <w:fldChar w:fldCharType="begin" w:fldLock="1"/>
      </w:r>
      <w:r w:rsidRPr="00C34BEC">
        <w:instrText>ADDIN CSL_CITATION {"citationItems":[{"id":"ITEM-1","itemData":{"DOI":"10.1016/j.jenvman.2018.08.014","ISSN":"10958630","PMID":"30248643","abstract":"This study presents a methodology that allows the analysis of how an existing product design meets the design guidelines required from the circular economy perspective, and which are the design guidelines that would need to be incorporated into its design to become a better circular design product. For that, as a starting point, the design guidelines required for the circular product design have been identified from an extensive literature review. Then, criteria have been defined to measure the margin of improvement of a product design based on the level of compliance of each circular design guideline, and the relevance of each circular design guideline for the specific product category to which it belongs. Finally, the methodology has been applied to a representative sample of 127 appliances belonging to different categories of small household electrical and electronic equipment. The circular design guidelines related to extending life span and to product/components reuse have been identified as those that more urgently need to be incorporated, while the urgency of those related to connectors or product structure is moderate.","author":[{"dropping-particle":"","family":"Bovea","given":"María D.","non-dropping-particle":"","parse-names":false,"suffix":""},{"dropping-particle":"","family":"Pérez-Belis","given":"Victoria","non-dropping-particle":"","parse-names":false,"suffix":""}],"container-title":"Journal of Environmental Management","id":"ITEM-1","issue":"August","issued":{"date-parts":[["2018"]]},"page":"483-494","publisher":"Elsevier","title":"Identifying design guidelines to meet the circular economy principles: A case study on electric and electronic equipment","type":"article-journal","volume":"228"},"uris":["http://www.mendeley.com/documents/?uuid=1b1bdb77-e9f8-4014-8261-e925720faf83"]},{"id":"ITEM-2","itemData":{"DOI":"10.1016/j.compind.2020.103245","ISSN":"01663615","abstract":"Guided by a technological revolution, widely discussed paradigms as servitization and Circular Economy (CE) are progressively pushing manufacturers towards delivering increasingly complex solutions. Design plays a strategic role in this sense, either considering products, services or Product-Service Systems (PSSs). Concurrent engineering and, specifically, Design for X (DfX) approaches have been widely associated to products, revealing great potentialities for enhancing service functionalities like supportability and circularity. Again, DfX approaches have been already exploited to systematically support the PSS design process, given their re-known ability to allow a better information sharing between product designers and service managers. However, even if several DfX approaches related with the End of Life (EoL) stage already exist (e.g. Design for recycling, remanufacturing and EoL), they still need to better fit with a circular design perspective. Therefore, the aim of this paper is exploring and understanding how design can contribute towards a CE transition through the adoption of DfX approaches.","author":[{"dropping-particle":"","family":"Sassanelli","given":"Claudio","non-dropping-particle":"","parse-names":false,"suffix":""},{"dropping-particle":"","family":"Urbinati","given":"Andrea","non-dropping-particle":"","parse-names":false,"suffix":""},{"dropping-particle":"","family":"Rosa","given":"Paolo","non-dropping-particle":"","parse-names":false,"suffix":""},{"dropping-particle":"","family":"Chiaroni","given":"Davide","non-dropping-particle":"","parse-names":false,"suffix":""},{"dropping-particle":"","family":"Terzi","given":"Sergio","non-dropping-particle":"","parse-names":false,"suffix":""}],"container-title":"Computers in Industry","id":"ITEM-2","issued":{"date-parts":[["2020"]]},"page":"103245","publisher":"Elsevier B.V.","title":"Addressing circular economy through design for X approaches: A systematic literature review","type":"article-journal","volume":"120"},"uris":["http://www.mendeley.com/documents/?uuid=b256f756-274a-477b-a462-c0817c5d7c38"]}],"mendeley":{"formattedCitation":"(Bovea &amp; Pérez-Belis, 2018; Sassanelli et al., 2020)","manualFormatting":"(Bovea &amp; Pérez-Belis, 2018; Sassanelli et al., 2020)","plainTextFormattedCitation":"(Bovea &amp; Pérez-Belis, 2018; Sassanelli et al., 2020)","previouslyFormattedCitation":"(Bovea &amp; Pérez-Belis, 2018; Sassanelli et al., 2020)"},"properties":{"noteIndex":0},"schema":"https://github.com/citation-style-language/schema/raw/master/csl-citation.json"}</w:instrText>
      </w:r>
      <w:r w:rsidRPr="00C34BEC">
        <w:fldChar w:fldCharType="separate"/>
      </w:r>
      <w:r w:rsidRPr="00C34BEC">
        <w:t>(Bovea &amp; Pérez-Belis, 2018; Sassanelli et al., 2020)</w:t>
      </w:r>
      <w:r w:rsidRPr="00C34BEC">
        <w:fldChar w:fldCharType="end"/>
      </w:r>
      <w:r w:rsidRPr="00C34BEC">
        <w:t xml:space="preserve">; materials are recovered and recycled many times </w:t>
      </w:r>
      <w:r w:rsidRPr="00C34BEC">
        <w:fldChar w:fldCharType="begin" w:fldLock="1"/>
      </w:r>
      <w:r w:rsidRPr="00C34BEC">
        <w:instrText>ADDIN CSL_CITATION {"citationItems":[{"id":"ITEM-1","itemData":{"DOI":"10.1016/j.jclepro.2015.02.065","ISSN":"09596526","abstract":"In recent times, product engineers have been under pressure to produce new strategies toward sustainable development, whether it involves materials or component recovery. The trend of product design development is shifting from 'cradle-to-grave' to 'cradle-to-cradle' which leads to the advent of multiple generation product life-cycles. This paper studies the design guidelines from Design for X which provides directional criteria on designing for multiple generation life-cycles. Therefore, in this paper, Design for Multiple Life-Cycles is defined as a combination of eco-design strategies including Design for Environment and Design for Remanufacture, which leads to other design strategies such as Design for Upgrade, Design for Assembly, Design for Disassembly, Design for Modularity, Design for Maintainability and Design for Reliability. This multiple life-cycles design thinking will pave the way for a more sustainable design and development of future products.","author":[{"dropping-particle":"","family":"Go","given":"T. F.","non-dropping-particle":"","parse-names":false,"suffix":""},{"dropping-particle":"","family":"Wahab","given":"D. A.","non-dropping-particle":"","parse-names":false,"suffix":""},{"dropping-particle":"","family":"Hishamuddin","given":"H.","non-dropping-particle":"","parse-names":false,"suffix":""}],"container-title":"Journal of Cleaner Production","id":"ITEM-1","issued":{"date-parts":[["2015"]]},"page":"16-29","title":"Multiple generation life-cycles for product sustainability: The way forward","type":"article-journal","volume":"95"},"uris":["http://www.mendeley.com/documents/?uuid=d4ab53ca-7f7d-4174-82ca-5bb6723dd37b"]},{"id":"ITEM-2","itemData":{"DOI":"10.1016/j.oceaneng.2018.08.046","ISSN":"00298018","abstract":"One of the most significant and value-added End of Life (EoL) recovery strategies in the Circular Economy is remanufacturing in which the functionality and performance of products are retained. In the marine industry, the intensity of remanufacturing is low compared to other transportation industries such as aerospace, automotive and rail. This paper discusses current issues on Design for Remanufacturing (DfRem) in the marine industry and provides insights into how remanufacturing plays a significant role in enhancing reliability and safety during the extended life of marine products and structures. Today, with the large number of ships approaching EoL, remanufacturing should be the way forward due to its positive impact on the environment and socio-economy. While marine components such as engines, propeller shafts, compressors and pumps have been successfully remanufactured in many parts of the world, remanufacturing of large structures such as hull and vessels have not been reported thus far. As in all other industries, remanufacturing has to be initiated with a paradigm shift in the business models, designing parts and structures for efficient remanufacturing, and the establishment of relevant policies and standards in order to pave the way towards a more sustainable marine industry in the future.","author":[{"dropping-particle":"","family":"Wahab","given":"D. A.","non-dropping-particle":"","parse-names":false,"suffix":""},{"dropping-particle":"","family":"Blanco-Davis","given":"E.","non-dropping-particle":"","parse-names":false,"suffix":""},{"dropping-particle":"","family":"Ariffin","given":"A. K.","non-dropping-particle":"","parse-names":false,"suffix":""},{"dropping-particle":"","family":"Wang","given":"J.","non-dropping-particle":"","parse-names":false,"suffix":""}],"container-title":"Ocean Engineering","id":"ITEM-2","issue":"March","issued":{"date-parts":[["2018"]]},"page":"125-133","title":"A review on the applicability of remanufacturing in extending the life cycle of marine or offshore components and structures","type":"article-journal","volume":"169"},"uris":["http://www.mendeley.com/documents/?uuid=4e728947-0210-4cb6-91bc-cb1f7840cc25"]}],"mendeley":{"formattedCitation":"(Go et al., 2015; Wahab et al., 2018)","plainTextFormattedCitation":"(Go et al., 2015; Wahab et al., 2018)","previouslyFormattedCitation":"(Go et al., 2015; Wahab et al., 2018)"},"properties":{"noteIndex":0},"schema":"https://github.com/citation-style-language/schema/raw/master/csl-citation.json"}</w:instrText>
      </w:r>
      <w:r w:rsidRPr="00C34BEC">
        <w:fldChar w:fldCharType="separate"/>
      </w:r>
      <w:r w:rsidRPr="00C34BEC">
        <w:t>(Go et al., 2015; Wahab et al., 2018)</w:t>
      </w:r>
      <w:r w:rsidRPr="00C34BEC">
        <w:fldChar w:fldCharType="end"/>
      </w:r>
      <w:r w:rsidRPr="00C34BEC">
        <w:t xml:space="preserve">. A very important role is played by how products and business models are designed </w:t>
      </w:r>
      <w:r w:rsidRPr="00C34BEC">
        <w:fldChar w:fldCharType="begin" w:fldLock="1"/>
      </w:r>
      <w:r w:rsidRPr="00C34BEC">
        <w:instrText>ADDIN CSL_CITATION {"citationItems":[{"id":"ITEM-1","itemData":{"DOI":"10.1002/bse.2466","ISSN":"10990836","abstract":"The concept of circular economy is increasingly receiving attention in different domains, including strategic management, operations management, and technology management. It requires companies to design their business model (i.e., the value network, the relationships with the supply chain partners, and the value propositions towards customers) around a new concept of sustainable development that reduces consumption of natural resources and preserves the environment. However, extant research falls short in terms of explaining how companies design their business model according to the circular economy principles. Starting from this premise, the present paper provides a systematic review of the literature on the design of business models in the context of circular economy, aiming to offer an overview of the state of research and outline a promising research agenda.","author":[{"dropping-particle":"","family":"Centobelli","given":"Piera","non-dropping-particle":"","parse-names":false,"suffix":""},{"dropping-particle":"","family":"Cerchione","given":"Roberto","non-dropping-particle":"","parse-names":false,"suffix":""},{"dropping-particle":"","family":"Chiaroni","given":"Davide","non-dropping-particle":"","parse-names":false,"suffix":""},{"dropping-particle":"","family":"Vecchio","given":"Pasquale","non-dropping-particle":"Del","parse-names":false,"suffix":""},{"dropping-particle":"","family":"Urbinati","given":"Andrea","non-dropping-particle":"","parse-names":false,"suffix":""}],"container-title":"Business Strategy and the Environment","id":"ITEM-1","issue":"4","issued":{"date-parts":[["2020"]]},"page":"1734-1749","title":"Designing business models in circular economy: A systematic literature review and research agenda","type":"article-journal","volume":"29"},"uris":["http://www.mendeley.com/documents/?uuid=78b3c95a-772c-4e4b-bb71-4d642447840f"]},{"id":"ITEM-2","itemData":{"DOI":"10.1080/21681015.2016.1172124","ISSN":"21681023","abstract":"The transition within business from a linear to a circular economy brings with it a range of practical challenges for companies. The following question is addressed: What are the product design and business model strategies for companies that want to move to a circular economy model? This paper develops a framework of strategies to guide designers and business strategists in the move from a linear to a circular economy. Building on Stahel, the terminology of slowing, closing, and narrowing resource loops is introduced. A list of product design strategies, business model strategies, and examples for key decision-makers in businesses is introduced, to facilitate the move to a circular economy. This framework also opens up a future research agenda for the circular economy.","author":[{"dropping-particle":"","family":"Bocken","given":"Nancy M.P.","non-dropping-particle":"","parse-names":false,"suffix":""},{"dropping-particle":"","family":"Pauw","given":"Ingrid","non-dropping-particle":"de","parse-names":false,"suffix":""},{"dropping-particle":"","family":"Bakker","given":"Conny","non-dropping-particle":"","parse-names":false,"suffix":""},{"dropping-particle":"","family":"Grinten","given":"Bram","non-dropping-particle":"van der","parse-names":false,"suffix":""}],"container-title":"Journal of Industrial and Production Engineering","id":"ITEM-2","issue":"5","issued":{"date-parts":[["2016"]]},"page":"308-320","publisher":"Taylor &amp; Francis","title":"Product design and business model strategies for a circular economy","type":"article-journal","volume":"33"},"uris":["http://www.mendeley.com/documents/?uuid=fcb2ec74-c1fb-49c6-9df5-a6d57c0aa3b0"]},{"id":"ITEM-3","itemData":{"DOI":"10.1111/jiec.12763","ISSN":"15309290","abstract":"The circular economy (CE) requires companies to rethink their supply chains and business models. Several frameworks found in the academic and practitioner literature propose circular economy business models (CEBMs) to redefine how companies create value while adhering to CE principles. A review of these frameworks shows that some models are frequently discussed, some are framework specific, and some use a different wording to refer to similar CEBMs, pointing to the need to consolidate the current state of the art. We conduct a morphological analysis of 26 current CEBMs from the literature, which includes defining their major business model dimensions and identifying the specific characteristics of these dimensions. Based on this analysis, we identify a broad range of business model design options and propose six major CEBM patterns with the potential to support the closing of resource flows: repair and maintenance; reuse and redistribution; refurbishment and remanufacturing; recycling; cascading and repurposing; and organic feedstock business model patterns. We also discuss different design strategies to support the development of these CEBMs.","author":[{"dropping-particle":"","family":"Lüdeke-Freund","given":"Florian","non-dropping-particle":"","parse-names":false,"suffix":""},{"dropping-particle":"","family":"Gold","given":"Stefan","non-dropping-particle":"","parse-names":false,"suffix":""},{"dropping-particle":"","family":"Bocken","given":"Nancy M.P.","non-dropping-particle":"","parse-names":false,"suffix":""}],"container-title":"Journal of Industrial Ecology","id":"ITEM-3","issue":"1","issued":{"date-parts":[["2019"]]},"page":"36-61","title":"A Review and Typology of Circular Economy Business Model Patterns","type":"article-journal","volume":"23"},"uris":["http://www.mendeley.com/documents/?uuid=940520b8-e4b7-4636-a855-91532ca947e0"]},{"id":"ITEM-4","itemData":{"DOI":"10.3280/EFE2017-001006","ISSN":"22807667","abstract":"Business model experimentation for sustainability is an intentional and systematic approach to identify, test and learn about value creation strategies that could be adopted by a business in response to current unsustainable trajectories. For businesses such as large clothing retailers the need to alter course is acute as pressure builds from economic, environmental and social angles. The circular economy concept provides a potential powerful lever for change. To date, however, scant research has been conducted on how circular business model experimentation is conducted. We present an in-depth action research case study of a large international clothing retailer embarking on a journey of business model experimentation for circularity: the processes, methods, roles and the organisation in light of the need to address broad sustainability challenges in the business. It was found that experimentation activities oscillated between slow and loaded, and faster and un-weighted modes. While an intentional and stepwise process was sought, in reality it was largely emergent and highly iterative. Through this iterative process, new circular business models were generated that co-exist with current non-circular ones. Confidence in experimentation as a business capability also increased through this collaborative project. This study provides insights into how to conduct lean startup type business model experimentation for circularity in a large organisation. For practitioners, the benefits of academic-industry collaboration, and the oscillating dynamics of business model experimentation are illuminated.","author":[{"dropping-particle":"","family":"Bocken","given":"Nancy M.P.","non-dropping-particle":"","parse-names":false,"suffix":""},{"dropping-particle":"","family":"Miller","given":"Karen","non-dropping-particle":"","parse-names":false,"suffix":""},{"dropping-particle":"","family":"Weissbrod","given":"Ilka","non-dropping-particle":"","parse-names":false,"suffix":""},{"dropping-particle":"","family":"Holgado","given":"Maria","non-dropping-particle":"","parse-names":false,"suffix":""},{"dropping-particle":"","family":"Evans","given":"Steve","non-dropping-particle":"","parse-names":false,"suffix":""}],"container-title":"Economics and Policy of Energy and the Environment","id":"ITEM-4","issue":"1","issued":{"date-parts":[["2017"]]},"page":"85-122","title":"Business model experimentation for circularity: Driving sustainability in a large international clothing retailer","type":"article-journal","volume":"2017"},"uris":["http://www.mendeley.com/documents/?uuid=90e0b3a3-752d-42fd-b287-6bc7398a1919"]},{"id":"ITEM-5","itemData":{"author":[{"dropping-particle":"","family":"Pigosso","given":"Daniela","non-dropping-particle":"","parse-names":false,"suffix":""},{"dropping-particle":"","family":"McAloone","given":"Tim","non-dropping-particle":"","parse-names":false,"suffix":""}],"container-title":"International Conference on Engineering Design, ICED","id":"ITEM-5","issue":"DS87-5","issued":{"date-parts":[["2017"]]},"page":"299-307","title":"How can design science contribute to a circular economy?","type":"article-journal","volume":"5"},"uris":["http://www.mendeley.com/documents/?uuid=8b68a63b-9757-43db-abbd-0ad8f7ed655d"]},{"id":"ITEM-6","itemData":{"DOI":".=https://doi.org/10.1007/978-3-030-74886-9","author":[{"dropping-particle":"","family":"Rocca","given":"Roberto","non-dropping-particle":"","parse-names":false,"suffix":""},{"dropping-particle":"","family":"Sassanelli","given":"Claudio","non-dropping-particle":"","parse-names":false,"suffix":""},{"dropping-particle":"","family":"Rosa","given":"Paolo","non-dropping-particle":"","parse-names":false,"suffix":""},{"dropping-particle":"","family":"Terzi","given":"Sergio","non-dropping-particle":"","parse-names":false,"suffix":""}],"id":"ITEM-6","issued":{"date-parts":[["2021"]]},"number-of-pages":"17-33","publisher":"Springer International Publishing","title":"New Business Models for the Reuse of Secondary Resources from WEEEs - The FENIX Project","type":"book"},"uris":["http://www.mendeley.com/documents/?uuid=e2f14149-c084-4b83-8fa3-a38ee11859a1"]}],"mendeley":{"formattedCitation":"(Nancy M.P. Bocken et al., 2016, 2017; Pigosso &amp; McAloone, 2017; Lüdeke-Freund et al., 2019; Centobelli et al., 2020; Rocca et al., 2021)","manualFormatting":"(Bocken et al., 2016, 2017; Pigosso &amp; McAloone, 2017; Lüdeke-Freund et al., 2019; Centobelli et al., 2020; Rocca et al., 2021)","plainTextFormattedCitation":"(Nancy M.P. Bocken et al., 2016, 2017; Pigosso &amp; McAloone, 2017; Lüdeke-Freund et al., 2019; Centobelli et al., 2020; Rocca et al., 2021)","previouslyFormattedCitation":"(Nancy M.P. Bocken et al., 2016, 2017; Pigosso &amp; McAloone, 2017; Lüdeke-Freund et al., 2019; Centobelli et al., 2020; Rocca et al., 2021)"},"properties":{"noteIndex":0},"schema":"https://github.com/citation-style-language/schema/raw/master/csl-citation.json"}</w:instrText>
      </w:r>
      <w:r w:rsidRPr="00C34BEC">
        <w:fldChar w:fldCharType="separate"/>
      </w:r>
      <w:r w:rsidRPr="00C34BEC">
        <w:t xml:space="preserve">(Bocken et al., 2016, </w:t>
      </w:r>
      <w:r w:rsidRPr="00C34BEC">
        <w:lastRenderedPageBreak/>
        <w:t>2017; Pigosso &amp; McAloone, 2017; Lüdeke-Freund et al., 2019; Centobelli et al., 2020; Rocca et al., 2021)</w:t>
      </w:r>
      <w:r w:rsidRPr="00C34BEC">
        <w:fldChar w:fldCharType="end"/>
      </w:r>
      <w:r w:rsidRPr="00C34BEC">
        <w:t xml:space="preserve">, with companies selling services rather than just products </w:t>
      </w:r>
      <w:r w:rsidRPr="00C34BEC">
        <w:fldChar w:fldCharType="begin" w:fldLock="1"/>
      </w:r>
      <w:r w:rsidRPr="00C34BEC">
        <w:instrText>ADDIN CSL_CITATION {"citationItems":[{"id":"ITEM-1","itemData":{"DOI":"10.1016/j.promfg.2017.02.037","ISSN":"23519789","abstract":"In the face of growing sustainability challenges, pressure on businesses to decouple environmental impacts from growth is mounting. New sustainable business models can be a systemic driver for change in industry and the wider business innovation literature suggests that strategic design approaches can be at the heart of business model innovation. One such approach, service design, involves solving problems through a service response, which unlocks value for each stakeholder in a value chain. Nevertheless, the value of service design to sustainable business is still often overlooked. Through a literature review and five illustrative case studies this paper systematically analyses how businesses can leverage service design for sustainable business model innovation. The research highlights how service design can support sustainable business model innovation by uncovering strategic as well as operational synergies between these complementary fields.","author":[{"dropping-particle":"","family":"Prendeville","given":"Sharon","non-dropping-particle":"","parse-names":false,"suffix":""},{"dropping-particle":"","family":"Bocken","given":"Nancy","non-dropping-particle":"","parse-names":false,"suffix":""}],"container-title":"Procedia Manufacturing","id":"ITEM-1","issue":"October 2016","issued":{"date-parts":[["2017"]]},"page":"292-299","publisher":"The Author(s)","title":"Sustainable Business Models through Service Design","type":"article-journal","volume":"8"},"uris":["http://www.mendeley.com/documents/?uuid=0ac70f2d-ea8c-410e-8524-698487da7d84"]},{"id":"ITEM-2","itemData":{"author":[{"dropping-particle":"","family":"Sassanelli","given":"Claudio","non-dropping-particle":"","parse-names":false,"suffix":""},{"dropping-particle":"","family":"Rossi","given":"M.","non-dropping-particle":"","parse-names":false,"suffix":""},{"dropping-particle":"","family":"Pezzotta","given":"G.","non-dropping-particle":"","parse-names":false,"suffix":""},{"dropping-particle":"","family":"Pacheco","given":"D. A. D. J.","non-dropping-particle":"","parse-names":false,"suffix":""},{"dropping-particle":"","family":"Terzi","given":"S.","non-dropping-particle":"","parse-names":false,"suffix":""}],"container-title":"International Journal of Product Lifecycle Management","id":"ITEM-2","issue":"1","issued":{"date-parts":[["2019"]]},"page":"37-61","title":"Defining lean product service systems features and research trends through a systematic literature review,","type":"article-journal","volume":"12"},"uris":["http://www.mendeley.com/documents/?uuid=9ea9bc3b-b82f-46f6-8919-36bc36200edb"]},{"id":"ITEM-3","itemData":{"DOI":"10.1016/j.jclepro.2013.11.049","ISSN":"09596526","abstract":"Since the 1990s, Product Service Systems (PSS) have been heralded as one of the most effective instruments for moving society towards a resource-efficient, circular economy and creating a much-needed 'resource revolution'. This paper reviews the literature on PSS in the last decade and compares the findings with those from an earlier review in this journal in 2006. Close to 300 relevant papers were identified, over 140 of which have been referenced in this review. Research in the field of PSS has become more prolific, with the output of refereed papers quadrupling since 2000, while on average scientific output has only doubled. PSS has also become embedded in a wider range of science fields (such as manufacturing, ICT, business management, and design) and geographical regions (Asia now produces more papers than Europe). The literature of the last seven years has refined insights with regard to the design of PSS, as well as their business and environmental benefits, and confirmed the definitions and PSS concepts already available in 2006. A major contribution of the recent literature is research into how firms have implemented PSS in their organization and what the key success factors and issues that require special attention are (such as a focus on product availability for clients; an emphasis on diversity in terms of services provided rather than the range of products; and the need for staff to possess both knowledge of the product and relationship management skills). The reasons why PSS have nonetheless still not been widely implemented, particularly in the B2C context, seem to have already been explained fairly well in the literature available in 2006. For consumers, having control over things, artifacts, and life itself is one of the most valued attributes. PSS are often less accessible, or have less intangible value, than the competing product, in part because PSS usually do not allow consumers as much behavioral freedom or even leave them with the impression that the PSS provider could prescribe how they should behave.","author":[{"dropping-particle":"","family":"Tukker","given":"Arnold","non-dropping-particle":"","parse-names":false,"suffix":""}],"container-title":"Journal of Cleaner Production","id":"ITEM-3","issued":{"date-parts":[["2015"]]},"page":"76-91","publisher":"Elsevier Ltd","title":"Product services for a resource-efficient and circular economy - A review","type":"article-journal","volume":"97"},"uris":["http://www.mendeley.com/documents/?uuid=5a99932b-23c3-41c4-b525-8a79d39aeb63"]}],"mendeley":{"formattedCitation":"(Tukker, 2015; Prendeville &amp; Bocken, 2017; Sassanelli, Rossi, et al., 2019)","plainTextFormattedCitation":"(Tukker, 2015; Prendeville &amp; Bocken, 2017; Sassanelli, Rossi, et al., 2019)","previouslyFormattedCitation":"(Tukker, 2015; Prendeville &amp; Bocken, 2017; Sassanelli, Rossi, et al., 2019)"},"properties":{"noteIndex":0},"schema":"https://github.com/citation-style-language/schema/raw/master/csl-citation.json"}</w:instrText>
      </w:r>
      <w:r w:rsidRPr="00C34BEC">
        <w:fldChar w:fldCharType="separate"/>
      </w:r>
      <w:r w:rsidRPr="00C34BEC">
        <w:t>(Tukker, 2015; Prendeville &amp; Bocken, 2017; Sassanelli, Rossi, et al., 2019)</w:t>
      </w:r>
      <w:r w:rsidRPr="00C34BEC">
        <w:fldChar w:fldCharType="end"/>
      </w:r>
      <w:r w:rsidRPr="00C34BEC">
        <w:t xml:space="preserve">. The result is that each product is considered as an asset, whose value is to be preserved for as long as possible in an attempt to displace (at least partially) the demand for new products and primary materials </w:t>
      </w:r>
      <w:r w:rsidRPr="00C34BEC">
        <w:fldChar w:fldCharType="begin" w:fldLock="1"/>
      </w:r>
      <w:r w:rsidRPr="00C34BEC">
        <w:instrText>ADDIN CSL_CITATION {"citationItems":[{"id":"ITEM-1","itemData":{"DOI":"10.1111/jiec.12545","ISSN":"15309290","abstract":"The so-called circular economy—the concept of closing material loops to preserve products, parts, and materials in the industrial system and extract their maximum utility—has recently started gaining momentum. The idea of substituting lower-impact secondary production for environmentally intensive primary production gives the circular economy a strong intuitive environmental appeal. However, proponents of the circular economy have tended to look at the world purely as an engineering system and have overlooked the economic part of the circular economy. Recent research has started to question the core of the circular economy—namely, whether closing material and product loops does, in fact, prevent primary production. In this article, we argue that circular economy activities can increase overall production, which can partially or fully offset their benefits. Because there is a strong parallel in this respect to energy efficiency rebound, we have termed this effect “circular economy rebound.” Circular economy rebound occurs when circular economy activities, which have lower per-unit-production impacts, also cause increased levels of production, reducing their benefit. We describe the mechanisms that cause circular economy rebound, which include the limited ability of secondary products to substitute for primary products, and price effects. We then offer some potential strategies for avoiding circular economy rebound. However, these strategies are unlikely to be attractive to for-profit firms, so we caution that simply encouraging private firms to find profitable opportunities in the circular economy is likely to cause rebound and lower or eliminate the potential environmental benefits.","author":[{"dropping-particle":"","family":"Zink","given":"Trevor","non-dropping-particle":"","parse-names":false,"suffix":""},{"dropping-particle":"","family":"Geyer","given":"Roland","non-dropping-particle":"","parse-names":false,"suffix":""}],"container-title":"Journal of Industrial Ecology","id":"ITEM-1","issue":"3","issued":{"date-parts":[["2017"]]},"page":"593-602","title":"Circular Economy Rebound","type":"article-journal","volume":"21"},"uris":["http://www.mendeley.com/documents/?uuid=e322df32-603a-4876-bc06-f19f87f0db63"]}],"mendeley":{"formattedCitation":"(Zink &amp; Geyer, 2017)","plainTextFormattedCitation":"(Zink &amp; Geyer, 2017)","previouslyFormattedCitation":"(Zink &amp; Geyer, 2017)"},"properties":{"noteIndex":0},"schema":"https://github.com/citation-style-language/schema/raw/master/csl-citation.json"}</w:instrText>
      </w:r>
      <w:r w:rsidRPr="00C34BEC">
        <w:fldChar w:fldCharType="separate"/>
      </w:r>
      <w:r w:rsidRPr="00C34BEC">
        <w:t>(Zink &amp; Geyer, 2017)</w:t>
      </w:r>
      <w:r w:rsidRPr="00C34BEC">
        <w:fldChar w:fldCharType="end"/>
      </w:r>
      <w:r w:rsidRPr="00C34BEC">
        <w:t xml:space="preserve">. This is expected to help keeping consumption levels inside the earth’s boundaries </w:t>
      </w:r>
      <w:r w:rsidRPr="00C34BEC">
        <w:fldChar w:fldCharType="begin" w:fldLock="1"/>
      </w:r>
      <w:r w:rsidRPr="00C34BEC">
        <w:instrText>ADDIN CSL_CITATION {"citationItems":[{"id":"ITEM-1","itemData":{"DOI":"10.5751/ES-03180-140232","ISSN":"17083087","abstract":"Anthropogenic pressures on the Earth System have reached a scale where abrupt global environmental change can no longer be excluded. We propose a new approach to global sustainability in which we define planetary boundaries within which we expect that humanity can operate safely. Transgressing one or more planetary boundaries may be deleterious or even catastrophic due to the risk of crossing thresholds that will trigger non-linear, abrupt environmental change within continental- to planetary-scale systems. We have identified nine planetary boundaries and, drawing upon current scientific understanding, we propose quantifications for seven of them. These seven are climate change (CO2 concentration in the atmosphere &lt;350 ppm and/or a maximum change of +1 W m-2 in radiative forcing); ocean acidification (mean surface seawater saturation state with respect to aragonite ≥ 80% of pre-industrial levels); stratospheric ozone (&lt;5% reduction in O3 concentration from pre-industrial level of 290 Dobson Units); biogeochemical nitrogen (N) cycle (limit industrial and agricultural fixation of N2 to 35 Tg N yr-1) and phosphorus (P) cycle (annual P inflow to oceans not to exceed 10 times the natural background weathering of P); global freshwater use (&lt;4000 km3 yr-1 of consumptive use of runoff resources); land system change (&lt;15% of the ice-free land surface under cropland); and the rate at which biological diversity is lost (annual rate of &lt;10 extinctions per million species). The two additional planetary boundaries for which we have not yet been able to determine a boundary level are chemical pollution and atmospheric aerosol loading. We estimate that humanity has already transgressed three planetary boundaries: for climate change, rate of biodiversity loss, and changes to the global nitrogen cycle. Planetary boundaries are interdependent, because transgressing one may both shift the position of other boundaries or cause them to be transgressed. The social impacts of transgressing boundaries will be a function of the social-ecological resilience of the affected societies. Our proposed boundaries are rough, first estimates only, surrounded by large uncertainties and knowledge gaps. Filling these gaps will require major advancements in Earth System and resilience science. The proposed concept of \"planetary boundaries\" lays the groundwork for shifting our approach to governance and management, away from the essentially sectoral analyses of limits to growth aimed at minim…","author":[{"dropping-particle":"","family":"Rockström","given":"Johan","non-dropping-particle":"","parse-names":false,"suffix":""},{"dropping-particle":"","family":"Steffen","given":"Will","non-dropping-particle":"","parse-names":false,"suffix":""},{"dropping-particle":"","family":"Noone","given":"Kevin","non-dropping-particle":"","parse-names":false,"suffix":""},{"dropping-particle":"","family":"Persson","given":"Åsa","non-dropping-particle":"","parse-names":false,"suffix":""},{"dropping-particle":"","family":"Chapin","given":"F. Stuart","non-dropping-particle":"","parse-names":false,"suffix":""},{"dropping-particle":"","family":"Lambin","given":"Eric","non-dropping-particle":"","parse-names":false,"suffix":""},{"dropping-particle":"","family":"Lenton","given":"Timothy M.","non-dropping-particle":"","parse-names":false,"suffix":""},{"dropping-particle":"","family":"Scheffer","given":"Marten","non-dropping-particle":"","parse-names":false,"suffix":""},{"dropping-particle":"","family":"Folke","given":"Carl","non-dropping-particle":"","parse-names":false,"suffix":""},{"dropping-particle":"","family":"Schellnhuber","given":"Hans Joachim","non-dropping-particle":"","parse-names":false,"suffix":""},{"dropping-particle":"","family":"Nykvist","given":"Björn","non-dropping-particle":"","parse-names":false,"suffix":""},{"dropping-particle":"","family":"Wit","given":"Cynthia A.","non-dropping-particle":"de","parse-names":false,"suffix":""},{"dropping-particle":"","family":"Hughes","given":"Terry","non-dropping-particle":"","parse-names":false,"suffix":""},{"dropping-particle":"","family":"Leeuw","given":"Sander","non-dropping-particle":"van der","parse-names":false,"suffix":""},{"dropping-particle":"","family":"Rodhe","given":"Henning","non-dropping-particle":"","parse-names":false,"suffix":""},{"dropping-particle":"","family":"Sörlin","given":"Sverker","non-dropping-particle":"","parse-names":false,"suffix":""},{"dropping-particle":"","family":"Snyder","given":"Peter K.","non-dropping-particle":"","parse-names":false,"suffix":""},{"dropping-particle":"","family":"Costanza","given":"Robert","non-dropping-particle":"","parse-names":false,"suffix":""},{"dropping-particle":"","family":"Svedin","given":"Uno","non-dropping-particle":"","parse-names":false,"suffix":""},{"dropping-particle":"","family":"Falkenmark","given":"Malin","non-dropping-particle":"","parse-names":false,"suffix":""},{"dropping-particle":"","family":"Karlberg","given":"Louise","non-dropping-particle":"","parse-names":false,"suffix":""},{"dropping-particle":"","family":"Corell","given":"Robert W.","non-dropping-particle":"","parse-names":false,"suffix":""},{"dropping-particle":"","family":"Fabry","given":"Victoria J.","non-dropping-particle":"","parse-names":false,"suffix":""},{"dropping-particle":"","family":"Hansen","given":"James","non-dropping-particle":"","parse-names":false,"suffix":""},{"dropping-particle":"","family":"Walker","given":"Brian","non-dropping-particle":"","parse-names":false,"suffix":""},{"dropping-particle":"","family":"Liverman","given":"Diana","non-dropping-particle":"","parse-names":false,"suffix":""},{"dropping-particle":"","family":"Richardson","given":"Katherine","non-dropping-particle":"","parse-names":false,"suffix":""},{"dropping-particle":"","family":"Crutzen","given":"Paul","non-dropping-particle":"","parse-names":false,"suffix":""},{"dropping-particle":"","family":"Foley","given":"Jonathan","non-dropping-particle":"","parse-names":false,"suffix":""}],"container-title":"Ecology and Society","id":"ITEM-1","issue":"2","issued":{"date-parts":[["2009"]]},"title":"Planetary boundaries: Exploring the safe operating space for humanity","type":"article-journal","volume":"14"},"uris":["http://www.mendeley.com/documents/?uuid=89c1d443-eaa3-439a-95a3-386a325d5f58"]}],"mendeley":{"formattedCitation":"(Rockström et al., 2009)","plainTextFormattedCitation":"(Rockström et al., 2009)","previouslyFormattedCitation":"(Rockström et al., 2009)"},"properties":{"noteIndex":0},"schema":"https://github.com/citation-style-language/schema/raw/master/csl-citation.json"}</w:instrText>
      </w:r>
      <w:r w:rsidRPr="00C34BEC">
        <w:fldChar w:fldCharType="separate"/>
      </w:r>
      <w:r w:rsidRPr="00C34BEC">
        <w:t>(Rockström et al., 2009)</w:t>
      </w:r>
      <w:r w:rsidRPr="00C34BEC">
        <w:fldChar w:fldCharType="end"/>
      </w:r>
      <w:r w:rsidRPr="00C34BEC">
        <w:t xml:space="preserve">. A CSC should be able to: </w:t>
      </w:r>
    </w:p>
    <w:p w14:paraId="3DE666F0" w14:textId="77777777" w:rsidR="00C34BEC" w:rsidRPr="00C34BEC" w:rsidRDefault="00C34BEC" w:rsidP="0081080C">
      <w:pPr>
        <w:numPr>
          <w:ilvl w:val="0"/>
          <w:numId w:val="23"/>
        </w:numPr>
      </w:pPr>
      <w:r w:rsidRPr="00C34BEC">
        <w:t xml:space="preserve">Coordinate forward and reverse logistics supporting the creation of value from circular business models and products as a service </w:t>
      </w:r>
      <w:r w:rsidRPr="00C34BEC">
        <w:fldChar w:fldCharType="begin" w:fldLock="1"/>
      </w:r>
      <w:r w:rsidRPr="00C34BEC">
        <w:instrText>ADDIN CSL_CITATION {"citationItems":[{"id":"ITEM-1","itemData":{"DOI":"10.1080/09537287.2017.1343502","ISSN":"13665871","abstract":"This paper addresses questions of how extant research discourses concerning the sustainability of supply chains contribute to understanding about circularity in supply chain configurations that support restorative and regenerative processes, as espoused by the Circular Economy ideal. In response to these questions, we develop a content-based literature analysis to progress theoretical body of knowledge and conceptualise the notion of a circular supply chain. We derive an archetypal form from four antecedent sustainable supply chain narratives–‘reverse logistics’, ‘green supply chains’, ‘sustainable supply chain management’ and ‘closed-loop supply chains’. This paper offers five propositions about what the circular supply chain archetype represents in terms of its scope, focus and impact. Novel insights lead to a definition of circular supply chain and a more coherent foundation for future inquiry and practice.","author":[{"dropping-particle":"","family":"Batista","given":"Luciano","non-dropping-particle":"","parse-names":false,"suffix":""},{"dropping-particle":"","family":"Bourlakis","given":"Michael","non-dropping-particle":"","parse-names":false,"suffix":""},{"dropping-particle":"","family":"Smart","given":"Palie","non-dropping-particle":"","parse-names":false,"suffix":""},{"dropping-particle":"","family":"Maull","given":"Roger","non-dropping-particle":"","parse-names":false,"suffix":""}],"container-title":"Production Planning and Control","id":"ITEM-1","issue":"6","issued":{"date-parts":[["2018"]]},"page":"438-451","publisher":"Taylor &amp; Francis","title":"In search of a circular supply chain archetype–a content-analysis-based literature review","type":"article-journal","volume":"29"},"uris":["http://www.mendeley.com/documents/?uuid=1dd9d687-2ea2-4618-9014-a69d9be00bf2"]},{"id":"ITEM-2","itemData":{"DOI":"10.1016/j.procir.2018.03.279","ISBN":"0000000000","ISSN":"22128271","abstract":"Design for X (DfX) approaches are very important for designing products with a focus on whole lifecycle, to achieve cost reduction and product quality. The move to achieve competitiveness and unique offerings have resulted in the switch from a product to a Product Service Systems (PSS) business model. DfX concept is insufficient to address the complexity of PSS, therefore, additional concepts such as Design for Product Service Supportability (DfPSSu) are emerging. Existing research argued the role of support in ensuring customer satisfaction, revenue generation etc., which strengthens the motivation for PSS and servitization. The integration of support services into PSS has initiated the focus on DfPSSu, aiming at the synergic use of the different DfX approaches to concurrently support the services with the product features according their own heterogeneity. PSS complexity necessitates collaboration within the Supply Chain (SC) to deliver value to the customer, yet existing research focuses on individual firms. This highlights the importance of value creation in Design for SC (DfSC) in order to achieve competitiveness. This research would explore DfX from a value creation perspective while investigating the place of DfSC into the DfPSSu concept. This because DfSC encourages innovation in linking product design, process design and SC design together, according to the Concurrent Engineering paradigm. While there is need to DfSC, this idea is under-researched in literature. This paper would share the findings from a state of the art review of DfSC in relation to DfPSSu, identifying the evolution of the concept while identifying much research gap in understanding and application of this concept in theoretical and empirical research.","author":[{"dropping-particle":"","family":"Ebikake","given":"Oyetola Emmanuel","non-dropping-particle":"","parse-names":false,"suffix":""},{"dropping-particle":"","family":"Sassanelli","given":"Claudio","non-dropping-particle":"","parse-names":false,"suffix":""},{"dropping-particle":"","family":"Terzi","given":"Sergio","non-dropping-particle":"","parse-names":false,"suffix":""}],"container-title":"Procedia CIRP","id":"ITEM-2","issued":{"date-parts":[["2018"]]},"page":"198-203","publisher":"Elsevier B.V.","title":"PSS design through Design for Supply Chain: State of the art review","type":"article-journal","volume":"70"},"uris":["http://www.mendeley.com/documents/?uuid=f18c0ee1-8d70-40dd-95af-35964315d5d3"]}],"mendeley":{"formattedCitation":"(Batista et al., 2018; Ebikake et al., 2018)","plainTextFormattedCitation":"(Batista et al., 2018; Ebikake et al., 2018)","previouslyFormattedCitation":"(Batista et al., 2018; Ebikake et al., 2018)"},"properties":{"noteIndex":0},"schema":"https://github.com/citation-style-language/schema/raw/master/csl-citation.json"}</w:instrText>
      </w:r>
      <w:r w:rsidRPr="00C34BEC">
        <w:fldChar w:fldCharType="separate"/>
      </w:r>
      <w:r w:rsidRPr="00C34BEC">
        <w:t>(Batista et al., 2018; Ebikake et al., 2018)</w:t>
      </w:r>
      <w:r w:rsidRPr="00C34BEC">
        <w:fldChar w:fldCharType="end"/>
      </w:r>
      <w:r w:rsidRPr="00C34BEC">
        <w:t>;</w:t>
      </w:r>
    </w:p>
    <w:p w14:paraId="4B07CC72" w14:textId="77777777" w:rsidR="00C34BEC" w:rsidRPr="00C34BEC" w:rsidRDefault="00C34BEC" w:rsidP="0081080C">
      <w:pPr>
        <w:numPr>
          <w:ilvl w:val="0"/>
          <w:numId w:val="23"/>
        </w:numPr>
      </w:pPr>
      <w:r w:rsidRPr="00C34BEC">
        <w:t xml:space="preserve">Reduce (ideally, to zero) the waste streams it produces by systematically restoring technical materials and regenerating biological materials </w:t>
      </w:r>
      <w:r w:rsidRPr="00C34BEC">
        <w:fldChar w:fldCharType="begin" w:fldLock="1"/>
      </w:r>
      <w:r w:rsidRPr="00C34BEC">
        <w:instrText>ADDIN CSL_CITATION {"citationItems":[{"id":"ITEM-1","itemData":{"DOI":"10.1016/j.jclepro.2019.04.303","ISSN":"09596526","abstract":"Circular economy is increasingly recognized as a better alternative to the dominant linear (take, make, and dispose)economic model. Circular Supply Chain Management (CSCM), which integrates the philosophy of the circular economy into supply chain management, offers a new and compelling perspective to the supply chain sustainability domain. Consequently, there is increasing research interest. However, a review of the extant literature shows that a comprehensive integrated view of CSCM is still absent in the extant literature. This prohibits a clear distinction compared to other supply chain sustainability concepts and hinders further progress of the field. In response, this research first classifies various terminologies related to supply chain sustainability and conceptualizes a unifying definition of CSCM. Using this definition as a base, it then conducts a structured literature review of 261 research articles on the current state of CSCM research. Based on the review results, the researchers call for further studies in the following directions that are important but received little or no attention: design for circularity, procurement and CSCM, biodegradable packaging, circular supply chain collaboration and coordination, drivers and barriers of CSCM, circular consumption, product liabilities and producer's responsibility, and technologies and CSCM.","author":[{"dropping-particle":"","family":"Farooque","given":"Muhammad","non-dropping-particle":"","parse-names":false,"suffix":""},{"dropping-particle":"","family":"Zhang","given":"Abraham","non-dropping-particle":"","parse-names":false,"suffix":""},{"dropping-particle":"","family":"Thürer","given":"Matthias","non-dropping-particle":"","parse-names":false,"suffix":""},{"dropping-particle":"","family":"Qu","given":"Ting","non-dropping-particle":"","parse-names":false,"suffix":""},{"dropping-particle":"","family":"Huisingh","given":"Donald","non-dropping-particle":"","parse-names":false,"suffix":""}],"container-title":"Journal of Cleaner Production","id":"ITEM-1","issued":{"date-parts":[["2019"]]},"page":"882-900","publisher":"Elsevier Ltd","title":"Circular supply chain management: A definition and structured literature review","type":"article-journal","volume":"228"},"uris":["http://www.mendeley.com/documents/?uuid=c973979c-5eda-4be6-a5c0-143371cde9c9"]}],"mendeley":{"formattedCitation":"(Farooque et al., 2019)","plainTextFormattedCitation":"(Farooque et al., 2019)","previouslyFormattedCitation":"(Farooque et al., 2019)"},"properties":{"noteIndex":0},"schema":"https://github.com/citation-style-language/schema/raw/master/csl-citation.json"}</w:instrText>
      </w:r>
      <w:r w:rsidRPr="00C34BEC">
        <w:fldChar w:fldCharType="separate"/>
      </w:r>
      <w:r w:rsidRPr="00C34BEC">
        <w:t>(Farooque et al., 2019)</w:t>
      </w:r>
      <w:r w:rsidRPr="00C34BEC">
        <w:fldChar w:fldCharType="end"/>
      </w:r>
      <w:r w:rsidRPr="00C34BEC">
        <w:t>;</w:t>
      </w:r>
    </w:p>
    <w:p w14:paraId="053B014B" w14:textId="77777777" w:rsidR="00C34BEC" w:rsidRPr="00C34BEC" w:rsidRDefault="00C34BEC" w:rsidP="0081080C">
      <w:pPr>
        <w:numPr>
          <w:ilvl w:val="0"/>
          <w:numId w:val="23"/>
        </w:numPr>
      </w:pPr>
      <w:r w:rsidRPr="00C34BEC">
        <w:t xml:space="preserve">Limit the throughput flow of societal systems to a level that nature tolerates, and utilises ecosystem cycles in economic cycles by respecting their natural reproduction rates </w:t>
      </w:r>
      <w:r w:rsidRPr="00C34BEC">
        <w:fldChar w:fldCharType="begin" w:fldLock="1"/>
      </w:r>
      <w:r w:rsidRPr="00C34BEC">
        <w:instrText>ADDIN CSL_CITATION {"citationItems":[{"id":"ITEM-1","itemData":{"DOI":"10.1016/j.ecolecon.2017.06.041","ISSN":"09218009","abstract":"Circular economy (CE) is currently a popular concept promoted by the EU, by several national governments and by many businesses around the world. However, the scientific and research content of the CE concept is superficial and unorganized. CE seems to be a collection of vague and separate ideas from several fields and semi-scientific concepts. The objective of this article is to contribute to the scientific research on CE. First, we will define the concept of CE from the perspective of WCED sustainable development and sustainability science. Second, we will conduct a critical analysis of the concept from the perspective of environmental sustainability. The analysis identifies six challenges, for example those of thermodynamics and system boundaries, that need to be resolved for CE to be able to contribute to global net sustainability. These six challenges also serve as research themes and objectives for scholars interested in making progress in sustainable development through the usage of circular economy. CE is important for its power to attract both the business community and policy-making community to sustainability work, but it needs scientific research to secure that the actual environmental impacts of CE work toward sustainability.","author":[{"dropping-particle":"","family":"Korhonen","given":"Jouni","non-dropping-particle":"","parse-names":false,"suffix":""},{"dropping-particle":"","family":"Honkasalo","given":"Antero","non-dropping-particle":"","parse-names":false,"suffix":""},{"dropping-particle":"","family":"Seppälä","given":"Jyri","non-dropping-particle":"","parse-names":false,"suffix":""}],"container-title":"Ecological Economics","id":"ITEM-1","issue":"January","issued":{"date-parts":[["2018"]]},"page":"37-46","publisher":"Elsevier B.V.","title":"Circular Economy: The Concept and its Limitations","type":"article-journal","volume":"143"},"uris":["http://www.mendeley.com/documents/?uuid=31d96043-329c-4dc0-8cb5-d663b399ff81"]}],"mendeley":{"formattedCitation":"(Korhonen, Honkasalo, et al., 2018)","manualFormatting":"(Korhonen et al., 2018)","plainTextFormattedCitation":"(Korhonen, Honkasalo, et al., 2018)","previouslyFormattedCitation":"(Korhonen, Honkasalo, et al., 2018)"},"properties":{"noteIndex":0},"schema":"https://github.com/citation-style-language/schema/raw/master/csl-citation.json"}</w:instrText>
      </w:r>
      <w:r w:rsidRPr="00C34BEC">
        <w:fldChar w:fldCharType="separate"/>
      </w:r>
      <w:r w:rsidRPr="00C34BEC">
        <w:t>(Korhonen et al., 2018)</w:t>
      </w:r>
      <w:r w:rsidRPr="00C34BEC">
        <w:fldChar w:fldCharType="end"/>
      </w:r>
      <w:r w:rsidRPr="00C34BEC">
        <w:t>.</w:t>
      </w:r>
    </w:p>
    <w:p w14:paraId="43AD3F7C" w14:textId="77777777" w:rsidR="00C34BEC" w:rsidRPr="00C34BEC" w:rsidRDefault="00C34BEC" w:rsidP="00C34BEC">
      <w:r w:rsidRPr="00C34BEC">
        <w:t xml:space="preserve">The Literature is currently exploring enablers of CSCs. Digital technologies </w:t>
      </w:r>
      <w:r w:rsidRPr="00C34BEC">
        <w:fldChar w:fldCharType="begin" w:fldLock="1"/>
      </w:r>
      <w:r w:rsidRPr="00C34BEC">
        <w:instrText>ADDIN CSL_CITATION {"citationItems":[{"id":"ITEM-1","itemData":{"DOI":"10.3390/su13042047","ISSN":"20711050","abstract":"In the extant literature, circular economy (CE) is considered a driver for sustainable development of the manufacturing sector, being it an industrial paradigm aiming at regenerating resources. CE is transferred to manufacturing companies through the adoption of different Circular Manufacturing (CM) strategies (e.g., recycling, remanufacturing, etc.). Nowadays, manufacturers are struggling to implement these strategies to limit their resource consumption and pollution generation. To enable their adoption, the extant literature unveiled the importance to control along the entire value chain different types of resource flows (i.e., material, energy, and information). Nevertheless, while for material and energy management some advancements were achieved, information management and sharing remains one of the major barriers in adopting these strategies. The present work, through a systematic literature review, aims to identify the relevant information and data required to support the manufacturer’s decision process in adopting and managing the different CM strategies to pursue the transition towards CM. Furthermore, based on the results obtained, this research proposes a theoretical framework. It elucidates the four main areas to be managed by manufacturers in adopting CM strategies and it provides to the manufacturer an overview of what should be updated and upgraded inside the company to embrace CM strategies.","author":[{"dropping-particle":"","family":"Acerbi","given":"Federica","non-dropping-particle":"","parse-names":false,"suffix":""},{"dropping-particle":"","family":"Sassanelli","given":"Claudio","non-dropping-particle":"","parse-names":false,"suffix":""},{"dropping-particle":"","family":"Terzi","given":"Sergio","non-dropping-particle":"","parse-names":false,"suffix":""},{"dropping-particle":"","family":"Taisch","given":"Marco","non-dropping-particle":"","parse-names":false,"suffix":""}],"container-title":"Sustainability (Switzerland)","id":"ITEM-1","issue":"4","issued":{"date-parts":[["2021"]]},"page":"1-27","title":"A systematic literature review on data and information required for circular manufacturing strategies adoption","type":"article-journal","volume":"13"},"uris":["http://www.mendeley.com/documents/?uuid=be8118a3-fee5-43e8-9375-626b9cb76cf4"]},{"id":"ITEM-2","itemData":{"DOI":"10.1016/j.jclepro.2020.123086","ISSN":"09596526","abstract":"This paper aims to investigate how the sustainable development is pursued by manufacturing companies according to the extant literature, especially by focusing on Circular Economy (CE) paradigm that is considered one of the major drivers for sustainability. Indeed, this research aims to study how CE principles have been adopted in the manufacturing sector leading towards the creation of Circular Manufacturing (CM) strategies. To achieve this goal, a systematic literature review has been conducted. Scopus and Web of Science are the scientific databases used for the review process. The 215 papers selected for the review were analysed through a theoretical framework developed by the authors. This framework enabled to individualize the research streams and the perspectives through which CE strategies adopted by manufacturers have been studied in the extant scientific literature. These research streams are technologies, and evaluation methods and models. Besides, both of these two are studied under two different lenses since they both are mutually considered supportive tools to shift or to maintain a circular system. To conclude, one of the major contributions of this literature review is to provide a clearer definition of CM and to figure out how CM strategies have been addressed by academics in the scientific literature, with the final aim to reduce the confusion emerged in the extant literature around this concept. Last, this review elucidates some scientific literature gaps and suggests future research directions.","author":[{"dropping-particle":"","family":"Acerbi","given":"Federica","non-dropping-particle":"","parse-names":false,"suffix":""},{"dropping-particle":"","family":"Taisch","given":"Marco","non-dropping-particle":"","parse-names":false,"suffix":""}],"container-title":"Journal of Cleaner Production","id":"ITEM-2","issued":{"date-parts":[["2020"]]},"page":"123086","publisher":"Elsevier Ltd","title":"A literature review on circular economy adoption in the manufacturing sector","type":"article-journal","volume":"273"},"uris":["http://www.mendeley.com/documents/?uuid=3548e92d-e884-4957-99f3-ce0d545df883"]},{"id":"ITEM-3","itemData":{"DOI":"10.1016/j.scitotenv.2020.138177","ISSN":"0048-9697","author":[{"dropping-particle":"","family":"Chiappetta Jabbour","given":"Charbel Jose","non-dropping-particle":"","parse-names":false,"suffix":""},{"dropping-particle":"","family":"Camargo Fiorini","given":"Paula","non-dropping-particle":"De","parse-names":false,"suffix":""},{"dropping-particle":"","family":"Oly Ndubisi","given":"Nelson","non-dropping-particle":"","parse-names":false,"suffix":""},{"dropping-particle":"","family":"Queiroz","given":"Maciel M","non-dropping-particle":"","parse-names":false,"suffix":""},{"dropping-particle":"","family":"Luiz Piato","given":"Éderson","non-dropping-particle":"","parse-names":false,"suffix":""}],"container-title":"Science of the Total Environment","id":"ITEM-3","issued":{"date-parts":[["2020"]]},"page":"138177","publisher":"Elsevier B.V.","title":"Digitally-enabled sustainable supply chains in the 21st century : A review and a research agenda","type":"article-journal","volume":"725"},"uris":["http://www.mendeley.com/documents/?uuid=6e798f0e-6572-44ec-aaf6-5d5b8484069d"]}],"mendeley":{"formattedCitation":"(Acerbi &amp; Taisch, 2020; Chiappetta Jabbour et al., 2020; Acerbi et al., 2021)","plainTextFormattedCitation":"(Acerbi &amp; Taisch, 2020; Chiappetta Jabbour et al., 2020; Acerbi et al., 2021)","previouslyFormattedCitation":"(Acerbi &amp; Taisch, 2020; Chiappetta Jabbour et al., 2020; Acerbi et al., 2021)"},"properties":{"noteIndex":0},"schema":"https://github.com/citation-style-language/schema/raw/master/csl-citation.json"}</w:instrText>
      </w:r>
      <w:r w:rsidRPr="00C34BEC">
        <w:fldChar w:fldCharType="separate"/>
      </w:r>
      <w:r w:rsidRPr="00C34BEC">
        <w:t>(Acerbi &amp; Taisch, 2020; Chiappetta Jabbour et al., 2020; Acerbi et al., 2021)</w:t>
      </w:r>
      <w:r w:rsidRPr="00C34BEC">
        <w:fldChar w:fldCharType="end"/>
      </w:r>
      <w:r w:rsidRPr="00C34BEC">
        <w:t xml:space="preserve"> the integration with supply chain partners </w:t>
      </w:r>
      <w:r w:rsidRPr="00C34BEC">
        <w:fldChar w:fldCharType="begin" w:fldLock="1"/>
      </w:r>
      <w:r w:rsidRPr="00C34BEC">
        <w:instrText>ADDIN CSL_CITATION {"citationItems":[{"id":"ITEM-1","itemData":{"DOI":"10.1080/00207543.2018.1542176","ISSN":"1366588X","abstract":"Despite companies face several challenges when redesigning their supply chain for the Circular Economy, the literature lacks a systematisation of such challenges and of the ways to overcome them. Through a systematic literature review, this paper identifies and systematises 24 challenges that may hamper a supply chain redesign for the Circular Economy. Sixteen among these challenges are well known from research in related topics. On the contrary, the remaining eight are relatively new or take a different relevance within the Circular Economy context. A multiple case study in the household appliance supply chain is carried out, to explore how these challenges appear in practice and how companies may tackle them. The cases analysed involve actors at different supply chain levels, and findings suggest that a great degree of vertical integration by one actor in the supply chain is not a necessary condition for Circular Economy implementation. The empirical study, in conjunction with the literature analysis, leads to the development of a framework linking the challenges to specific levers that companies may pursue to overcome them. The framework can be seen as a reference for managers undertaking the path towards Circular Economy.","author":[{"dropping-particle":"","family":"Bressanelli","given":"Gianmarco","non-dropping-particle":"","parse-names":false,"suffix":""},{"dropping-particle":"","family":"Perona","given":"Marco","non-dropping-particle":"","parse-names":false,"suffix":""},{"dropping-particle":"","family":"Saccani","given":"Nicola","non-dropping-particle":"","parse-names":false,"suffix":""}],"container-title":"International Journal of Production Research","id":"ITEM-1","issue":"23","issued":{"date-parts":[["2019"]]},"page":"7395-7422","publisher":"Taylor &amp; Francis","title":"Challenges in supply chain redesign for the Circular Economy: a literature review and a multiple case study","type":"article-journal","volume":"57"},"uris":["http://www.mendeley.com/documents/?uuid=66ed4a77-74f5-4258-a3a6-d2c5ce0085d1"]},{"id":"ITEM-2","itemData":{"DOI":"10.1016/j.jclepro.2017.10.046","ISSN":"09596526","abstract":"A strategy supporting the development towards a circular economy is industrial symbiosis (IS). It is a form of collaborative supply chain management aiming to make industry more sustainable and achieve collective benefits based on utilization of waste, by-products, and excess utilities between economically independent industries. Based on an extensive analysis of published studies on existing IS collaborations and interviews with central stakeholders of a comprehensive IS, this paper investigates IS from a supply chain collaboration perspective. A theoretical framework is built and used to discuss how industrial symbiosis pursues sustainability and to identify the main collaboration aspects and performance impacts. This framework is then used in the analysis of selected published cases. Based on this, we derive propositions on the organizational and operational requirements for collaboration in the context of IS networks, related to the supply chain integration and coordination practices. As IS has only received little attention in the operations and supply chain management community, our propositions directly lead to future research directions. Furthermore, the analysis in this paper provides directions to increase the feasibility and resource efficiency of IS networks and can hence be used by stakeholders involved in these networks.","author":[{"dropping-particle":"","family":"Herczeg","given":"Gábor","non-dropping-particle":"","parse-names":false,"suffix":""},{"dropping-particle":"","family":"Akkerman","given":"Renzo","non-dropping-particle":"","parse-names":false,"suffix":""},{"dropping-particle":"","family":"Hauschild","given":"Michael Zwicky","non-dropping-particle":"","parse-names":false,"suffix":""}],"container-title":"Journal of Cleaner Production","id":"ITEM-2","issued":{"date-parts":[["2018"]]},"page":"1058-1067","title":"Supply chain collaboration in industrial symbiosis networks","type":"article-journal","volume":"171"},"uris":["http://www.mendeley.com/documents/?uuid=20a570de-bacf-423c-a7ed-fc4796e6dabf"]},{"id":"ITEM-3","itemData":{"DOI":"10.1016/j.jclepro.2020.122966","ISSN":"09596526","abstract":"The Circular Economy (CE) paradigm is gaining increasing attention from both researchers and practitioners in the manufacturing industry, as a way to realize a more sustainable use of natural resources. Academics are still trying to build theoretical foundation, working on a shared CE definition and investigating drivers, barriers and challenges. However, a specific analysis about how Supply Chains (SCs) are adopting CE strategies is still missing. This work is an attempt to fill this gap through an empirical analysis of a sample of 98 companies that declare to have started CE initiatives. The aim is to analyze the relationship between the level of SC integration and the adopted CE strategies (e.g. the number of objectives pursued, the life cycle phases impacted by CE). A sample of companies, which have declared to adopt CE strategies in their organizations, has been analyzed in order to extract knowledge from the industrial field. Although the sample in analysis is limited, some feedbacks can be outlined. The developed statistical analysis shows that: (i) there is a strict correlation between the level of external integration applied by the company and the number of CE objectives pursued; (ii) a higher SC integration might lead to a higher number of product/service LC phases impacted; (iii) the integration level has also an influence on the presence of impacts in the LC phases. This output could suggest that an effective CE adoption requires involving more value-added activities, usually controlled by different actors in the SC. A final discussion outlines the main highlights of this research.","author":[{"dropping-particle":"","family":"Elia","given":"Valerio","non-dropping-particle":"","parse-names":false,"suffix":""},{"dropping-particle":"","family":"Gnoni","given":"Maria Grazia","non-dropping-particle":"","parse-names":false,"suffix":""},{"dropping-particle":"","family":"Tornese","given":"Fabiana","non-dropping-particle":"","parse-names":false,"suffix":""}],"container-title":"Journal of Cleaner Production","id":"ITEM-3","issued":{"date-parts":[["2020"]]},"page":"122966","publisher":"Elsevier Ltd","title":"Evaluating the adoption of circular economy practices in industrial supply chains: An empirical analysis","type":"article-journal","volume":"273"},"uris":["http://www.mendeley.com/documents/?uuid=c75b7866-c407-48fe-8680-474353cd1bc6"]}],"mendeley":{"formattedCitation":"(Herczeg et al., 2018; Bressanelli et al., 2019; Elia et al., 2020)","plainTextFormattedCitation":"(Herczeg et al., 2018; Bressanelli et al., 2019; Elia et al., 2020)","previouslyFormattedCitation":"(Herczeg et al., 2018; Bressanelli et al., 2019; Elia et al., 2020)"},"properties":{"noteIndex":0},"schema":"https://github.com/citation-style-language/schema/raw/master/csl-citation.json"}</w:instrText>
      </w:r>
      <w:r w:rsidRPr="00C34BEC">
        <w:fldChar w:fldCharType="separate"/>
      </w:r>
      <w:r w:rsidRPr="00C34BEC">
        <w:t>(Herczeg et al., 2018; Bressanelli et al., 2019; Elia et al., 2020)</w:t>
      </w:r>
      <w:r w:rsidRPr="00C34BEC">
        <w:fldChar w:fldCharType="end"/>
      </w:r>
      <w:r w:rsidRPr="00C34BEC">
        <w:t xml:space="preserve">, as well as collaboration with external partners </w:t>
      </w:r>
      <w:r w:rsidRPr="00C34BEC">
        <w:fldChar w:fldCharType="begin" w:fldLock="1"/>
      </w:r>
      <w:r w:rsidRPr="00C34BEC">
        <w:instrText>ADDIN CSL_CITATION {"citationItems":[{"id":"ITEM-1","itemData":{"DOI":"10.1016/j.ijpe.2021.108216","ISSN":"09255273","author":[{"dropping-particle":"","family":"Cricelli","given":"Livio","non-dropping-particle":"","parse-names":false,"suffix":""},{"dropping-particle":"","family":"Greco","given":"Marco","non-dropping-particle":"","parse-names":false,"suffix":""},{"dropping-particle":"","family":"Grimaldi","given":"Michele","non-dropping-particle":"","parse-names":false,"suffix":""}],"container-title":"International Journal of Production Economics","id":"ITEM-1","issue":"June","issued":{"date-parts":[["2021"]]},"page":"108216","publisher":"Elsevier B.V.","title":"An investigation on the effect of inter-organizational collaboration on reverse logistics","type":"article-journal","volume":"240"},"uris":["http://www.mendeley.com/documents/?uuid=dffbf793-b04f-44c1-9bc5-7636913eaa3d"]}],"mendeley":{"formattedCitation":"(Cricelli et al., 2021)","plainTextFormattedCitation":"(Cricelli et al., 2021)","previouslyFormattedCitation":"(Cricelli et al., 2021)"},"properties":{"noteIndex":0},"schema":"https://github.com/citation-style-language/schema/raw/master/csl-citation.json"}</w:instrText>
      </w:r>
      <w:r w:rsidRPr="00C34BEC">
        <w:fldChar w:fldCharType="separate"/>
      </w:r>
      <w:r w:rsidRPr="00C34BEC">
        <w:t>(Cricelli et al., 2021)</w:t>
      </w:r>
      <w:r w:rsidRPr="00C34BEC">
        <w:fldChar w:fldCharType="end"/>
      </w:r>
      <w:r w:rsidRPr="00C34BEC">
        <w:t xml:space="preserve"> seem to play a key role in supporting organisations to adopt CE practices. </w:t>
      </w:r>
    </w:p>
    <w:p w14:paraId="2D0C90E7" w14:textId="454FABE7" w:rsidR="00C34BEC" w:rsidRDefault="00C34BEC" w:rsidP="00C34BEC">
      <w:r w:rsidRPr="00C34BEC">
        <w:rPr>
          <w:noProof/>
          <w:lang w:eastAsia="zh-CN"/>
        </w:rPr>
        <w:lastRenderedPageBreak/>
        <w:drawing>
          <wp:inline distT="0" distB="0" distL="0" distR="0" wp14:anchorId="2C47AA2E" wp14:editId="545870E4">
            <wp:extent cx="6111240" cy="39676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4490" cy="3969750"/>
                    </a:xfrm>
                    <a:prstGeom prst="rect">
                      <a:avLst/>
                    </a:prstGeom>
                    <a:noFill/>
                  </pic:spPr>
                </pic:pic>
              </a:graphicData>
            </a:graphic>
          </wp:inline>
        </w:drawing>
      </w:r>
    </w:p>
    <w:p w14:paraId="4DEA70C4" w14:textId="77777777" w:rsidR="0085122E" w:rsidRPr="00C34BEC" w:rsidRDefault="0085122E" w:rsidP="0085122E">
      <w:pPr>
        <w:pStyle w:val="Figurecaption"/>
      </w:pPr>
      <w:r w:rsidRPr="00C34BEC">
        <w:t xml:space="preserve">Figure </w:t>
      </w:r>
      <w:fldSimple w:instr=" SEQ Figure \* ARABIC ">
        <w:r w:rsidRPr="00C34BEC">
          <w:t>1</w:t>
        </w:r>
      </w:fldSimple>
      <w:r w:rsidRPr="00C34BEC">
        <w:t xml:space="preserve"> - Circular Supply Chain as part of the Ecological system (adapted from </w:t>
      </w:r>
      <w:r w:rsidRPr="00C34BEC">
        <w:fldChar w:fldCharType="begin" w:fldLock="1"/>
      </w:r>
      <w:r w:rsidRPr="00C34BEC">
        <w:instrText>ADDIN CSL_CITATION {"citationItems":[{"id":"ITEM-1","itemData":{"author":[{"dropping-particle":"","family":"Bloemhof-Ruwaard","given":"Jacqueline M.","non-dropping-particle":"","parse-names":false,"suffix":""}],"id":"ITEM-1","issue":"January","issued":{"date-parts":[["2015"]]},"title":"Sustainable Logistics Management: from castle on the cloud to cathedral","type":"article-journal"},"uris":["http://www.mendeley.com/documents/?uuid=35a9f28d-7ac4-42ee-8bd4-4348bfd7b4f0"]}],"mendeley":{"formattedCitation":"(Bloemhof-Ruwaard, 2015)","manualFormatting":"Bloemhof-Ruwaard, 2015","plainTextFormattedCitation":"(Bloemhof-Ruwaard, 2015)","previouslyFormattedCitation":"(Bloemhof-Ruwaard, 2015)"},"properties":{"noteIndex":0},"schema":"https://github.com/citation-style-language/schema/raw/master/csl-citation.json"}</w:instrText>
      </w:r>
      <w:r w:rsidRPr="00C34BEC">
        <w:fldChar w:fldCharType="separate"/>
      </w:r>
      <w:r w:rsidRPr="00C34BEC">
        <w:t>Bloemhof-Ruwaard, 2015</w:t>
      </w:r>
      <w:r w:rsidRPr="00C34BEC">
        <w:fldChar w:fldCharType="end"/>
      </w:r>
      <w:r w:rsidRPr="00C34BEC">
        <w:t xml:space="preserve">) </w:t>
      </w:r>
    </w:p>
    <w:p w14:paraId="561FC1B0" w14:textId="5BCDA257" w:rsidR="00C34BEC" w:rsidRPr="00C34BEC" w:rsidRDefault="007765F7" w:rsidP="007765F7">
      <w:pPr>
        <w:pStyle w:val="Heading3"/>
        <w:numPr>
          <w:ilvl w:val="0"/>
          <w:numId w:val="0"/>
        </w:numPr>
      </w:pPr>
      <w:bookmarkStart w:id="221" w:name="_Toc157759589"/>
      <w:r>
        <w:t xml:space="preserve">2.1 </w:t>
      </w:r>
      <w:r w:rsidR="00C34BEC" w:rsidRPr="00C34BEC">
        <w:t>Measuring sustainability in circular supply chains</w:t>
      </w:r>
      <w:bookmarkEnd w:id="221"/>
      <w:r w:rsidR="00C34BEC" w:rsidRPr="00C34BEC">
        <w:t xml:space="preserve"> </w:t>
      </w:r>
    </w:p>
    <w:p w14:paraId="1B5659A0" w14:textId="77777777" w:rsidR="00C34BEC" w:rsidRPr="00C34BEC" w:rsidRDefault="00C34BEC" w:rsidP="00C34BEC">
      <w:r w:rsidRPr="00C34BEC">
        <w:t xml:space="preserve">Decision-makers need tools to evaluate the adoption of CE practices, and operationalise profitable, efficient, circular and sustainable supply chains. Decision support tools employ many CE indicators to account for a variety of impacts across boundaries between firms </w:t>
      </w:r>
      <w:r w:rsidRPr="00C34BEC">
        <w:fldChar w:fldCharType="begin" w:fldLock="1"/>
      </w:r>
      <w:r w:rsidRPr="00C34BEC">
        <w:instrText>ADDIN CSL_CITATION {"citationItems":[{"id":"ITEM-1","itemData":{"DOI":"10.1016/j.ijpe.2016.11.005","ISSN":"09255273","abstract":"Supply chain performance measurement systems (SCPMSs) are experiencing a new life in business practice thanks to new technologies that allow the collecting, integrating and sharing of information among multiple supply chain partners. However, studies that truly investigate performance measurement beyond a single firm's boundaries are still limited. With the purpose of revamping SCPMSs as a relevant research topic, we conduct a systematic review of the literature. To this end, we firstly provide a clear and up-to-date definition of SCPMSs, which sets the boundary of the study. Secondly, we perform a systematic review of academic articles published in peer-reviewed international journals, mostly in the domains of supply chain management and performance measurement. A final sample of 92 articles published from 1998 to 2015 constitutes the knowledge base of the study. The results show the publication pattern over time and provide evidence about the journals, the methodology adopted and the content elements (the SCPMS frameworks presented and the scope and phase of the measurement process). We synthesize the research state of the art and present a detailed research agenda for future scientific contributions. In particular, we envisage a theory-testing approach concerning the relatively more mature component of SCPMSs (i.e. supplier PMSs) from a life cycle perspective as well as an exploratory/theory-building approach concerning the other under-investigated components (i.e. customer PMSs, multi-tier SCPMSs and many-to-many SCPMSs).","author":[{"dropping-particle":"","family":"Maestrini","given":"Vieri","non-dropping-particle":"","parse-names":false,"suffix":""},{"dropping-particle":"","family":"Luzzini","given":"Davide","non-dropping-particle":"","parse-names":false,"suffix":""},{"dropping-particle":"","family":"Maccarrone","given":"Paolo","non-dropping-particle":"","parse-names":false,"suffix":""},{"dropping-particle":"","family":"Caniato","given":"Federico","non-dropping-particle":"","parse-names":false,"suffix":""}],"container-title":"International Journal of Production Economics","id":"ITEM-1","issue":"November 2016","issued":{"date-parts":[["2017"]]},"page":"299-315","publisher":"Elsevier","title":"Supply chain performance measurement systems: A systematic review and research agenda","type":"article-journal","volume":"183"},"uris":["http://www.mendeley.com/documents/?uuid=049c7a21-e02f-46a9-b94a-79751b8ad232"]}],"mendeley":{"formattedCitation":"(Maestrini et al., 2017)","plainTextFormattedCitation":"(Maestrini et al., 2017)","previouslyFormattedCitation":"(Maestrini et al., 2017)"},"properties":{"noteIndex":0},"schema":"https://github.com/citation-style-language/schema/raw/master/csl-citation.json"}</w:instrText>
      </w:r>
      <w:r w:rsidRPr="00C34BEC">
        <w:fldChar w:fldCharType="separate"/>
      </w:r>
      <w:r w:rsidRPr="00C34BEC">
        <w:t>(Maestrini et al., 2017)</w:t>
      </w:r>
      <w:r w:rsidRPr="00C34BEC">
        <w:fldChar w:fldCharType="end"/>
      </w:r>
      <w:r w:rsidRPr="00C34BEC">
        <w:t xml:space="preserve">, concerning every dimension of sustainability (i.e. economic, environmental and social) (Figure 2). CE indicators are formed by single or multiple metrics, which can be defined as the “finest level of granularity for assessment means” </w:t>
      </w:r>
      <w:r w:rsidRPr="00C34BEC">
        <w:fldChar w:fldCharType="begin" w:fldLock="1"/>
      </w:r>
      <w:r w:rsidRPr="00C34BEC">
        <w:instrText>ADDIN CSL_CITATION {"citationItems":[{"id":"ITEM-1","itemData":{"DOI":"10.1016/j.jclepro.2020.125090","ISSN":"09596526","abstract":"With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Production","id":"ITEM-1","issued":{"date-parts":[["2021"]]},"note":"Chen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framework","type":"article-journal","volume":"288"},"uris":["http://www.mendeley.com/documents/?uuid=5b20dff5-2c8b-4680-9d5a-f69f918c49a9"]}],"mendeley":{"formattedCitation":"(Vinante et al., 2021)","plainTextFormattedCitation":"(Vinante et al., 2021)","previouslyFormattedCitation":"(Vinante et al., 2021)"},"properties":{"noteIndex":0},"schema":"https://github.com/citation-style-language/schema/raw/master/csl-citation.json"}</w:instrText>
      </w:r>
      <w:r w:rsidRPr="00C34BEC">
        <w:fldChar w:fldCharType="separate"/>
      </w:r>
      <w:r w:rsidRPr="00C34BEC">
        <w:t>(Vinante et al., 2021)</w:t>
      </w:r>
      <w:r w:rsidRPr="00C34BEC">
        <w:fldChar w:fldCharType="end"/>
      </w:r>
      <w:r w:rsidRPr="00C34BEC">
        <w:t xml:space="preserve">. </w:t>
      </w:r>
    </w:p>
    <w:p w14:paraId="5AB91D0D" w14:textId="36F63F9A" w:rsidR="00C34BEC" w:rsidRPr="00C34BEC" w:rsidRDefault="00C34BEC" w:rsidP="00C34BEC">
      <w:r w:rsidRPr="00C34BEC">
        <w:t xml:space="preserve">CE assessment metrics, indicators, methods and methodologies at the firm level have been extensively reviewed </w:t>
      </w:r>
      <w:r w:rsidRPr="00C34BEC">
        <w:fldChar w:fldCharType="begin" w:fldLock="1"/>
      </w:r>
      <w:r w:rsidRPr="00C34BEC">
        <w:instrText>ADDIN CSL_CITATION {"citationItems":[{"id":"ITEM-1","itemData":{"DOI":"10.1016/j.jclepro.2019.05.019","ISSN":"09596526","abstract":"The depletion of resources and the downgrading of the environment, driven by globalization and consumerism phenomena, is worldwide pushing the interest on the Circular Economy (CE)concept. Supposed to substitute the end-of-life notion with restoration and closed-loop product lifecycles, CE wants to eliminate wastes, retain the value embedded into products and materials, foster the use of renewable energies and eliminate toxic chemicals. However, the measurement and assessment of circularity performances are not yet a common practice in companies. To this aim, the paper wants to detect, through a systematic literature review, which are the existing CE performance assessment methods proposed in literature and, based on key findings, develop a positioning framework for measuring and assessing the circularity degree of a company.","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Production","id":"ITEM-1","issued":{"date-parts":[["2019"]]},"page":"440-453","publisher":"Elsevier Ltd","title":"Circular economy performance assessment methods: A systematic literature review","type":"article-journal","volume":"229"},"uris":["http://www.mendeley.com/documents/?uuid=5273591e-185a-4bbe-ab72-78cdc197cdf7"]},{"id":"ITEM-2","itemData":{"DOI":"10.1016/j.jclepro.2020.125090","ISSN":"09596526","abstract":"With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Production","id":"ITEM-2","issued":{"date-parts":[["2021"]]},"note":"Chen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framework","type":"article-journal","volume":"288"},"uris":["http://www.mendeley.com/documents/?uuid=5b20dff5-2c8b-4680-9d5a-f69f918c49a9"]},{"id":"ITEM-3","itemData":{"DOI":"10.1016/j.jclepro.2018.10.014","ISSN":"09596526","abstract":"Implementing circular economy (CE) principles is increasingly recommended as a convenient solution to meet the goals of sustainable development. New tools are required to support practitioners, decision-makers and policy-makers towards more CE practices, as well as to monitor the effects of CE adoption. Worldwide, academics, industrialists and politicians all agree on the need to use CE-related measuring instruments to manage this transition at different systemic levels. In this context, a wide range of circularity indicators (C-indicators) has been developed in recent years. Yet, as there is not one single definition of the CE concept, it is of the utmost importance to know what the available indicators measure in order to use them properly. Indeed, through a systematic literature review – considering both academic and grey literature – 55 sets of C-indicators, developed by scholars, consulting companies and governmental agencies, have been identified, encompassing different purposes, scopes, and potential usages. Inspired by existing taxonomies of eco-design tools and sustainability indicators, and in line with the CE characteristics, a classification of indicators aiming to assess, improve, monitor and communicate on the CE performance is proposed and discussed. In the developed taxonomy including 10 categories, C-indicators are differentiated regarding criteria such as the levels of CE implementation (e.g. micro, meso, macro), the CE loops (maintain, reuse, remanufacture, recycle), the performance (intrinsic, impacts), the perspective of circularity (actual, potential) they are taking into account, or their degree of transversality (generic, sector-specific). In addition, the database inventorying the 55 sets of C-indicators is linked to an Excel-based query tool to facilitate the selection of appropriate indicators according to the specific user's needs and requirements. This study enriches the literature by giving a first need-driven taxonomy of C-indicators, which is experienced on several use cases. It provides a synthesis and clarification to the emerging and must-needed research theme of C-indicators, and sheds some light on remaining key challenges like their effective uptake by industry. Eventually, limitations, improvement areas, as well as implications of the proposed taxonomy are intently addressed to guide future research on C-indicators and CE implementation.","author":[{"dropping-particle":"","family":"Saidani","given":"Michael","non-dropping-particle":"","parse-names":false,"suffix":""},{"dropping-particle":"","family":"Yannou","given":"Bernard","non-dropping-particle":"","parse-names":false,"suffix":""},{"dropping-particle":"","family":"Leroy","given":"Yann","non-dropping-particle":"","parse-names":false,"suffix":""},{"dropping-particle":"","family":"Cluzel","given":"François","non-dropping-particle":"","parse-names":false,"suffix":""},{"dropping-particle":"","family":"Kendall","given":"Alissa","non-dropping-particle":"","parse-names":false,"suffix":""}],"container-title":"Journal of Cleaner Production","id":"ITEM-3","issued":{"date-parts":[["2019"]]},"title":"A taxonomy of circular economy indicators","type":"article"},"uris":["http://www.mendeley.com/documents/?uuid=0efa71bc-506f-3a3d-9903-50fcae4591be"]},{"id":"ITEM-4","itemData":{"DOI":"10.1016/j.jclepro.2016.10.196","ISSN":"09596526","abstract":"In the last years, the circular economy (CE) paradigm is being widely explored by researchers and institutions as a possible path to increase the sustainability of our economic system. Reuse, repair and recycling are becoming crucial activities in many sectors. At the same time, companies are showing an increasing interest for this new economic model. However, the state of the art shows that a deep research on CE assessment and indicators is still lacking, in particular on the micro level. This work tries to fill this gap, first analyzing the current literature on CE assessment, then proposing a reference framework for the monitoring phase of a CE strategy. Finally, the main existing environmental assessment methodologies based on indexes are analyzed according to their suitability to evaluate the circularity of a system. A systematic approach for the choice of the adequate methodology is also provided</w:instrText>
      </w:r>
      <w:r w:rsidRPr="00C34BEC">
        <w:rPr>
          <w:lang w:val="it-IT"/>
        </w:rPr>
        <w:instrText>, highlighting the main critical steps in the assessment of a CE strategy. Further research could be focused either on the extension of this approach to include other assessment methods, and on the validation of this proposal in a case study.","author":[{"dropping-particle":"","family":"Elia","given":"Valerio","non-dropping-particle":"","parse-names":false,"suffix":""},{"dropping-particle":"","family":"Gnoni","given":"Maria Grazia","non-dropping-particle":"","parse-names":false,"suffix":""},{"dropping-particle":"","family":"Tornese","given":"Fabiana","non-dropping-particle":"","parse-names":false,"suffix":""}],"container-title":"Journal of Cleaner Production","id":"ITEM-4","issued":{"date-parts":[["2017","1","20"]]},"page":"2741-2751","publisher":"Elsevier Ltd","title":"Measuring circular economy strategies through index methods: A critical analysis","type":"article-journal","volume":"142"},"uris":["http://www.mendeley.com/documents/?uuid=58ad7493-ed1f-336c-9295-460415c5326e"]}],"mendeley":{"formattedCitation":"(Elia et al., 2017; Saidani et al., 2019; Sassanelli, Rosa, et al., 2019; Vinante et al., 2021)","plainTextFormattedCitation":"(Elia et al., 2017; Saidani et al., 2019; Sassanelli, Rosa, et al., 2019; Vinante et al., 2021)","previouslyFormattedCitation":"(Elia et al., 2017; Saidani et al., 2019; Sassanelli, Rosa, et al., 2019; Vinante et al., 2021)"},"properties":{"noteIndex":0},"schema":"https://github.com/citation-style-language/schema/raw/master/csl-citation.json"}</w:instrText>
      </w:r>
      <w:r w:rsidRPr="00C34BEC">
        <w:fldChar w:fldCharType="separate"/>
      </w:r>
      <w:r w:rsidRPr="00C34BEC">
        <w:rPr>
          <w:lang w:val="it-IT"/>
        </w:rPr>
        <w:t>(Elia et al., 2017; Saidani et al., 2019; Sassanelli, Rosa, et al., 2019; Vinante et al., 2021)</w:t>
      </w:r>
      <w:r w:rsidRPr="00C34BEC">
        <w:fldChar w:fldCharType="end"/>
      </w:r>
      <w:r w:rsidRPr="00C34BEC">
        <w:rPr>
          <w:lang w:val="it-IT"/>
        </w:rPr>
        <w:t xml:space="preserve">. </w:t>
      </w:r>
      <w:r w:rsidRPr="00C34BEC">
        <w:t xml:space="preserve">These papers confirm there is a lack of agreement on what needs to be measured, of standard methods of measurement and even of shared terminology and conceptualisation of the CE. For this </w:t>
      </w:r>
      <w:r w:rsidR="00F07293" w:rsidRPr="00C34BEC">
        <w:t>reason,</w:t>
      </w:r>
      <w:r w:rsidRPr="00C34BEC">
        <w:t xml:space="preserve"> they try to categorise indicators into frameworks and taxonomies to integrate current performance assessment methods of firms’ functions with CE principles. </w:t>
      </w:r>
    </w:p>
    <w:p w14:paraId="2A014D32" w14:textId="6D749C56" w:rsidR="00C34BEC" w:rsidRDefault="00C34BEC" w:rsidP="0085122E">
      <w:pPr>
        <w:jc w:val="center"/>
      </w:pPr>
      <w:r w:rsidRPr="00C34BEC">
        <w:rPr>
          <w:noProof/>
          <w:lang w:eastAsia="zh-CN"/>
        </w:rPr>
        <w:lastRenderedPageBreak/>
        <w:drawing>
          <wp:inline distT="0" distB="0" distL="0" distR="0" wp14:anchorId="5FEFADEC" wp14:editId="08F02170">
            <wp:extent cx="2638183" cy="1825452"/>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59650" cy="1840306"/>
                    </a:xfrm>
                    <a:prstGeom prst="rect">
                      <a:avLst/>
                    </a:prstGeom>
                    <a:noFill/>
                  </pic:spPr>
                </pic:pic>
              </a:graphicData>
            </a:graphic>
          </wp:inline>
        </w:drawing>
      </w:r>
    </w:p>
    <w:p w14:paraId="41164ECD" w14:textId="77777777" w:rsidR="0085122E" w:rsidRPr="00C34BEC" w:rsidRDefault="0085122E" w:rsidP="0085122E">
      <w:pPr>
        <w:pStyle w:val="Figurecaption"/>
      </w:pPr>
      <w:r w:rsidRPr="00C34BEC">
        <w:t xml:space="preserve">Figure </w:t>
      </w:r>
      <w:fldSimple w:instr=" SEQ Figure \* ARABIC ">
        <w:r w:rsidRPr="00C34BEC">
          <w:t>2</w:t>
        </w:r>
      </w:fldSimple>
      <w:r w:rsidRPr="00C34BEC">
        <w:t xml:space="preserve"> - Decision support tools, Indicators and metrics</w:t>
      </w:r>
    </w:p>
    <w:p w14:paraId="0EFB3030" w14:textId="0D18029A" w:rsidR="00C34BEC" w:rsidRPr="00C34BEC" w:rsidRDefault="00C34BEC" w:rsidP="00C34BEC">
      <w:r w:rsidRPr="00C34BEC">
        <w:t xml:space="preserve">In SCM literature, some distinct research streams have developed tools to measure the adoption of CE practices with a supply chains level of analysis. GSCM and SSCM literature </w:t>
      </w:r>
      <w:r w:rsidRPr="00C34BEC">
        <w:fldChar w:fldCharType="begin" w:fldLock="1"/>
      </w:r>
      <w:r w:rsidRPr="00C34BEC">
        <w:instrText>ADDIN CSL_CITATION {"citationItems":[{"id":"ITEM-1","itemData":{"DOI":"10.1016/j.ejor.2013.09.032","ISSN":"03772217","abstract":"Sustainability, the consideration of environmental factors and social aspects, in supply chain management (SCM) has become a highly relevant topic for researchers and practitioners. The application of operations research methods and related models, i.e. formal modeling, for closed-loop SCM and reverse logistics has been effectively reviewed in previously published research. This situation is in contrast to the understanding and review of mathematical models that focus on environmental or social factors in forward supply chains (SC), which has seen less investigation. To evaluate developments and directions of this research area, this paper provides a content analysis of 134 carefully identified papers on quantitative, formal models that address sustainability aspects in the forward SC. It was found that a preponderance of the publications and models appeared in a limited set of six journals, and most were analytically based with a focus on multiple criteria decision making. The tools most often used comprise the analytical hierarchy process or its close relative, the analytical network process, as well as life cycle analysis. Conclusions are drawn showing that numerous possibilities and insights can be gained from expanding the types of tools and factors considered in formal modeling efforts. © 2013 Elsevier B.V. All rights reserved.","author":[{"dropping-particle":"","family":"Brandenburg","given":"Marcus","non-dropping-particle":"","parse-names":false,"suffix":""},{"dropping-particle":"","family":"Govindan","given":"Kannan","non-dropping-particle":"","parse-names":false,"suffix":""},{"dropping-particle":"","family":"Sarkis","given":"Joseph","non-dropping-particle":"","parse-names":false,"suffix":""},{"dropping-particle":"","family":"Seuring","given":"Stefan","non-dropping-particle":"","parse-names":false,"suffix":""}],"container-title":"European Journal of Operational Research","id":"ITEM-1","issue":"2","issued":{"date-parts":[["2014"]]},"page":"299-312","publisher":"Elsevier B.V.","title":"Quantitative models for sustainable supply chain management: Developments and directions","type":"article-journal","volume":"233"},"uris":["http://www.mendeley.com/documents/?uuid=5ee8bbac-f66f-4970-97f6-7244eea0ff5c"]}],"mendeley":{"formattedCitation":"(Brandenburg et al., 2014)","plainTextFormattedCitation":"(Brandenburg et al., 2014)","previouslyFormattedCitation":"(Brandenburg et al., 2014)"},"properties":{"noteIndex":0},"schema":"https://github.com/citation-style-language/schema/raw/master/csl-citation.json"}</w:instrText>
      </w:r>
      <w:r w:rsidRPr="00C34BEC">
        <w:fldChar w:fldCharType="separate"/>
      </w:r>
      <w:r w:rsidRPr="00C34BEC">
        <w:t>(Brandenburg et al., 2014)</w:t>
      </w:r>
      <w:r w:rsidRPr="00C34BEC">
        <w:fldChar w:fldCharType="end"/>
      </w:r>
      <w:r w:rsidRPr="00C34BEC">
        <w:t xml:space="preserve"> has been recently considered a crucial unit of action for implementing CE  </w:t>
      </w:r>
      <w:r w:rsidRPr="00C34BEC">
        <w:fldChar w:fldCharType="begin" w:fldLock="1"/>
      </w:r>
      <w:r w:rsidRPr="00C34BEC">
        <w:instrText>ADDIN CSL_CITATION {"citationItems":[{"id":"ITEM-1","itemData":{"DOI":"10.1108/IJPDLM-01-2017-0049","ISSN":"09600035","abstract":"Purpose: Green supply chain management (GSCM) and the circular economy (CE) overlap but also differ. The purpose of this paper is to clarify linkages between these two concepts. It identifies mutual theory applications used to study GSCM and CE. Design/methodology/approach: A systematic literature review is conducted to identify theories from GSCM and CE studies. A critical analysis explores the theories that can provide mutual applications between GSCM and CE fields. Propositions are developed. Findings: In all, 12 theories are applied in both GSCM and CE studies. Several theories are only applied in GSCM studies, but can help to advance CE study. These theories include complexity, transaction cost economics, agency, and information theories. Each of the eight theories only applied to CE can potentially advance GSCM study. Research limitations/implications: The findings contribute to further theory development for both GSCM and CE study. A methodological review can advance theoretical development and cross-pollination in both fields. Originality/value: This work is the first study to explicitly explore linkages of GSCM and CE from a theoretical perspective.","author":[{"dropping-particle":"","family":"Liu","given":"Junjun","non-dropping-particle":"","parse-names":false,"suffix":""},{"dropping-particle":"","family":"Feng","given":"Yunting","non-dropping-particle":"","parse-names":false,"suffix":""},{"dropping-particle":"","family":"Zhu","given":"Qinghua","non-dropping-particle":"","parse-names":false,"suffix":""},{"dropping-particle":"","family":"Sarkis","given":"Joseph","non-dropping-particle":"","parse-names":false,"suffix":""}],"container-title":"International Journal of Physical Distribution and Logistics Management","id":"ITEM-1","issue":"8","issued":{"date-parts":[["2018"]]},"page":"794-817","title":"Green supply chain management and the circular economy: Reviewing theory for advancement of both fields","type":"article-journal","volume":"48"},"uris":["http://www.mendeley.com/documents/?uuid=cb60bd56-6f70-4f3d-809f-537e586bff97"]}],"mendeley":{"formattedCitation":"(J. Liu et al., 2018)","manualFormatting":"(Liu et al., 2018)","plainTextFormattedCitation":"(J. Liu et al., 2018)","previouslyFormattedCitation":"(J. Liu et al., 2018)"},"properties":{"noteIndex":0},"schema":"https://github.com/citation-style-language/schema/raw/master/csl-citation.json"}</w:instrText>
      </w:r>
      <w:r w:rsidRPr="00C34BEC">
        <w:fldChar w:fldCharType="separate"/>
      </w:r>
      <w:r w:rsidRPr="00C34BEC">
        <w:t>(Liu et al., 2018)</w:t>
      </w:r>
      <w:r w:rsidRPr="00C34BEC">
        <w:fldChar w:fldCharType="end"/>
      </w:r>
      <w:r w:rsidRPr="00C34BEC">
        <w:t xml:space="preserve">. Existing decision support tools (DSTs) incorporate a triple bottom line (TBL) approach and life-cycle perspective in the evaluation of impacts for complex and global supply chains </w:t>
      </w:r>
      <w:r w:rsidRPr="00C34BEC">
        <w:fldChar w:fldCharType="begin" w:fldLock="1"/>
      </w:r>
      <w:r w:rsidRPr="00C34BEC">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applications","type":"article-journal","volume":"66"},"uris":["http://www.mendeley.com/documents/?uuid=5dd8e2c4-fae0-4040-ae7c-ed96e73d9ca4"]},{"id":"ITEM-2","itemData":{"DOI":"10.1016/j.jenvman.2016.10.059","ISSN":"10958630","PMID":"27876164","abstract":"Measuring the performance of environmentally sustainable supply chains instead of chain constitute has become a challenge despite the convergence of the underlining principles of sustainable supply chain management. This challenge is exacerbated by the fact that supply chains are inherently dynamic and complex and also because multiple measures can be used to characterize performances. By identifying some of the critical issues in the literature regarding performance measurements, this paper contributes to the existing body of literature by adopting an environmental performance measurement approach for economic sectors. It uses economic sectors and evaluates them on a sectoral level in specific countries as well as part of the Global Value Chain based on the established multi-regional input-output (MRIO) modeling framework. The MRIO model has been used to calculate direct and indirect (that is supply chain or upstream) environmental effects such as CO2, SO2, biodiversity, water consumption and pollution to name just a few of the applications. In this paper we use MRIO analysis to calculate emissions and resource consumption intensities and footprints, direct and indirect impacts, and net emission flows between countries. These are exemplified by using carbon emissions, sulphur oxide emissions and water use in two highly polluting industries; Electricity production and Chemical industry in 33 countries, including the EU-27, Brazil, India and China, the USA, Canada and Japan from 1995 to 2009. Some of the highlights include: On average, direct carbon emissions in the electricity sector across all 27 member states of the EU was estimated to be 1368 million tons and indirect carbon emissions to be 470.7 million tons per year representing 25.6% of the EU-27 total carbon emissions related to this sector. It was also observed that from 2004, sulphur oxide emissions intensities in electricity production in India and China have remained relatively constant at about 62.8 gSOx/, respectively, $ and 84.4 gSOx/$ although being higher than in other countries. In terms of water use, the high water use intensity in China (1040.27 L/$) and India (961.63 L/$), which are among the highest in the sector in the electricity sector is exacerbated by both countries being ranked as High Water Stress Risk countries. The paper also highlights many advantages of the MRIO approach including: a 15-year time series study (which provides a measurement of environmental performance of k…","author":[{"dropping-particle":"","family":"Acquaye","given":"Adolf","non-dropping-particle":"","parse-names":false,"suffix":""},{"dropping-particle":"","family":"Feng","given":"Kuishuang","non-dropping-particle":"","parse-names":false,"suffix":""},{"dropping-particle":"","family":"Oppon","given":"Eunice","non-dropping-particle":"","parse-names":false,"suffix":""},{"dropping-particle":"","family":"Salhi","given":"Said","non-dropping-particle":"","parse-names":false,"suffix":""},{"dropping-particle":"","family":"Ibn-Mohammed","given":"Taofeeq","non-dropping-particle":"","parse-names":false,"suffix":""},{"dropping-particle":"","family":"Genovese","given":"Andrea","non-dropping-particle":"","parse-names":false,"suffix":""},{"dropping-particle":"","family":"Hubacek","given":"Klaus","non-dropping-particle":"","parse-names":false,"suffix":""}],"container-title":"Journal of Environmental Management","id":"ITEM-2","issued":{"date-parts":[["2017"]]},"page":"571-585","publisher":"Elsevier Ltd","title":"Measuring the environmental sustainability performance of global supply chains: A multi-regional input-output analysis for carbon, sulphur oxide and water footprints","type":"article-journal","volume":"187"},"uris":["http://www.mendeley.com/documents/?uuid=3f419a1a-6f6d-4670-87e2-68df98bd7332"]}],"mendeley":{"formattedCitation":"(Acquaye et al., 2017; Genovese, Acquaye, et al., 2017)","manualFormatting":"(Acquaye et al., 2017; Genovese, et al., 2017a)","plainTextFormattedCitation":"(Acquaye et al., 2017; Genovese, Acquaye, et al., 2017)","previouslyFormattedCitation":"(Acquaye et al., 2017; Genovese, Acquaye, et al., 2017)"},"properties":{"noteIndex":0},"schema":"https://github.com/citation-style-language/schema/raw/master/csl-citation.json"}</w:instrText>
      </w:r>
      <w:r w:rsidRPr="00C34BEC">
        <w:fldChar w:fldCharType="separate"/>
      </w:r>
      <w:r w:rsidRPr="00C34BEC">
        <w:t>(Acquaye et al., 2017; Genovese, et al., 2017a)</w:t>
      </w:r>
      <w:r w:rsidRPr="00C34BEC">
        <w:fldChar w:fldCharType="end"/>
      </w:r>
      <w:r w:rsidRPr="00C34BEC">
        <w:t>. Indeed, in the GSCM and SSCM literature, the evaluation of environmental impacts makes extensive use of established methods found in environmental science (</w:t>
      </w:r>
      <w:r w:rsidR="00F07293" w:rsidRPr="00C34BEC">
        <w:t>e.g.,</w:t>
      </w:r>
      <w:r w:rsidRPr="00C34BEC">
        <w:t xml:space="preserve"> </w:t>
      </w:r>
      <w:r w:rsidRPr="00C34BEC">
        <w:rPr>
          <w:i/>
          <w:iCs/>
        </w:rPr>
        <w:t>LCA, Life-Cycle Costing</w:t>
      </w:r>
      <w:r w:rsidRPr="00C34BEC">
        <w:t xml:space="preserve">). Some variants of these methods (e.g. </w:t>
      </w:r>
      <w:r w:rsidRPr="00C34BEC">
        <w:rPr>
          <w:i/>
          <w:iCs/>
        </w:rPr>
        <w:t>hybrid LCA, Multi Regional I/O Frameworks</w:t>
      </w:r>
      <w:r w:rsidRPr="00C34BEC">
        <w:t xml:space="preserve">) are also able to rigorously assess the environmental performance of complex and global supply chains </w:t>
      </w:r>
      <w:r w:rsidRPr="00C34BEC">
        <w:fldChar w:fldCharType="begin" w:fldLock="1"/>
      </w:r>
      <w:r w:rsidRPr="00C34BEC">
        <w:instrText>ADDIN CSL_CITATION {"citationItems":[{"id":"ITEM-1","itemData":{"DOI":"10.1016/j.omega.2015.05.015","ISSN":"03050483","abstract":"In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discussed.","author":[{"dropping-particle":"","family":"Genovese","given":"Andrea","non-dropping-particle":"","parse-names":false,"suffix":""},{"dropping-particle":"","family":"Acquaye","given":"Adolf A.","non-dropping-particle":"","parse-names":false,"suffix":""},{"dropping-particle":"","family":"Figueroa","given":"Alejandro","non-dropping-particle":"","parse-names":false,"suffix":""},{"dropping-particle":"","family":"Koh","given":"S. C.Lenny","non-dropping-particle":"","parse-names":false,"suffix":""}],"container-title":"Omega (United Kingdom)","id":"ITEM-1","issued":{"date-parts":[["2017"]]},"page":"344-357","publisher":"Elsevier","title":"Sustainable supply chain management and the transition towards a circular economy: Evidence and some applications","type":"article-journal","volume":"66"},"uris":["http://www.mendeley.com/documents/?uuid=5dd8e2c4-fae0-4040-ae7c-ed96e73d9ca4"]},{"id":"ITEM-2","itemData":{"DOI":"10.1016/j.jenvman.2016.10.059","ISSN":"10958630","PMID":"27876164","abstract":"Measuring the performance of environmentally sustainable supply chains instead of chain constitute has become a challenge despite the convergence of the underlining principles of sustainable supply chain management. This challenge is exacerbated by the fact that supply chains are inherently dynamic and complex and also because multiple measures can be used to characterize performances. By identifying some of the critical issues in the literature regarding performance measurements, this paper contributes to the existing body of literature by adopting an environmental performance measurement approach for economic sectors. It uses economic sectors and evaluates them on a sectoral level in specific countries as well as part of the Global Value Chain based on the established multi-regional input-output (MRIO) modeling framework. The MRIO model has been used to calculate direct and indirect (that is supply chain or upstream) environmental effects such as CO2, SO2, biodiversity, water consumption and pollution to name just a few of the applications. In this paper we use MRIO analysis to calculate emissions and resource consumption intensities and footprints, direct and indirect impacts, and net emission flows between countries. These are exemplified by using carbon emissions, sulphur oxide emissions and water use in two highly polluting industries; Electricity production and Chemical industry in 33 countries, including the EU-27, Brazil, India and China, the USA, Canada and Japan from 1995 to 2009. Some of the highlights include: On average, direct carbon emissions in the electricity sector across all 27 member states of the EU was estimated to be 1368 million tons and indirect carbon emissions to be 470.7 million tons per year representing 25.6% of the EU-27 total carbon emissions related to this sector. It was also observed that from 2004, sulphur oxide emissions intensities in electricity production in India and China have remained relatively constant at about 62.8 gSOx/, respectively, $ and 84.4 gSOx/$ although being higher than in other countries. In terms of water use, the high water use intensity in China (1040.27 L/$) and India (961.63 L/$), which are among the highest in the sector in the electricity sector is exacerbated by both countries being ranked as High Water Stress Risk countries. The paper also highlights many advantages of the MRIO approach including: a 15-year time series study (which provides a measurement of environmental performance of k…","author":[{"dropping-particle":"","family":"Acquaye","given":"Adolf","non-dropping-particle":"","parse-names":false,"suffix":""},{"dropping-particle":"","family":"Feng","given":"Kuishuang","non-dropping-particle":"","parse-names":false,"suffix":""},{"dropping-particle":"","family":"Oppon","given":"Eunice","non-dropping-particle":"","parse-names":false,"suffix":""},{"dropping-particle":"","family":"Salhi","given":"Said","non-dropping-particle":"","parse-names":false,"suffix":""},{"dropping-particle":"","family":"Ibn-Mohammed","given":"Taofeeq","non-dropping-particle":"","parse-names":false,"suffix":""},{"dropping-particle":"","family":"Genovese","given":"Andrea","non-dropping-particle":"","parse-names":false,"suffix":""},{"dropping-particle":"","family":"Hubacek","given":"Klaus","non-dropping-particle":"","parse-names":false,"suffix":""}],"container-title":"Journal of Environmental Management","id":"ITEM-2","issued":{"date-parts":[["2017"]]},"page":"571-585","publisher":"Elsevier Ltd","title":"Measuring the environmental sustainability performance of global supply chains: A multi-regional input-output analysis for carbon, sulphur oxide and water footprints","type":"article-journal","volume":"187"},"uris":["http://www.mendeley.com/documents/?uuid=3f419a1a-6f6d-4670-87e2-68df98bd7332"]}],"mendeley":{"formattedCitation":"(Acquaye et al., 2017; Genovese, Acquaye, et al., 2017)","manualFormatting":"(Acquaye et al., 2017; Genovese, et al., 2017a)","plainTextFormattedCitation":"(Acquaye et al., 2017; Genovese, Acquaye, et al., 2017)","previouslyFormattedCitation":"(Acquaye et al., 2017; Genovese, Acquaye, et al., 2017)"},"properties":{"noteIndex":0},"schema":"https://github.com/citation-style-language/schema/raw/master/csl-citation.json"}</w:instrText>
      </w:r>
      <w:r w:rsidRPr="00C34BEC">
        <w:fldChar w:fldCharType="separate"/>
      </w:r>
      <w:r w:rsidRPr="00C34BEC">
        <w:t>(Acquaye et al., 2017; Genovese, et al., 2017a)</w:t>
      </w:r>
      <w:r w:rsidRPr="00C34BEC">
        <w:fldChar w:fldCharType="end"/>
      </w:r>
      <w:r w:rsidRPr="00C34BEC">
        <w:t xml:space="preserve">. Thanks to these methods, it is possible to determine supply chain </w:t>
      </w:r>
      <w:r w:rsidRPr="00C34BEC">
        <w:rPr>
          <w:i/>
        </w:rPr>
        <w:t>hotspots</w:t>
      </w:r>
      <w:r w:rsidRPr="00C34BEC">
        <w:t xml:space="preserve"> (in terms of environmental impacts) using relevant key performance indicators (KPIs), thus identifying areas to be prioritised for action. </w:t>
      </w:r>
    </w:p>
    <w:p w14:paraId="55745DAE" w14:textId="77777777" w:rsidR="00C34BEC" w:rsidRPr="00C34BEC" w:rsidRDefault="00C34BEC" w:rsidP="00C34BEC">
      <w:r w:rsidRPr="00C34BEC">
        <w:t xml:space="preserve">At the micro level of a single organisation, CE interventions support the design of reverse supply chains, recycling, reusing or remanufacturing end-of-life products. CLSCs should take back products from customers and return them to the original manufacturer for the recovery of added value by reusing the whole product or part of it </w:t>
      </w:r>
      <w:r w:rsidRPr="00C34BEC">
        <w:fldChar w:fldCharType="begin" w:fldLock="1"/>
      </w:r>
      <w:r w:rsidRPr="00C34BEC">
        <w:instrText>ADDIN CSL_CITATION {"citationItems":[{"id":"ITEM-1","itemData":{"DOI":"10.1080/00207540600943977","ISSN":"00207543","abstract":"This paper aims to describe and analyse the main characteristics of articles on reverse logistics published in the production and operations management field, in order to determine the evolution of this current research over recent years and improve our understanding of this issue. We built up a database with the articles on reverse logistics published in the most relevant journals within the period 1995-2005, and we have explored the topic, the methodology and the techniques of analysis, as well as other relevant aspects of the research. We have evaluated the first decade of research on reverse logistics, observing what has been done and how, where and by whom it has been carried out. The result is an extensive review of the research works that have created and developed the reverse logistics concept, outlining some directions of research for the near future and offering practical help to those who begin to research on this topic.","author":[{"dropping-particle":"","family":"Rubio","given":"Sergio","non-dropping-particle":"","parse-names":false,"suffix":""},{"dropping-particle":"","family":"Chamorro","given":"Antonio","non-dropping-particle":"","parse-names":false,"suffix":""},{"dropping-particle":"","family":"Miranda","given":"Francisco J.","non-dropping-particle":"","parse-names":false,"suffix":""}],"container-title":"International Journal of Production Research","id":"ITEM-1","issue":"4","issued":{"date-parts":[["2008"]]},"page":"1099-1120","title":"Characteristics of the research on reverse logistics (1995-2005)","type":"article-journal","volume":"46"},"uris":["http://www.mendeley.com/documents/?uuid=5d2e1238-3205-4611-a643-9c16be226291"]}],"mendeley":{"formattedCitation":"(Rubio et al., 2008)","plainTextFormattedCitation":"(Rubio et al., 2008)","previouslyFormattedCitation":"(Rubio et al., 2008)"},"properties":{"noteIndex":0},"schema":"https://github.com/citation-style-language/schema/raw/master/csl-citation.json"}</w:instrText>
      </w:r>
      <w:r w:rsidRPr="00C34BEC">
        <w:fldChar w:fldCharType="separate"/>
      </w:r>
      <w:r w:rsidRPr="00C34BEC">
        <w:t>(Rubio et al., 2008)</w:t>
      </w:r>
      <w:r w:rsidRPr="00C34BEC">
        <w:fldChar w:fldCharType="end"/>
      </w:r>
      <w:r w:rsidRPr="00C34BEC">
        <w:t xml:space="preserve">. RL and CLSCM research streams have firstly concentrated on the evaluation of the economic viability of the adoption of CE practices, and have only recently moved towards integrated multi-dimensional impact assessments </w:t>
      </w:r>
      <w:r w:rsidRPr="00C34BEC">
        <w:fldChar w:fldCharType="begin" w:fldLock="1"/>
      </w:r>
      <w:r w:rsidRPr="00C34BEC">
        <w:instrText>ADDIN CSL_CITATION {"citationItems":[{"id":"ITEM-1","itemData":{"DOI":"10.1080/00207543.2018.1471244","ISSN":"1366588X","abstract":"Reverse Logistics and Closed Loop Supply Chain Management (RL&amp;CLSCM) are universally recognised as two environmentally friendly practices that could help in greening conventional supply chains. The popularity of these fields of research has led to the evolution of a vast number of publications in the literature. Various journals have so far contributed to the advancement of the field, with the International Journal of Production of Research (IJPR) being one of the most prominent contributed journals. To celebrate the 55th volume anniversary of IJPR, this review study aims to investigate the studies in the area of RL&amp;CLSCM published in IJPR. The paper presents a thorough bibliometric and content analysis of 94 studies that were published in IJPR from 2000 until July 2017. The studies initially underwent a rigorous bibliometric and mapping analysis that helped to identify their characteristics. Subsequently, the contents of the sample papers were evaluated thoroughly. The content analysis led to classification of the papers into two main categories and sub-categories, and then to rigorous identification of the papers’ attributes. The bibliometric and content analysis disclosed several research gaps that remain to be addressed in IJPR.","author":[{"dropping-particle":"","family":"Kazemi","given":"Nima","non-dropping-particle":"","parse-names":false,"suffix":""},{"dropping-particle":"","family":"Modak","given":"Nikunja Mohan","non-dropping-particle":"","parse-names":false,"suffix":""},{"dropping-particle":"","family":"Govindan","given":"Kannan","non-dropping-particle":"","parse-names":false,"suffix":""}],"container-title":"International Journal of Production Research","id":"ITEM-1","issue":"15-16","issued":{"date-parts":[["2019"]]},"page":"4937-4960","title":"A review of reverse logistics and closed loop supply chain management studies published in IJPR: a bibliometric and content analysis","type":"article-journal","volume":"57"},"uris":["http://www.mendeley.com/documents/?uuid=68eb7cdc-b352-449f-a853-f97babfc3b4a"]}],"mendeley":{"formattedCitation":"(Kazemi et al., 2019)","plainTextFormattedCitation":"(Kazemi et al., 2019)","previouslyFormattedCitation":"(Kazemi et al., 2019)"},"properties":{"noteIndex":0},"schema":"https://github.com/citation-style-language/schema/raw/master/csl-citation.json"}</w:instrText>
      </w:r>
      <w:r w:rsidRPr="00C34BEC">
        <w:fldChar w:fldCharType="separate"/>
      </w:r>
      <w:r w:rsidRPr="00C34BEC">
        <w:t>(Kazemi et al., 2019)</w:t>
      </w:r>
      <w:r w:rsidRPr="00C34BEC">
        <w:fldChar w:fldCharType="end"/>
      </w:r>
      <w:r w:rsidRPr="00C34BEC">
        <w:t xml:space="preserve">. No one had reviewed CE indicators with a supply chain perspective until very recently </w:t>
      </w:r>
      <w:r w:rsidRPr="00C34BEC">
        <w:fldChar w:fldCharType="begin" w:fldLock="1"/>
      </w:r>
      <w:r w:rsidRPr="00C34BEC">
        <w:instrText>ADDIN CSL_CITATION {"citationItems":[{"id":"ITEM-1","itemData":{"DOI":"10.1016/j.jclepro.2020.125457","ISSN":"09596526","abstract":"Circular economy has become a central concept of sustainable production and consumption since its introduction into the public eye. However, to ensure circular economy actually delivers on its promises regarding sustainability, it is vital to anticipate and assess the impact of circular economy practices in an integrated way. For that purpose, holistic assessments are crucial to enable transparent decision-making, clearly indicating possible trade-offs. While previous literature has mainly focused on product, company or country level, this paper contributes to an improved understanding of sustainability assessments on the inter-firm level. Given the vital role of inter-firm networks in the transition to a circular economy, the authors present a systematic literature review of sustainability assessment approaches applicable within circular inter-firm networks. These networks are primarily represented in two related fields relevant to circular economy: industrial ecology offers sustainability assessment approaches for inter- and intra-sectoral business activities at different scales, whereas circular supply chain management is a promising source for sustainability assessment approaches considering product life cycles. Over 100 academic publications are reviewed and categorised according to assessment type, correspondence to the relevant field, and sustainability dimensions addressed. The results demonstrate that life cycle-based methodologies as well as indicator frameworks, often combined with multi-criteria decision-making methods, are the most common ex-post assessment approaches. Concurrently, the most frequent ex-ante assessments are based on mathematical programming. It is further observed that industrial ecology-related publications present more comprehensive environmental assessments, while circular supply chain management literature includes the social dimension more often, but superficially. Overall, the social dimension is least assessed and least integrated into the sustainability assessment. Based on the findings of the review, an integrated framework of approaches is developed, enabling decision-makers to identify suitable sustainability assessment approaches for circular inter-firm networks.","author":[{"dropping-particle":"","family":"Walker","given":"Anna M.","non-dropping-particle":"","parse-names":false,"suffix":""},{"dropping-particle":"","family":"Vermeulen","given":"Walter J.V.","non-dropping-particle":"","parse-names":false,"suffix":""},{"dropping-particle":"","family":"Simboli","given":"Alberto","non-dropping-particle":"","parse-names":false,"suffix":""},{"dropping-particle":"","family":"Raggi","given":"Andrea","non-dropping-particle":"","parse-names":false,"suffix":""}],"container-title":"Journal of Cleaner Production","id":"ITEM-1","issued":{"date-parts":[["2021"]]},"page":"125457","publisher":"Elsevier Ltd","title":"Sustainability assessment in circular inter-firm networks: An integrated framework of industrial ecology and circular supply chain management approaches","type":"article-journal","volume":"286"},"uris":["http://www.mendeley.com/documents/?uuid=8101a4e7-58f6-4cf5-bb14-5685496ac2ed"]}],"mendeley":{"formattedCitation":"(Walker, Vermeulen, et al., 2021)","manualFormatting":"(Walker et al., 2021)","plainTextFormattedCitation":"(Walker, Vermeulen, et al., 2021)","previouslyFormattedCitation":"(Walker, Vermeulen, et al., 2021)"},"properties":{"noteIndex":0},"schema":"https://github.com/citation-style-language/schema/raw/master/csl-citation.json"}</w:instrText>
      </w:r>
      <w:r w:rsidRPr="00C34BEC">
        <w:fldChar w:fldCharType="separate"/>
      </w:r>
      <w:r w:rsidRPr="00C34BEC">
        <w:t>(Walker et al., 2021)</w:t>
      </w:r>
      <w:r w:rsidRPr="00C34BEC">
        <w:fldChar w:fldCharType="end"/>
      </w:r>
      <w:r w:rsidRPr="00C34BEC">
        <w:t>.</w:t>
      </w:r>
    </w:p>
    <w:p w14:paraId="6C3AB78C" w14:textId="5D362298" w:rsidR="00C34BEC" w:rsidRPr="00C34BEC" w:rsidRDefault="00C34BEC" w:rsidP="00C34BEC">
      <w:r w:rsidRPr="00C34BEC">
        <w:t xml:space="preserve">The literature on CE indicators for supply chains is very fragmented (Figure 3). It is quite clear that a standard way to support decisions and keep track of the transition of supply chains to higher levels of circularity has not been defined. There is no clarity of what should be measured nor of the criteria that should be employed to select metrics, as well as objectives of DSTs. Many CE </w:t>
      </w:r>
      <w:r w:rsidRPr="00C34BEC">
        <w:lastRenderedPageBreak/>
        <w:t>indicators, metrics or set of metrics have been used. Many DSTs employ economic metrics (</w:t>
      </w:r>
      <w:r w:rsidR="00F07293" w:rsidRPr="00C34BEC">
        <w:t>e.g.,</w:t>
      </w:r>
      <w:r w:rsidRPr="00C34BEC">
        <w:t xml:space="preserve"> costs, revenues, net present value) or environmental ones (emissions, energy, waste, resources consumed, resources recovered), and even social ones (jobs created by the CSC). </w:t>
      </w:r>
    </w:p>
    <w:p w14:paraId="5A885C0B" w14:textId="4C9C6D08" w:rsidR="00C34BEC" w:rsidRDefault="00C34BEC" w:rsidP="00C34BEC">
      <w:r w:rsidRPr="00C34BEC">
        <w:rPr>
          <w:noProof/>
          <w:lang w:eastAsia="zh-CN"/>
        </w:rPr>
        <w:drawing>
          <wp:inline distT="0" distB="0" distL="0" distR="0" wp14:anchorId="7F3F6BF9" wp14:editId="3F1E28B1">
            <wp:extent cx="5758410" cy="1554109"/>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775665" cy="1558766"/>
                    </a:xfrm>
                    <a:prstGeom prst="rect">
                      <a:avLst/>
                    </a:prstGeom>
                    <a:noFill/>
                  </pic:spPr>
                </pic:pic>
              </a:graphicData>
            </a:graphic>
          </wp:inline>
        </w:drawing>
      </w:r>
    </w:p>
    <w:p w14:paraId="4C6962B4" w14:textId="77777777" w:rsidR="0085122E" w:rsidRPr="00C34BEC" w:rsidRDefault="0085122E" w:rsidP="0085122E">
      <w:pPr>
        <w:pStyle w:val="Figurecaption"/>
      </w:pPr>
      <w:r w:rsidRPr="00C34BEC">
        <w:t xml:space="preserve">Figure </w:t>
      </w:r>
      <w:fldSimple w:instr=" SEQ Figure \* ARABIC ">
        <w:r w:rsidRPr="00C34BEC">
          <w:t>3</w:t>
        </w:r>
      </w:fldSimple>
      <w:r w:rsidRPr="00C34BEC">
        <w:t xml:space="preserve"> - Decision support tools and CE indicators in the CSCM literature</w:t>
      </w:r>
    </w:p>
    <w:p w14:paraId="3C3FF5A7" w14:textId="2491AE7D" w:rsidR="00C34BEC" w:rsidRPr="00C34BEC" w:rsidRDefault="007765F7" w:rsidP="007765F7">
      <w:pPr>
        <w:pStyle w:val="Heading3"/>
        <w:numPr>
          <w:ilvl w:val="0"/>
          <w:numId w:val="0"/>
        </w:numPr>
        <w:ind w:left="357" w:hanging="357"/>
      </w:pPr>
      <w:bookmarkStart w:id="222" w:name="_Toc157759590"/>
      <w:r>
        <w:t xml:space="preserve">2.2 </w:t>
      </w:r>
      <w:r w:rsidR="00C34BEC" w:rsidRPr="00C34BEC">
        <w:t>Understanding the choices behind DSTs for sustainability</w:t>
      </w:r>
      <w:bookmarkEnd w:id="222"/>
    </w:p>
    <w:p w14:paraId="7CBFD178" w14:textId="77777777" w:rsidR="00C34BEC" w:rsidRPr="00C34BEC" w:rsidRDefault="00C34BEC" w:rsidP="00C34BEC">
      <w:r w:rsidRPr="00C34BEC">
        <w:t xml:space="preserve">DSTs for CSCs can be considered a subset of general sustainability tools </w:t>
      </w:r>
      <w:r w:rsidRPr="00C34BEC">
        <w:fldChar w:fldCharType="begin" w:fldLock="1"/>
      </w:r>
      <w:r w:rsidRPr="00C34BEC">
        <w:instrText>ADDIN CSL_CITATION {"citationItems":[{"id":"ITEM-1","itemData":{"DOI":"10.1016/j.ecolecon.2012.05.005","ISSN":"09218009","author":[{"dropping-particle":"","family":"Gasparatos","given":"Alexandros","non-dropping-particle":"","parse-names":false,"suffix":""},{"dropping-particle":"","family":"Scolobig","given":"A.","non-dropping-particle":"","parse-names":false,"suffix":""}],"container-title":"Ecological Economics","id":"ITEM-1","issued":{"date-parts":[["2012"]]},"page":"1-7","publisher":"Elsevier B.V.","title":"Choosing the most appropriate sustainability assessment tool","type":"article-journal","volume":"80"},"uris":["http://www.mendeley.com/documents/?uuid=3d5266fb-0242-4fb1-a9f8-466690825895"]},{"id":"ITEM-2","itemData":{"DOI":"10.1016/j.jenvman.2010.03.014","ISSN":"03014797","PMID":"20413212","abstract":"This paper explores the implications that arise with the selection of specific sustainability evaluation tools. Sustainability evaluation tools are conceptualized in this paper as value articulating institutions and as such their choice is a far from a trivial matter. In fact their choice can entail various ethical and practical repercussions. However, in most cases the choice of the evaluation tool is made by the analyst(s) without taking into consideration the values of the affected stakeholders. By choosing the analytical tool the analyst essentially \" subscribes to\" and ultimately \" enforces\" a particular worldview as the legitimate yardstick to evaluate the sustainability of a particular project (or policy). Instead, this paper argues that the selection of evaluation tools should be consistent with the values of the affected stakeholders. With this in mind, different sustainability evaluation tools' assumptions are critically reviewed and a number of suggestions that could facilitate the choice of the most appropriate tool according to the context of the sustainability evaluation are provided. It is expected that conscious evaluation tool selection, following the suggestions made in this paper, will reduce the risk of providing distorted sustainability evaluations. © 2010 Elsevier Ltd.","author":[{"dropping-particle":"","family":"Gasparatos","given":"Alexandros","non-dropping-particle":"","parse-names":false,"suffix":""}],"container-title":"Journal of Environmental Management","id":"ITEM-2","issue":"8","issued":{"date-parts":[["2010"]]},"page":"1613-1622","publisher":"Elsevier Ltd","title":"Embedded value systems in sustainability assessment tools and their implications","type":"article-journal","volume":"91"},"uris":["http://www.mendeley.com/documents/?uuid=ba6fe4dc-00aa-4336-bc96-0e40bbe5cb94"]},{"id":"ITEM-3","itemData":{"DOI":"10.1016/j.eiar.2007.09.002","ISSN":"01959255","abstract":"The increasing prominence of Sustainable Development as a policy objective has initiated a debate on appropriate frameworks and tools that will both provide guidance for a shift towards sustainability as well as a measure, preferably quantitative, of that shift. Sustainability assessment has thus the challenging task of capturing, addressing and suggesting solutions for a diverse set of issues that affect stakeholders with different values and span over different spatial and temporal scales. However sustainability assessment is still not a mature framework in the sense that Environmental Impact Assessment (EIA) and Strategic Environmental Assessment (SEA) are. This paper aims to provide suggestions for improving the sustainability evaluation part of a sustainability assessment. In particular it will provide a comprehensive review of different sustainability evaluation tools (from a reductionist perspective) as well as the feasibility of incorporating them within a sustainability assessment framework. Reviewed tools include monetary tools, biophysical models and sustainability indicators/composite indices that have been developed within different disciplines such as economics, statistics, ecology, engineering and town planning. © 2007 Elsevier Inc. All rights reserved.","author":[{"dropping-particle":"","family":"Gasparatos","given":"Alexandros","non-dropping-particle":"","parse-names":false,"suffix":""},{"dropping-particle":"","family":"El-Haram","given":"Mohamed","non-dropping-particle":"","parse-names":false,"suffix":""},{"dropping-particle":"","family":"Horner","given":"Malcolm","non-dropping-particle":"","parse-names":false,"suffix":""}],"container-title":"Environmental Impact Assessment Review","id":"ITEM-3","issue":"4-5","issued":{"date-parts":[["2008"]]},"page":"286-311","title":"A critical review of reductionist approaches for assessing the progress towards sustainability","type":"article-journal","volume":"28"},"uris":["http://www.mendeley.com/documents/?uuid=5b1b760d-c000-497f-9c50-4cfdfb41d328"]}],"mendeley":{"formattedCitation":"(Gasparatos et al., 2008; Gasparatos, 2010; Gasparatos &amp; Scolobig, 2012)","plainTextFormattedCitation":"(Gasparatos et al., 2008; Gasparatos, 2010; Gasparatos &amp; Scolobig, 2012)","previouslyFormattedCitation":"(Gasparatos et al., 2008; Gasparatos, 2010; Gasparatos &amp; Scolobig, 2012)"},"properties":{"noteIndex":0},"schema":"https://github.com/citation-style-language/schema/raw/master/csl-citation.json"}</w:instrText>
      </w:r>
      <w:r w:rsidRPr="00C34BEC">
        <w:fldChar w:fldCharType="separate"/>
      </w:r>
      <w:r w:rsidRPr="00C34BEC">
        <w:t>(Gasparatos et al., 2008; Gasparatos, 2010; Gasparatos &amp; Scolobig, 2012)</w:t>
      </w:r>
      <w:r w:rsidRPr="00C34BEC">
        <w:fldChar w:fldCharType="end"/>
      </w:r>
      <w:r w:rsidRPr="00C34BEC">
        <w:t xml:space="preserve">. When building DSTs, researchers and industrial practitioners have to choose how to systematically select among different metrics </w:t>
      </w:r>
      <w:r w:rsidRPr="00C34BEC">
        <w:fldChar w:fldCharType="begin" w:fldLock="1"/>
      </w:r>
      <w:r w:rsidRPr="00C34BEC">
        <w:instrText>ADDIN CSL_CITATION {"citationItems":[{"id":"ITEM-1","itemData":{"DOI":"10.1016/j.ecolecon.2012.05.005","ISSN":"09218009","author":[{"dropping-particle":"","family":"Gasparatos","given":"Alexandros","non-dropping-particle":"","parse-names":false,"suffix":""},{"dropping-particle":"","family":"Scolobig","given":"A.","non-dropping-particle":"","parse-names":false,"suffix":""}],"container-title":"Ecological Economics","id":"ITEM-1","issued":{"date-parts":[["2012"]]},"page":"1-7","publisher":"Elsevier B.V.","title":"Choosing the most appropriate sustainability assessment tool","type":"article-journal","volume":"80"},"uris":["http://www.mendeley.com/documents/?uuid=3d5266fb-0242-4fb1-a9f8-466690825895"]}],"mendeley":{"formattedCitation":"(Gasparatos &amp; Scolobig, 2012)","plainTextFormattedCitation":"(Gasparatos &amp; Scolobig, 2012)","previouslyFormattedCitation":"(Gasparatos &amp; Scolobig, 2012)"},"properties":{"noteIndex":0},"schema":"https://github.com/citation-style-language/schema/raw/master/csl-citation.json"}</w:instrText>
      </w:r>
      <w:r w:rsidRPr="00C34BEC">
        <w:fldChar w:fldCharType="separate"/>
      </w:r>
      <w:r w:rsidRPr="00C34BEC">
        <w:t>(Gasparatos &amp; Scolobig, 2012)</w:t>
      </w:r>
      <w:r w:rsidRPr="00C34BEC">
        <w:fldChar w:fldCharType="end"/>
      </w:r>
      <w:r w:rsidRPr="00C34BEC">
        <w:t xml:space="preserve"> and whether to aggregate subsets of metrics into composite indicators. These choices are not just technical ones, but also constitute an important decision, in terms of value perception and worldview assumptions. Analysing general sustainability tools, Gasparatos &amp; Scolobig (2012) recognised three categories of tools (Figure 4), according to their underlying perspectives and conceptions of value: </w:t>
      </w:r>
    </w:p>
    <w:p w14:paraId="65D3E592" w14:textId="7388B39A" w:rsidR="00C34BEC" w:rsidRPr="00C34BEC" w:rsidRDefault="00C34BEC" w:rsidP="0081080C">
      <w:pPr>
        <w:numPr>
          <w:ilvl w:val="0"/>
          <w:numId w:val="22"/>
        </w:numPr>
      </w:pPr>
      <w:r w:rsidRPr="00C34BEC">
        <w:rPr>
          <w:i/>
          <w:iCs/>
        </w:rPr>
        <w:t>Monetary tools</w:t>
      </w:r>
      <w:r w:rsidRPr="00C34BEC">
        <w:t xml:space="preserve"> evaluate sustainability phenomena based on the market evaluation of projects. Environmental impacts are generally transformed into costs. These tools are linked to a </w:t>
      </w:r>
      <w:r w:rsidRPr="00C34BEC">
        <w:rPr>
          <w:i/>
        </w:rPr>
        <w:t>neoclassical</w:t>
      </w:r>
      <w:r w:rsidRPr="00C34BEC">
        <w:t xml:space="preserve"> conception of value, which is related to a deeply anthropocentric view. Cost-Benefit Analysis is a </w:t>
      </w:r>
      <w:r w:rsidR="00F07293" w:rsidRPr="00C34BEC">
        <w:t>classic</w:t>
      </w:r>
      <w:r w:rsidRPr="00C34BEC">
        <w:t xml:space="preserve"> example of this category </w:t>
      </w:r>
      <w:r w:rsidRPr="00C34BEC">
        <w:fldChar w:fldCharType="begin" w:fldLock="1"/>
      </w:r>
      <w:r w:rsidRPr="00C34BEC">
        <w:instrText>ADDIN CSL_CITATION {"citationItems":[{"id":"ITEM-1","itemData":{"DOI":"10.1016/j.ecolecon.2012.05.005","ISSN":"09218009","author":[{"dropping-particle":"","family":"Gasparatos","given":"Alexandros","non-dropping-particle":"","parse-names":false,"suffix":""},{"dropping-particle":"","family":"Scolobig","given":"A.","non-dropping-particle":"","parse-names":false,"suffix":""}],"container-title":"Ecological Economics","id":"ITEM-1","issued":{"date-parts":[["2012"]]},"page":"1-7","publisher":"Elsevier B.V.","title":"Choosing the most appropriate sustainability assessment tool","type":"article-journal","volume":"80"},"uris":["http://www.mendeley.com/documents/?uuid=3d5266fb-0242-4fb1-a9f8-466690825895"]}],"mendeley":{"formattedCitation":"(Gasparatos &amp; Scolobig, 2012)","plainTextFormattedCitation":"(Gasparatos &amp; Scolobig, 2012)","previouslyFormattedCitation":"(Gasparatos &amp; Scolobig, 2012)"},"properties":{"noteIndex":0},"schema":"https://github.com/citation-style-language/schema/raw/master/csl-citation.json"}</w:instrText>
      </w:r>
      <w:r w:rsidRPr="00C34BEC">
        <w:fldChar w:fldCharType="separate"/>
      </w:r>
      <w:r w:rsidRPr="00C34BEC">
        <w:t>(Gasparatos &amp; Scolobig, 2012)</w:t>
      </w:r>
      <w:r w:rsidRPr="00C34BEC">
        <w:fldChar w:fldCharType="end"/>
      </w:r>
      <w:r w:rsidRPr="00C34BEC">
        <w:t>.</w:t>
      </w:r>
    </w:p>
    <w:p w14:paraId="0D1B1158" w14:textId="77777777" w:rsidR="00C34BEC" w:rsidRPr="00C34BEC" w:rsidRDefault="00C34BEC" w:rsidP="0081080C">
      <w:pPr>
        <w:numPr>
          <w:ilvl w:val="0"/>
          <w:numId w:val="22"/>
        </w:numPr>
      </w:pPr>
      <w:r w:rsidRPr="00C34BEC">
        <w:rPr>
          <w:i/>
          <w:iCs/>
        </w:rPr>
        <w:t>Biophysical tools</w:t>
      </w:r>
      <w:r w:rsidRPr="00C34BEC">
        <w:t xml:space="preserve"> focus on inflows and outflows of energy, materials and waste within a system. Usually, coefficients and algebraic rules are used to collapse the behaviour of a very complex system into a common unit of measurement, like in the case of </w:t>
      </w:r>
      <w:proofErr w:type="spellStart"/>
      <w:r w:rsidRPr="00C34BEC">
        <w:t>EMergy</w:t>
      </w:r>
      <w:proofErr w:type="spellEnd"/>
      <w:r w:rsidRPr="00C34BEC">
        <w:t xml:space="preserve"> accounting </w:t>
      </w:r>
      <w:r w:rsidRPr="00C34BEC">
        <w:fldChar w:fldCharType="begin" w:fldLock="1"/>
      </w:r>
      <w:r w:rsidRPr="00C34BEC">
        <w:instrText>ADDIN CSL_CITATION {"citationItems":[{"id":"ITEM-1","itemData":{"DOI":"10.1017/CBO9781107415324.004","ISBN":"9788578110796","ISSN":"1098-6596","PMID":"25246403","abstract":"Introduction: EMERGY and real wealth -- EMERGY and the energy hierarchy -- Earth EMERGY -- Environmental production and economic use -- EMERGY evaluation procedure -- Empower through networks: EMERGY algebra -- Evaluating environmental resources -- Net EMERGY of fuels and electricity -- Evaluating alternatives for development -- EMERGY of states and nations -- Evaluating international exchange -- Evaluating information and human service -- EMERGY over time -- Comparison of methods -- Policy perspectives -- An Emergy glossary -- Appendices -- References -- Index.","author":[{"dropping-particle":"","family":"Odum","given":"H.T.","non-dropping-particle":"","parse-names":false,"suffix":""}],"container-title":"John Wiley &amp; Sons, INC","id":"ITEM-1","issued":{"date-parts":[["1996"]]},"page":"370","title":"Environmental accounting. Emergy and Environmental Decision Making","type":"article-journal"},"uris":["http://www.mendeley.com/documents/?uuid=d008be02-5378-4bee-9c1c-7db6d2d757cc"]},{"id":"ITEM-2","itemData":{"abstract":"Presentation at Summer Emergy School - Venice 2018","author":[{"dropping-particle":"","family":"Brown","given":"Mark T","non-dropping-particle":"","parse-names":false,"suffix":""}],"id":"ITEM-2","issued":{"date-parts":[["2018"]]},"title":"ICEAM - 9 EMERGY and Environmental Accounting","type":"article"},"uris":["http://www.mendeley.com/documents/?uuid=713af5ba-1e99-423d-b2fe-923a6db2c5a2"]}],"mendeley":{"formattedCitation":"(Odum, 1996; Brown, 2018)","plainTextFormattedCitation":"(Odum, 1996; Brown, 2018)","previouslyFormattedCitation":"(Odum, 1996; Brown, 2018)"},"properties":{"noteIndex":0},"schema":"https://github.com/citation-style-language/schema/raw/master/csl-citation.json"}</w:instrText>
      </w:r>
      <w:r w:rsidRPr="00C34BEC">
        <w:fldChar w:fldCharType="separate"/>
      </w:r>
      <w:r w:rsidRPr="00C34BEC">
        <w:t>(Odum, 1996; Brown, 2018)</w:t>
      </w:r>
      <w:r w:rsidRPr="00C34BEC">
        <w:fldChar w:fldCharType="end"/>
      </w:r>
      <w:r w:rsidRPr="00C34BEC">
        <w:t xml:space="preserve">. This category also includes Life Cycle Assessment (LCA), which explores environmental impacts across a product’s life stages. The type of value consideration of these tools is eco-centric – and highlights the </w:t>
      </w:r>
      <w:r w:rsidRPr="00C34BEC">
        <w:lastRenderedPageBreak/>
        <w:t xml:space="preserve">interconnections between economic activities and the environment </w:t>
      </w:r>
      <w:r w:rsidRPr="00C34BEC">
        <w:fldChar w:fldCharType="begin" w:fldLock="1"/>
      </w:r>
      <w:r w:rsidRPr="00C34BEC">
        <w:instrText>ADDIN CSL_CITATION {"citationItems":[{"id":"ITEM-1","itemData":{"author":[{"dropping-particle":"","family":"Daly","given":"H. E.","non-dropping-particle":"","parse-names":false,"suffix":""},{"dropping-particle":"","family":"Farley","given":"J.","non-dropping-particle":"","parse-names":false,"suffix":""}],"id":"ITEM-1","issued":{"date-parts":[["2011"]]},"publisher":"Island press.","title":"Ecological economics: principles and applications.","type":"book"},"uris":["http://www.mendeley.com/documents/?uuid=f8c45b11-b445-491c-bc41-6d75a77e27bd"]}],"mendeley":{"formattedCitation":"(Daly &amp; Farley, 2011)","plainTextFormattedCitation":"(Daly &amp; Farley, 2011)","previouslyFormattedCitation":"(Daly &amp; Farley, 2011)"},"properties":{"noteIndex":0},"schema":"https://github.com/citation-style-language/schema/raw/master/csl-citation.json"}</w:instrText>
      </w:r>
      <w:r w:rsidRPr="00C34BEC">
        <w:fldChar w:fldCharType="separate"/>
      </w:r>
      <w:r w:rsidRPr="00C34BEC">
        <w:t>(Daly &amp; Farley, 2011)</w:t>
      </w:r>
      <w:r w:rsidRPr="00C34BEC">
        <w:fldChar w:fldCharType="end"/>
      </w:r>
      <w:r w:rsidRPr="00C34BEC">
        <w:t xml:space="preserve">. </w:t>
      </w:r>
    </w:p>
    <w:p w14:paraId="627527BF" w14:textId="29E101D4" w:rsidR="00C34BEC" w:rsidRPr="00C34BEC" w:rsidRDefault="00C34BEC" w:rsidP="0081080C">
      <w:pPr>
        <w:numPr>
          <w:ilvl w:val="0"/>
          <w:numId w:val="22"/>
        </w:numPr>
      </w:pPr>
      <w:r w:rsidRPr="00C34BEC">
        <w:rPr>
          <w:i/>
          <w:iCs/>
        </w:rPr>
        <w:t xml:space="preserve">Composite indicators </w:t>
      </w:r>
      <w:r w:rsidRPr="00C34BEC">
        <w:t xml:space="preserve">usually formalise identified subsets of variables into measurable indicators. A complex system’s performance is subdivided into measurable pillars and sub-pillars, where more indicators capture different variables. These sub-indicators can be either normalised in a single </w:t>
      </w:r>
      <w:r w:rsidR="00F07293" w:rsidRPr="00C34BEC">
        <w:t>index or</w:t>
      </w:r>
      <w:r w:rsidRPr="00C34BEC">
        <w:t xml:space="preserve"> can be presented singularly as part of multi-criteria assessment tools. These tools are more flexible in terms of value considerations, which depend on the specific weighting and normalisation assumptions.</w:t>
      </w:r>
    </w:p>
    <w:p w14:paraId="4382AEDE" w14:textId="77777777" w:rsidR="00C34BEC" w:rsidRPr="00C34BEC" w:rsidRDefault="00C34BEC" w:rsidP="00C34BEC">
      <w:r w:rsidRPr="00C34BEC">
        <w:t xml:space="preserve"> </w:t>
      </w:r>
    </w:p>
    <w:p w14:paraId="1EFB0CE4" w14:textId="0A1645B8" w:rsidR="00C34BEC" w:rsidRDefault="00C34BEC" w:rsidP="00C34BEC">
      <w:pPr>
        <w:rPr>
          <w:b/>
          <w:bCs/>
        </w:rPr>
      </w:pPr>
      <w:r w:rsidRPr="00C34BEC">
        <w:rPr>
          <w:b/>
          <w:bCs/>
          <w:noProof/>
          <w:lang w:eastAsia="zh-CN"/>
        </w:rPr>
        <w:drawing>
          <wp:inline distT="0" distB="0" distL="0" distR="0" wp14:anchorId="030BE43F" wp14:editId="7A400579">
            <wp:extent cx="5613400" cy="1610399"/>
            <wp:effectExtent l="0" t="0" r="635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621477" cy="1612716"/>
                    </a:xfrm>
                    <a:prstGeom prst="rect">
                      <a:avLst/>
                    </a:prstGeom>
                    <a:noFill/>
                  </pic:spPr>
                </pic:pic>
              </a:graphicData>
            </a:graphic>
          </wp:inline>
        </w:drawing>
      </w:r>
    </w:p>
    <w:p w14:paraId="5D62D117" w14:textId="77777777" w:rsidR="0085122E" w:rsidRPr="00C34BEC" w:rsidRDefault="0085122E" w:rsidP="0085122E">
      <w:pPr>
        <w:pStyle w:val="Figurecaption"/>
      </w:pPr>
      <w:r w:rsidRPr="00C34BEC">
        <w:t xml:space="preserve">Figure </w:t>
      </w:r>
      <w:fldSimple w:instr=" SEQ Figure \* ARABIC ">
        <w:r w:rsidRPr="00C34BEC">
          <w:t>4</w:t>
        </w:r>
      </w:fldSimple>
      <w:r w:rsidRPr="00C34BEC">
        <w:t xml:space="preserve"> - Three classes of sustainability assessment tools (adapted from Gasparatos, 2012)</w:t>
      </w:r>
    </w:p>
    <w:p w14:paraId="202A3D87" w14:textId="77777777" w:rsidR="00C34BEC" w:rsidRPr="00C34BEC" w:rsidRDefault="00C34BEC" w:rsidP="00C34BEC">
      <w:r w:rsidRPr="00C34BEC">
        <w:t xml:space="preserve">No previous review has classified DSTs for CSCs by investigating their underlying assumptions, as per the Gasparatos (2012) framework. In general, the current literature on DSTs for CSCs contributes to knowledge at a very practical stage, investigating specific decisions without questioning world-views and assumptions </w:t>
      </w:r>
      <w:r w:rsidRPr="00C34BEC">
        <w:fldChar w:fldCharType="begin" w:fldLock="1"/>
      </w:r>
      <w:r w:rsidRPr="00C34BEC">
        <w:instrText>ADDIN CSL_CITATION {"citationItems":[{"id":"ITEM-1","itemData":{"DOI":"10.1016/j.resconrec.2019.104480","ISSN":"18790658","author":[{"dropping-particle":"","family":"Kirchherr","given":"Julian","non-dropping-particle":"","parse-names":false,"suffix":""},{"dropping-particle":"","family":"Santen","given":"Ralf","non-dropping-particle":"van","parse-names":false,"suffix":""}],"container-title":"Resources, Conservation and Recycling","id":"ITEM-1","issue":"September","issued":{"date-parts":[["2019"]]},"page":"4-5","title":"Research on the circular economy: A critique of the field","type":"article-journal","volume":"151"},"uris":["http://www.mendeley.com/documents/?uuid=881ea84a-383a-4207-9955-c43276497161"]},{"id":"ITEM-2","itemData":{"DOI":"10.1016/j.jclepro.2020.125457","ISSN":"09596526","abstract":"Circular economy has become a central concept of sustainable production and consumption since its introduction into the public eye. However, to ensure circular economy actually delivers on its promises regarding sustainability, it is vital to anticipate and assess the impact of circular economy practices in an integrated way. For that purpose, holistic assessments are crucial to enable transparent decision-making, clearly indicating possible trade-offs. While previous literature has mainly focused on product, company or country level, this paper contributes to an improved understanding of sustainability assessments on the inter-firm level. Given the vital role of inter-firm networks in the transition to a circular economy, the authors present a systematic literature review of sustainability assessment approaches applicable within circular inter-firm networks. These networks are primarily represented in two related fields relevant to circular economy: industrial ecology offers sustainability assessment approaches for inter- and intra-sectoral business activities at different scales, whereas circular supply chain management is a promising source for sustainability assessment approaches considering product life cycles. Over 100 academic publications are reviewed and categorised according to assessment type, correspondence to the relevant field, and sustainability dimensions addressed. The results demonstrate that life cycle-based methodologies as well as indicator frameworks, often combined with multi-criteria decision-making methods, are the most common ex-post assessment approaches. Concurrently, the most frequent ex-ante assessments are based on mathematical programming. It is further observed that industrial ecology-related publications present more comprehensive environmental assessments, while circular supply chain management literature includes the social dimension more often, but superficially. Overall, the social dimension is least assessed and least integrated into the sustainability assessment. Based on the findings of the review, an integrated framework of approaches is developed, enabling decision-makers to identify suitable sustainability assessment approaches for circular inter-firm networks.","author":[{"dropping-particle":"","family":"Walker","given":"Anna M.","non-dropping-particle":"","parse-names":false,"suffix":""},{"dropping-particle":"","family":"Vermeulen","given":"Walter J.V.","non-dropping-particle":"","parse-names":false,"suffix":""},{"dropping-particle":"","family":"Simboli","given":"Alberto","non-dropping-particle":"","parse-names":false,"suffix":""},{"dropping-particle":"","family":"Raggi","given":"Andrea","non-dropping-particle":"","parse-names":false,"suffix":""}],"container-title":"Journal of Cleaner Production","id":"ITEM-2","issued":{"date-parts":[["2021"]]},"page":"125457","publisher":"Elsevier Ltd","title":"Sustainability assessment in circular inter-firm networks: An integrated framework of industrial ecology and circular supply chain management approaches","type":"article-journal","volume":"286"},"uris":["http://www.mendeley.com/documents/?uuid=8101a4e7-58f6-4cf5-bb14-5685496ac2ed"]},{"id":"ITEM-3","itemData":{"DOI":"10.1016/j.ecolecon.2017.06.041","ISSN":"09218009","abstract":"Circular economy (CE) is currently a popular concept promoted by the EU, by several national governments and by many businesses around the world. However, the scientific and research content of the CE concept is superficial and unorganized. CE seems to be a collection of vague and separate ideas from several fields and semi-scientific concepts. The objective of this article is to contribute to the scientific research on CE. First, we will define the concept of CE from the perspective of WCED sustainable development and sustainability science. Second, we will conduct a critical analysis of the concept from the perspective of environmental sustainability. The analysis identifies six challenges, for example those of thermodynamics and system boundaries, that need to be resolved for CE to be able to contribute to global net sustainability. These six challenges also serve as research themes and objectives for scholars interested in making progress in sustainable development through the usage of circular economy. CE is important for its power to attract both the business community and policy-making community to sustainability work, but it needs scientific research to secure that the actual environmental impacts of CE work toward sustainability.","author":[{"dropping-particle":"","family":"Korhonen","given":"Jouni","non-dropping-particle":"","parse-names":false,"suffix":""},{"dropping-particle":"","family":"Honkasalo","given":"Antero","non-dropping-particle":"","parse-names":false,"suffix":""},{"dropping-particle":"","family":"Seppälä","given":"Jyri","non-dropping-particle":"","parse-names":false,"suffix":""}],"container-title":"Ecological Economics","id":"ITEM-3","issue":"January","issued":{"date-parts":[["2018"]]},"page":"37-46","publisher":"Elsevier B.V.","title":"Circular Economy: The Concept and its Limitations","type":"article-journal","volume":"143"},"uris":["http://www.mendeley.com/documents/?uuid=31d96043-329c-4dc0-8cb5-d663b399ff81"]}],"mendeley":{"formattedCitation":"(Korhonen, Honkasalo, et al., 2018; Kirchherr &amp; van Santen, 2019; Walker, Vermeulen, et al., 2021)","manualFormatting":"(Korhonen, et al., 2018; Kirchherr &amp; van Santen, 2019)","plainTextFormattedCitation":"(Korhonen, Honkasalo, et al., 2018; Kirchherr &amp; van Santen, 2019; Walker, Vermeulen, et al., 2021)","previouslyFormattedCitation":"(Korhonen, Honkasalo, et al., 2018; Kirchherr &amp; van Santen, 2019; Walker, Vermeulen, et al., 2021)"},"properties":{"noteIndex":0},"schema":"https://github.com/citation-style-language/schema/raw/master/csl-citation.json"}</w:instrText>
      </w:r>
      <w:r w:rsidRPr="00C34BEC">
        <w:fldChar w:fldCharType="separate"/>
      </w:r>
      <w:r w:rsidRPr="00C34BEC">
        <w:t>(Korhonen, et al., 2018; Kirchherr &amp; van Santen, 2019)</w:t>
      </w:r>
      <w:r w:rsidRPr="00C34BEC">
        <w:fldChar w:fldCharType="end"/>
      </w:r>
      <w:r w:rsidRPr="00C34BEC">
        <w:t xml:space="preserve">. </w:t>
      </w:r>
    </w:p>
    <w:p w14:paraId="0F872E73" w14:textId="001B60C7" w:rsidR="00C34BEC" w:rsidRPr="00C34BEC" w:rsidRDefault="007765F7" w:rsidP="007765F7">
      <w:pPr>
        <w:pStyle w:val="Heading3"/>
        <w:numPr>
          <w:ilvl w:val="0"/>
          <w:numId w:val="0"/>
        </w:numPr>
        <w:ind w:left="357" w:hanging="357"/>
      </w:pPr>
      <w:bookmarkStart w:id="223" w:name="_Toc157759591"/>
      <w:r>
        <w:t xml:space="preserve">2.3 </w:t>
      </w:r>
      <w:r w:rsidR="00C34BEC" w:rsidRPr="00C34BEC">
        <w:t>Research gaps and Research questions</w:t>
      </w:r>
      <w:bookmarkEnd w:id="223"/>
    </w:p>
    <w:p w14:paraId="500DB36A" w14:textId="77777777" w:rsidR="00C34BEC" w:rsidRPr="00C34BEC" w:rsidRDefault="00C34BEC" w:rsidP="00C34BEC">
      <w:r w:rsidRPr="00C34BEC">
        <w:t xml:space="preserve">The CE literature lacks an overview of the standard indicators and DSTs to evaluate the transition towards a CE in supply chains. Available CE assessment metrics, indicators, methods and methodologies in the academic literature were mapped at the firm level </w:t>
      </w:r>
      <w:r w:rsidRPr="00C34BEC">
        <w:fldChar w:fldCharType="begin" w:fldLock="1"/>
      </w:r>
      <w:r w:rsidRPr="00C34BEC">
        <w:instrText>ADDIN CSL_CITATION {"citationItems":[{"id":"ITEM-1","itemData":{"DOI":"10.1016/j.jclepro.2019.05.019","ISSN":"09596526","abstract":"The depletion of resources and the downgrading of the environment, driven by globalization and consumerism phenomena, is worldwide pushing the interest on the Circular Economy (CE)concept. Supposed to substitute the end-of-life notion with restoration and closed-loop product lifecycles, CE wants to eliminate wastes, retain the value embedded into products and materials, foster the use of renewable energies and eliminate toxic chemicals. However, the measurement and assessment of circularity performances are not yet a common practice in companies. To this aim, the paper wants to detect, through a systematic literature review, which are the existing CE performance assessment methods proposed in literature and, based on key findings, develop a positioning framework for measuring and assessing the circularity degree of a company.","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Production","id":"ITEM-1","issued":{"date-parts":[["2019"]]},"page":"440-453","publisher":"Elsevier Ltd","title":"Circular economy performance assessment methods: A systematic literature review","type":"article-journal","volume":"229"},"uris":["http://www.mendeley.com/documents/?uuid=5273591e-185a-4bbe-ab72-78cdc197cdf7"]},{"id":"ITEM-2","itemData":{"DOI":"10.1016/j.jclepro.2020.125090","ISSN":"09596526","abstract":"With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Production","id":"ITEM-2","issued":{"date-parts":[["2021"]]},"note":"Chen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framework","type":"article-journal","volume":"288"},"uris":["http://www.mendeley.com/documents/?uuid=5b20dff5-2c8b-4680-9d5a-f69f918c49a9"]},{"id":"ITEM-3","itemData":{"DOI":"10.1016/j.jclepro.2018.10.014","ISSN":"09596526","abstract":"Implementing circular economy (CE) principles is increasingly recommended as a convenient solution to meet the goals of sustainable development. New tools are required to support practitioners, decision-makers and policy-makers towards more CE practices, as well as to monitor the effects of CE adoption. Worldwide, academics, industrialists and politicians all agree on the need to use CE-related measuring instruments to manage this transition at different systemic levels. In this context, a wide range of circularity indicators (C-indicators) has been developed in recent years. Yet, as there is not one single definition of the CE concept, it is of the utmost importance to know what the available indicators measure in order to use them properly. Indeed, through a systematic literature review – considering both academic and grey literature – 55 sets of C-indicators, developed by scholars, consulting companies and governmental agencies, have been identified, encompassing different purposes, scopes, and potential usages. Inspired by existing taxonomies of eco-design tools and sustainability indicators, and in line with the CE characteristics, a classification of indicators aiming to assess, improve, monitor and communicate on the CE performance is proposed and discussed. In the developed taxonomy including 10 categories, C-indicators are differentiated regarding criteria such as the levels of CE implementation (e.g. micro, meso, macro), the CE loops (maintain, reuse, remanufacture, recycle), the performance (intrinsic, impacts), the perspective of circularity (actual, potential) they are taking into account, or their degree of transversality (generic, sector-specific). In addition, the database inventorying the 55 sets of C-indicators is linked to an Excel-based query tool to facilitate the selection of appropriate indicators according to the specific user's needs and requirements. This study enriches the literature by giving a first need-driven taxonomy of C-indicators, which is experienced on several use cases. It provides a synthesis and clarification to the emerging and must-needed research theme of C-indicators, and sheds some light on remaining key challenges like their effective uptake by industry. Eventually, limitations, improvement areas, as well as implications of the proposed taxonomy are intently addressed to guide future research on C-indicators and CE implementation.","author":[{"dropping-particle":"","family":"Saidani","given":"Michael","non-dropping-particle":"","parse-names":false,"suffix":""},{"dropping-particle":"","family":"Yannou","given":"Bernard","non-dropping-particle":"","parse-names":false,"suffix":""},{"dropping-particle":"","family":"Leroy","given":"Yann","non-dropping-particle":"","parse-names":false,"suffix":""},{"dropping-particle":"","family":"Cluzel","given":"François","non-dropping-particle":"","parse-names":false,"suffix":""},{"dropping-particle":"","family":"Kendall","given":"Alissa","non-dropping-particle":"","parse-names":false,"suffix":""}],"container-title":"Journal of Cleaner Production","id":"ITEM-3","issued":{"date-parts":[["2019"]]},"title":"A taxonomy of circular economy indicators","type":"article"},"uris":["http://www.mendeley.com/documents/?uuid=0efa71bc-506f-3a3d-9903-50fcae4591be"]},{"id":"ITEM-4","itemData":{"DOI":"10.1016/j.jclepro.2016.10.196","ISSN":"09596526","abstract":"In the last years, the circular economy (CE) paradigm is being widely explored by researchers and institutions as a possible path to increase the sustainability of our economic system. Reuse, repair and recycling are becoming crucial activities in many sectors. At the same time, companies are showing an increasing interest for this new economic model. However, the state of the art shows that a deep research on CE assessment and indicators is still lacking, in particular on the micro level. This work tries to fill this gap, first analyzing the current literature on CE assessment, then proposing a reference framework for the monitoring phase of a CE strategy. Finally, the main existing environmental assessment methodologies based on indexes are analyzed according to their suitability to evaluate the circularity of a system. A systematic approach for the choice of the adequate methodology is also provided, highlighting the main critical steps in the assessment of a CE strategy. Further research could be focused either on the extension of this approach to include other assessment methods, and on the validation of this proposal in a case study.","author":[{"dropping-particle":"","family":"Elia","given":"Valerio","non-dropping-particle":"","parse-names":false,"suffix":""},{"dropping-particle":"","family":"Gnoni","given":"Maria Grazia","non-dropping-particle":"","parse-names":false,"suffix":""},{"dropping-particle":"","family":"Tornese","given":"Fabiana","non-dropping-particle":"","parse-names":false,"suffix":""}],"container-title":"Journal of Cleaner Production","id":"ITEM-4","issued":{"date-parts":[["2017","1","20"]]},"page":"2741-2751","publisher":"Elsevier Ltd","title":"Measuring circular economy strategies through index methods: A critical analysis","type":"article-journal","volume":"142"},"uris":["http://www.mendeley.com/documents/?uuid=58ad7493-ed1f-336c-9295-460415c5326e"]}],"mendeley":{"formattedCitation":"(Elia et al., 2017; Saidani et al., 2019; Sassanelli, Rosa, et al., 2019; Vinante et al., 2021)","manualFormatting":"(Elia et al., 2017; Saidani et al., 2019; Sassanelli et al., 2019; Vinante et al., 2021)","plainTextFormattedCitation":"(Elia et al., 2017; Saidani et al., 2019; Sassanelli, Rosa, et al., 2019; Vinante et al., 2021)","previouslyFormattedCitation":"(Elia et al., 2017; Saidani et al., 2019; Sassanelli, Rosa, et al., 2019; Vinante et al., 2021)"},"properties":{"noteIndex":0},"schema":"https://github.com/citation-style-language/schema/raw/master/csl-citation.json"}</w:instrText>
      </w:r>
      <w:r w:rsidRPr="00C34BEC">
        <w:fldChar w:fldCharType="separate"/>
      </w:r>
      <w:r w:rsidRPr="00C34BEC">
        <w:t>(Elia et al., 2017; Saidani et al., 2019; Sassanelli et al., 2019; Vinante et al., 2021)</w:t>
      </w:r>
      <w:r w:rsidRPr="00C34BEC">
        <w:fldChar w:fldCharType="end"/>
      </w:r>
      <w:r w:rsidRPr="00C34BEC">
        <w:t xml:space="preserve"> and only recently at the supply chain level </w:t>
      </w:r>
      <w:r w:rsidRPr="00C34BEC">
        <w:fldChar w:fldCharType="begin" w:fldLock="1"/>
      </w:r>
      <w:r w:rsidRPr="00C34BEC">
        <w:instrText>ADDIN CSL_CITATION {"citationItems":[{"id":"ITEM-1","itemData":{"DOI":"10.1016/j.jclepro.2020.125457","ISSN":"09596526","abstract":"Circular economy has become a central concept of sustainable production and consumption since its introduction into the public eye. However, to ensure circular economy actually delivers on its promises regarding sustainability, it is vital to anticipate and assess the impact of circular economy practices in an integrated way. For that purpose, holistic assessments are crucial to enable transparent decision-making, clearly indicating possible trade-offs. While previous literature has mainly focused on product, company or country level, this paper contributes to an improved understanding of sustainability assessments on the inter-firm level. Given the vital role of inter-firm networks in the transition to a circular economy, the authors present a systematic literature review of sustainability assessment approaches applicable within circular inter-firm networks. These networks are primarily represented in two related fields relevant to circular economy: industrial ecology offers sustainability assessment approaches for inter- and intra-sectoral business activities at different scales, whereas circular supply chain management is a promising source for sustainability assessment approaches considering product life cycles. Over 100 academic publications are reviewed and categorised according to assessment type, correspondence to the relevant field, and sustainability dimensions addressed. The results demonstrate that life cycle-based methodologies as well as indicator frameworks, often combined with multi-criteria decision-making methods, are the most common ex-post assessment approaches. Concurrently, the most frequent ex-ante assessments are based on mathematical programming. It is further observed that industrial ecology-related publications present more comprehensive environmental assessments, while circular supply chain management literature includes the social dimension more often, but superficially. Overall, the social dimension is least assessed and least integrated into the sustainability assessment. Based on the findings of the review, an integrated framework of approaches is developed, enabling decision-makers to identify suitable sustainability assessment approaches for circular inter-firm networks.","author":[{"dropping-particle":"","family":"Walker","given":"Anna M.","non-dropping-particle":"","parse-names":false,"suffix":""},{"dropping-particle":"","family":"Vermeulen","given":"Walter J.V.","non-dropping-particle":"","parse-names":false,"suffix":""},{"dropping-particle":"","family":"Simboli","given":"Alberto","non-dropping-particle":"","parse-names":false,"suffix":""},{"dropping-particle":"","family":"Raggi","given":"Andrea","non-dropping-particle":"","parse-names":false,"suffix":""}],"container-title":"Journal of Cleaner Production","id":"ITEM-1","issued":{"date-parts":[["2021"]]},"page":"125457","publisher":"Elsevier Ltd","title":"Sustainability assessment in circular inter-firm networks: An integrated framework of industrial ecology and circular supply chain management approaches","type":"article-journal","volume":"286"},"uris":["http://www.mendeley.com/documents/?uuid=8101a4e7-58f6-4cf5-bb14-5685496ac2ed"]}],"mendeley":{"formattedCitation":"(Walker, Vermeulen, et al., 2021)","plainTextFormattedCitation":"(Walker, Vermeulen, et al., 2021)","previouslyFormattedCitation":"(Walker, Vermeulen, et al., 2021)"},"properties":{"noteIndex":0},"schema":"https://github.com/citation-style-language/schema/raw/master/csl-citation.json"}</w:instrText>
      </w:r>
      <w:r w:rsidRPr="00C34BEC">
        <w:fldChar w:fldCharType="separate"/>
      </w:r>
      <w:r w:rsidRPr="00C34BEC">
        <w:t>(Walker, Vermeulen, et al., 2021)</w:t>
      </w:r>
      <w:r w:rsidRPr="00C34BEC">
        <w:fldChar w:fldCharType="end"/>
      </w:r>
      <w:r w:rsidRPr="00C34BEC">
        <w:t xml:space="preserve">. Existing CSC DSTs have employed different methods and used different criteria to select the metrics, and deal with trade-off decisions. On the basis of the identified gaps, the research questions that will be addressed in this study can be summarised as follows: </w:t>
      </w:r>
    </w:p>
    <w:p w14:paraId="38A8C7D8" w14:textId="77777777" w:rsidR="00C34BEC" w:rsidRPr="00C34BEC" w:rsidRDefault="00C34BEC" w:rsidP="00C34BEC">
      <w:r w:rsidRPr="00C34BEC">
        <w:lastRenderedPageBreak/>
        <w:t xml:space="preserve">RQ1: What are the current CE indicators in the context of the CSC literature and in industrial practice? </w:t>
      </w:r>
    </w:p>
    <w:p w14:paraId="3E07773F" w14:textId="77777777" w:rsidR="00C34BEC" w:rsidRPr="00C34BEC" w:rsidRDefault="00C34BEC" w:rsidP="00C34BEC">
      <w:r w:rsidRPr="00C34BEC">
        <w:t xml:space="preserve">RQ2: What is a subset of the most commonly employed metrics in both the academic literature and industrial practice? </w:t>
      </w:r>
    </w:p>
    <w:p w14:paraId="3F767431" w14:textId="7223D2E1" w:rsidR="00C34BEC" w:rsidRPr="00C34BEC" w:rsidRDefault="007765F7" w:rsidP="007765F7">
      <w:pPr>
        <w:pStyle w:val="Heading2"/>
        <w:numPr>
          <w:ilvl w:val="0"/>
          <w:numId w:val="0"/>
        </w:numPr>
        <w:ind w:left="357" w:hanging="357"/>
      </w:pPr>
      <w:bookmarkStart w:id="224" w:name="_Toc157759592"/>
      <w:r>
        <w:t xml:space="preserve">3 </w:t>
      </w:r>
      <w:r w:rsidR="00C34BEC" w:rsidRPr="00C34BEC">
        <w:t>Research method</w:t>
      </w:r>
      <w:bookmarkEnd w:id="224"/>
    </w:p>
    <w:p w14:paraId="3E546081" w14:textId="77777777" w:rsidR="00C34BEC" w:rsidRPr="00C34BEC" w:rsidRDefault="00C34BEC" w:rsidP="00C34BEC">
      <w:r w:rsidRPr="00C34BEC">
        <w:t xml:space="preserve">In order to address the research questions, CE indicators were reviewed both in the academic literature and from industrial practice, with two parallel analyses (Figure 5, top part). A Systematic Literature Review was employed in order to identify the key scholarly contributions in the topic of CE indicators at a supply chain level. In parallel, a representative sample of organisations was reviewed to identify how industrial organisations keep track of the impact of the adoption of CE practices. The top-50 European Multi-National-Enterprises from the Global Fortune 500 list were identified as a representative sample. Results of these two analyses were then synthesised to identify subsets of commonly employed indicators, and also build two synthetic composite indicators that are analysed in the discussion section (Figure 5, bottom part). </w:t>
      </w:r>
    </w:p>
    <w:p w14:paraId="4607137F" w14:textId="738EA94F" w:rsidR="00C34BEC" w:rsidRDefault="00C34BEC" w:rsidP="00C34BEC">
      <w:r w:rsidRPr="00C34BEC">
        <w:t xml:space="preserve">Academic literature and industrial reports have different nature and scope. DSTs in the literature support decisions on the adoption of new CE practices, adopting most often an </w:t>
      </w:r>
      <w:r w:rsidRPr="00C34BEC">
        <w:rPr>
          <w:i/>
        </w:rPr>
        <w:t>ex-ante</w:t>
      </w:r>
      <w:r w:rsidRPr="00C34BEC">
        <w:t xml:space="preserve"> perspective. Corporate Sustainability reports tend to evaluate CE practices that have already been adopted by the company, taking an </w:t>
      </w:r>
      <w:r w:rsidRPr="00C34BEC">
        <w:rPr>
          <w:i/>
        </w:rPr>
        <w:t>ex-post</w:t>
      </w:r>
      <w:r w:rsidRPr="00C34BEC">
        <w:t xml:space="preserve"> view. The comparison of the two bodies of knowledge will also allow checking the correspondence between adopted indicators across different contexts and perspectives. </w:t>
      </w:r>
    </w:p>
    <w:p w14:paraId="782DC644" w14:textId="77777777" w:rsidR="00D53414" w:rsidRPr="00C34BEC" w:rsidRDefault="00D53414" w:rsidP="00D53414">
      <w:pPr>
        <w:pStyle w:val="Heading3"/>
        <w:numPr>
          <w:ilvl w:val="0"/>
          <w:numId w:val="0"/>
        </w:numPr>
        <w:ind w:left="357" w:hanging="357"/>
      </w:pPr>
      <w:bookmarkStart w:id="225" w:name="_Toc157759593"/>
      <w:r>
        <w:t xml:space="preserve">3.1 </w:t>
      </w:r>
      <w:r w:rsidRPr="00C34BEC">
        <w:t>Systematic review of the literature – CE indicators for supply chains</w:t>
      </w:r>
      <w:bookmarkEnd w:id="225"/>
    </w:p>
    <w:p w14:paraId="0F1C1C5C" w14:textId="77777777" w:rsidR="00D53414" w:rsidRPr="00C34BEC" w:rsidRDefault="00D53414" w:rsidP="00D53414">
      <w:r w:rsidRPr="00C34BEC">
        <w:t xml:space="preserve">To date, no SLR has been carried out in the topic of CE indicators at a supply chain level. Through a scientific, replicable and transparent process the SLR method identifies the key contributions that are relevant to a particular research question </w:t>
      </w:r>
      <w:r w:rsidRPr="00C34BEC">
        <w:fldChar w:fldCharType="begin" w:fldLock="1"/>
      </w:r>
      <w:r w:rsidRPr="00C34BEC">
        <w:instrText>ADDIN CSL_CITATION {"citationItems":[{"id":"ITEM-1","itemData":{"author":[{"dropping-particle":"","family":"Denyer","given":"D.","non-dropping-particle":"","parse-names":false,"suffix":""},{"dropping-particle":"","family":"Tranfield","given":"D.","non-dropping-particle":"","parse-names":false,"suffix":""}],"container-title":"The Sage handbook of organizational research methods","edition":"D. A. Buch","id":"ITEM-1","issued":{"date-parts":[["2009"]]},"number-of-pages":"671–689","publisher":"Sage Publications Ltd","title":"Producing a systematic review.","type":"book"},"uris":["http://www.mendeley.com/documents/?uuid=600bc842-c94c-41ff-a8c8-a3a574e11730"]}],"mendeley":{"formattedCitation":"(Denyer &amp; Tranfield, 2009)","plainTextFormattedCitation":"(Denyer &amp; Tranfield, 2009)","previouslyFormattedCitation":"(Denyer &amp; Tranfield, 2009)"},"properties":{"noteIndex":0},"schema":"https://github.com/citation-style-language/schema/raw/master/csl-citation.json"}</w:instrText>
      </w:r>
      <w:r w:rsidRPr="00C34BEC">
        <w:fldChar w:fldCharType="separate"/>
      </w:r>
      <w:r w:rsidRPr="00C34BEC">
        <w:t>(Denyer &amp; Tranfield, 2009)</w:t>
      </w:r>
      <w:r w:rsidRPr="00C34BEC">
        <w:fldChar w:fldCharType="end"/>
      </w:r>
      <w:r w:rsidRPr="00C34BEC">
        <w:t xml:space="preserve">. In this case, the objective was to assess the state of the art of the measurement approaches that have already been developed for assessing the transition towards the CE at the supply chain level. As suggested by </w:t>
      </w:r>
      <w:proofErr w:type="spellStart"/>
      <w:r w:rsidRPr="00C34BEC">
        <w:t>Maestrini</w:t>
      </w:r>
      <w:proofErr w:type="spellEnd"/>
      <w:r w:rsidRPr="00C34BEC">
        <w:t xml:space="preserve"> et al. (2017), the review included four main phases </w:t>
      </w:r>
      <w:r w:rsidRPr="00C34BEC">
        <w:fldChar w:fldCharType="begin" w:fldLock="1"/>
      </w:r>
      <w:r w:rsidRPr="00C34BEC">
        <w:instrText>ADDIN CSL_CITATION {"citationItems":[{"id":"ITEM-1","itemData":{"DOI":"10.1016/j.ijpe.2016.11.005","ISSN":"09255273","abstract":"Supply chain performance measurement systems (SCPMSs) are experiencing a new life in business practice thanks to new technologies that allow the collecting, integrating and sharing of information among multiple supply chain partners. However, studies that truly investigate performance measurement beyond a single firm's boundaries are still limited. With the purpose of revamping SCPMSs as a relevant research topic, we conduct a systematic review of the literature. To this end, we firstly provide a clear and up-to-date definition of SCPMSs, which sets the boundary of the study. Secondly, we perform a systematic review of academic articles published in peer-reviewed international journals, mostly in the domains of supply chain management and performance measurement. A final sample of 92 articles published from 1998 to 2015 constitutes the knowledge base of the study. The results show the publication pattern over time and provide evidence about the journals, the methodology adopted and the content elements (the SCPMS frameworks presented and the scope and phase of the measurement process). We synthesize the research state of the art and present a detailed research agenda for future scientific contributions. In particular, we envisage a theory-testing approach concerning the relatively more mature component of SCPMSs (i.e. supplier PMSs) from a life cycle perspective as well as an exploratory/theory-building approach concerning the other under-investigated components (i.e. customer PMSs, multi-tier SCPMSs and many-to-many SCPMSs).","author":[{"dropping-particle":"","family":"Maestrini","given":"Vieri","non-dropping-particle":"","parse-names":false,"suffix":""},{"dropping-particle":"","family":"Luzzini","given":"Davide","non-dropping-particle":"","parse-names":false,"suffix":""},{"dropping-particle":"","family":"Maccarrone","given":"Paolo","non-dropping-particle":"","parse-names":false,"suffix":""},{"dropping-particle":"","family":"Caniato","given":"Federico","non-dropping-particle":"","parse-names":false,"suffix":""}],"container-title":"International Journal of Production Economics","id":"ITEM-1","issue":"November 2016","issued":{"date-parts":[["2017"]]},"page":"299-315","publisher":"Elsevier","title":"Supply chain performance measurement systems: A systematic review and research agenda","type":"article-journal","volume":"183"},"uris":["http://www.mendeley.com/documents/?uuid=049c7a21-e02f-46a9-b94a-79751b8ad232"]}],"mendeley":{"formattedCitation":"(Maestrini et al., 2017)","plainTextFormattedCitation":"(Maestrini et al., 2017)","previouslyFormattedCitation":"(Maestrini et al., 2017)"},"properties":{"noteIndex":0},"schema":"https://github.com/citation-style-language/schema/raw/master/csl-citation.json"}</w:instrText>
      </w:r>
      <w:r w:rsidRPr="00C34BEC">
        <w:fldChar w:fldCharType="separate"/>
      </w:r>
      <w:r w:rsidRPr="00C34BEC">
        <w:t>(Maestrini et al., 2017)</w:t>
      </w:r>
      <w:r w:rsidRPr="00C34BEC">
        <w:fldChar w:fldCharType="end"/>
      </w:r>
      <w:r w:rsidRPr="00C34BEC">
        <w:t>: (</w:t>
      </w:r>
      <w:proofErr w:type="spellStart"/>
      <w:r w:rsidRPr="00C34BEC">
        <w:t>i</w:t>
      </w:r>
      <w:proofErr w:type="spellEnd"/>
      <w:r w:rsidRPr="00C34BEC">
        <w:t>) source identification, (ii) source selection, (iii) source evaluation, and (iv) data analysis (Figure 6). These four phases are illustrated in the following sub-sections.</w:t>
      </w:r>
    </w:p>
    <w:p w14:paraId="15207535" w14:textId="6F72B481" w:rsidR="00C34BEC" w:rsidRDefault="00C34BEC" w:rsidP="00C34BEC">
      <w:bookmarkStart w:id="226" w:name="_Hlk32325472"/>
      <w:bookmarkEnd w:id="226"/>
      <w:r w:rsidRPr="00C34BEC">
        <w:rPr>
          <w:noProof/>
          <w:lang w:eastAsia="zh-CN"/>
        </w:rPr>
        <w:lastRenderedPageBreak/>
        <w:drawing>
          <wp:inline distT="0" distB="0" distL="0" distR="0" wp14:anchorId="051EE2D5" wp14:editId="0CF0B0C4">
            <wp:extent cx="5741035" cy="267758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780596" cy="2696032"/>
                    </a:xfrm>
                    <a:prstGeom prst="rect">
                      <a:avLst/>
                    </a:prstGeom>
                    <a:noFill/>
                  </pic:spPr>
                </pic:pic>
              </a:graphicData>
            </a:graphic>
          </wp:inline>
        </w:drawing>
      </w:r>
    </w:p>
    <w:p w14:paraId="193D3218" w14:textId="45FB3EDC" w:rsidR="00C34BEC" w:rsidRDefault="00C34BEC" w:rsidP="00C34BEC">
      <w:r w:rsidRPr="00C34BEC">
        <w:rPr>
          <w:noProof/>
          <w:lang w:eastAsia="zh-CN"/>
        </w:rPr>
        <w:drawing>
          <wp:inline distT="0" distB="0" distL="0" distR="0" wp14:anchorId="08BA0934" wp14:editId="63FFB3A1">
            <wp:extent cx="5726381" cy="3713001"/>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54403" cy="3731170"/>
                    </a:xfrm>
                    <a:prstGeom prst="rect">
                      <a:avLst/>
                    </a:prstGeom>
                    <a:noFill/>
                  </pic:spPr>
                </pic:pic>
              </a:graphicData>
            </a:graphic>
          </wp:inline>
        </w:drawing>
      </w:r>
    </w:p>
    <w:p w14:paraId="366516A6" w14:textId="77777777" w:rsidR="0085122E" w:rsidRPr="00C34BEC" w:rsidRDefault="0085122E" w:rsidP="0085122E">
      <w:pPr>
        <w:pStyle w:val="Figurecaption"/>
      </w:pPr>
      <w:r w:rsidRPr="00C34BEC">
        <w:t xml:space="preserve">Figure </w:t>
      </w:r>
      <w:fldSimple w:instr=" SEQ Figure \* ARABIC ">
        <w:r w:rsidRPr="00C34BEC">
          <w:t>5</w:t>
        </w:r>
      </w:fldSimple>
      <w:r w:rsidRPr="00C34BEC">
        <w:t xml:space="preserve"> - Research methods diagram. Review of the literature and of the industrial practice protocol (top); approach followed for the derivation of literature and practice-based composite indicators (bottom)</w:t>
      </w:r>
    </w:p>
    <w:p w14:paraId="37F92940" w14:textId="4CB75750" w:rsidR="00C34BEC" w:rsidRDefault="00C34BEC" w:rsidP="00C34BEC">
      <w:r w:rsidRPr="00C34BEC">
        <w:rPr>
          <w:noProof/>
          <w:lang w:eastAsia="zh-CN"/>
        </w:rPr>
        <w:lastRenderedPageBreak/>
        <w:drawing>
          <wp:inline distT="0" distB="0" distL="0" distR="0" wp14:anchorId="639B19FA" wp14:editId="50407AA3">
            <wp:extent cx="4928870" cy="4755674"/>
            <wp:effectExtent l="0" t="0" r="508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934387" cy="4760997"/>
                    </a:xfrm>
                    <a:prstGeom prst="rect">
                      <a:avLst/>
                    </a:prstGeom>
                    <a:noFill/>
                  </pic:spPr>
                </pic:pic>
              </a:graphicData>
            </a:graphic>
          </wp:inline>
        </w:drawing>
      </w:r>
    </w:p>
    <w:p w14:paraId="4EE5020D" w14:textId="77777777" w:rsidR="0085122E" w:rsidRPr="00C34BEC" w:rsidRDefault="0085122E" w:rsidP="0085122E">
      <w:pPr>
        <w:pStyle w:val="Figurecaption"/>
      </w:pPr>
      <w:r w:rsidRPr="00C34BEC">
        <w:t xml:space="preserve">Figure </w:t>
      </w:r>
      <w:fldSimple w:instr=" SEQ Figure \* ARABIC ">
        <w:r w:rsidRPr="00C34BEC">
          <w:t>6</w:t>
        </w:r>
      </w:fldSimple>
      <w:r w:rsidRPr="00C34BEC">
        <w:t xml:space="preserve"> - Papers Search and Evaluation Process</w:t>
      </w:r>
    </w:p>
    <w:p w14:paraId="6CB056B0" w14:textId="77777777" w:rsidR="00C34BEC" w:rsidRPr="00C34BEC" w:rsidRDefault="00C34BEC" w:rsidP="00C34BEC">
      <w:pPr>
        <w:pStyle w:val="Heading4Paragraph"/>
        <w:rPr>
          <w:lang w:val="en-US"/>
        </w:rPr>
      </w:pPr>
      <w:r w:rsidRPr="00C34BEC">
        <w:rPr>
          <w:lang w:val="en-US"/>
        </w:rPr>
        <w:t>Source Identification</w:t>
      </w:r>
    </w:p>
    <w:p w14:paraId="43FA80FE" w14:textId="07CFBC04" w:rsidR="00C34BEC" w:rsidRPr="00C34BEC" w:rsidRDefault="00C34BEC" w:rsidP="00C34BEC">
      <w:r w:rsidRPr="00C34BEC">
        <w:t xml:space="preserve">The source identification phase was conducted using the SCOPUS and Web of Science peer-reviewed academic databases. The use of two sources in parallel increased the rigor of the selection process </w:t>
      </w:r>
      <w:r w:rsidRPr="00C34BEC">
        <w:fldChar w:fldCharType="begin" w:fldLock="1"/>
      </w:r>
      <w:r w:rsidRPr="00C34BEC">
        <w:instrText>ADDIN CSL_CITATION {"citationItems":[{"id":"ITEM-1","itemData":{"author":[{"dropping-particle":"","family":"Denyer","given":"D.","non-dropping-particle":"","parse-names":false,"suffix":""},{"dropping-particle":"","family":"Tranfield","given":"D.","non-dropping-particle":"","parse-names":false,"suffix":""}],"container-title":"The Sage handbook of organizational research methods","edition":"D. A. Buch","id":"ITEM-1","issued":{"date-parts":[["2009"]]},"number-of-pages":"671–689","publisher":"Sage Publications Ltd","title":"Producing a systematic review.","type":"book"},"uris":["http://www.mendeley.com/documents/?uuid=600bc842-c94c-41ff-a8c8-a3a574e11730"]}],"mendeley":{"formattedCitation":"(Denyer &amp; Tranfield, 2009)","plainTextFormattedCitation":"(Denyer &amp; Tranfield, 2009)","previouslyFormattedCitation":"(Denyer &amp; Tranfield, 2009)"},"properties":{"noteIndex":0},"schema":"https://github.com/citation-style-language/schema/raw/master/csl-citation.json"}</w:instrText>
      </w:r>
      <w:r w:rsidRPr="00C34BEC">
        <w:fldChar w:fldCharType="separate"/>
      </w:r>
      <w:r w:rsidRPr="00C34BEC">
        <w:t>(Denyer &amp; Tranfield, 2009)</w:t>
      </w:r>
      <w:r w:rsidRPr="00C34BEC">
        <w:fldChar w:fldCharType="end"/>
      </w:r>
      <w:r w:rsidRPr="00C34BEC">
        <w:t>.</w:t>
      </w:r>
      <w:r w:rsidR="00EA69AD">
        <w:t xml:space="preserve"> Keywords were chosen to maximis</w:t>
      </w:r>
      <w:r w:rsidRPr="00C34BEC">
        <w:t xml:space="preserve">e the number of articles to be included in the analysis. Therefore, the IE, CLSCM and RL literature streams were included, as they have contributed to the origins of a CE discourse in the supply chain management literature </w:t>
      </w:r>
      <w:r w:rsidRPr="00C34BEC">
        <w:fldChar w:fldCharType="begin" w:fldLock="1"/>
      </w:r>
      <w:r w:rsidRPr="00C34BEC">
        <w:instrText>ADDIN CSL_CITATION {"citationItems":[{"id":"ITEM-1","itemData":{"DOI":"10.1108/SCM-06-2018-0213","ISSN":"13598546","abstract":"Purpose: This paper aims to investigate overlaps, complementarities and divergences between the literature on circular economy (CE) models and related literature in non-linear production models and frameworks, including CE, reverse logistics, closed-loop, industrial symbiosis and industrial ecology. Design/methodology/approach: A systematic literature review was conducted focussing on the benefits of non-linear modes adoption. Findings: The results show a high degree of convergence in findings, gaps and weaknesses of these literatures. Negative environmental, economic and operational impacts are understudied. There is a scarcity of studies identifying practices resulting in empirically tested benefits. The business and society case for non-linear production is still largely built upon conceptual studies, modelling and a few case studies. Despite a normative focus, there is very little use of theory, in particular, management theories. Research limitations/implications: First, the authors use only one, albeit highly recognized database, Scopus. This database may have omitted some relevant research, journals such as the Journal of Cleaner Production and Resources Conservation &amp; Recycling that are more likely to publish such research and also have a more interdisciplinary approach. This is an important gap and interesting result to claim for more interdisciplinary research. Second, the filtering process used and the focus on Association of Business Schools top journals may have also omitted some relevant research, such as a large stream of literature in specialist journals such as Resources Conservation and Recycling and the Journal of Cleaner Production. Practical implications: There are contradictions, tensions and epistemological ambiguity that needs to be critically addressed. Such tensions may be associated with the knowledge field that gave rise to these different non-linear production approaches. Many of them appeared at the same time, but from different sciences and disciplines with their own perspectives. Then in doing so, they create confusion in the definitions of CE, assumptions underlying modelling and business choices arising from this complexity. This can be minimized through the critical interpretation of knowledge to elucidate epistemological quandaries to improve the understanding of the economic, social and environmental impacts of practices. Social implications: In some way, this result makes sense, as the authors have limited the searc…","author":[{"dropping-particle":"","family":"Sehnem","given":"Simone","non-dropping-particle":"","parse-names":false,"suffix":""},{"dropping-particle":"","family":"Vazquez-Brust","given":"Diego","non-dropping-particle":"","parse-names":false,"suffix":""},{"dropping-particle":"","family":"Pereira","given":"Susana Carla Farias","non-dropping-particle":"","parse-names":false,"suffix":""},{"dropping-particle":"","family":"Campos","given":"Lucila M.S.","non-dropping-particle":"","parse-names":false,"suffix":""}],"container-title":"Supply Chain Management","id":"ITEM-1","issue":"6","issued":{"date-parts":[["2019"]]},"page":"784-804","title":"Circular economy: benefits, impacts and overlapping","type":"article-journal","volume":"24"},"uris":["http://www.mendeley.com/documents/?uuid=89b2d719-2408-451b-9d42-4b757d764765"]},{"id":"ITEM-2","itemData":{"DOI":"10.1080/09537287.2017.1343502","ISSN":"13665871","abstract":"This paper addresses questions of how extant research discourses concerning the sustainability of supply chains contribute to understanding about circularity in supply chain configurations that support restorative and regenerative processes, as espoused by the Circular Economy ideal. In response to these questions, we develop a content-based literature analysis to progress theoretical body of knowledge and conceptualise the notion of a circular supply chain. We derive an archetypal form from four antecedent sustainable supply chain narratives–‘reverse logistics’, ‘green supply chains’, ‘sustainable supply chain management’ and ‘closed-loop supply chains’. This paper offers five propositions about what the circular supply chain archetype represents in terms of its scope, focus and impact. Novel insights lead to a definition of circular supply chain and a more coherent foundation for future inquiry and practice.","author":[{"dropping-particle":"","family":"Batista","given":"Luciano","non-dropping-particle":"","parse-names":false,"suffix":""},{"dropping-particle":"","family":"Bourlakis","given":"Michael","non-dropping-particle":"","parse-names":false,"suffix":""},{"dropping-particle":"","family":"Smart","given":"Palie","non-dropping-particle":"","parse-names":false,"suffix":""},{"dropping-particle":"","family":"Maull","given":"Roger","non-dropping-particle":"","parse-names":false,"suffix":""}],"container-title":"Production Planning and Control","id":"ITEM-2","issue":"6","issued":{"date-parts":[["2018"]]},"page":"438-451","publisher":"Taylor &amp; Francis","title":"In search of a circular supply chain archetype–a content-analysis-based literature review","type":"article-journal","volume":"29"},"uris":["http://www.mendeley.com/documents/?uuid=1dd9d687-2ea2-4618-9014-a69d9be00bf2"]}],"mendeley":{"formattedCitation":"(Batista et al., 2018; Sehnem et al., 2019)","plainTextFormattedCitation":"(Batista et al., 2018; Sehnem et al., 2019)","previouslyFormattedCitation":"(Batista et al., 2018; Sehnem et al., 2019)"},"properties":{"noteIndex":0},"schema":"https://github.com/citation-style-language/schema/raw/master/csl-citation.json"}</w:instrText>
      </w:r>
      <w:r w:rsidRPr="00C34BEC">
        <w:fldChar w:fldCharType="separate"/>
      </w:r>
      <w:r w:rsidRPr="00C34BEC">
        <w:t>(Batista et al., 2018; Sehnem et al., 2019)</w:t>
      </w:r>
      <w:r w:rsidRPr="00C34BEC">
        <w:fldChar w:fldCharType="end"/>
      </w:r>
      <w:r w:rsidRPr="00C34BEC">
        <w:t>. The following string of keywords was used:</w:t>
      </w:r>
    </w:p>
    <w:p w14:paraId="7C336F34" w14:textId="2990B7C8" w:rsidR="00C34BEC" w:rsidRPr="00C34BEC" w:rsidRDefault="00F07293" w:rsidP="00C34BEC">
      <w:pPr>
        <w:rPr>
          <w:i/>
          <w:iCs/>
        </w:rPr>
      </w:pPr>
      <w:r w:rsidRPr="00C34BEC">
        <w:rPr>
          <w:i/>
          <w:iCs/>
        </w:rPr>
        <w:t>((‘</w:t>
      </w:r>
      <w:r w:rsidR="00C34BEC" w:rsidRPr="00C34BEC">
        <w:rPr>
          <w:i/>
          <w:iCs/>
        </w:rPr>
        <w:t>Circular Economy’ OR ‘Circular’ OR ‘Closed-loop’ OR ‘Reverse’ OR ‘Industrial Ecology’ OR ‘Industrial Symbiosis’) AND ‘Supply Chain*’ AND ( ‘indicator*’  OR  ‘</w:t>
      </w:r>
      <w:proofErr w:type="spellStart"/>
      <w:r w:rsidR="00C34BEC" w:rsidRPr="00C34BEC">
        <w:rPr>
          <w:i/>
          <w:iCs/>
        </w:rPr>
        <w:t>measur</w:t>
      </w:r>
      <w:proofErr w:type="spellEnd"/>
      <w:r w:rsidR="00C34BEC" w:rsidRPr="00C34BEC">
        <w:rPr>
          <w:i/>
          <w:iCs/>
        </w:rPr>
        <w:t>*’  OR  ‘assess*’  OR  ‘index*’  OR  ‘metric*’ ))</w:t>
      </w:r>
    </w:p>
    <w:p w14:paraId="5C3E2369" w14:textId="77777777" w:rsidR="00C34BEC" w:rsidRPr="00C34BEC" w:rsidRDefault="00C34BEC" w:rsidP="00C34BEC">
      <w:r w:rsidRPr="00C34BEC">
        <w:lastRenderedPageBreak/>
        <w:t xml:space="preserve">A manual cross-checking process was conducted in order to eliminate duplicated results. At least two of the research team members executed the overall process in parallel and independently, as suggested by </w:t>
      </w:r>
      <w:proofErr w:type="spellStart"/>
      <w:r w:rsidRPr="00C34BEC">
        <w:t>Maestrini</w:t>
      </w:r>
      <w:proofErr w:type="spellEnd"/>
      <w:r w:rsidRPr="00C34BEC">
        <w:t xml:space="preserve"> et al. (2017). </w:t>
      </w:r>
      <w:r w:rsidRPr="00C34BEC">
        <w:fldChar w:fldCharType="begin"/>
      </w:r>
      <w:r w:rsidRPr="00C34BEC">
        <w:instrText xml:space="preserve"> REF _Ref67067595 \h </w:instrText>
      </w:r>
      <w:r w:rsidRPr="00C34BEC">
        <w:fldChar w:fldCharType="separate"/>
      </w:r>
      <w:r w:rsidRPr="00C34BEC">
        <w:t>Table 1</w:t>
      </w:r>
      <w:r w:rsidRPr="00C34BEC">
        <w:fldChar w:fldCharType="end"/>
      </w:r>
      <w:r w:rsidRPr="00C34BEC">
        <w:t xml:space="preserve"> provides the results of the search protocols.</w:t>
      </w:r>
    </w:p>
    <w:p w14:paraId="56E1675B" w14:textId="77777777" w:rsidR="00C34BEC" w:rsidRPr="00C34BEC" w:rsidRDefault="00C34BEC" w:rsidP="0085122E">
      <w:pPr>
        <w:pStyle w:val="Figurecaption"/>
      </w:pPr>
      <w:bookmarkStart w:id="227" w:name="_Ref67067595"/>
      <w:r w:rsidRPr="00C34BEC">
        <w:t xml:space="preserve">Table </w:t>
      </w:r>
      <w:fldSimple w:instr=" SEQ Table \* ARABIC ">
        <w:r w:rsidRPr="00C34BEC">
          <w:t>1</w:t>
        </w:r>
      </w:fldSimple>
      <w:bookmarkEnd w:id="227"/>
      <w:r w:rsidRPr="00C34BEC">
        <w:t xml:space="preserve"> – Articles Searching Protocols</w:t>
      </w:r>
    </w:p>
    <w:tbl>
      <w:tblPr>
        <w:tblW w:w="8812" w:type="dxa"/>
        <w:tblLook w:val="0400" w:firstRow="0" w:lastRow="0" w:firstColumn="0" w:lastColumn="0" w:noHBand="0" w:noVBand="1"/>
      </w:tblPr>
      <w:tblGrid>
        <w:gridCol w:w="1003"/>
        <w:gridCol w:w="1085"/>
        <w:gridCol w:w="1030"/>
        <w:gridCol w:w="1161"/>
        <w:gridCol w:w="1135"/>
        <w:gridCol w:w="668"/>
        <w:gridCol w:w="668"/>
        <w:gridCol w:w="1044"/>
        <w:gridCol w:w="1128"/>
      </w:tblGrid>
      <w:tr w:rsidR="00C34BEC" w:rsidRPr="00C34BEC" w14:paraId="1B597483" w14:textId="77777777" w:rsidTr="00C34BEC">
        <w:trPr>
          <w:trHeight w:val="917"/>
        </w:trPr>
        <w:tc>
          <w:tcPr>
            <w:tcW w:w="1006" w:type="dxa"/>
            <w:tcBorders>
              <w:top w:val="single" w:sz="4" w:space="0" w:color="auto"/>
              <w:bottom w:val="single" w:sz="4" w:space="0" w:color="auto"/>
            </w:tcBorders>
            <w:vAlign w:val="center"/>
          </w:tcPr>
          <w:p w14:paraId="204703B3" w14:textId="77777777" w:rsidR="00C34BEC" w:rsidRPr="00C34BEC" w:rsidRDefault="00C34BEC" w:rsidP="00C34BEC">
            <w:pPr>
              <w:pStyle w:val="Tabletext"/>
            </w:pPr>
            <w:r w:rsidRPr="00C34BEC">
              <w:t>Database</w:t>
            </w:r>
          </w:p>
        </w:tc>
        <w:tc>
          <w:tcPr>
            <w:tcW w:w="1006" w:type="dxa"/>
            <w:tcBorders>
              <w:top w:val="single" w:sz="4" w:space="0" w:color="auto"/>
              <w:bottom w:val="single" w:sz="4" w:space="0" w:color="auto"/>
            </w:tcBorders>
            <w:shd w:val="clear" w:color="auto" w:fill="auto"/>
            <w:vAlign w:val="center"/>
          </w:tcPr>
          <w:p w14:paraId="5F65A43F" w14:textId="77777777" w:rsidR="00C34BEC" w:rsidRPr="00C34BEC" w:rsidRDefault="00C34BEC" w:rsidP="00C34BEC">
            <w:pPr>
              <w:pStyle w:val="Tabletext"/>
            </w:pPr>
            <w:r w:rsidRPr="00C34BEC">
              <w:t>Fields of search</w:t>
            </w:r>
          </w:p>
        </w:tc>
        <w:tc>
          <w:tcPr>
            <w:tcW w:w="1066" w:type="dxa"/>
            <w:tcBorders>
              <w:top w:val="single" w:sz="4" w:space="0" w:color="auto"/>
              <w:bottom w:val="single" w:sz="4" w:space="0" w:color="auto"/>
            </w:tcBorders>
            <w:vAlign w:val="center"/>
          </w:tcPr>
          <w:p w14:paraId="595AE3E5" w14:textId="77777777" w:rsidR="00C34BEC" w:rsidRPr="00C34BEC" w:rsidRDefault="00C34BEC" w:rsidP="00C34BEC">
            <w:pPr>
              <w:pStyle w:val="Tabletext"/>
            </w:pPr>
            <w:r w:rsidRPr="00C34BEC">
              <w:t>Language</w:t>
            </w:r>
          </w:p>
        </w:tc>
        <w:tc>
          <w:tcPr>
            <w:tcW w:w="1075" w:type="dxa"/>
            <w:tcBorders>
              <w:top w:val="single" w:sz="4" w:space="0" w:color="auto"/>
              <w:bottom w:val="single" w:sz="4" w:space="0" w:color="auto"/>
            </w:tcBorders>
            <w:shd w:val="clear" w:color="auto" w:fill="auto"/>
            <w:vAlign w:val="center"/>
          </w:tcPr>
          <w:p w14:paraId="0EE5AE52" w14:textId="77777777" w:rsidR="00C34BEC" w:rsidRPr="00C34BEC" w:rsidRDefault="00C34BEC" w:rsidP="00C34BEC">
            <w:pPr>
              <w:pStyle w:val="Tabletext"/>
            </w:pPr>
            <w:r w:rsidRPr="00C34BEC">
              <w:t>Subject Area</w:t>
            </w:r>
          </w:p>
        </w:tc>
        <w:tc>
          <w:tcPr>
            <w:tcW w:w="1117" w:type="dxa"/>
            <w:tcBorders>
              <w:top w:val="single" w:sz="4" w:space="0" w:color="auto"/>
              <w:bottom w:val="single" w:sz="4" w:space="0" w:color="auto"/>
            </w:tcBorders>
            <w:shd w:val="clear" w:color="auto" w:fill="auto"/>
            <w:vAlign w:val="center"/>
          </w:tcPr>
          <w:p w14:paraId="1C5D495F" w14:textId="77777777" w:rsidR="00C34BEC" w:rsidRPr="00C34BEC" w:rsidRDefault="00C34BEC" w:rsidP="00C34BEC">
            <w:pPr>
              <w:pStyle w:val="Tabletext"/>
            </w:pPr>
            <w:r w:rsidRPr="00C34BEC">
              <w:t>Document Types</w:t>
            </w:r>
          </w:p>
        </w:tc>
        <w:tc>
          <w:tcPr>
            <w:tcW w:w="669" w:type="dxa"/>
            <w:tcBorders>
              <w:top w:val="single" w:sz="4" w:space="0" w:color="auto"/>
              <w:bottom w:val="single" w:sz="4" w:space="0" w:color="auto"/>
            </w:tcBorders>
            <w:shd w:val="clear" w:color="auto" w:fill="auto"/>
            <w:vAlign w:val="center"/>
          </w:tcPr>
          <w:p w14:paraId="41D48339" w14:textId="77777777" w:rsidR="00C34BEC" w:rsidRPr="00C34BEC" w:rsidRDefault="00C34BEC" w:rsidP="00C34BEC">
            <w:pPr>
              <w:pStyle w:val="Tabletext"/>
            </w:pPr>
            <w:r w:rsidRPr="00C34BEC">
              <w:t>Total</w:t>
            </w:r>
          </w:p>
        </w:tc>
        <w:tc>
          <w:tcPr>
            <w:tcW w:w="669" w:type="dxa"/>
            <w:tcBorders>
              <w:top w:val="single" w:sz="4" w:space="0" w:color="auto"/>
              <w:bottom w:val="single" w:sz="4" w:space="0" w:color="auto"/>
            </w:tcBorders>
            <w:shd w:val="clear" w:color="auto" w:fill="auto"/>
            <w:vAlign w:val="center"/>
          </w:tcPr>
          <w:p w14:paraId="10BB0703" w14:textId="77777777" w:rsidR="00C34BEC" w:rsidRPr="00C34BEC" w:rsidRDefault="00C34BEC" w:rsidP="00C34BEC">
            <w:pPr>
              <w:pStyle w:val="Tabletext"/>
            </w:pPr>
            <w:r w:rsidRPr="00C34BEC">
              <w:t>Total Both</w:t>
            </w:r>
          </w:p>
        </w:tc>
        <w:tc>
          <w:tcPr>
            <w:tcW w:w="1048" w:type="dxa"/>
            <w:tcBorders>
              <w:top w:val="single" w:sz="4" w:space="0" w:color="auto"/>
              <w:bottom w:val="single" w:sz="4" w:space="0" w:color="auto"/>
            </w:tcBorders>
            <w:shd w:val="clear" w:color="auto" w:fill="auto"/>
            <w:vAlign w:val="center"/>
          </w:tcPr>
          <w:p w14:paraId="7208C7BE" w14:textId="77777777" w:rsidR="00C34BEC" w:rsidRPr="00C34BEC" w:rsidRDefault="00C34BEC" w:rsidP="00C34BEC">
            <w:pPr>
              <w:pStyle w:val="Tabletext"/>
            </w:pPr>
            <w:r w:rsidRPr="00C34BEC">
              <w:t>Duplicate</w:t>
            </w:r>
          </w:p>
        </w:tc>
        <w:tc>
          <w:tcPr>
            <w:tcW w:w="1156" w:type="dxa"/>
            <w:tcBorders>
              <w:top w:val="single" w:sz="4" w:space="0" w:color="auto"/>
              <w:bottom w:val="single" w:sz="4" w:space="0" w:color="auto"/>
            </w:tcBorders>
            <w:shd w:val="clear" w:color="auto" w:fill="auto"/>
            <w:vAlign w:val="center"/>
          </w:tcPr>
          <w:p w14:paraId="55E3B311" w14:textId="77777777" w:rsidR="00C34BEC" w:rsidRPr="00C34BEC" w:rsidRDefault="00C34BEC" w:rsidP="00C34BEC">
            <w:pPr>
              <w:pStyle w:val="Tabletext"/>
            </w:pPr>
            <w:r w:rsidRPr="00C34BEC">
              <w:t>Remaining</w:t>
            </w:r>
          </w:p>
        </w:tc>
      </w:tr>
      <w:tr w:rsidR="00C34BEC" w:rsidRPr="00C34BEC" w14:paraId="2B092479" w14:textId="77777777" w:rsidTr="00C34BEC">
        <w:trPr>
          <w:trHeight w:val="354"/>
        </w:trPr>
        <w:tc>
          <w:tcPr>
            <w:tcW w:w="1006" w:type="dxa"/>
            <w:tcBorders>
              <w:top w:val="single" w:sz="4" w:space="0" w:color="auto"/>
            </w:tcBorders>
            <w:vAlign w:val="center"/>
          </w:tcPr>
          <w:p w14:paraId="51D77731" w14:textId="77777777" w:rsidR="00C34BEC" w:rsidRPr="00C34BEC" w:rsidRDefault="00C34BEC" w:rsidP="00C34BEC">
            <w:pPr>
              <w:pStyle w:val="Tabletext"/>
            </w:pPr>
            <w:r w:rsidRPr="00C34BEC">
              <w:t>Scopus</w:t>
            </w:r>
          </w:p>
        </w:tc>
        <w:tc>
          <w:tcPr>
            <w:tcW w:w="1006" w:type="dxa"/>
            <w:vMerge w:val="restart"/>
            <w:tcBorders>
              <w:top w:val="single" w:sz="4" w:space="0" w:color="auto"/>
            </w:tcBorders>
            <w:shd w:val="clear" w:color="auto" w:fill="auto"/>
            <w:vAlign w:val="center"/>
          </w:tcPr>
          <w:p w14:paraId="52047614" w14:textId="77777777" w:rsidR="00C34BEC" w:rsidRPr="00C34BEC" w:rsidRDefault="00C34BEC" w:rsidP="00C34BEC">
            <w:pPr>
              <w:pStyle w:val="Tabletext"/>
            </w:pPr>
            <w:r w:rsidRPr="00C34BEC">
              <w:t>Article title, Abstract, Keywords</w:t>
            </w:r>
          </w:p>
          <w:p w14:paraId="1032D0F5" w14:textId="77777777" w:rsidR="00C34BEC" w:rsidRPr="00C34BEC" w:rsidRDefault="00C34BEC" w:rsidP="00C34BEC">
            <w:pPr>
              <w:pStyle w:val="Tabletext"/>
            </w:pPr>
            <w:r w:rsidRPr="00C34BEC">
              <w:t>Topic</w:t>
            </w:r>
          </w:p>
        </w:tc>
        <w:tc>
          <w:tcPr>
            <w:tcW w:w="1066" w:type="dxa"/>
            <w:vMerge w:val="restart"/>
            <w:tcBorders>
              <w:top w:val="single" w:sz="4" w:space="0" w:color="auto"/>
            </w:tcBorders>
            <w:vAlign w:val="center"/>
          </w:tcPr>
          <w:p w14:paraId="08870BDE" w14:textId="77777777" w:rsidR="00C34BEC" w:rsidRPr="00C34BEC" w:rsidRDefault="00C34BEC" w:rsidP="00C34BEC">
            <w:pPr>
              <w:pStyle w:val="Tabletext"/>
            </w:pPr>
            <w:r w:rsidRPr="00C34BEC">
              <w:t>English</w:t>
            </w:r>
          </w:p>
        </w:tc>
        <w:tc>
          <w:tcPr>
            <w:tcW w:w="1075" w:type="dxa"/>
            <w:vMerge w:val="restart"/>
            <w:tcBorders>
              <w:top w:val="single" w:sz="4" w:space="0" w:color="auto"/>
            </w:tcBorders>
            <w:shd w:val="clear" w:color="auto" w:fill="auto"/>
            <w:vAlign w:val="center"/>
          </w:tcPr>
          <w:p w14:paraId="3FDEF45A" w14:textId="77777777" w:rsidR="00C34BEC" w:rsidRPr="00C34BEC" w:rsidRDefault="00C34BEC" w:rsidP="00C34BEC">
            <w:pPr>
              <w:pStyle w:val="Tabletext"/>
            </w:pPr>
            <w:r w:rsidRPr="00C34BEC">
              <w:t>No restrictions</w:t>
            </w:r>
          </w:p>
        </w:tc>
        <w:tc>
          <w:tcPr>
            <w:tcW w:w="1117" w:type="dxa"/>
            <w:vMerge w:val="restart"/>
            <w:tcBorders>
              <w:top w:val="single" w:sz="4" w:space="0" w:color="auto"/>
            </w:tcBorders>
            <w:shd w:val="clear" w:color="auto" w:fill="auto"/>
            <w:vAlign w:val="center"/>
          </w:tcPr>
          <w:p w14:paraId="6750FD14" w14:textId="77777777" w:rsidR="00C34BEC" w:rsidRPr="00C34BEC" w:rsidRDefault="00C34BEC" w:rsidP="00C34BEC">
            <w:pPr>
              <w:pStyle w:val="Tabletext"/>
            </w:pPr>
            <w:r w:rsidRPr="00C34BEC">
              <w:t>Article; Review</w:t>
            </w:r>
          </w:p>
        </w:tc>
        <w:tc>
          <w:tcPr>
            <w:tcW w:w="669" w:type="dxa"/>
            <w:tcBorders>
              <w:top w:val="single" w:sz="4" w:space="0" w:color="auto"/>
            </w:tcBorders>
            <w:shd w:val="clear" w:color="auto" w:fill="auto"/>
            <w:vAlign w:val="center"/>
          </w:tcPr>
          <w:p w14:paraId="2909E70C" w14:textId="77777777" w:rsidR="00C34BEC" w:rsidRPr="00C34BEC" w:rsidRDefault="00C34BEC" w:rsidP="00C34BEC">
            <w:pPr>
              <w:pStyle w:val="Tabletext"/>
            </w:pPr>
            <w:r w:rsidRPr="00C34BEC">
              <w:t>650</w:t>
            </w:r>
          </w:p>
        </w:tc>
        <w:tc>
          <w:tcPr>
            <w:tcW w:w="669" w:type="dxa"/>
            <w:vMerge w:val="restart"/>
            <w:tcBorders>
              <w:top w:val="single" w:sz="4" w:space="0" w:color="auto"/>
            </w:tcBorders>
            <w:shd w:val="clear" w:color="auto" w:fill="auto"/>
            <w:vAlign w:val="center"/>
          </w:tcPr>
          <w:p w14:paraId="7BF177B8" w14:textId="77777777" w:rsidR="00C34BEC" w:rsidRPr="00C34BEC" w:rsidRDefault="00C34BEC" w:rsidP="00C34BEC">
            <w:pPr>
              <w:pStyle w:val="Tabletext"/>
            </w:pPr>
            <w:r w:rsidRPr="00C34BEC">
              <w:t>1386</w:t>
            </w:r>
          </w:p>
        </w:tc>
        <w:tc>
          <w:tcPr>
            <w:tcW w:w="1048" w:type="dxa"/>
            <w:vMerge w:val="restart"/>
            <w:tcBorders>
              <w:top w:val="single" w:sz="4" w:space="0" w:color="auto"/>
            </w:tcBorders>
            <w:shd w:val="clear" w:color="auto" w:fill="auto"/>
            <w:vAlign w:val="center"/>
          </w:tcPr>
          <w:p w14:paraId="798ACF2B" w14:textId="77777777" w:rsidR="00C34BEC" w:rsidRPr="00C34BEC" w:rsidRDefault="00C34BEC" w:rsidP="00C34BEC">
            <w:pPr>
              <w:pStyle w:val="Tabletext"/>
            </w:pPr>
            <w:r w:rsidRPr="00C34BEC">
              <w:t>409</w:t>
            </w:r>
          </w:p>
        </w:tc>
        <w:tc>
          <w:tcPr>
            <w:tcW w:w="1156" w:type="dxa"/>
            <w:vMerge w:val="restart"/>
            <w:tcBorders>
              <w:top w:val="single" w:sz="4" w:space="0" w:color="auto"/>
            </w:tcBorders>
            <w:shd w:val="clear" w:color="auto" w:fill="auto"/>
            <w:vAlign w:val="center"/>
          </w:tcPr>
          <w:p w14:paraId="5D3A923D" w14:textId="77777777" w:rsidR="00C34BEC" w:rsidRPr="00C34BEC" w:rsidRDefault="00C34BEC" w:rsidP="00C34BEC">
            <w:pPr>
              <w:pStyle w:val="Tabletext"/>
            </w:pPr>
            <w:r w:rsidRPr="00C34BEC">
              <w:t>977</w:t>
            </w:r>
          </w:p>
        </w:tc>
      </w:tr>
      <w:tr w:rsidR="00C34BEC" w:rsidRPr="00C34BEC" w14:paraId="0627B12D" w14:textId="77777777" w:rsidTr="00C34BEC">
        <w:trPr>
          <w:trHeight w:val="256"/>
        </w:trPr>
        <w:tc>
          <w:tcPr>
            <w:tcW w:w="1006" w:type="dxa"/>
            <w:tcBorders>
              <w:bottom w:val="single" w:sz="4" w:space="0" w:color="auto"/>
            </w:tcBorders>
            <w:vAlign w:val="center"/>
          </w:tcPr>
          <w:p w14:paraId="18C90888" w14:textId="77777777" w:rsidR="00C34BEC" w:rsidRPr="00C34BEC" w:rsidRDefault="00C34BEC" w:rsidP="00C34BEC">
            <w:pPr>
              <w:pStyle w:val="Tabletext"/>
            </w:pPr>
            <w:r w:rsidRPr="00C34BEC">
              <w:t>WOS</w:t>
            </w:r>
          </w:p>
        </w:tc>
        <w:tc>
          <w:tcPr>
            <w:tcW w:w="1006" w:type="dxa"/>
            <w:vMerge/>
            <w:tcBorders>
              <w:bottom w:val="single" w:sz="4" w:space="0" w:color="auto"/>
            </w:tcBorders>
            <w:shd w:val="clear" w:color="auto" w:fill="auto"/>
            <w:vAlign w:val="center"/>
          </w:tcPr>
          <w:p w14:paraId="73590353" w14:textId="77777777" w:rsidR="00C34BEC" w:rsidRPr="00C34BEC" w:rsidRDefault="00C34BEC" w:rsidP="00C34BEC">
            <w:pPr>
              <w:pStyle w:val="Tabletext"/>
            </w:pPr>
          </w:p>
        </w:tc>
        <w:tc>
          <w:tcPr>
            <w:tcW w:w="1066" w:type="dxa"/>
            <w:vMerge/>
            <w:tcBorders>
              <w:bottom w:val="single" w:sz="4" w:space="0" w:color="auto"/>
            </w:tcBorders>
          </w:tcPr>
          <w:p w14:paraId="38E170A7" w14:textId="77777777" w:rsidR="00C34BEC" w:rsidRPr="00C34BEC" w:rsidRDefault="00C34BEC" w:rsidP="00C34BEC">
            <w:pPr>
              <w:pStyle w:val="Tabletext"/>
            </w:pPr>
          </w:p>
        </w:tc>
        <w:tc>
          <w:tcPr>
            <w:tcW w:w="1075" w:type="dxa"/>
            <w:vMerge/>
            <w:tcBorders>
              <w:bottom w:val="single" w:sz="4" w:space="0" w:color="auto"/>
            </w:tcBorders>
            <w:shd w:val="clear" w:color="auto" w:fill="auto"/>
            <w:vAlign w:val="center"/>
          </w:tcPr>
          <w:p w14:paraId="3BAB86EB" w14:textId="77777777" w:rsidR="00C34BEC" w:rsidRPr="00C34BEC" w:rsidRDefault="00C34BEC" w:rsidP="00C34BEC">
            <w:pPr>
              <w:pStyle w:val="Tabletext"/>
            </w:pPr>
          </w:p>
        </w:tc>
        <w:tc>
          <w:tcPr>
            <w:tcW w:w="1117" w:type="dxa"/>
            <w:vMerge/>
            <w:tcBorders>
              <w:bottom w:val="single" w:sz="4" w:space="0" w:color="auto"/>
            </w:tcBorders>
            <w:shd w:val="clear" w:color="auto" w:fill="auto"/>
            <w:vAlign w:val="center"/>
          </w:tcPr>
          <w:p w14:paraId="3E63AD74" w14:textId="77777777" w:rsidR="00C34BEC" w:rsidRPr="00C34BEC" w:rsidRDefault="00C34BEC" w:rsidP="00C34BEC">
            <w:pPr>
              <w:pStyle w:val="Tabletext"/>
            </w:pPr>
          </w:p>
        </w:tc>
        <w:tc>
          <w:tcPr>
            <w:tcW w:w="669" w:type="dxa"/>
            <w:tcBorders>
              <w:bottom w:val="single" w:sz="4" w:space="0" w:color="auto"/>
            </w:tcBorders>
            <w:shd w:val="clear" w:color="auto" w:fill="auto"/>
            <w:vAlign w:val="center"/>
          </w:tcPr>
          <w:p w14:paraId="11020AF1" w14:textId="77777777" w:rsidR="00C34BEC" w:rsidRPr="00C34BEC" w:rsidRDefault="00C34BEC" w:rsidP="00C34BEC">
            <w:pPr>
              <w:pStyle w:val="Tabletext"/>
            </w:pPr>
            <w:r w:rsidRPr="00C34BEC">
              <w:t>736</w:t>
            </w:r>
          </w:p>
        </w:tc>
        <w:tc>
          <w:tcPr>
            <w:tcW w:w="669" w:type="dxa"/>
            <w:vMerge/>
            <w:tcBorders>
              <w:bottom w:val="single" w:sz="4" w:space="0" w:color="auto"/>
            </w:tcBorders>
            <w:shd w:val="clear" w:color="auto" w:fill="auto"/>
            <w:vAlign w:val="center"/>
          </w:tcPr>
          <w:p w14:paraId="166A8430" w14:textId="77777777" w:rsidR="00C34BEC" w:rsidRPr="00C34BEC" w:rsidRDefault="00C34BEC" w:rsidP="00C34BEC">
            <w:pPr>
              <w:pStyle w:val="Tabletext"/>
            </w:pPr>
          </w:p>
        </w:tc>
        <w:tc>
          <w:tcPr>
            <w:tcW w:w="1048" w:type="dxa"/>
            <w:vMerge/>
            <w:tcBorders>
              <w:bottom w:val="single" w:sz="4" w:space="0" w:color="auto"/>
            </w:tcBorders>
            <w:shd w:val="clear" w:color="auto" w:fill="auto"/>
            <w:vAlign w:val="center"/>
          </w:tcPr>
          <w:p w14:paraId="0F5DE79A" w14:textId="77777777" w:rsidR="00C34BEC" w:rsidRPr="00C34BEC" w:rsidRDefault="00C34BEC" w:rsidP="00C34BEC">
            <w:pPr>
              <w:pStyle w:val="Tabletext"/>
            </w:pPr>
          </w:p>
        </w:tc>
        <w:tc>
          <w:tcPr>
            <w:tcW w:w="1156" w:type="dxa"/>
            <w:vMerge/>
            <w:tcBorders>
              <w:bottom w:val="single" w:sz="4" w:space="0" w:color="auto"/>
            </w:tcBorders>
            <w:shd w:val="clear" w:color="auto" w:fill="auto"/>
            <w:vAlign w:val="center"/>
          </w:tcPr>
          <w:p w14:paraId="208AC156" w14:textId="77777777" w:rsidR="00C34BEC" w:rsidRPr="00C34BEC" w:rsidRDefault="00C34BEC" w:rsidP="00C34BEC">
            <w:pPr>
              <w:pStyle w:val="Tabletext"/>
            </w:pPr>
          </w:p>
        </w:tc>
      </w:tr>
    </w:tbl>
    <w:p w14:paraId="3BC4AFEA" w14:textId="77777777" w:rsidR="00C34BEC" w:rsidRPr="00C34BEC" w:rsidRDefault="00C34BEC" w:rsidP="00C34BEC">
      <w:r w:rsidRPr="00C34BEC">
        <w:tab/>
      </w:r>
      <w:r w:rsidRPr="00C34BEC">
        <w:tab/>
      </w:r>
      <w:r w:rsidRPr="00C34BEC">
        <w:tab/>
      </w:r>
      <w:r w:rsidRPr="00C34BEC">
        <w:tab/>
      </w:r>
    </w:p>
    <w:p w14:paraId="039D7010" w14:textId="77777777" w:rsidR="00C34BEC" w:rsidRPr="00C34BEC" w:rsidRDefault="00C34BEC" w:rsidP="00C34BEC">
      <w:pPr>
        <w:pStyle w:val="Heading4Paragraph"/>
        <w:rPr>
          <w:lang w:val="en-US"/>
        </w:rPr>
      </w:pPr>
      <w:r w:rsidRPr="00C34BEC">
        <w:rPr>
          <w:lang w:val="en-US"/>
        </w:rPr>
        <w:t>Source Selection</w:t>
      </w:r>
    </w:p>
    <w:p w14:paraId="49E0D74D" w14:textId="77777777" w:rsidR="00C34BEC" w:rsidRPr="00C34BEC" w:rsidRDefault="00C34BEC" w:rsidP="00C34BEC">
      <w:r w:rsidRPr="00C34BEC">
        <w:t xml:space="preserve">Once the subset of potentially relevant articles was identified, a first selection process was performed on the abstracts. To delineate the boundaries of the analysis the following inclusion/exclusion criteria were applied: </w:t>
      </w:r>
    </w:p>
    <w:p w14:paraId="51B0755F" w14:textId="77777777" w:rsidR="00C34BEC" w:rsidRPr="00C34BEC" w:rsidRDefault="00C34BEC" w:rsidP="00C34BEC">
      <w:r w:rsidRPr="00C34BEC">
        <w:t xml:space="preserve">Only articles in English language have been </w:t>
      </w:r>
      <w:r w:rsidRPr="00C34BEC">
        <w:rPr>
          <w:i/>
          <w:iCs/>
        </w:rPr>
        <w:t>included</w:t>
      </w:r>
      <w:r w:rsidRPr="00C34BEC">
        <w:t xml:space="preserve">.  </w:t>
      </w:r>
    </w:p>
    <w:p w14:paraId="79939387" w14:textId="77777777" w:rsidR="00C34BEC" w:rsidRPr="00C34BEC" w:rsidRDefault="00C34BEC" w:rsidP="00C34BEC">
      <w:r w:rsidRPr="00C34BEC">
        <w:t xml:space="preserve">Only peer-reviewed papers were included; book chapters and conference papers have been </w:t>
      </w:r>
      <w:r w:rsidRPr="00C34BEC">
        <w:rPr>
          <w:i/>
          <w:iCs/>
        </w:rPr>
        <w:t>excluded</w:t>
      </w:r>
      <w:r w:rsidRPr="00C34BEC">
        <w:t>.</w:t>
      </w:r>
    </w:p>
    <w:p w14:paraId="2D8F8FF7" w14:textId="77777777" w:rsidR="00C34BEC" w:rsidRPr="00C34BEC" w:rsidRDefault="00C34BEC" w:rsidP="00C34BEC">
      <w:r w:rsidRPr="00C34BEC">
        <w:t xml:space="preserve">Publications which did not develop or employ indicators or measurement systems have been </w:t>
      </w:r>
      <w:r w:rsidRPr="00C34BEC">
        <w:rPr>
          <w:i/>
          <w:iCs/>
        </w:rPr>
        <w:t>excluded</w:t>
      </w:r>
      <w:r w:rsidRPr="00C34BEC">
        <w:t xml:space="preserve">.  </w:t>
      </w:r>
    </w:p>
    <w:p w14:paraId="7792BC30" w14:textId="77777777" w:rsidR="00C34BEC" w:rsidRPr="00C34BEC" w:rsidRDefault="00C34BEC" w:rsidP="00C34BEC">
      <w:r w:rsidRPr="00C34BEC">
        <w:t xml:space="preserve">Publications that considered the circular dimension of SCs (at least as a potential state) were </w:t>
      </w:r>
      <w:r w:rsidRPr="00C34BEC">
        <w:rPr>
          <w:i/>
          <w:iCs/>
        </w:rPr>
        <w:t>included</w:t>
      </w:r>
      <w:r w:rsidRPr="00C34BEC">
        <w:t xml:space="preserve">. If the focus was only on the forward element of a supply chain, articles were </w:t>
      </w:r>
      <w:r w:rsidRPr="00C34BEC">
        <w:rPr>
          <w:i/>
          <w:iCs/>
        </w:rPr>
        <w:t>excluded</w:t>
      </w:r>
      <w:r w:rsidRPr="00C34BEC">
        <w:t xml:space="preserve">. </w:t>
      </w:r>
    </w:p>
    <w:p w14:paraId="534A65E3" w14:textId="77777777" w:rsidR="00C34BEC" w:rsidRPr="00C34BEC" w:rsidRDefault="00C34BEC" w:rsidP="00C34BEC">
      <w:r w:rsidRPr="00C34BEC">
        <w:t xml:space="preserve">Studies were classified on the basis of the  specific implementation levels that can be recognised in the CE literature </w:t>
      </w:r>
      <w:r w:rsidRPr="00C34BEC">
        <w:fldChar w:fldCharType="begin" w:fldLock="1"/>
      </w:r>
      <w:r w:rsidRPr="00C34BEC">
        <w:instrText>ADDIN CSL_CITATION {"citationItems":[{"id":"ITEM-1","itemData":{"DOI":"10.1016/j.jclepro.2015.09.007","ISSN":"09596526","abstract":"In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Production","id":"ITEM-1","issued":{"date-parts":[["2016"]]},"page":"11-32","publisher":"Elsevier Ltd","title":"A review on circular economy: The expected transition to a balanced interplay of environmental and economic systems","type":"article-journal","volume":"114"},"uris":["http://www.mendeley.com/documents/?uuid=6fc3279a-678e-4520-acd8-f1f9b6916ce4"]},{"id":"ITEM-2","itemData":{"DOI":"10.1016/j.ecolecon.2017.06.041","ISSN":"09218009","abstract":"Circular economy (CE) is currently a popular concept promoted by the EU, by several national governments and by many businesses around the world. However, the scientific and research content of the CE concept is superficial and unorganized. CE seems to be a collection of vague and separate ideas from several fields and semi-scientific concepts. The objective of this article is to contribute to the scientific research on CE. First, we will define the concept of CE from the perspective of WCED sustainable development and sustainability science. Second, we will conduct a critical analysis of the concept from the perspective of environmental sustainability. The analysis identifies six challenges, for example those of thermodynamics and system boundaries, that need to be resolved for CE to be able to contribute to global net sustainability. These six challenges also serve as research themes and objectives for scholars interested in making progress in sustainable development through the usage of circular economy. CE is important for its power to attract both the business community and policy-making community to sustainability work, but it needs scientific research to secure that the actual environmental impacts of CE work toward sustainability.","author":[{"dropping-particle":"","family":"Korhonen","given":"Jouni","non-dropping-particle":"","parse-names":false,"suffix":""},{"dropping-particle":"","family":"Honkasalo","given":"Antero","non-dropping-particle":"","parse-names":false,"suffix":""},{"dropping-particle":"","family":"Seppälä","given":"Jyri","non-dropping-particle":"","parse-names":false,"suffix":""}],"container-title":"Ecological Economics","id":"ITEM-2","issue":"January","issued":{"date-parts":[["2018"]]},"page":"37-46","publisher":"Elsevier B.V.","title":"Circular Economy: The Concept and its Limitations","type":"article-journal","volume":"143"},"uris":["http://www.mendeley.com/documents/?uuid=31d96043-329c-4dc0-8cb5-d663b399ff81"]}],"mendeley":{"formattedCitation":"(Ghisellini et al., 2016; Korhonen, Honkasalo, et al., 2018)","manualFormatting":"(Ghisellini et al., 2016; Korhonen et al., 2018)","plainTextFormattedCitation":"(Ghisellini et al., 2016; Korhonen, Honkasalo, et al., 2018)","previouslyFormattedCitation":"(Ghisellini et al., 2016; Korhonen, Honkasalo, et al., 2018)"},"properties":{"noteIndex":0},"schema":"https://github.com/citation-style-language/schema/raw/master/csl-citation.json"}</w:instrText>
      </w:r>
      <w:r w:rsidRPr="00C34BEC">
        <w:fldChar w:fldCharType="separate"/>
      </w:r>
      <w:r w:rsidRPr="00C34BEC">
        <w:t>(Ghisellini et al., 2016; Korhonen et al., 2018)</w:t>
      </w:r>
      <w:r w:rsidRPr="00C34BEC">
        <w:fldChar w:fldCharType="end"/>
      </w:r>
      <w:r w:rsidRPr="00C34BEC">
        <w:t xml:space="preserve">: the micro level, involving CE strategies at the product and firm level, thus involving an intra-organisational decision-making process; the meso level, including supply chains and, in some contexts, also related to Eco-Industrial Parks and Industrial Symbiosis systems </w:t>
      </w:r>
      <w:r w:rsidRPr="00C34BEC">
        <w:fldChar w:fldCharType="begin" w:fldLock="1"/>
      </w:r>
      <w:r w:rsidRPr="00C34BEC">
        <w:instrText>ADDIN CSL_CITATION {"citationItems":[{"id":"ITEM-1","itemData":{"DOI":"10.3390/su9091602","ISSN":"20711050","abstract":"As the circular economy (CE) gains traction in literature and practice, several academic communities are opening up spaces that move away from the CE as a pure engineering concept. This systematic literature review (n = 77) analyses and discusses the fragmented body of knowledge on the meso-level of supply chains (SCs): (a) to find common ground that underpins the current implementation of the CE on this level; and (b) to identify drivers, inhibitors, and enablers from which CE SC configurations emerge. The review finds that there remain differences in CE definitions that result from claimed antecedents and scopes, resulting in distinct research streams. On the meso-level, eco-industrial parks, environmental SCs, and closed-loop SCs each face significant challenges. The latter potentially offers the largest environmental benefits but engenders radical changes for business models and exposes SCs to more risk. We firstly argue for moving away from using a prescriptive set of practices as definitions for the CE towards a set of overarching goals to allow for the inclusion of future practices and techniques. Secondly, we highlight that research going beyond the meso-level to consider the wider social and institutional environment is needed to solve current challenges.","author":[{"dropping-particle":"","family":"Masi","given":"Donato","non-dropping-particle":"","parse-names":false,"suffix":""},{"dropping-particle":"","family":"Day","given":"Steven","non-dropping-particle":"","parse-names":false,"suffix":""},{"dropping-particle":"","family":"Godsell","given":"Janet","non-dropping-particle":"","parse-names":false,"suffix":""}],"container-title":"Sustainability (Switzerland)","id":"ITEM-1","issue":"9","issued":{"date-parts":[["2017"]]},"title":"Supply chain configurations in the circular economy: A systematic literature review","type":"article-journal","volume":"9"},"uris":["http://www.mendeley.com/documents/?uuid=ab7c22f4-4bd3-4163-8e68-d35ddac9bd78"]}],"mendeley":{"formattedCitation":"(Masi et al., 2017)","plainTextFormattedCitation":"(Masi et al., 2017)","previouslyFormattedCitation":"(Masi et al., 2017)"},"properties":{"noteIndex":0},"schema":"https://github.com/citation-style-language/schema/raw/master/csl-citation.json"}</w:instrText>
      </w:r>
      <w:r w:rsidRPr="00C34BEC">
        <w:fldChar w:fldCharType="separate"/>
      </w:r>
      <w:r w:rsidRPr="00C34BEC">
        <w:t>(Masi et al., 2017)</w:t>
      </w:r>
      <w:r w:rsidRPr="00C34BEC">
        <w:fldChar w:fldCharType="end"/>
      </w:r>
      <w:r w:rsidRPr="00C34BEC">
        <w:t xml:space="preserve">; the macro level, including CE development in regions and nations </w:t>
      </w:r>
      <w:r w:rsidRPr="00C34BEC">
        <w:fldChar w:fldCharType="begin" w:fldLock="1"/>
      </w:r>
      <w:r w:rsidRPr="00C34BEC">
        <w:instrText>ADDIN CSL_CITATION {"citationItems":[{"id":"ITEM-1","itemData":{"DOI":"10.1016/j.jclepro.2015.09.007","ISSN":"09596526","abstract":"In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Production","id":"ITEM-1","issued":{"date-parts":[["2016"]]},"page":"11-32","publisher":"Elsevier Ltd","title":"A review on circular economy: The expected transition to a balanced interplay of environmental and economic systems","type":"article-journal","volume":"114"},"uris":["http://www.mendeley.com/documents/?uuid=6fc3279a-678e-4520-acd8-f1f9b6916ce4"]},{"id":"ITEM-2","itemData":{"DOI":"10.1016/j.resconrec.2017.09.005","ISSN":"18790658","abstract":"The circular economy concept has gained momentum both among scholars and practitioners. However, critics claim that it means many different things to different people. This paper provides further evidence for these critics. The aim of this paper is to create transparency regarding the current understandings of the circular economy concept. For this purpose, we have gathered 114 circular economy definitions which were coded on 17 dimensions. Our findings indicate that the circular economy is most frequently depicted as a combination of reduce, reuse and recycle activities, whereas it is oftentimes not highlighted that CE necessitates a systemic shift. We further find that the definitions show few explicit linkages of the circular economy concept to sustainable development. The main aim of the circular economy is considered to be economic prosperity, followed by environmental quality; its impact on social equity and future generations is barely mentioned. Furthermore, neither business models nor consumers are frequently outlined as enablers of the circular economy. We critically discuss the various circular economy conceptualizations throughout this paper. Overall, we hope to contribute via this study towards the coherence of the circular economy concept; we presume that significantly varying circular economy definitions may eventually result in the collapse of the concept.","author":[{"dropping-particle":"","family":"Kirchherr","given":"Julian","non-dropping-particle":"","parse-names":false,"suffix":""},{"dropping-particle":"","family":"Reike","given":"Denise","non-dropping-particle":"","parse-names":false,"suffix":""},{"dropping-particle":"","family":"Hekkert","given":"Marko","non-dropping-particle":"","parse-names":false,"suffix":""}],"container-title":"Resources, Conservation and Recycling","id":"ITEM-2","issue":"April","issued":{"date-parts":[["2017"]]},"page":"221-232","title":"Conceptualizing the circular economy: An analysis of 114 definitions","type":"article-journal","volume":"127"},"uris":["http://www.mendeley.com/documents/?uuid=8ac6eb91-ca98-47d1-8951-38e3c88d7a9e"]}],"mendeley":{"formattedCitation":"(Ghisellini et al., 2016; Kirchherr et al., 2017)","plainTextFormattedCitation":"(Ghisellini et al., 2016; Kirchherr et al., 2017)","previouslyFormattedCitation":"(Ghisellini et al., 2016; Kirchherr et al., 2017)"},"properties":{"noteIndex":0},"schema":"https://github.com/citation-style-language/schema/raw/master/csl-citation.json"}</w:instrText>
      </w:r>
      <w:r w:rsidRPr="00C34BEC">
        <w:fldChar w:fldCharType="separate"/>
      </w:r>
      <w:r w:rsidRPr="00C34BEC">
        <w:t>(Ghisellini et al., 2016; Kirchherr et al., 2017)</w:t>
      </w:r>
      <w:r w:rsidRPr="00C34BEC">
        <w:fldChar w:fldCharType="end"/>
      </w:r>
      <w:r w:rsidRPr="00C34BEC">
        <w:t xml:space="preserve">.  Based on this classification: </w:t>
      </w:r>
    </w:p>
    <w:p w14:paraId="68339765" w14:textId="77777777" w:rsidR="00C34BEC" w:rsidRPr="00C34BEC" w:rsidRDefault="00C34BEC" w:rsidP="0081080C">
      <w:pPr>
        <w:numPr>
          <w:ilvl w:val="1"/>
          <w:numId w:val="2"/>
        </w:numPr>
      </w:pPr>
      <w:r w:rsidRPr="00C34BEC">
        <w:t xml:space="preserve">Papers defining indicators to assess CE at the macro level were </w:t>
      </w:r>
      <w:r w:rsidRPr="00C34BEC">
        <w:rPr>
          <w:i/>
          <w:iCs/>
        </w:rPr>
        <w:t>excluded</w:t>
      </w:r>
      <w:r w:rsidRPr="00C34BEC">
        <w:t xml:space="preserve"> from the analysis.</w:t>
      </w:r>
    </w:p>
    <w:p w14:paraId="1E43E70B" w14:textId="77777777" w:rsidR="00C34BEC" w:rsidRPr="00C34BEC" w:rsidRDefault="00C34BEC" w:rsidP="0081080C">
      <w:pPr>
        <w:numPr>
          <w:ilvl w:val="1"/>
          <w:numId w:val="2"/>
        </w:numPr>
      </w:pPr>
      <w:r w:rsidRPr="00C34BEC">
        <w:lastRenderedPageBreak/>
        <w:t xml:space="preserve">Papers developing indicators and measurement approaches at the meso level were </w:t>
      </w:r>
      <w:r w:rsidRPr="00C34BEC">
        <w:rPr>
          <w:i/>
          <w:iCs/>
        </w:rPr>
        <w:t>included</w:t>
      </w:r>
      <w:r w:rsidRPr="00C34BEC">
        <w:t xml:space="preserve"> in this SLR. Papers that did not consider the SCs as the level of analysis have been </w:t>
      </w:r>
      <w:r w:rsidRPr="00C34BEC">
        <w:rPr>
          <w:i/>
          <w:iCs/>
        </w:rPr>
        <w:t>excluded</w:t>
      </w:r>
      <w:r w:rsidRPr="00C34BEC">
        <w:t>.</w:t>
      </w:r>
    </w:p>
    <w:p w14:paraId="2E03534F" w14:textId="77777777" w:rsidR="00C34BEC" w:rsidRPr="00C34BEC" w:rsidRDefault="00C34BEC" w:rsidP="0081080C">
      <w:pPr>
        <w:numPr>
          <w:ilvl w:val="1"/>
          <w:numId w:val="2"/>
        </w:numPr>
      </w:pPr>
      <w:r w:rsidRPr="00C34BEC">
        <w:t xml:space="preserve">Papers defining specific indicators to measure CE initiatives at the micro perspective of the single organization, were evaluated in detail. A decision was made on the basis of the explicit consideration given to the role played by supply chains </w:t>
      </w:r>
      <w:r w:rsidRPr="00C34BEC">
        <w:fldChar w:fldCharType="begin" w:fldLock="1"/>
      </w:r>
      <w:r w:rsidRPr="00C34BEC">
        <w:instrText>ADDIN CSL_CITATION {"citationItems":[{"id":"ITEM-1","itemData":{"DOI":"10.1080/09537287.2018.1449244","ISSN":"0953-7287","author":[{"dropping-particle":"","family":"Angelis","given":"Roberta","non-dropping-particle":"De","parse-names":false,"suffix":""},{"dropping-particle":"","family":"Howard","given":"Mickey","non-dropping-particle":"","parse-names":false,"suffix":""},{"dropping-particle":"","family":"Miemczyk","given":"Joe","non-dropping-particle":"","parse-names":false,"suffix":""}],"container-title":"Production Planning &amp; Control","id":"ITEM-1","issued":{"date-parts":[["2018"]]},"page":"1-13","publisher":"Taylor &amp; Francis","title":"Supply chain management and the circular economy : towards the circular supply chain","type":"article-journal","volume":"7287"},"uris":["http://www.mendeley.com/documents/?uuid=fe1f0ac4-aff7-4bf0-83e5-8da1170559f8"]},{"id":"ITEM-2","itemData":{"DOI":"Article","ISBN":"00178012","ISSN":"00178012","PMID":"803973233","abstract":"The circular economy is gaining increasing attention in Europe and around the world as a potential way for our society to increase prosperity, while reducing dependence on primary materials and energy. The European Commission is expected to propose a “circular economy package” by the end of 2015, and many business leaders embrace the circular economy as a path to increasing growth and profitability. At the same time, a lively debate is going on about the attractiveness of a circular economy for different stakeholders and its implications for employment, growth, and the environment. This report aims to contribute to a fact base to inform this debate, especially in Europe. The report suggests what a circular European economy could look like and compares its potential impact with the current development path. The report models potential European economic and environmental outcomes in both scenarios. It also examines how a more circular way of satisfying human needs could play out in three of the largest and most resource-intensive European value chains: mobility, food, and the built environment. In aggregate, the circular scenarios suggest that the opportunity for Europe’s economy could be large. The report does not aim to provide final answers or projections for a circular economy—this would be impossible given the major uncertainties involved in the transition. Rather, the report tries to identify and describe major differences that circularity could bring to the European economy and offers directional quantification of the most important differences. In doing so, the report builds on previous circular economy research, including work by the Ellen MacArthur Foundation and the McKinsey Center for Business and Environment. This report is the product of a knowledge partnership between the Ellen MacArthur Foundation, Stiftungsfonds für Umweltökonomie und Nachhaltigkeit (SUN),the new environmental economics branch of the Deutsche Post Foundation, and the McKinsey Center for Business and Environment. We encourage policy-makers inspired by the vision presented in this report to read the Ellen MacArthur Foundation’s new and complementary report, Delivering the circular economy: A toolkit for policy-makers. The toolkit offers an actionable, step-by-step methodology to help transition towards a circular economy. We are grateful to our numerous partners and advisors for their insights and support throughout this project, as acknowledged in the pages that follow. Th…","author":[{"dropping-particle":"","family":"EMAF","given":"","non-dropping-particle":"","parse-names":false,"suffix":""}],"container-title":"Ellen MacArthur Foundation","id":"ITEM-2","issued":{"date-parts":[["2015"]]},"page":"100","title":"Growth within: a circular economy vision for a competitive europe","type":"article-journal"},"uris":["http://www.mendeley.com/documents/?uuid=2aa20ca8-59e8-4d34-8a5f-30b9fe01eef2"]}],"mendeley":{"formattedCitation":"(EMAF, 2015; De Angelis et al., 2018)","plainTextFormattedCitation":"(EMAF, 2015; De Angelis et al., 2018)","previouslyFormattedCitation":"(EMAF, 2015; De Angelis et al., 2018)"},"properties":{"noteIndex":0},"schema":"https://github.com/citation-style-language/schema/raw/master/csl-citation.json"}</w:instrText>
      </w:r>
      <w:r w:rsidRPr="00C34BEC">
        <w:fldChar w:fldCharType="separate"/>
      </w:r>
      <w:r w:rsidRPr="00C34BEC">
        <w:t>(EMAF, 2015; De Angelis et al., 2018)</w:t>
      </w:r>
      <w:r w:rsidRPr="00C34BEC">
        <w:fldChar w:fldCharType="end"/>
      </w:r>
      <w:r w:rsidRPr="00C34BEC">
        <w:t xml:space="preserve">. Just studies assuming an inter-organizational perspective for the employed indicators were </w:t>
      </w:r>
      <w:r w:rsidRPr="00C34BEC">
        <w:rPr>
          <w:i/>
        </w:rPr>
        <w:t>included</w:t>
      </w:r>
      <w:r w:rsidRPr="00C34BEC">
        <w:t>.</w:t>
      </w:r>
    </w:p>
    <w:p w14:paraId="509FCE06" w14:textId="77777777" w:rsidR="00C34BEC" w:rsidRPr="00C34BEC" w:rsidRDefault="00C34BEC" w:rsidP="00C34BEC">
      <w:r w:rsidRPr="00C34BEC">
        <w:t xml:space="preserve">This scanning process resulted in a large reduction in the number of papers (from 977 to 236). Also, this phase was handled separately and autonomously by at least two team members. Regular team meetings were held throughout this phase and the following ones, to compare the choices adopted and to ensure that the process was rigorous. Inter-reliability was satisfied by considering the number of disagreements over the number of papers classified; all the disagreements were examined one by one to come to a collective consensus. Articles that could not easily be excluded with the highest degree of certainty, were included to be further analysed and read in the source evaluation phase. </w:t>
      </w:r>
    </w:p>
    <w:p w14:paraId="727D221C" w14:textId="77777777" w:rsidR="00C34BEC" w:rsidRPr="00C34BEC" w:rsidRDefault="00C34BEC" w:rsidP="00C34BEC">
      <w:pPr>
        <w:pStyle w:val="Heading4Paragraph"/>
        <w:rPr>
          <w:lang w:val="en-US"/>
        </w:rPr>
      </w:pPr>
      <w:r w:rsidRPr="00C34BEC">
        <w:rPr>
          <w:lang w:val="en-US"/>
        </w:rPr>
        <w:t>Source Evaluation</w:t>
      </w:r>
    </w:p>
    <w:p w14:paraId="4592778B" w14:textId="77777777" w:rsidR="00C34BEC" w:rsidRPr="00C34BEC" w:rsidRDefault="00C34BEC" w:rsidP="00C34BEC">
      <w:r w:rsidRPr="00C34BEC">
        <w:t xml:space="preserve">The resulting 236 articles were evaluated and classified from a relevance point of view in relation to the criteria described in </w:t>
      </w:r>
      <w:r w:rsidRPr="00C34BEC">
        <w:fldChar w:fldCharType="begin"/>
      </w:r>
      <w:r w:rsidRPr="00C34BEC">
        <w:instrText xml:space="preserve"> REF _Ref67067667 \h </w:instrText>
      </w:r>
      <w:r w:rsidRPr="00C34BEC">
        <w:fldChar w:fldCharType="separate"/>
      </w:r>
      <w:r w:rsidRPr="00C34BEC">
        <w:t>Table 2</w:t>
      </w:r>
      <w:r w:rsidRPr="00C34BEC">
        <w:fldChar w:fldCharType="end"/>
      </w:r>
      <w:r w:rsidRPr="00C34BEC">
        <w:t xml:space="preserve">. In particular:  </w:t>
      </w:r>
    </w:p>
    <w:p w14:paraId="1F00F494" w14:textId="77777777" w:rsidR="00C34BEC" w:rsidRPr="00C34BEC" w:rsidRDefault="00C34BEC" w:rsidP="00C34BEC">
      <w:r w:rsidRPr="00C34BEC">
        <w:t xml:space="preserve">Studies developing an indicator/multiple indicators in order to explicitly evaluate the performance of CSCs were </w:t>
      </w:r>
      <w:r w:rsidRPr="00C34BEC">
        <w:rPr>
          <w:i/>
          <w:iCs/>
        </w:rPr>
        <w:t>included</w:t>
      </w:r>
      <w:r w:rsidRPr="00C34BEC">
        <w:t>.</w:t>
      </w:r>
    </w:p>
    <w:p w14:paraId="15F2B044" w14:textId="77777777" w:rsidR="00C34BEC" w:rsidRPr="00C34BEC" w:rsidRDefault="00C34BEC" w:rsidP="0085122E">
      <w:pPr>
        <w:pStyle w:val="Figurecaption"/>
      </w:pPr>
      <w:bookmarkStart w:id="228" w:name="_Ref67067667"/>
      <w:r w:rsidRPr="00C34BEC">
        <w:t xml:space="preserve">Table </w:t>
      </w:r>
      <w:fldSimple w:instr=" SEQ Table \* ARABIC ">
        <w:r w:rsidRPr="00C34BEC">
          <w:t>2</w:t>
        </w:r>
      </w:fldSimple>
      <w:bookmarkEnd w:id="228"/>
      <w:r w:rsidRPr="00C34BEC">
        <w:t xml:space="preserve"> – Criteria for Selecting Articles</w:t>
      </w:r>
    </w:p>
    <w:tbl>
      <w:tblPr>
        <w:tblW w:w="5000" w:type="pct"/>
        <w:tblCellMar>
          <w:left w:w="0" w:type="dxa"/>
          <w:right w:w="0" w:type="dxa"/>
        </w:tblCellMar>
        <w:tblLook w:val="04A0" w:firstRow="1" w:lastRow="0" w:firstColumn="1" w:lastColumn="0" w:noHBand="0" w:noVBand="1"/>
      </w:tblPr>
      <w:tblGrid>
        <w:gridCol w:w="5973"/>
        <w:gridCol w:w="1758"/>
        <w:gridCol w:w="1339"/>
      </w:tblGrid>
      <w:tr w:rsidR="00C34BEC" w:rsidRPr="00C34BEC" w14:paraId="74B4FF77" w14:textId="77777777" w:rsidTr="00C34BEC">
        <w:trPr>
          <w:trHeight w:val="327"/>
        </w:trPr>
        <w:tc>
          <w:tcPr>
            <w:tcW w:w="3293"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1A60CDE3" w14:textId="77777777" w:rsidR="00C34BEC" w:rsidRPr="00C34BEC" w:rsidRDefault="00C34BEC" w:rsidP="00C34BEC">
            <w:pPr>
              <w:pStyle w:val="Tabletext"/>
            </w:pPr>
            <w:r w:rsidRPr="00C34BEC">
              <w:t>Criteria</w:t>
            </w:r>
          </w:p>
        </w:tc>
        <w:tc>
          <w:tcPr>
            <w:tcW w:w="969"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EC74540" w14:textId="77777777" w:rsidR="00C34BEC" w:rsidRPr="00C34BEC" w:rsidRDefault="00C34BEC" w:rsidP="00C34BEC">
            <w:pPr>
              <w:pStyle w:val="Tabletext"/>
            </w:pPr>
            <w:r w:rsidRPr="00C34BEC">
              <w:t>Number of Studies</w:t>
            </w:r>
          </w:p>
        </w:tc>
        <w:tc>
          <w:tcPr>
            <w:tcW w:w="738"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DB85C2E" w14:textId="77777777" w:rsidR="00C34BEC" w:rsidRPr="00C34BEC" w:rsidRDefault="00C34BEC" w:rsidP="00C34BEC">
            <w:pPr>
              <w:pStyle w:val="Tabletext"/>
            </w:pPr>
            <w:r w:rsidRPr="00C34BEC">
              <w:t>Relevance</w:t>
            </w:r>
          </w:p>
        </w:tc>
      </w:tr>
      <w:tr w:rsidR="00C34BEC" w:rsidRPr="00C34BEC" w14:paraId="277D7388" w14:textId="77777777" w:rsidTr="00C34BEC">
        <w:trPr>
          <w:trHeight w:val="454"/>
        </w:trPr>
        <w:tc>
          <w:tcPr>
            <w:tcW w:w="3293"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EB95F41" w14:textId="77777777" w:rsidR="00C34BEC" w:rsidRPr="00C34BEC" w:rsidRDefault="00C34BEC" w:rsidP="00C34BEC">
            <w:pPr>
              <w:pStyle w:val="Tabletext"/>
            </w:pPr>
            <w:r w:rsidRPr="00C34BEC">
              <w:t>Studies developing an indicator/multiple indicators in order to explicitly evaluate the performance of CSCs</w:t>
            </w:r>
          </w:p>
        </w:tc>
        <w:tc>
          <w:tcPr>
            <w:tcW w:w="969"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08883787" w14:textId="77777777" w:rsidR="00C34BEC" w:rsidRPr="00C34BEC" w:rsidRDefault="00C34BEC" w:rsidP="00C34BEC">
            <w:pPr>
              <w:pStyle w:val="Tabletext"/>
            </w:pPr>
            <w:r w:rsidRPr="00C34BEC">
              <w:t>63</w:t>
            </w:r>
          </w:p>
        </w:tc>
        <w:tc>
          <w:tcPr>
            <w:tcW w:w="738"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CC6F3A2" w14:textId="77777777" w:rsidR="00C34BEC" w:rsidRPr="00C34BEC" w:rsidRDefault="00C34BEC" w:rsidP="00C34BEC">
            <w:pPr>
              <w:pStyle w:val="Tabletext"/>
              <w:rPr>
                <w:i/>
                <w:iCs/>
              </w:rPr>
            </w:pPr>
            <w:r w:rsidRPr="00C34BEC">
              <w:rPr>
                <w:i/>
                <w:iCs/>
              </w:rPr>
              <w:t>Included</w:t>
            </w:r>
          </w:p>
        </w:tc>
      </w:tr>
      <w:tr w:rsidR="00C34BEC" w:rsidRPr="00C34BEC" w14:paraId="539F69B4" w14:textId="77777777" w:rsidTr="00C34BEC">
        <w:trPr>
          <w:trHeight w:val="454"/>
        </w:trPr>
        <w:tc>
          <w:tcPr>
            <w:tcW w:w="3293"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12C5EE9E" w14:textId="77777777" w:rsidR="00C34BEC" w:rsidRPr="00C34BEC" w:rsidRDefault="00C34BEC" w:rsidP="00C34BEC">
            <w:pPr>
              <w:pStyle w:val="Tabletext"/>
            </w:pPr>
            <w:r w:rsidRPr="00C34BEC">
              <w:t>Studies employing an indicator/multiple indicators for CSCs in the context of wider Decision-Making models and problems</w:t>
            </w:r>
          </w:p>
        </w:tc>
        <w:tc>
          <w:tcPr>
            <w:tcW w:w="969"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E5FDE71" w14:textId="77777777" w:rsidR="00C34BEC" w:rsidRPr="00C34BEC" w:rsidRDefault="00C34BEC" w:rsidP="00C34BEC">
            <w:pPr>
              <w:pStyle w:val="Tabletext"/>
            </w:pPr>
            <w:r w:rsidRPr="00C34BEC">
              <w:t>140</w:t>
            </w:r>
          </w:p>
        </w:tc>
        <w:tc>
          <w:tcPr>
            <w:tcW w:w="738"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EE573FC" w14:textId="77777777" w:rsidR="00C34BEC" w:rsidRPr="00C34BEC" w:rsidRDefault="00C34BEC" w:rsidP="00C34BEC">
            <w:pPr>
              <w:pStyle w:val="Tabletext"/>
              <w:rPr>
                <w:i/>
                <w:iCs/>
              </w:rPr>
            </w:pPr>
            <w:r w:rsidRPr="00C34BEC">
              <w:rPr>
                <w:i/>
                <w:iCs/>
              </w:rPr>
              <w:t>Included</w:t>
            </w:r>
          </w:p>
        </w:tc>
      </w:tr>
      <w:tr w:rsidR="00C34BEC" w:rsidRPr="00C34BEC" w14:paraId="6354D3B8" w14:textId="77777777" w:rsidTr="00C34BEC">
        <w:trPr>
          <w:trHeight w:val="454"/>
        </w:trPr>
        <w:tc>
          <w:tcPr>
            <w:tcW w:w="3293"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5A71275" w14:textId="77777777" w:rsidR="00C34BEC" w:rsidRPr="00C34BEC" w:rsidRDefault="00C34BEC" w:rsidP="00C34BEC">
            <w:pPr>
              <w:pStyle w:val="Tabletext"/>
            </w:pPr>
            <w:r w:rsidRPr="00C34BEC">
              <w:t xml:space="preserve">Studies contributing to the CE literature without developing any indicator </w:t>
            </w:r>
          </w:p>
        </w:tc>
        <w:tc>
          <w:tcPr>
            <w:tcW w:w="969"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157BD3D8" w14:textId="77777777" w:rsidR="00C34BEC" w:rsidRPr="00C34BEC" w:rsidRDefault="00C34BEC" w:rsidP="00C34BEC">
            <w:pPr>
              <w:pStyle w:val="Tabletext"/>
            </w:pPr>
            <w:r w:rsidRPr="00C34BEC">
              <w:t>33</w:t>
            </w:r>
          </w:p>
        </w:tc>
        <w:tc>
          <w:tcPr>
            <w:tcW w:w="738" w:type="pct"/>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4A7AC7EE" w14:textId="77777777" w:rsidR="00C34BEC" w:rsidRPr="00C34BEC" w:rsidRDefault="00C34BEC" w:rsidP="00C34BEC">
            <w:pPr>
              <w:pStyle w:val="Tabletext"/>
              <w:rPr>
                <w:i/>
                <w:iCs/>
              </w:rPr>
            </w:pPr>
            <w:r w:rsidRPr="00C34BEC">
              <w:rPr>
                <w:i/>
                <w:iCs/>
              </w:rPr>
              <w:t>Excluded</w:t>
            </w:r>
          </w:p>
        </w:tc>
      </w:tr>
    </w:tbl>
    <w:p w14:paraId="484B2704" w14:textId="54F3CBA2" w:rsidR="00C34BEC" w:rsidRDefault="00C34BEC" w:rsidP="00C34BEC"/>
    <w:p w14:paraId="7F4C0FC5" w14:textId="77777777" w:rsidR="00D53414" w:rsidRPr="00C34BEC" w:rsidRDefault="00D53414" w:rsidP="00D53414">
      <w:r w:rsidRPr="00C34BEC">
        <w:t xml:space="preserve">Studies employing an indicator/multiple indicators for CSCs in the context of wider Decision-Making models and problems were </w:t>
      </w:r>
      <w:r w:rsidRPr="00C34BEC">
        <w:rPr>
          <w:i/>
          <w:iCs/>
        </w:rPr>
        <w:t>included</w:t>
      </w:r>
      <w:r w:rsidRPr="00C34BEC">
        <w:t>.</w:t>
      </w:r>
    </w:p>
    <w:p w14:paraId="2405EFEE" w14:textId="77777777" w:rsidR="00D53414" w:rsidRPr="00C34BEC" w:rsidRDefault="00D53414" w:rsidP="00D53414">
      <w:r w:rsidRPr="00C34BEC">
        <w:lastRenderedPageBreak/>
        <w:t xml:space="preserve">Studies contributing to the CE literature without developing any indicator were </w:t>
      </w:r>
      <w:r w:rsidRPr="00C34BEC">
        <w:rPr>
          <w:i/>
          <w:iCs/>
        </w:rPr>
        <w:t>excluded</w:t>
      </w:r>
      <w:r w:rsidRPr="00C34BEC">
        <w:t xml:space="preserve">. </w:t>
      </w:r>
    </w:p>
    <w:p w14:paraId="12D23E94" w14:textId="77777777" w:rsidR="00D53414" w:rsidRPr="00C34BEC" w:rsidRDefault="00D53414" w:rsidP="00D53414">
      <w:r w:rsidRPr="00C34BEC">
        <w:t xml:space="preserve">Another 33 articles were excluded, because they did not develop or use any indicator; thus, 203 articles were shortlisted for the purpose of the analysis. Again for this process, at least two team members operated independently, assigning each paper to each category according to the four criteria as suggested by </w:t>
      </w:r>
      <w:proofErr w:type="spellStart"/>
      <w:r w:rsidRPr="00C34BEC">
        <w:t>Maestrini</w:t>
      </w:r>
      <w:proofErr w:type="spellEnd"/>
      <w:r w:rsidRPr="00C34BEC">
        <w:t xml:space="preserve"> et al. (2017). </w:t>
      </w:r>
    </w:p>
    <w:p w14:paraId="062490E2" w14:textId="77777777" w:rsidR="00C34BEC" w:rsidRPr="00C34BEC" w:rsidRDefault="00C34BEC" w:rsidP="00C34BEC">
      <w:pPr>
        <w:pStyle w:val="Heading4Paragraph"/>
        <w:rPr>
          <w:lang w:val="en-US"/>
        </w:rPr>
      </w:pPr>
      <w:r w:rsidRPr="00C34BEC">
        <w:rPr>
          <w:lang w:val="en-US"/>
        </w:rPr>
        <w:t>Data Analysis</w:t>
      </w:r>
    </w:p>
    <w:p w14:paraId="43D6EC11" w14:textId="73292986" w:rsidR="00C34BEC" w:rsidRDefault="00C34BEC" w:rsidP="00C34BEC">
      <w:r w:rsidRPr="00C34BEC">
        <w:t xml:space="preserve">Finally, a critical analysis of the 203 shortlisted articles was performed, with the aim of summarising the relevant findings and highlighting the messages. Existing models </w:t>
      </w:r>
      <w:r w:rsidR="00F07293" w:rsidRPr="00C34BEC">
        <w:t>were surveyed</w:t>
      </w:r>
      <w:r w:rsidRPr="00C34BEC">
        <w:t xml:space="preserve"> on the basis of the research method employed, the types of decision supported, the sustainability dimension considered and the indicators employed. Single metrics were tracked, in order to understand the most popular ones. DSTs that employed multiple metrics were also classified according to normalisation and/or aggregation approaches. An overview of the classification dimensions is provided in Table 3.</w:t>
      </w:r>
    </w:p>
    <w:p w14:paraId="272B2A55" w14:textId="77777777" w:rsidR="00C34BEC" w:rsidRPr="00C34BEC" w:rsidRDefault="00C34BEC" w:rsidP="00813A79">
      <w:pPr>
        <w:pStyle w:val="Figurecaption"/>
      </w:pPr>
      <w:r w:rsidRPr="00C34BEC">
        <w:t xml:space="preserve">Table </w:t>
      </w:r>
      <w:fldSimple w:instr=" SEQ Table \* ARABIC ">
        <w:r w:rsidRPr="00C34BEC">
          <w:t>3</w:t>
        </w:r>
      </w:fldSimple>
      <w:r w:rsidRPr="00C34BEC">
        <w:t xml:space="preserve"> – Indicators Classification Dimensions</w:t>
      </w:r>
    </w:p>
    <w:tbl>
      <w:tblPr>
        <w:tblW w:w="0" w:type="auto"/>
        <w:tblBorders>
          <w:top w:val="single" w:sz="4" w:space="0" w:color="auto"/>
          <w:bottom w:val="single" w:sz="4" w:space="0" w:color="auto"/>
        </w:tblBorders>
        <w:tblLook w:val="04A0" w:firstRow="1" w:lastRow="0" w:firstColumn="1" w:lastColumn="0" w:noHBand="0" w:noVBand="1"/>
      </w:tblPr>
      <w:tblGrid>
        <w:gridCol w:w="2718"/>
        <w:gridCol w:w="6352"/>
      </w:tblGrid>
      <w:tr w:rsidR="00C34BEC" w:rsidRPr="0085122E" w14:paraId="73FACC2F" w14:textId="77777777" w:rsidTr="00C34BEC">
        <w:trPr>
          <w:trHeight w:val="300"/>
        </w:trPr>
        <w:tc>
          <w:tcPr>
            <w:tcW w:w="0" w:type="auto"/>
            <w:tcBorders>
              <w:top w:val="single" w:sz="4" w:space="0" w:color="auto"/>
              <w:bottom w:val="single" w:sz="4" w:space="0" w:color="auto"/>
            </w:tcBorders>
            <w:shd w:val="clear" w:color="000000" w:fill="FFFFFF"/>
            <w:vAlign w:val="center"/>
            <w:hideMark/>
          </w:tcPr>
          <w:p w14:paraId="3E03D6C5" w14:textId="77777777" w:rsidR="00C34BEC" w:rsidRPr="0085122E" w:rsidRDefault="00C34BEC" w:rsidP="0085122E">
            <w:pPr>
              <w:pStyle w:val="Tabletext"/>
            </w:pPr>
            <w:r w:rsidRPr="0085122E">
              <w:t>Classification Dimension</w:t>
            </w:r>
          </w:p>
        </w:tc>
        <w:tc>
          <w:tcPr>
            <w:tcW w:w="0" w:type="auto"/>
            <w:tcBorders>
              <w:top w:val="single" w:sz="4" w:space="0" w:color="auto"/>
              <w:bottom w:val="single" w:sz="4" w:space="0" w:color="auto"/>
            </w:tcBorders>
            <w:shd w:val="clear" w:color="auto" w:fill="F2F2F2" w:themeFill="background1" w:themeFillShade="F2"/>
            <w:vAlign w:val="center"/>
            <w:hideMark/>
          </w:tcPr>
          <w:p w14:paraId="34531FE1" w14:textId="77777777" w:rsidR="00C34BEC" w:rsidRPr="0085122E" w:rsidRDefault="00C34BEC" w:rsidP="0085122E">
            <w:pPr>
              <w:pStyle w:val="Tabletext"/>
            </w:pPr>
            <w:r w:rsidRPr="0085122E">
              <w:t>Example</w:t>
            </w:r>
          </w:p>
        </w:tc>
      </w:tr>
      <w:tr w:rsidR="00C34BEC" w:rsidRPr="0085122E" w14:paraId="44C5AB99" w14:textId="77777777" w:rsidTr="00C34BEC">
        <w:trPr>
          <w:trHeight w:val="300"/>
        </w:trPr>
        <w:tc>
          <w:tcPr>
            <w:tcW w:w="0" w:type="auto"/>
            <w:tcBorders>
              <w:top w:val="single" w:sz="4" w:space="0" w:color="auto"/>
              <w:bottom w:val="single" w:sz="4" w:space="0" w:color="auto"/>
            </w:tcBorders>
            <w:shd w:val="clear" w:color="000000" w:fill="FFFFFF"/>
            <w:hideMark/>
          </w:tcPr>
          <w:p w14:paraId="777811EB" w14:textId="77777777" w:rsidR="00C34BEC" w:rsidRPr="0085122E" w:rsidRDefault="00C34BEC" w:rsidP="0085122E">
            <w:pPr>
              <w:pStyle w:val="Tabletext"/>
            </w:pPr>
            <w:r w:rsidRPr="0085122E">
              <w:t>Authors</w:t>
            </w:r>
          </w:p>
        </w:tc>
        <w:tc>
          <w:tcPr>
            <w:tcW w:w="0" w:type="auto"/>
            <w:tcBorders>
              <w:top w:val="single" w:sz="4" w:space="0" w:color="auto"/>
              <w:bottom w:val="single" w:sz="4" w:space="0" w:color="auto"/>
            </w:tcBorders>
            <w:shd w:val="clear" w:color="auto" w:fill="F2F2F2" w:themeFill="background1" w:themeFillShade="F2"/>
            <w:vAlign w:val="center"/>
            <w:hideMark/>
          </w:tcPr>
          <w:p w14:paraId="54546579" w14:textId="77777777" w:rsidR="00C34BEC" w:rsidRPr="0085122E" w:rsidRDefault="00C34BEC" w:rsidP="0085122E">
            <w:pPr>
              <w:pStyle w:val="Tabletext"/>
            </w:pPr>
            <w:proofErr w:type="spellStart"/>
            <w:r w:rsidRPr="0085122E">
              <w:t>Taskhiri</w:t>
            </w:r>
            <w:proofErr w:type="spellEnd"/>
            <w:r w:rsidRPr="0085122E">
              <w:t xml:space="preserve">, MS; </w:t>
            </w:r>
            <w:proofErr w:type="spellStart"/>
            <w:r w:rsidRPr="0085122E">
              <w:t>Jeswani</w:t>
            </w:r>
            <w:proofErr w:type="spellEnd"/>
            <w:r w:rsidRPr="0085122E">
              <w:t xml:space="preserve">, H; </w:t>
            </w:r>
            <w:proofErr w:type="spellStart"/>
            <w:r w:rsidRPr="0085122E">
              <w:t>Geldermann</w:t>
            </w:r>
            <w:proofErr w:type="spellEnd"/>
            <w:r w:rsidRPr="0085122E">
              <w:t xml:space="preserve">, J; </w:t>
            </w:r>
            <w:proofErr w:type="spellStart"/>
            <w:r w:rsidRPr="0085122E">
              <w:t>Azapagic</w:t>
            </w:r>
            <w:proofErr w:type="spellEnd"/>
            <w:r w:rsidRPr="0085122E">
              <w:t>, A</w:t>
            </w:r>
          </w:p>
        </w:tc>
      </w:tr>
      <w:tr w:rsidR="00C34BEC" w:rsidRPr="0085122E" w14:paraId="6467F86A" w14:textId="77777777" w:rsidTr="00C34BEC">
        <w:trPr>
          <w:trHeight w:val="414"/>
        </w:trPr>
        <w:tc>
          <w:tcPr>
            <w:tcW w:w="0" w:type="auto"/>
            <w:tcBorders>
              <w:top w:val="single" w:sz="4" w:space="0" w:color="auto"/>
              <w:bottom w:val="single" w:sz="4" w:space="0" w:color="auto"/>
            </w:tcBorders>
            <w:shd w:val="clear" w:color="000000" w:fill="FFFFFF"/>
            <w:hideMark/>
          </w:tcPr>
          <w:p w14:paraId="6E54E1D9" w14:textId="77777777" w:rsidR="00C34BEC" w:rsidRPr="0085122E" w:rsidRDefault="00C34BEC" w:rsidP="0085122E">
            <w:pPr>
              <w:pStyle w:val="Tabletext"/>
            </w:pPr>
            <w:r w:rsidRPr="0085122E">
              <w:t>Title</w:t>
            </w:r>
          </w:p>
        </w:tc>
        <w:tc>
          <w:tcPr>
            <w:tcW w:w="0" w:type="auto"/>
            <w:tcBorders>
              <w:top w:val="single" w:sz="4" w:space="0" w:color="auto"/>
              <w:bottom w:val="single" w:sz="4" w:space="0" w:color="auto"/>
            </w:tcBorders>
            <w:shd w:val="clear" w:color="auto" w:fill="F2F2F2" w:themeFill="background1" w:themeFillShade="F2"/>
            <w:vAlign w:val="center"/>
            <w:hideMark/>
          </w:tcPr>
          <w:p w14:paraId="496936CB" w14:textId="77777777" w:rsidR="00C34BEC" w:rsidRPr="0085122E" w:rsidRDefault="00C34BEC" w:rsidP="0085122E">
            <w:pPr>
              <w:pStyle w:val="Tabletext"/>
            </w:pPr>
            <w:r w:rsidRPr="0085122E">
              <w:t>Optimising cascaded utilisation of wood resources considering economic and environmental aspects</w:t>
            </w:r>
          </w:p>
        </w:tc>
      </w:tr>
      <w:tr w:rsidR="00C34BEC" w:rsidRPr="0085122E" w14:paraId="2782F5E7" w14:textId="77777777" w:rsidTr="00C34BEC">
        <w:trPr>
          <w:trHeight w:val="300"/>
        </w:trPr>
        <w:tc>
          <w:tcPr>
            <w:tcW w:w="0" w:type="auto"/>
            <w:tcBorders>
              <w:top w:val="single" w:sz="4" w:space="0" w:color="auto"/>
              <w:bottom w:val="single" w:sz="4" w:space="0" w:color="auto"/>
            </w:tcBorders>
            <w:shd w:val="clear" w:color="000000" w:fill="FFFFFF"/>
            <w:hideMark/>
          </w:tcPr>
          <w:p w14:paraId="03B1DF37" w14:textId="77777777" w:rsidR="00C34BEC" w:rsidRPr="0085122E" w:rsidRDefault="00C34BEC" w:rsidP="0085122E">
            <w:pPr>
              <w:pStyle w:val="Tabletext"/>
            </w:pPr>
            <w:r w:rsidRPr="0085122E">
              <w:t>Year</w:t>
            </w:r>
          </w:p>
        </w:tc>
        <w:tc>
          <w:tcPr>
            <w:tcW w:w="0" w:type="auto"/>
            <w:tcBorders>
              <w:top w:val="single" w:sz="4" w:space="0" w:color="auto"/>
              <w:bottom w:val="single" w:sz="4" w:space="0" w:color="auto"/>
            </w:tcBorders>
            <w:shd w:val="clear" w:color="auto" w:fill="F2F2F2" w:themeFill="background1" w:themeFillShade="F2"/>
            <w:vAlign w:val="center"/>
            <w:hideMark/>
          </w:tcPr>
          <w:p w14:paraId="59CCF940" w14:textId="77777777" w:rsidR="00C34BEC" w:rsidRPr="0085122E" w:rsidRDefault="00C34BEC" w:rsidP="0085122E">
            <w:pPr>
              <w:pStyle w:val="Tabletext"/>
            </w:pPr>
            <w:r w:rsidRPr="0085122E">
              <w:t>2019</w:t>
            </w:r>
          </w:p>
        </w:tc>
      </w:tr>
      <w:tr w:rsidR="00C34BEC" w:rsidRPr="0085122E" w14:paraId="5058CCD5" w14:textId="77777777" w:rsidTr="00C34BEC">
        <w:trPr>
          <w:trHeight w:val="300"/>
        </w:trPr>
        <w:tc>
          <w:tcPr>
            <w:tcW w:w="0" w:type="auto"/>
            <w:tcBorders>
              <w:top w:val="single" w:sz="4" w:space="0" w:color="auto"/>
              <w:bottom w:val="single" w:sz="4" w:space="0" w:color="auto"/>
            </w:tcBorders>
            <w:shd w:val="clear" w:color="000000" w:fill="FFFFFF"/>
            <w:hideMark/>
          </w:tcPr>
          <w:p w14:paraId="662056BD" w14:textId="77777777" w:rsidR="00C34BEC" w:rsidRPr="0085122E" w:rsidRDefault="00C34BEC" w:rsidP="0085122E">
            <w:pPr>
              <w:pStyle w:val="Tabletext"/>
            </w:pPr>
            <w:r w:rsidRPr="0085122E">
              <w:t>Source</w:t>
            </w:r>
          </w:p>
        </w:tc>
        <w:tc>
          <w:tcPr>
            <w:tcW w:w="0" w:type="auto"/>
            <w:tcBorders>
              <w:top w:val="single" w:sz="4" w:space="0" w:color="auto"/>
              <w:bottom w:val="single" w:sz="4" w:space="0" w:color="auto"/>
            </w:tcBorders>
            <w:shd w:val="clear" w:color="auto" w:fill="F2F2F2" w:themeFill="background1" w:themeFillShade="F2"/>
            <w:vAlign w:val="center"/>
            <w:hideMark/>
          </w:tcPr>
          <w:p w14:paraId="01AC76DE" w14:textId="77777777" w:rsidR="00C34BEC" w:rsidRPr="0085122E" w:rsidRDefault="00C34BEC" w:rsidP="0085122E">
            <w:pPr>
              <w:pStyle w:val="Tabletext"/>
            </w:pPr>
            <w:r w:rsidRPr="0085122E">
              <w:t>Computers &amp; Chemical Engineering</w:t>
            </w:r>
          </w:p>
        </w:tc>
      </w:tr>
      <w:tr w:rsidR="00C34BEC" w:rsidRPr="0085122E" w14:paraId="360E0961" w14:textId="77777777" w:rsidTr="00C34BEC">
        <w:trPr>
          <w:trHeight w:val="300"/>
        </w:trPr>
        <w:tc>
          <w:tcPr>
            <w:tcW w:w="0" w:type="auto"/>
            <w:tcBorders>
              <w:top w:val="single" w:sz="4" w:space="0" w:color="auto"/>
              <w:bottom w:val="single" w:sz="4" w:space="0" w:color="auto"/>
            </w:tcBorders>
            <w:shd w:val="clear" w:color="000000" w:fill="FFFFFF"/>
            <w:hideMark/>
          </w:tcPr>
          <w:p w14:paraId="79B6EB55" w14:textId="77777777" w:rsidR="00C34BEC" w:rsidRPr="0085122E" w:rsidRDefault="00C34BEC" w:rsidP="0085122E">
            <w:pPr>
              <w:pStyle w:val="Tabletext"/>
            </w:pPr>
            <w:r w:rsidRPr="0085122E">
              <w:t>Decision type</w:t>
            </w:r>
          </w:p>
        </w:tc>
        <w:tc>
          <w:tcPr>
            <w:tcW w:w="0" w:type="auto"/>
            <w:tcBorders>
              <w:top w:val="single" w:sz="4" w:space="0" w:color="auto"/>
              <w:bottom w:val="single" w:sz="4" w:space="0" w:color="auto"/>
            </w:tcBorders>
            <w:shd w:val="clear" w:color="auto" w:fill="F2F2F2" w:themeFill="background1" w:themeFillShade="F2"/>
            <w:vAlign w:val="center"/>
            <w:hideMark/>
          </w:tcPr>
          <w:p w14:paraId="796F188E" w14:textId="77777777" w:rsidR="00C34BEC" w:rsidRPr="0085122E" w:rsidRDefault="00C34BEC" w:rsidP="0085122E">
            <w:pPr>
              <w:pStyle w:val="Tabletext"/>
            </w:pPr>
            <w:r w:rsidRPr="0085122E">
              <w:t xml:space="preserve">Strategic </w:t>
            </w:r>
          </w:p>
        </w:tc>
      </w:tr>
      <w:tr w:rsidR="00C34BEC" w:rsidRPr="0085122E" w14:paraId="34358E64" w14:textId="77777777" w:rsidTr="00C34BEC">
        <w:trPr>
          <w:trHeight w:val="300"/>
        </w:trPr>
        <w:tc>
          <w:tcPr>
            <w:tcW w:w="0" w:type="auto"/>
            <w:tcBorders>
              <w:top w:val="single" w:sz="4" w:space="0" w:color="auto"/>
              <w:bottom w:val="single" w:sz="4" w:space="0" w:color="auto"/>
            </w:tcBorders>
            <w:shd w:val="clear" w:color="000000" w:fill="FFFFFF"/>
          </w:tcPr>
          <w:p w14:paraId="538AA993" w14:textId="77777777" w:rsidR="00C34BEC" w:rsidRPr="0085122E" w:rsidRDefault="00C34BEC" w:rsidP="0085122E">
            <w:pPr>
              <w:pStyle w:val="Tabletext"/>
            </w:pPr>
            <w:r w:rsidRPr="0085122E">
              <w:t>Detailed Decision</w:t>
            </w:r>
          </w:p>
        </w:tc>
        <w:tc>
          <w:tcPr>
            <w:tcW w:w="0" w:type="auto"/>
            <w:tcBorders>
              <w:top w:val="single" w:sz="4" w:space="0" w:color="auto"/>
              <w:bottom w:val="single" w:sz="4" w:space="0" w:color="auto"/>
            </w:tcBorders>
            <w:shd w:val="clear" w:color="auto" w:fill="F2F2F2" w:themeFill="background1" w:themeFillShade="F2"/>
            <w:vAlign w:val="center"/>
          </w:tcPr>
          <w:p w14:paraId="0998565B" w14:textId="77777777" w:rsidR="00C34BEC" w:rsidRPr="0085122E" w:rsidRDefault="00C34BEC" w:rsidP="0085122E">
            <w:pPr>
              <w:pStyle w:val="Tabletext"/>
            </w:pPr>
            <w:r w:rsidRPr="0085122E">
              <w:t>Circular Supply Chain Network Design - Compare alternative scenario</w:t>
            </w:r>
          </w:p>
        </w:tc>
      </w:tr>
      <w:tr w:rsidR="00C34BEC" w:rsidRPr="0085122E" w14:paraId="01BD79A7" w14:textId="77777777" w:rsidTr="00C34BEC">
        <w:trPr>
          <w:trHeight w:val="300"/>
        </w:trPr>
        <w:tc>
          <w:tcPr>
            <w:tcW w:w="0" w:type="auto"/>
            <w:tcBorders>
              <w:top w:val="single" w:sz="4" w:space="0" w:color="auto"/>
              <w:bottom w:val="single" w:sz="4" w:space="0" w:color="auto"/>
            </w:tcBorders>
            <w:shd w:val="clear" w:color="000000" w:fill="FFFFFF"/>
            <w:hideMark/>
          </w:tcPr>
          <w:p w14:paraId="05A4680D" w14:textId="77777777" w:rsidR="00C34BEC" w:rsidRPr="0085122E" w:rsidRDefault="00C34BEC" w:rsidP="0085122E">
            <w:pPr>
              <w:pStyle w:val="Tabletext"/>
            </w:pPr>
            <w:r w:rsidRPr="0085122E">
              <w:t>Modelling approach</w:t>
            </w:r>
          </w:p>
        </w:tc>
        <w:tc>
          <w:tcPr>
            <w:tcW w:w="0" w:type="auto"/>
            <w:tcBorders>
              <w:top w:val="single" w:sz="4" w:space="0" w:color="auto"/>
              <w:bottom w:val="single" w:sz="4" w:space="0" w:color="auto"/>
            </w:tcBorders>
            <w:shd w:val="clear" w:color="auto" w:fill="F2F2F2" w:themeFill="background1" w:themeFillShade="F2"/>
            <w:vAlign w:val="center"/>
            <w:hideMark/>
          </w:tcPr>
          <w:p w14:paraId="0F386669" w14:textId="77777777" w:rsidR="00C34BEC" w:rsidRPr="0085122E" w:rsidRDefault="00C34BEC" w:rsidP="0085122E">
            <w:pPr>
              <w:pStyle w:val="Tabletext"/>
            </w:pPr>
            <w:r w:rsidRPr="0085122E">
              <w:t>Mathematical programming method</w:t>
            </w:r>
          </w:p>
        </w:tc>
      </w:tr>
      <w:tr w:rsidR="00C34BEC" w:rsidRPr="0085122E" w14:paraId="384563F6" w14:textId="77777777" w:rsidTr="00C34BEC">
        <w:trPr>
          <w:trHeight w:val="269"/>
        </w:trPr>
        <w:tc>
          <w:tcPr>
            <w:tcW w:w="0" w:type="auto"/>
            <w:tcBorders>
              <w:top w:val="single" w:sz="4" w:space="0" w:color="auto"/>
              <w:bottom w:val="single" w:sz="4" w:space="0" w:color="auto"/>
            </w:tcBorders>
            <w:shd w:val="clear" w:color="000000" w:fill="FFFFFF"/>
            <w:hideMark/>
          </w:tcPr>
          <w:p w14:paraId="5CF0B549" w14:textId="77777777" w:rsidR="00C34BEC" w:rsidRPr="0085122E" w:rsidRDefault="00C34BEC" w:rsidP="0085122E">
            <w:pPr>
              <w:pStyle w:val="Tabletext"/>
            </w:pPr>
            <w:r w:rsidRPr="0085122E">
              <w:t>Research Method</w:t>
            </w:r>
          </w:p>
        </w:tc>
        <w:tc>
          <w:tcPr>
            <w:tcW w:w="0" w:type="auto"/>
            <w:tcBorders>
              <w:top w:val="single" w:sz="4" w:space="0" w:color="auto"/>
              <w:bottom w:val="single" w:sz="4" w:space="0" w:color="auto"/>
            </w:tcBorders>
            <w:shd w:val="clear" w:color="auto" w:fill="F2F2F2" w:themeFill="background1" w:themeFillShade="F2"/>
            <w:vAlign w:val="center"/>
            <w:hideMark/>
          </w:tcPr>
          <w:p w14:paraId="1967A583" w14:textId="77777777" w:rsidR="00C34BEC" w:rsidRPr="0085122E" w:rsidRDefault="00C34BEC" w:rsidP="0085122E">
            <w:pPr>
              <w:pStyle w:val="Tabletext"/>
            </w:pPr>
            <w:r w:rsidRPr="0085122E">
              <w:t>Optimisation (&amp; Life Cycle Assessment)</w:t>
            </w:r>
          </w:p>
        </w:tc>
      </w:tr>
      <w:tr w:rsidR="00C34BEC" w:rsidRPr="0085122E" w14:paraId="3E38E2D6" w14:textId="77777777" w:rsidTr="00C34BEC">
        <w:trPr>
          <w:trHeight w:val="300"/>
        </w:trPr>
        <w:tc>
          <w:tcPr>
            <w:tcW w:w="0" w:type="auto"/>
            <w:tcBorders>
              <w:top w:val="single" w:sz="4" w:space="0" w:color="auto"/>
              <w:bottom w:val="single" w:sz="4" w:space="0" w:color="auto"/>
            </w:tcBorders>
            <w:shd w:val="clear" w:color="000000" w:fill="FFFFFF"/>
            <w:hideMark/>
          </w:tcPr>
          <w:p w14:paraId="5918B83F" w14:textId="77777777" w:rsidR="00C34BEC" w:rsidRPr="0085122E" w:rsidRDefault="00C34BEC" w:rsidP="0085122E">
            <w:pPr>
              <w:pStyle w:val="Tabletext"/>
            </w:pPr>
            <w:r w:rsidRPr="0085122E">
              <w:t xml:space="preserve">Detailed Research Method </w:t>
            </w:r>
          </w:p>
        </w:tc>
        <w:tc>
          <w:tcPr>
            <w:tcW w:w="0" w:type="auto"/>
            <w:tcBorders>
              <w:top w:val="single" w:sz="4" w:space="0" w:color="auto"/>
              <w:bottom w:val="single" w:sz="4" w:space="0" w:color="auto"/>
            </w:tcBorders>
            <w:shd w:val="clear" w:color="auto" w:fill="F2F2F2" w:themeFill="background1" w:themeFillShade="F2"/>
            <w:vAlign w:val="center"/>
            <w:hideMark/>
          </w:tcPr>
          <w:p w14:paraId="24612799" w14:textId="77777777" w:rsidR="00C34BEC" w:rsidRPr="0085122E" w:rsidRDefault="00C34BEC" w:rsidP="0085122E">
            <w:pPr>
              <w:pStyle w:val="Tabletext"/>
            </w:pPr>
            <w:r w:rsidRPr="0085122E">
              <w:t>Mixed Integers Linear Programming</w:t>
            </w:r>
          </w:p>
        </w:tc>
      </w:tr>
      <w:tr w:rsidR="00C34BEC" w:rsidRPr="0085122E" w14:paraId="3BB12D89" w14:textId="77777777" w:rsidTr="00C34BEC">
        <w:trPr>
          <w:trHeight w:val="300"/>
        </w:trPr>
        <w:tc>
          <w:tcPr>
            <w:tcW w:w="0" w:type="auto"/>
            <w:tcBorders>
              <w:top w:val="single" w:sz="4" w:space="0" w:color="auto"/>
              <w:bottom w:val="single" w:sz="4" w:space="0" w:color="auto"/>
            </w:tcBorders>
            <w:shd w:val="clear" w:color="000000" w:fill="FFFFFF"/>
            <w:hideMark/>
          </w:tcPr>
          <w:p w14:paraId="276305CF" w14:textId="77777777" w:rsidR="00C34BEC" w:rsidRPr="0085122E" w:rsidRDefault="00C34BEC" w:rsidP="0085122E">
            <w:pPr>
              <w:pStyle w:val="Tabletext"/>
            </w:pPr>
            <w:r w:rsidRPr="0085122E">
              <w:t>TBL Dimensions considered</w:t>
            </w:r>
          </w:p>
        </w:tc>
        <w:tc>
          <w:tcPr>
            <w:tcW w:w="0" w:type="auto"/>
            <w:tcBorders>
              <w:top w:val="single" w:sz="4" w:space="0" w:color="auto"/>
              <w:bottom w:val="single" w:sz="4" w:space="0" w:color="auto"/>
            </w:tcBorders>
            <w:shd w:val="clear" w:color="auto" w:fill="F2F2F2" w:themeFill="background1" w:themeFillShade="F2"/>
            <w:vAlign w:val="center"/>
            <w:hideMark/>
          </w:tcPr>
          <w:p w14:paraId="1CE2966A" w14:textId="77777777" w:rsidR="00C34BEC" w:rsidRPr="0085122E" w:rsidRDefault="00C34BEC" w:rsidP="0085122E">
            <w:pPr>
              <w:pStyle w:val="Tabletext"/>
            </w:pPr>
            <w:r w:rsidRPr="0085122E">
              <w:t>Economic &amp; Environmental</w:t>
            </w:r>
          </w:p>
        </w:tc>
      </w:tr>
      <w:tr w:rsidR="00C34BEC" w:rsidRPr="0085122E" w14:paraId="059A54AB" w14:textId="77777777" w:rsidTr="00C34BEC">
        <w:trPr>
          <w:trHeight w:val="300"/>
        </w:trPr>
        <w:tc>
          <w:tcPr>
            <w:tcW w:w="0" w:type="auto"/>
            <w:tcBorders>
              <w:top w:val="single" w:sz="4" w:space="0" w:color="auto"/>
              <w:bottom w:val="single" w:sz="4" w:space="0" w:color="auto"/>
            </w:tcBorders>
            <w:shd w:val="clear" w:color="000000" w:fill="FFFFFF"/>
            <w:hideMark/>
          </w:tcPr>
          <w:p w14:paraId="172CB01F" w14:textId="77777777" w:rsidR="00C34BEC" w:rsidRPr="0085122E" w:rsidRDefault="00C34BEC" w:rsidP="0085122E">
            <w:pPr>
              <w:pStyle w:val="Tabletext"/>
            </w:pPr>
            <w:r w:rsidRPr="0085122E">
              <w:t>Economic metrics</w:t>
            </w:r>
          </w:p>
        </w:tc>
        <w:tc>
          <w:tcPr>
            <w:tcW w:w="0" w:type="auto"/>
            <w:tcBorders>
              <w:top w:val="single" w:sz="4" w:space="0" w:color="auto"/>
              <w:bottom w:val="single" w:sz="4" w:space="0" w:color="auto"/>
            </w:tcBorders>
            <w:shd w:val="clear" w:color="auto" w:fill="F2F2F2" w:themeFill="background1" w:themeFillShade="F2"/>
            <w:vAlign w:val="center"/>
            <w:hideMark/>
          </w:tcPr>
          <w:p w14:paraId="286D5673" w14:textId="77777777" w:rsidR="00C34BEC" w:rsidRPr="0085122E" w:rsidRDefault="00C34BEC" w:rsidP="0085122E">
            <w:pPr>
              <w:pStyle w:val="Tabletext"/>
            </w:pPr>
            <w:r w:rsidRPr="0085122E">
              <w:t>Circular Supply Chain Cost</w:t>
            </w:r>
          </w:p>
        </w:tc>
      </w:tr>
      <w:tr w:rsidR="00C34BEC" w:rsidRPr="0085122E" w14:paraId="04EAB087" w14:textId="77777777" w:rsidTr="00C34BEC">
        <w:trPr>
          <w:trHeight w:val="1272"/>
        </w:trPr>
        <w:tc>
          <w:tcPr>
            <w:tcW w:w="0" w:type="auto"/>
            <w:tcBorders>
              <w:top w:val="single" w:sz="4" w:space="0" w:color="auto"/>
              <w:bottom w:val="single" w:sz="4" w:space="0" w:color="auto"/>
            </w:tcBorders>
            <w:shd w:val="clear" w:color="000000" w:fill="FFFFFF"/>
            <w:hideMark/>
          </w:tcPr>
          <w:p w14:paraId="0CAEE443" w14:textId="77777777" w:rsidR="00C34BEC" w:rsidRPr="0085122E" w:rsidRDefault="00C34BEC" w:rsidP="0085122E">
            <w:pPr>
              <w:pStyle w:val="Tabletext"/>
            </w:pPr>
            <w:r w:rsidRPr="0085122E">
              <w:t>Environmental metrics</w:t>
            </w:r>
          </w:p>
        </w:tc>
        <w:tc>
          <w:tcPr>
            <w:tcW w:w="0" w:type="auto"/>
            <w:tcBorders>
              <w:top w:val="single" w:sz="4" w:space="0" w:color="auto"/>
              <w:bottom w:val="single" w:sz="4" w:space="0" w:color="auto"/>
            </w:tcBorders>
            <w:shd w:val="clear" w:color="auto" w:fill="F2F2F2" w:themeFill="background1" w:themeFillShade="F2"/>
            <w:vAlign w:val="center"/>
            <w:hideMark/>
          </w:tcPr>
          <w:p w14:paraId="2C77A466" w14:textId="77777777" w:rsidR="00C34BEC" w:rsidRPr="0085122E" w:rsidRDefault="00C34BEC" w:rsidP="0085122E">
            <w:pPr>
              <w:pStyle w:val="Tabletext"/>
            </w:pPr>
            <w:r w:rsidRPr="0085122E">
              <w:t xml:space="preserve">• Global Warming Potential (GWP); • abiotic depletion potential of resources (ADP); • acidification potential (AP); • eutrophication potential (EP); • freshwater aquatic </w:t>
            </w:r>
            <w:proofErr w:type="spellStart"/>
            <w:r w:rsidRPr="0085122E">
              <w:t>ecotoxicity</w:t>
            </w:r>
            <w:proofErr w:type="spellEnd"/>
            <w:r w:rsidRPr="0085122E">
              <w:t xml:space="preserve"> potential (FAETP); • human toxicity potential (HTP); • marine aquatic </w:t>
            </w:r>
            <w:proofErr w:type="spellStart"/>
            <w:r w:rsidRPr="0085122E">
              <w:t>ecotoxicity</w:t>
            </w:r>
            <w:proofErr w:type="spellEnd"/>
            <w:r w:rsidRPr="0085122E">
              <w:t xml:space="preserve"> potential (MAETP); • ozone depletion potential (ODP); • photochemical ozone creation potential (POCP); • terrestrial </w:t>
            </w:r>
            <w:proofErr w:type="spellStart"/>
            <w:r w:rsidRPr="0085122E">
              <w:t>ecotoxicity</w:t>
            </w:r>
            <w:proofErr w:type="spellEnd"/>
            <w:r w:rsidRPr="0085122E">
              <w:t xml:space="preserve"> potential (TETP) </w:t>
            </w:r>
          </w:p>
        </w:tc>
      </w:tr>
      <w:tr w:rsidR="00C34BEC" w:rsidRPr="0085122E" w14:paraId="300E14D7" w14:textId="77777777" w:rsidTr="00C34BEC">
        <w:trPr>
          <w:trHeight w:val="300"/>
        </w:trPr>
        <w:tc>
          <w:tcPr>
            <w:tcW w:w="0" w:type="auto"/>
            <w:tcBorders>
              <w:top w:val="single" w:sz="4" w:space="0" w:color="auto"/>
              <w:bottom w:val="single" w:sz="4" w:space="0" w:color="auto"/>
            </w:tcBorders>
            <w:shd w:val="clear" w:color="000000" w:fill="FFFFFF"/>
            <w:hideMark/>
          </w:tcPr>
          <w:p w14:paraId="3A82EBDB" w14:textId="77777777" w:rsidR="00C34BEC" w:rsidRPr="0085122E" w:rsidRDefault="00C34BEC" w:rsidP="0085122E">
            <w:pPr>
              <w:pStyle w:val="Tabletext"/>
            </w:pPr>
            <w:r w:rsidRPr="0085122E">
              <w:t>Social metrics</w:t>
            </w:r>
          </w:p>
        </w:tc>
        <w:tc>
          <w:tcPr>
            <w:tcW w:w="0" w:type="auto"/>
            <w:tcBorders>
              <w:top w:val="single" w:sz="4" w:space="0" w:color="auto"/>
              <w:bottom w:val="single" w:sz="4" w:space="0" w:color="auto"/>
            </w:tcBorders>
            <w:shd w:val="clear" w:color="auto" w:fill="F2F2F2" w:themeFill="background1" w:themeFillShade="F2"/>
            <w:vAlign w:val="center"/>
            <w:hideMark/>
          </w:tcPr>
          <w:p w14:paraId="4B9F0EF8" w14:textId="77777777" w:rsidR="00C34BEC" w:rsidRPr="0085122E" w:rsidRDefault="00C34BEC" w:rsidP="0085122E">
            <w:pPr>
              <w:pStyle w:val="Tabletext"/>
            </w:pPr>
            <w:r w:rsidRPr="0085122E">
              <w:t xml:space="preserve"> - </w:t>
            </w:r>
          </w:p>
        </w:tc>
      </w:tr>
      <w:tr w:rsidR="00C34BEC" w:rsidRPr="0085122E" w14:paraId="7E6E277A" w14:textId="77777777" w:rsidTr="00C34BEC">
        <w:trPr>
          <w:trHeight w:val="300"/>
        </w:trPr>
        <w:tc>
          <w:tcPr>
            <w:tcW w:w="0" w:type="auto"/>
            <w:tcBorders>
              <w:top w:val="single" w:sz="4" w:space="0" w:color="auto"/>
              <w:bottom w:val="single" w:sz="4" w:space="0" w:color="auto"/>
            </w:tcBorders>
            <w:shd w:val="clear" w:color="000000" w:fill="FFFFFF"/>
            <w:hideMark/>
          </w:tcPr>
          <w:p w14:paraId="2742404B" w14:textId="77777777" w:rsidR="00C34BEC" w:rsidRPr="0085122E" w:rsidRDefault="00C34BEC" w:rsidP="0085122E">
            <w:pPr>
              <w:pStyle w:val="Tabletext"/>
            </w:pPr>
            <w:r w:rsidRPr="0085122E">
              <w:t>Single/Multiple/Composite indicator</w:t>
            </w:r>
          </w:p>
        </w:tc>
        <w:tc>
          <w:tcPr>
            <w:tcW w:w="0" w:type="auto"/>
            <w:tcBorders>
              <w:top w:val="single" w:sz="4" w:space="0" w:color="auto"/>
              <w:bottom w:val="single" w:sz="4" w:space="0" w:color="auto"/>
            </w:tcBorders>
            <w:shd w:val="clear" w:color="auto" w:fill="F2F2F2" w:themeFill="background1" w:themeFillShade="F2"/>
            <w:vAlign w:val="center"/>
            <w:hideMark/>
          </w:tcPr>
          <w:p w14:paraId="33A93BF6" w14:textId="77777777" w:rsidR="00C34BEC" w:rsidRPr="0085122E" w:rsidRDefault="00C34BEC" w:rsidP="0085122E">
            <w:pPr>
              <w:pStyle w:val="Tabletext"/>
            </w:pPr>
            <w:r w:rsidRPr="0085122E">
              <w:t>Multiple indicators</w:t>
            </w:r>
          </w:p>
        </w:tc>
      </w:tr>
      <w:tr w:rsidR="00C34BEC" w:rsidRPr="0085122E" w14:paraId="0DF095F5" w14:textId="77777777" w:rsidTr="00C34BEC">
        <w:trPr>
          <w:trHeight w:val="300"/>
        </w:trPr>
        <w:tc>
          <w:tcPr>
            <w:tcW w:w="0" w:type="auto"/>
            <w:tcBorders>
              <w:top w:val="single" w:sz="4" w:space="0" w:color="auto"/>
              <w:bottom w:val="single" w:sz="4" w:space="0" w:color="auto"/>
            </w:tcBorders>
            <w:shd w:val="clear" w:color="000000" w:fill="FFFFFF"/>
            <w:hideMark/>
          </w:tcPr>
          <w:p w14:paraId="62ED6EBA" w14:textId="77777777" w:rsidR="00C34BEC" w:rsidRPr="0085122E" w:rsidRDefault="00C34BEC" w:rsidP="0085122E">
            <w:pPr>
              <w:pStyle w:val="Tabletext"/>
            </w:pPr>
            <w:r w:rsidRPr="0085122E">
              <w:t>Weighting Method</w:t>
            </w:r>
          </w:p>
        </w:tc>
        <w:tc>
          <w:tcPr>
            <w:tcW w:w="0" w:type="auto"/>
            <w:tcBorders>
              <w:top w:val="single" w:sz="4" w:space="0" w:color="auto"/>
              <w:bottom w:val="single" w:sz="4" w:space="0" w:color="auto"/>
            </w:tcBorders>
            <w:shd w:val="clear" w:color="auto" w:fill="F2F2F2" w:themeFill="background1" w:themeFillShade="F2"/>
            <w:vAlign w:val="center"/>
            <w:hideMark/>
          </w:tcPr>
          <w:p w14:paraId="49BDB5B4" w14:textId="77777777" w:rsidR="00C34BEC" w:rsidRPr="0085122E" w:rsidRDefault="00C34BEC" w:rsidP="0085122E">
            <w:pPr>
              <w:pStyle w:val="Tabletext"/>
            </w:pPr>
            <w:r w:rsidRPr="0085122E">
              <w:t>Pareto efficient frontier – indicators are kept separate</w:t>
            </w:r>
          </w:p>
        </w:tc>
      </w:tr>
      <w:tr w:rsidR="00C34BEC" w:rsidRPr="0085122E" w14:paraId="4C2A6D6A" w14:textId="77777777" w:rsidTr="00C34BEC">
        <w:trPr>
          <w:trHeight w:val="516"/>
        </w:trPr>
        <w:tc>
          <w:tcPr>
            <w:tcW w:w="0" w:type="auto"/>
            <w:tcBorders>
              <w:top w:val="single" w:sz="4" w:space="0" w:color="auto"/>
              <w:bottom w:val="single" w:sz="4" w:space="0" w:color="auto"/>
            </w:tcBorders>
            <w:shd w:val="clear" w:color="000000" w:fill="FFFFFF"/>
            <w:hideMark/>
          </w:tcPr>
          <w:p w14:paraId="61B58A21" w14:textId="77777777" w:rsidR="00C34BEC" w:rsidRPr="0085122E" w:rsidRDefault="00C34BEC" w:rsidP="0085122E">
            <w:pPr>
              <w:pStyle w:val="Tabletext"/>
            </w:pPr>
            <w:r w:rsidRPr="0085122E">
              <w:t>Class of Sustainability DST</w:t>
            </w:r>
          </w:p>
        </w:tc>
        <w:tc>
          <w:tcPr>
            <w:tcW w:w="0" w:type="auto"/>
            <w:tcBorders>
              <w:top w:val="single" w:sz="4" w:space="0" w:color="auto"/>
              <w:bottom w:val="single" w:sz="4" w:space="0" w:color="auto"/>
            </w:tcBorders>
            <w:shd w:val="clear" w:color="auto" w:fill="F2F2F2" w:themeFill="background1" w:themeFillShade="F2"/>
            <w:vAlign w:val="center"/>
            <w:hideMark/>
          </w:tcPr>
          <w:p w14:paraId="0C8101B0" w14:textId="77777777" w:rsidR="00C34BEC" w:rsidRPr="0085122E" w:rsidRDefault="00C34BEC" w:rsidP="0085122E">
            <w:pPr>
              <w:pStyle w:val="Tabletext"/>
            </w:pPr>
            <w:r w:rsidRPr="0085122E">
              <w:t>Indicators, Multi-criteria</w:t>
            </w:r>
          </w:p>
        </w:tc>
      </w:tr>
    </w:tbl>
    <w:p w14:paraId="4C315B07" w14:textId="77777777" w:rsidR="00D53414" w:rsidRPr="00C34BEC" w:rsidRDefault="00D53414" w:rsidP="00D53414">
      <w:pPr>
        <w:pStyle w:val="Heading3"/>
        <w:numPr>
          <w:ilvl w:val="0"/>
          <w:numId w:val="0"/>
        </w:numPr>
        <w:ind w:left="357" w:hanging="357"/>
      </w:pPr>
      <w:bookmarkStart w:id="229" w:name="_Toc157759594"/>
      <w:r>
        <w:lastRenderedPageBreak/>
        <w:t xml:space="preserve">3.2 </w:t>
      </w:r>
      <w:r w:rsidRPr="00C34BEC">
        <w:t>Review of CE indicators in the industrial practice</w:t>
      </w:r>
      <w:bookmarkEnd w:id="229"/>
    </w:p>
    <w:p w14:paraId="1C7E045F" w14:textId="77777777" w:rsidR="00D53414" w:rsidRPr="00C34BEC" w:rsidRDefault="00D53414" w:rsidP="00D53414">
      <w:r w:rsidRPr="00C34BEC">
        <w:t xml:space="preserve">This part of the study identifies the homogenous metrics that are reported by companies when they evaluate the adoption of CE practices. The amount of data that organisations make public has been enhanced because of the greater accountability and transparency demanded for MNEs (Hahn &amp; </w:t>
      </w:r>
      <w:proofErr w:type="spellStart"/>
      <w:r w:rsidRPr="00C34BEC">
        <w:t>Kühnen</w:t>
      </w:r>
      <w:proofErr w:type="spellEnd"/>
      <w:r w:rsidRPr="00C34BEC">
        <w:t>, 2013) by a set of stakeholders (e.g., employee, customers, suppliers, pressure groups, investors, regulators). Also the quality of data, regarding their economic social, and environmental impacts and actions, has been enhanced and follows more and more standardised guidelines (e.g., Global Reporting Initiative</w:t>
      </w:r>
      <w:r w:rsidRPr="00C34BEC">
        <w:rPr>
          <w:vertAlign w:val="superscript"/>
        </w:rPr>
        <w:footnoteReference w:id="15"/>
      </w:r>
      <w:r w:rsidRPr="00C34BEC">
        <w:t xml:space="preserve">). Corporate Sustainability reports represent an ideal platform for evaluating the adoption of CE practices and for identifying KPIs in industry. These reports can be seen as the most direct statement concerning sustainability practices (and, more specifically, CE practices) adopted by a firm </w:t>
      </w:r>
      <w:r w:rsidRPr="00C34BEC">
        <w:fldChar w:fldCharType="begin" w:fldLock="1"/>
      </w:r>
      <w:r w:rsidRPr="00C34BEC">
        <w:instrText>ADDIN CSL_CITATION {"citationItems":[{"id":"ITEM-1","itemData":{"DOI":"10.1002/bse.2048","ISSN":"10990836","abstract":"Despite the increasing interest of business and academic research toward Circular Economy, the investigation of its uptake by industry remains limited. To contribute to filling this gap, we perform a systematic review of 46 corporate sustainability reports in the Fast-Moving Consumer Goods sector aiming to explore how companies incorporate the Circular Economy concept in their sustainability agenda. We focus on (i) companies’ uptake of Circular Economy, (ii) the relationship between Circular Economy and sustainability and (iii) the Circular Economy practices presented. Our results show that Circular Economy has started to be integrated into the corporate sustainability agenda. Most reported activities are oriented toward the main product and packaging, focusing on end-of-life management and sourcing strategies, and to a lesser extent on circular product design and business model strategies. Most identified collaborations are with businesses, whereas initiatives addressing consumers are largely missing although considered critical for the transition toward Circular Economy.","author":[{"dropping-particle":"","family":"Stewart","given":"Raphaëlle","non-dropping-particle":"","parse-names":false,"suffix":""},{"dropping-particle":"","family":"Niero","given":"Monia","non-dropping-particle":"","parse-names":false,"suffix":""}],"container-title":"Business Strategy and the Environment","id":"ITEM-1","issue":"7","issued":{"date-parts":[["2018"]]},"page":"1005-1022","title":"Circular economy in corporate sustainability strategies: A review of corporate sustainability reports in the fast-moving consumer goods sector","type":"article-journal","volume":"27"},"uris":["http://www.mendeley.com/documents/?uuid=a4245b62-344e-4d4e-bee8-a6f8d7febd42"]}],"mendeley":{"formattedCitation":"(Stewart &amp; Niero, 2018)","plainTextFormattedCitation":"(Stewart &amp; Niero, 2018)","previouslyFormattedCitation":"(Stewart &amp; Niero, 2018)"},"properties":{"noteIndex":0},"schema":"https://github.com/citation-style-language/schema/raw/master/csl-citation.json"}</w:instrText>
      </w:r>
      <w:r w:rsidRPr="00C34BEC">
        <w:fldChar w:fldCharType="separate"/>
      </w:r>
      <w:r w:rsidRPr="00C34BEC">
        <w:t>(Stewart &amp; Niero, 2018)</w:t>
      </w:r>
      <w:r w:rsidRPr="00C34BEC">
        <w:fldChar w:fldCharType="end"/>
      </w:r>
      <w:r w:rsidRPr="00C34BEC">
        <w:t xml:space="preserve">. </w:t>
      </w:r>
    </w:p>
    <w:p w14:paraId="297A6869" w14:textId="77777777" w:rsidR="00D53414" w:rsidRPr="00C34BEC" w:rsidRDefault="00D53414" w:rsidP="00D53414">
      <w:r w:rsidRPr="00C34BEC">
        <w:t>This review consisted of four main phases: (</w:t>
      </w:r>
      <w:proofErr w:type="spellStart"/>
      <w:r w:rsidRPr="00C34BEC">
        <w:t>i</w:t>
      </w:r>
      <w:proofErr w:type="spellEnd"/>
      <w:r w:rsidRPr="00C34BEC">
        <w:t xml:space="preserve">) sample definition, (ii) content extraction, (iii) data coding and </w:t>
      </w:r>
      <w:proofErr w:type="gramStart"/>
      <w:r w:rsidRPr="00C34BEC">
        <w:t>(iv) data</w:t>
      </w:r>
      <w:proofErr w:type="gramEnd"/>
      <w:r w:rsidRPr="00C34BEC">
        <w:t xml:space="preserve"> analysis (see Figure 7). The Global Fortune 500 list</w:t>
      </w:r>
      <w:r w:rsidRPr="00C34BEC">
        <w:rPr>
          <w:vertAlign w:val="superscript"/>
        </w:rPr>
        <w:footnoteReference w:id="16"/>
      </w:r>
      <w:r w:rsidRPr="00C34BEC">
        <w:t xml:space="preserve"> (2019 edition) was used to select the sample – which includes the Top-50 companies in the list from the European Economic Area</w:t>
      </w:r>
      <w:r w:rsidRPr="00C34BEC">
        <w:rPr>
          <w:vertAlign w:val="superscript"/>
        </w:rPr>
        <w:footnoteReference w:id="17"/>
      </w:r>
      <w:r w:rsidRPr="00C34BEC">
        <w:t xml:space="preserve"> (EEA). A template analysis technique </w:t>
      </w:r>
      <w:r w:rsidRPr="00C34BEC">
        <w:fldChar w:fldCharType="begin" w:fldLock="1"/>
      </w:r>
      <w:r w:rsidRPr="00C34BEC">
        <w:instrText>ADDIN CSL_CITATION {"citationItems":[{"id":"ITEM-1","itemData":{"DOI":"10.4135/9781473983304.n3","ISBN":"9781473911574","author":[{"dropping-particle":"","family":"King","given":"Nigel","non-dropping-particle":"","parse-names":false,"suffix":""},{"dropping-particle":"","family":"Brooks","given":"Joanna M.","non-dropping-particle":"","parse-names":false,"suffix":""}],"container-title":"Template Analysis for Business and Management Students","id":"ITEM-1","issued":{"date-parts":[["2018"]]},"page":"25-46","title":"Doing Template Analysis: A Guide to the Main Components and Procedures","type":"article-journal"},"uris":["http://www.mendeley.com/documents/?uuid=b6f8798c-1e49-4afb-94dd-988f2b81a749"]}],"mendeley":{"formattedCitation":"(King &amp; Brooks, 2018)","plainTextFormattedCitation":"(King &amp; Brooks, 2018)","previouslyFormattedCitation":"(King &amp; Brooks, 2018)"},"properties":{"noteIndex":0},"schema":"https://github.com/citation-style-language/schema/raw/master/csl-citation.json"}</w:instrText>
      </w:r>
      <w:r w:rsidRPr="00C34BEC">
        <w:fldChar w:fldCharType="separate"/>
      </w:r>
      <w:r w:rsidRPr="00C34BEC">
        <w:t>(King &amp; Brooks, 2018)</w:t>
      </w:r>
      <w:r w:rsidRPr="00C34BEC">
        <w:fldChar w:fldCharType="end"/>
      </w:r>
      <w:r w:rsidRPr="00C34BEC">
        <w:t xml:space="preserve"> was used to analyse the reports content to identify KPIs related to sustainability and CE practices. During the data extraction phase reports were read in their entirety. The body of text of interest for the research questions was identified, extracted, collected through the NVivo software package, and then organised using an Excel spreadsheet. A keyword-based final check made sure that all the relevant text had been captured from all the reports. Keywords were related to the type of impact category (e.g., emissions, waste, and energy). Such a procedure was aimed at achieving the maximum level of replicability of the analysis. </w:t>
      </w:r>
    </w:p>
    <w:p w14:paraId="3B221C6B" w14:textId="202444BF" w:rsidR="00C34BEC" w:rsidRDefault="00C34BEC" w:rsidP="00C34BEC">
      <w:pPr>
        <w:jc w:val="center"/>
      </w:pPr>
      <w:r w:rsidRPr="00C34BEC">
        <w:rPr>
          <w:noProof/>
          <w:lang w:eastAsia="zh-CN"/>
        </w:rPr>
        <w:lastRenderedPageBreak/>
        <w:drawing>
          <wp:inline distT="0" distB="0" distL="0" distR="0" wp14:anchorId="54ADB1DB" wp14:editId="268CF4F4">
            <wp:extent cx="5528310" cy="304593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36217" cy="3050293"/>
                    </a:xfrm>
                    <a:prstGeom prst="rect">
                      <a:avLst/>
                    </a:prstGeom>
                    <a:noFill/>
                  </pic:spPr>
                </pic:pic>
              </a:graphicData>
            </a:graphic>
          </wp:inline>
        </w:drawing>
      </w:r>
    </w:p>
    <w:p w14:paraId="41CE7EC6" w14:textId="77777777" w:rsidR="0085122E" w:rsidRPr="00C34BEC" w:rsidRDefault="0085122E" w:rsidP="0085122E">
      <w:pPr>
        <w:pStyle w:val="Figurecaption"/>
      </w:pPr>
      <w:r w:rsidRPr="00C34BEC">
        <w:t xml:space="preserve">Figure </w:t>
      </w:r>
      <w:fldSimple w:instr=" SEQ Figure \* ARABIC ">
        <w:r w:rsidRPr="00C34BEC">
          <w:t>7</w:t>
        </w:r>
      </w:fldSimple>
      <w:r w:rsidRPr="00C34BEC">
        <w:t xml:space="preserve"> - Content Analysis flowchart. CS reports: Corporate Sustainability Reports.</w:t>
      </w:r>
    </w:p>
    <w:p w14:paraId="26A9172E" w14:textId="08A388C2" w:rsidR="00C34BEC" w:rsidRPr="00C34BEC" w:rsidRDefault="007765F7" w:rsidP="007765F7">
      <w:pPr>
        <w:pStyle w:val="Heading2"/>
        <w:numPr>
          <w:ilvl w:val="0"/>
          <w:numId w:val="0"/>
        </w:numPr>
        <w:ind w:left="357" w:hanging="357"/>
      </w:pPr>
      <w:bookmarkStart w:id="230" w:name="_Toc157759595"/>
      <w:bookmarkStart w:id="231" w:name="_Toc39268482"/>
      <w:r>
        <w:t xml:space="preserve">4 </w:t>
      </w:r>
      <w:r w:rsidR="00C34BEC" w:rsidRPr="00C34BEC">
        <w:t>Results</w:t>
      </w:r>
      <w:bookmarkEnd w:id="230"/>
    </w:p>
    <w:p w14:paraId="3FEAFF2D" w14:textId="3F64858A" w:rsidR="00C34BEC" w:rsidRPr="00C34BEC" w:rsidRDefault="00C34BEC" w:rsidP="00C34BEC">
      <w:r w:rsidRPr="00C34BEC">
        <w:t>In this section, the main results from the analysis of the article sample are reported. The first part focus on the SLR. The following sub-section discusses indicators from the industry and the final sub-section proposes two CE indicators.</w:t>
      </w:r>
      <w:r w:rsidR="008743D6">
        <w:t xml:space="preserve"> </w:t>
      </w:r>
      <w:r w:rsidR="008743D6" w:rsidRPr="00C34BEC">
        <w:t>The sample analysed includes 203 papers from 99 different sources. Journals belong to different research areas, as CE topic has an inter-disciplinary nature. Three out of the four most represented journals belong to the Environmental Science literature (Table 4).</w:t>
      </w:r>
    </w:p>
    <w:p w14:paraId="47AA1C11" w14:textId="77777777" w:rsidR="00C34BEC" w:rsidRPr="00C34BEC" w:rsidRDefault="00C34BEC" w:rsidP="0085122E">
      <w:pPr>
        <w:pStyle w:val="Figurecaption"/>
      </w:pPr>
      <w:r w:rsidRPr="00C34BEC">
        <w:t xml:space="preserve">Table </w:t>
      </w:r>
      <w:fldSimple w:instr=" SEQ Table \* ARABIC ">
        <w:r w:rsidRPr="00C34BEC">
          <w:t>4</w:t>
        </w:r>
      </w:fldSimple>
      <w:r w:rsidRPr="00C34BEC">
        <w:t xml:space="preserve"> - Top 10 Journals that show the highest number of papers</w:t>
      </w:r>
    </w:p>
    <w:tbl>
      <w:tblPr>
        <w:tblW w:w="0" w:type="auto"/>
        <w:jc w:val="center"/>
        <w:tblBorders>
          <w:bottom w:val="single" w:sz="4" w:space="0" w:color="auto"/>
        </w:tblBorders>
        <w:tblLook w:val="04A0" w:firstRow="1" w:lastRow="0" w:firstColumn="1" w:lastColumn="0" w:noHBand="0" w:noVBand="1"/>
      </w:tblPr>
      <w:tblGrid>
        <w:gridCol w:w="4261"/>
        <w:gridCol w:w="2267"/>
      </w:tblGrid>
      <w:tr w:rsidR="00C34BEC" w:rsidRPr="00C34BEC" w14:paraId="4F002979" w14:textId="77777777" w:rsidTr="00C34BEC">
        <w:trPr>
          <w:trHeight w:val="480"/>
          <w:jc w:val="center"/>
        </w:trPr>
        <w:tc>
          <w:tcPr>
            <w:tcW w:w="0" w:type="auto"/>
            <w:tcBorders>
              <w:top w:val="single" w:sz="4" w:space="0" w:color="auto"/>
              <w:bottom w:val="single" w:sz="4" w:space="0" w:color="auto"/>
            </w:tcBorders>
            <w:shd w:val="clear" w:color="auto" w:fill="auto"/>
            <w:noWrap/>
            <w:vAlign w:val="center"/>
            <w:hideMark/>
          </w:tcPr>
          <w:p w14:paraId="64039BFA" w14:textId="77777777" w:rsidR="00C34BEC" w:rsidRPr="00C34BEC" w:rsidRDefault="00C34BEC" w:rsidP="00C34BEC">
            <w:pPr>
              <w:pStyle w:val="Tabletext"/>
            </w:pPr>
            <w:r w:rsidRPr="00C34BEC">
              <w:t>Source</w:t>
            </w:r>
          </w:p>
        </w:tc>
        <w:tc>
          <w:tcPr>
            <w:tcW w:w="0" w:type="auto"/>
            <w:tcBorders>
              <w:top w:val="single" w:sz="4" w:space="0" w:color="auto"/>
              <w:bottom w:val="single" w:sz="4" w:space="0" w:color="auto"/>
            </w:tcBorders>
            <w:shd w:val="clear" w:color="auto" w:fill="auto"/>
            <w:vAlign w:val="center"/>
            <w:hideMark/>
          </w:tcPr>
          <w:p w14:paraId="7983C3EC" w14:textId="77777777" w:rsidR="00C34BEC" w:rsidRPr="00C34BEC" w:rsidRDefault="00C34BEC" w:rsidP="00C34BEC">
            <w:pPr>
              <w:pStyle w:val="Tabletext"/>
            </w:pPr>
            <w:r w:rsidRPr="00C34BEC">
              <w:t>Number of publications</w:t>
            </w:r>
          </w:p>
        </w:tc>
      </w:tr>
      <w:tr w:rsidR="00C34BEC" w:rsidRPr="00C34BEC" w14:paraId="504AA90C" w14:textId="77777777" w:rsidTr="00C34BEC">
        <w:trPr>
          <w:trHeight w:val="300"/>
          <w:jc w:val="center"/>
        </w:trPr>
        <w:tc>
          <w:tcPr>
            <w:tcW w:w="0" w:type="auto"/>
            <w:tcBorders>
              <w:top w:val="single" w:sz="4" w:space="0" w:color="auto"/>
            </w:tcBorders>
            <w:shd w:val="clear" w:color="auto" w:fill="auto"/>
            <w:noWrap/>
            <w:vAlign w:val="bottom"/>
            <w:hideMark/>
          </w:tcPr>
          <w:p w14:paraId="5443E0CC" w14:textId="77777777" w:rsidR="00C34BEC" w:rsidRPr="00C34BEC" w:rsidRDefault="00C34BEC" w:rsidP="00C34BEC">
            <w:pPr>
              <w:pStyle w:val="Tabletext"/>
            </w:pPr>
            <w:r w:rsidRPr="00C34BEC">
              <w:t>Journal of Cleaner Production</w:t>
            </w:r>
          </w:p>
        </w:tc>
        <w:tc>
          <w:tcPr>
            <w:tcW w:w="0" w:type="auto"/>
            <w:tcBorders>
              <w:top w:val="single" w:sz="4" w:space="0" w:color="auto"/>
            </w:tcBorders>
            <w:shd w:val="clear" w:color="auto" w:fill="auto"/>
            <w:noWrap/>
            <w:vAlign w:val="bottom"/>
            <w:hideMark/>
          </w:tcPr>
          <w:p w14:paraId="4B13C3C8" w14:textId="77777777" w:rsidR="00C34BEC" w:rsidRPr="00C34BEC" w:rsidRDefault="00C34BEC" w:rsidP="00C34BEC">
            <w:pPr>
              <w:pStyle w:val="Tabletext"/>
            </w:pPr>
            <w:r w:rsidRPr="00C34BEC">
              <w:t>25</w:t>
            </w:r>
          </w:p>
        </w:tc>
      </w:tr>
      <w:tr w:rsidR="00C34BEC" w:rsidRPr="00C34BEC" w14:paraId="4FF0E1DD" w14:textId="77777777" w:rsidTr="00C34BEC">
        <w:trPr>
          <w:trHeight w:val="300"/>
          <w:jc w:val="center"/>
        </w:trPr>
        <w:tc>
          <w:tcPr>
            <w:tcW w:w="0" w:type="auto"/>
            <w:shd w:val="clear" w:color="auto" w:fill="auto"/>
            <w:noWrap/>
            <w:vAlign w:val="bottom"/>
            <w:hideMark/>
          </w:tcPr>
          <w:p w14:paraId="5B43FF95" w14:textId="77777777" w:rsidR="00C34BEC" w:rsidRPr="00C34BEC" w:rsidRDefault="00C34BEC" w:rsidP="00C34BEC">
            <w:pPr>
              <w:pStyle w:val="Tabletext"/>
            </w:pPr>
            <w:r w:rsidRPr="00C34BEC">
              <w:t>International Journal of Production Economics</w:t>
            </w:r>
          </w:p>
        </w:tc>
        <w:tc>
          <w:tcPr>
            <w:tcW w:w="0" w:type="auto"/>
            <w:shd w:val="clear" w:color="auto" w:fill="auto"/>
            <w:noWrap/>
            <w:vAlign w:val="bottom"/>
            <w:hideMark/>
          </w:tcPr>
          <w:p w14:paraId="5AB0E93E" w14:textId="77777777" w:rsidR="00C34BEC" w:rsidRPr="00C34BEC" w:rsidRDefault="00C34BEC" w:rsidP="00C34BEC">
            <w:pPr>
              <w:pStyle w:val="Tabletext"/>
            </w:pPr>
            <w:r w:rsidRPr="00C34BEC">
              <w:t>16</w:t>
            </w:r>
          </w:p>
        </w:tc>
      </w:tr>
      <w:tr w:rsidR="00C34BEC" w:rsidRPr="00C34BEC" w14:paraId="0D5344B9" w14:textId="77777777" w:rsidTr="00C34BEC">
        <w:trPr>
          <w:trHeight w:val="300"/>
          <w:jc w:val="center"/>
        </w:trPr>
        <w:tc>
          <w:tcPr>
            <w:tcW w:w="0" w:type="auto"/>
            <w:shd w:val="clear" w:color="auto" w:fill="auto"/>
            <w:noWrap/>
            <w:vAlign w:val="bottom"/>
            <w:hideMark/>
          </w:tcPr>
          <w:p w14:paraId="6715BC2A" w14:textId="77777777" w:rsidR="00C34BEC" w:rsidRPr="00C34BEC" w:rsidRDefault="00C34BEC" w:rsidP="00C34BEC">
            <w:pPr>
              <w:pStyle w:val="Tabletext"/>
            </w:pPr>
            <w:r w:rsidRPr="00C34BEC">
              <w:t>Sustainability (Switzerland)</w:t>
            </w:r>
          </w:p>
        </w:tc>
        <w:tc>
          <w:tcPr>
            <w:tcW w:w="0" w:type="auto"/>
            <w:shd w:val="clear" w:color="auto" w:fill="auto"/>
            <w:noWrap/>
            <w:vAlign w:val="bottom"/>
            <w:hideMark/>
          </w:tcPr>
          <w:p w14:paraId="47E09224" w14:textId="77777777" w:rsidR="00C34BEC" w:rsidRPr="00C34BEC" w:rsidRDefault="00C34BEC" w:rsidP="00C34BEC">
            <w:pPr>
              <w:pStyle w:val="Tabletext"/>
            </w:pPr>
            <w:r w:rsidRPr="00C34BEC">
              <w:t>10</w:t>
            </w:r>
          </w:p>
        </w:tc>
      </w:tr>
      <w:tr w:rsidR="00C34BEC" w:rsidRPr="00C34BEC" w14:paraId="0EC4B4D7" w14:textId="77777777" w:rsidTr="00C34BEC">
        <w:trPr>
          <w:trHeight w:val="300"/>
          <w:jc w:val="center"/>
        </w:trPr>
        <w:tc>
          <w:tcPr>
            <w:tcW w:w="0" w:type="auto"/>
            <w:shd w:val="clear" w:color="auto" w:fill="auto"/>
            <w:noWrap/>
            <w:vAlign w:val="bottom"/>
            <w:hideMark/>
          </w:tcPr>
          <w:p w14:paraId="4E803849" w14:textId="77777777" w:rsidR="00C34BEC" w:rsidRPr="00C34BEC" w:rsidRDefault="00C34BEC" w:rsidP="00C34BEC">
            <w:pPr>
              <w:pStyle w:val="Tabletext"/>
            </w:pPr>
            <w:r w:rsidRPr="00C34BEC">
              <w:t>Resources, Conservation and Recycling</w:t>
            </w:r>
          </w:p>
        </w:tc>
        <w:tc>
          <w:tcPr>
            <w:tcW w:w="0" w:type="auto"/>
            <w:shd w:val="clear" w:color="auto" w:fill="auto"/>
            <w:noWrap/>
            <w:vAlign w:val="bottom"/>
            <w:hideMark/>
          </w:tcPr>
          <w:p w14:paraId="27FC2283" w14:textId="77777777" w:rsidR="00C34BEC" w:rsidRPr="00C34BEC" w:rsidRDefault="00C34BEC" w:rsidP="00C34BEC">
            <w:pPr>
              <w:pStyle w:val="Tabletext"/>
            </w:pPr>
            <w:r w:rsidRPr="00C34BEC">
              <w:t>9</w:t>
            </w:r>
          </w:p>
        </w:tc>
      </w:tr>
      <w:tr w:rsidR="00C34BEC" w:rsidRPr="00C34BEC" w14:paraId="5DC10E8B" w14:textId="77777777" w:rsidTr="00C34BEC">
        <w:trPr>
          <w:trHeight w:val="300"/>
          <w:jc w:val="center"/>
        </w:trPr>
        <w:tc>
          <w:tcPr>
            <w:tcW w:w="0" w:type="auto"/>
            <w:shd w:val="clear" w:color="auto" w:fill="auto"/>
            <w:noWrap/>
            <w:vAlign w:val="bottom"/>
            <w:hideMark/>
          </w:tcPr>
          <w:p w14:paraId="2B5A46E4" w14:textId="77777777" w:rsidR="00C34BEC" w:rsidRPr="00C34BEC" w:rsidRDefault="00C34BEC" w:rsidP="00C34BEC">
            <w:pPr>
              <w:pStyle w:val="Tabletext"/>
            </w:pPr>
            <w:r w:rsidRPr="00C34BEC">
              <w:t>International Journal of Production Research</w:t>
            </w:r>
          </w:p>
        </w:tc>
        <w:tc>
          <w:tcPr>
            <w:tcW w:w="0" w:type="auto"/>
            <w:shd w:val="clear" w:color="auto" w:fill="auto"/>
            <w:noWrap/>
            <w:vAlign w:val="bottom"/>
            <w:hideMark/>
          </w:tcPr>
          <w:p w14:paraId="415E67CE" w14:textId="77777777" w:rsidR="00C34BEC" w:rsidRPr="00C34BEC" w:rsidRDefault="00C34BEC" w:rsidP="00C34BEC">
            <w:pPr>
              <w:pStyle w:val="Tabletext"/>
            </w:pPr>
            <w:r w:rsidRPr="00C34BEC">
              <w:t>8</w:t>
            </w:r>
          </w:p>
        </w:tc>
      </w:tr>
      <w:tr w:rsidR="00C34BEC" w:rsidRPr="00C34BEC" w14:paraId="7058BCCC" w14:textId="77777777" w:rsidTr="00C34BEC">
        <w:trPr>
          <w:trHeight w:val="300"/>
          <w:jc w:val="center"/>
        </w:trPr>
        <w:tc>
          <w:tcPr>
            <w:tcW w:w="0" w:type="auto"/>
            <w:shd w:val="clear" w:color="auto" w:fill="auto"/>
            <w:noWrap/>
            <w:vAlign w:val="bottom"/>
            <w:hideMark/>
          </w:tcPr>
          <w:p w14:paraId="5257D9FD" w14:textId="77777777" w:rsidR="00C34BEC" w:rsidRPr="00C34BEC" w:rsidRDefault="00C34BEC" w:rsidP="00C34BEC">
            <w:pPr>
              <w:pStyle w:val="Tabletext"/>
            </w:pPr>
            <w:r w:rsidRPr="00C34BEC">
              <w:t>Computers and Industrial Engineering</w:t>
            </w:r>
          </w:p>
        </w:tc>
        <w:tc>
          <w:tcPr>
            <w:tcW w:w="0" w:type="auto"/>
            <w:shd w:val="clear" w:color="auto" w:fill="auto"/>
            <w:noWrap/>
            <w:vAlign w:val="bottom"/>
            <w:hideMark/>
          </w:tcPr>
          <w:p w14:paraId="0F52A38B" w14:textId="77777777" w:rsidR="00C34BEC" w:rsidRPr="00C34BEC" w:rsidRDefault="00C34BEC" w:rsidP="00C34BEC">
            <w:pPr>
              <w:pStyle w:val="Tabletext"/>
            </w:pPr>
            <w:r w:rsidRPr="00C34BEC">
              <w:t>7</w:t>
            </w:r>
          </w:p>
        </w:tc>
      </w:tr>
      <w:tr w:rsidR="00C34BEC" w:rsidRPr="00C34BEC" w14:paraId="10B44875" w14:textId="77777777" w:rsidTr="00C34BEC">
        <w:trPr>
          <w:trHeight w:val="300"/>
          <w:jc w:val="center"/>
        </w:trPr>
        <w:tc>
          <w:tcPr>
            <w:tcW w:w="0" w:type="auto"/>
            <w:shd w:val="clear" w:color="auto" w:fill="auto"/>
            <w:noWrap/>
            <w:vAlign w:val="bottom"/>
            <w:hideMark/>
          </w:tcPr>
          <w:p w14:paraId="174FCBE2" w14:textId="77777777" w:rsidR="00C34BEC" w:rsidRPr="00C34BEC" w:rsidRDefault="00C34BEC" w:rsidP="00C34BEC">
            <w:pPr>
              <w:pStyle w:val="Tabletext"/>
            </w:pPr>
            <w:r w:rsidRPr="00C34BEC">
              <w:t>Applied Mathematical Modelling</w:t>
            </w:r>
          </w:p>
        </w:tc>
        <w:tc>
          <w:tcPr>
            <w:tcW w:w="0" w:type="auto"/>
            <w:shd w:val="clear" w:color="auto" w:fill="auto"/>
            <w:noWrap/>
            <w:vAlign w:val="bottom"/>
            <w:hideMark/>
          </w:tcPr>
          <w:p w14:paraId="6B4D549F" w14:textId="77777777" w:rsidR="00C34BEC" w:rsidRPr="00C34BEC" w:rsidRDefault="00C34BEC" w:rsidP="00C34BEC">
            <w:pPr>
              <w:pStyle w:val="Tabletext"/>
            </w:pPr>
            <w:r w:rsidRPr="00C34BEC">
              <w:t>6</w:t>
            </w:r>
          </w:p>
        </w:tc>
      </w:tr>
      <w:tr w:rsidR="00C34BEC" w:rsidRPr="00C34BEC" w14:paraId="784C1199" w14:textId="77777777" w:rsidTr="00C34BEC">
        <w:trPr>
          <w:trHeight w:val="300"/>
          <w:jc w:val="center"/>
        </w:trPr>
        <w:tc>
          <w:tcPr>
            <w:tcW w:w="0" w:type="auto"/>
            <w:shd w:val="clear" w:color="auto" w:fill="auto"/>
            <w:noWrap/>
            <w:vAlign w:val="bottom"/>
            <w:hideMark/>
          </w:tcPr>
          <w:p w14:paraId="6F4C6B2C" w14:textId="77777777" w:rsidR="00C34BEC" w:rsidRPr="00C34BEC" w:rsidRDefault="00C34BEC" w:rsidP="00C34BEC">
            <w:pPr>
              <w:pStyle w:val="Tabletext"/>
            </w:pPr>
            <w:r w:rsidRPr="00C34BEC">
              <w:t>Science of the Total Environment</w:t>
            </w:r>
          </w:p>
        </w:tc>
        <w:tc>
          <w:tcPr>
            <w:tcW w:w="0" w:type="auto"/>
            <w:shd w:val="clear" w:color="auto" w:fill="auto"/>
            <w:noWrap/>
            <w:vAlign w:val="bottom"/>
            <w:hideMark/>
          </w:tcPr>
          <w:p w14:paraId="61B85970" w14:textId="77777777" w:rsidR="00C34BEC" w:rsidRPr="00C34BEC" w:rsidRDefault="00C34BEC" w:rsidP="00C34BEC">
            <w:pPr>
              <w:pStyle w:val="Tabletext"/>
            </w:pPr>
            <w:r w:rsidRPr="00C34BEC">
              <w:t>4</w:t>
            </w:r>
          </w:p>
        </w:tc>
      </w:tr>
      <w:tr w:rsidR="00C34BEC" w:rsidRPr="00C34BEC" w14:paraId="5D124F8A" w14:textId="77777777" w:rsidTr="00C34BEC">
        <w:trPr>
          <w:trHeight w:val="300"/>
          <w:jc w:val="center"/>
        </w:trPr>
        <w:tc>
          <w:tcPr>
            <w:tcW w:w="0" w:type="auto"/>
            <w:shd w:val="clear" w:color="auto" w:fill="auto"/>
            <w:noWrap/>
            <w:vAlign w:val="bottom"/>
            <w:hideMark/>
          </w:tcPr>
          <w:p w14:paraId="194C1AB6" w14:textId="77777777" w:rsidR="00C34BEC" w:rsidRPr="00C34BEC" w:rsidRDefault="00C34BEC" w:rsidP="00C34BEC">
            <w:pPr>
              <w:pStyle w:val="Tabletext"/>
            </w:pPr>
            <w:r w:rsidRPr="00C34BEC">
              <w:t>European Journal of Operational Research</w:t>
            </w:r>
          </w:p>
        </w:tc>
        <w:tc>
          <w:tcPr>
            <w:tcW w:w="0" w:type="auto"/>
            <w:shd w:val="clear" w:color="auto" w:fill="auto"/>
            <w:noWrap/>
            <w:vAlign w:val="bottom"/>
            <w:hideMark/>
          </w:tcPr>
          <w:p w14:paraId="17A982F9" w14:textId="77777777" w:rsidR="00C34BEC" w:rsidRPr="00C34BEC" w:rsidRDefault="00C34BEC" w:rsidP="00C34BEC">
            <w:pPr>
              <w:pStyle w:val="Tabletext"/>
            </w:pPr>
            <w:r w:rsidRPr="00C34BEC">
              <w:t>4</w:t>
            </w:r>
          </w:p>
        </w:tc>
      </w:tr>
    </w:tbl>
    <w:p w14:paraId="67C78479" w14:textId="77777777" w:rsidR="008743D6" w:rsidRDefault="008743D6" w:rsidP="008743D6"/>
    <w:p w14:paraId="7BBAE24B" w14:textId="64C4AA56" w:rsidR="008743D6" w:rsidRPr="00C34BEC" w:rsidRDefault="008743D6" w:rsidP="008743D6">
      <w:r w:rsidRPr="00C34BEC">
        <w:lastRenderedPageBreak/>
        <w:t>An emerging interest comes from Industrial Engineering literature (e.g., International Journal of Production Economics; International Journal of Production Research) and from Decision Science and Operational Research disciplines. Publications range from 2002 to 2019 and there has been a sustained growth starting from 2015 (Figure 8).</w:t>
      </w:r>
    </w:p>
    <w:p w14:paraId="7BD4D4D4" w14:textId="2B02E785" w:rsidR="00C34BEC" w:rsidRDefault="00C34BEC" w:rsidP="00C34BEC">
      <w:r w:rsidRPr="00C34BEC">
        <w:rPr>
          <w:noProof/>
          <w:lang w:eastAsia="zh-CN"/>
        </w:rPr>
        <w:drawing>
          <wp:inline distT="0" distB="0" distL="0" distR="0" wp14:anchorId="089DF8AE" wp14:editId="2F59DBFE">
            <wp:extent cx="5273040" cy="2853690"/>
            <wp:effectExtent l="0" t="0" r="3810"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43F995B3" w14:textId="77777777" w:rsidR="0085122E" w:rsidRPr="00C34BEC" w:rsidRDefault="0085122E" w:rsidP="0085122E">
      <w:pPr>
        <w:pStyle w:val="Figurecaption"/>
      </w:pPr>
      <w:r w:rsidRPr="00C34BEC">
        <w:t xml:space="preserve">Figure </w:t>
      </w:r>
      <w:fldSimple w:instr=" SEQ Figure \* ARABIC ">
        <w:r w:rsidRPr="00C34BEC">
          <w:t>8</w:t>
        </w:r>
      </w:fldSimple>
      <w:r w:rsidRPr="00C34BEC">
        <w:t xml:space="preserve"> – Increase in annual publications since 2015</w:t>
      </w:r>
    </w:p>
    <w:p w14:paraId="2EF5C8EB" w14:textId="003701CE" w:rsidR="00C34BEC" w:rsidRPr="00C34BEC" w:rsidRDefault="00C34BEC" w:rsidP="00C34BEC">
      <w:r w:rsidRPr="00C34BEC">
        <w:t xml:space="preserve">Most of the publications support decisions at a strategic level (Figure 9), and more precisely related to the </w:t>
      </w:r>
      <w:r w:rsidRPr="00C34BEC">
        <w:rPr>
          <w:i/>
          <w:iCs/>
        </w:rPr>
        <w:t>design of CSCs</w:t>
      </w:r>
      <w:r w:rsidRPr="00C34BEC">
        <w:t>. Design decisions include locating and sizing facilities (</w:t>
      </w:r>
      <w:r w:rsidR="00F07293" w:rsidRPr="00C34BEC">
        <w:t>e.g.,</w:t>
      </w:r>
      <w:r w:rsidRPr="00C34BEC">
        <w:t xml:space="preserve"> industrial plants, distribution centres, collection centres, recycling centres disposal centres), selecting technologies and transportation modes. Capacities need to be allocated among different facilities in the forward and in the reverse supply chain. Some publications support tactical decisions, linked with the </w:t>
      </w:r>
      <w:r w:rsidRPr="00C34BEC">
        <w:rPr>
          <w:i/>
          <w:iCs/>
        </w:rPr>
        <w:t xml:space="preserve">planning of CSCs. </w:t>
      </w:r>
      <w:r w:rsidRPr="00C34BEC">
        <w:t xml:space="preserve">This means deciding how to size the production lots, manage inventory, and coordinate with other supply chain partners. Some papers include elements of both strategic and tactical planning. A significant group of articles does not </w:t>
      </w:r>
      <w:r w:rsidR="005306C0" w:rsidRPr="00C34BEC">
        <w:t>directly support</w:t>
      </w:r>
      <w:r w:rsidRPr="00C34BEC">
        <w:t xml:space="preserve"> any specific decision (Unspecified), rather aims at </w:t>
      </w:r>
      <w:r w:rsidRPr="00C34BEC">
        <w:rPr>
          <w:i/>
          <w:iCs/>
        </w:rPr>
        <w:t>measuring the performance of CSC Networks</w:t>
      </w:r>
      <w:r w:rsidRPr="00C34BEC">
        <w:t xml:space="preserve">. These papers develop and use indicators to map and evaluate specific CSC processes, or to compare alternatives CSC configurations. Their focus is more on the ex-post measurement rather than on supporting specific decisions directly. For this </w:t>
      </w:r>
      <w:r w:rsidR="00F07293" w:rsidRPr="00C34BEC">
        <w:t>reason,</w:t>
      </w:r>
      <w:r w:rsidRPr="00C34BEC">
        <w:t xml:space="preserve"> they were distinguished from tools directly supporting planning decisions. </w:t>
      </w:r>
    </w:p>
    <w:p w14:paraId="2A0F1A27" w14:textId="4377D464" w:rsidR="00C34BEC" w:rsidRDefault="00C34BEC" w:rsidP="00C34BEC">
      <w:pPr>
        <w:jc w:val="center"/>
      </w:pPr>
      <w:r w:rsidRPr="00C34BEC">
        <w:rPr>
          <w:noProof/>
          <w:lang w:eastAsia="zh-CN"/>
        </w:rPr>
        <w:lastRenderedPageBreak/>
        <w:drawing>
          <wp:inline distT="0" distB="0" distL="0" distR="0" wp14:anchorId="25595C44" wp14:editId="703570FF">
            <wp:extent cx="4349750" cy="1946563"/>
            <wp:effectExtent l="0" t="0" r="1270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3FF9B08E" w14:textId="77777777" w:rsidR="0085122E" w:rsidRPr="00C34BEC" w:rsidRDefault="0085122E" w:rsidP="0085122E">
      <w:pPr>
        <w:pStyle w:val="Figurecaption"/>
      </w:pPr>
      <w:r w:rsidRPr="00C34BEC">
        <w:t xml:space="preserve">Figure </w:t>
      </w:r>
      <w:fldSimple w:instr=" SEQ Figure \* ARABIC ">
        <w:r w:rsidRPr="00C34BEC">
          <w:t>9</w:t>
        </w:r>
      </w:fldSimple>
      <w:r w:rsidRPr="00C34BEC">
        <w:t xml:space="preserve"> - Type of decision supported</w:t>
      </w:r>
    </w:p>
    <w:p w14:paraId="206B12C7" w14:textId="77777777" w:rsidR="00C34BEC" w:rsidRPr="00C34BEC" w:rsidRDefault="00C34BEC" w:rsidP="00C34BEC">
      <w:r w:rsidRPr="00C34BEC">
        <w:t xml:space="preserve">The majority of the publications employ methods from the Operational Research tradition, namely Mathematical Programming and Simulation (Figure 10). Optimisation models (such as Mixed Integer Linear Programming) can employ either single or multi-objective functions decision variables. Some articles employ analytical models; these tools are either Multi Criteria Decision Making (MCDM) method based or Environmental Science approaches. Among these LCA is the most common, followed by </w:t>
      </w:r>
      <w:proofErr w:type="spellStart"/>
      <w:r w:rsidRPr="00C34BEC">
        <w:t>Input/Output</w:t>
      </w:r>
      <w:proofErr w:type="spellEnd"/>
      <w:r w:rsidRPr="00C34BEC">
        <w:t xml:space="preserve"> and Material Flow Analysis models. Other tools employ a mix of these methods (like LCA and Ecological Network Analysis) or cost-based models (Material Flow Cost Analysis or Life Cycle Costing). The distribution in terms of modelling approaches represents the main difference with previous reviews on CE indicators at the firm level </w:t>
      </w:r>
      <w:r w:rsidRPr="00C34BEC">
        <w:fldChar w:fldCharType="begin" w:fldLock="1"/>
      </w:r>
      <w:r w:rsidRPr="00C34BEC">
        <w:instrText>ADDIN CSL_CITATION {"citationItems":[{"id":"ITEM-1","itemData":{"DOI":"10.1016/j.jclepro.2020.125090","ISSN":"09596526","abstract":"With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Production","id":"ITEM-1","issued":{"date-parts":[["2021"]]},"note":"Chen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framework","type":"article-journal","volume":"288"},"uris":["http://www.mendeley.com/documents/?uuid=5b20dff5-2c8b-4680-9d5a-f69f918c49a9"]},{"id":"ITEM-2","itemData":{"DOI":"10.1016/j.jclepro.2019.05.019","ISSN":"09596526","abstract":"The depletion of resources and the downgrading of the environment, driven by globalization and consumerism phenomena, is worldwide pushing the interest on the Circular Economy (CE)concept. Supposed to substitute the end-of-life notion with restoration and closed-loop product lifecycles, CE wants to eliminate wastes, retain the value embedded into products and materials, foster the use of renewable energies and eliminate toxic chemicals. However, the measurement and assessment of circularity performances are not yet a common practice in companies. To this aim, the paper wants to detect, through a systematic literature review, which are the existing CE performance assessment methods proposed in literature and, based on key findings, develop a positioning framework for measuring and assessing the circularity degree of a company.","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Production","id":"ITEM-2","issued":{"date-parts":[["2019"]]},"page":"440-453","publisher":"Elsevier Ltd","title":"Circular economy performance assessment methods: A systematic literature review","type":"article-journal","volume":"229"},"uris":["http://www.mendeley.com/documents/?uuid=5273591e-185a-4bbe-ab72-78cdc197cdf7"]}],"mendeley":{"formattedCitation":"(Sassanelli, Rosa, et al., 2019; Vinante et al., 2021)","manualFormatting":"(Sassanelli et al., 2019; Vinante et al., 2021)","plainTextFormattedCitation":"(Sassanelli, Rosa, et al., 2019; Vinante et al., 2021)","previouslyFormattedCitation":"(Sassanelli, Rosa, et al., 2019; Vinante et al., 2021)"},"properties":{"noteIndex":0},"schema":"https://github.com/citation-style-language/schema/raw/master/csl-citation.json"}</w:instrText>
      </w:r>
      <w:r w:rsidRPr="00C34BEC">
        <w:fldChar w:fldCharType="separate"/>
      </w:r>
      <w:r w:rsidRPr="00C34BEC">
        <w:t>(Sassanelli et al., 2019; Vinante et al., 2021)</w:t>
      </w:r>
      <w:r w:rsidRPr="00C34BEC">
        <w:fldChar w:fldCharType="end"/>
      </w:r>
      <w:r w:rsidRPr="00C34BEC">
        <w:t xml:space="preserve">. These reviews have not included CLSCM and RL research streams, which makes a frequent use of Operational Research methods. However, this figure is aligned with the only review that focus on sustainability assessment at the supply chain level </w:t>
      </w:r>
      <w:r w:rsidRPr="00C34BEC">
        <w:fldChar w:fldCharType="begin" w:fldLock="1"/>
      </w:r>
      <w:r w:rsidRPr="00C34BEC">
        <w:instrText>ADDIN CSL_CITATION {"citationItems":[{"id":"ITEM-1","itemData":{"DOI":"10.1016/j.jclepro.2020.125457","ISSN":"09596526","abstract":"Circular economy has become a central concept of sustainable production and consumption since its introduction into the public eye. However, to ensure circular economy actually delivers on its promises regarding sustainability, it is vital to anticipate and assess the impact of circular economy practices in an integrated way. For that purpose, holistic assessments are crucial to enable transparent decision-making, clearly indicating possible trade-offs. While previous literature has mainly focused on product, company or country level, this paper contributes to an improved understanding of sustainability assessments on the inter-firm level. Given the vital role of inter-firm networks in the transition to a circular economy, the authors present a systematic literature review of sustainability assessment approaches applicable within circular inter-firm networks. These networks are primarily represented in two related fields relevant to circular economy: industrial ecology offers sustainability assessment approaches for inter- and intra-sectoral business activities at different scales, whereas circular supply chain management is a promising source for sustainability assessment approaches considering product life cycles. Over 100 academic publications are reviewed and categorised according to assessment type, correspondence to the relevant field, and sustainability dimensions addressed. The results demonstrate that life cycle-based methodologies as well as indicator frameworks, often combined with multi-criteria decision-making methods, are the most common ex-post assessment approaches. Concurrently, the most frequent ex-ante assessments are based on mathematical programming. It is further observed that industrial ecology-related publications present more comprehensive environmental assessments, while circular supply chain management literature includes the social dimension more often, but superficially. Overall, the social dimension is least assessed and least integrated into the sustainability assessment. Based on the findings of the review, an integrated framework of approaches is developed, enabling decision-makers to identify suitable sustainability assessment approaches for circular inter-firm networks.","author":[{"dropping-particle":"","family":"Walker","given":"Anna M.","non-dropping-particle":"","parse-names":false,"suffix":""},{"dropping-particle":"","family":"Vermeulen","given":"Walter J.V.","non-dropping-particle":"","parse-names":false,"suffix":""},{"dropping-particle":"","family":"Simboli","given":"Alberto","non-dropping-particle":"","parse-names":false,"suffix":""},{"dropping-particle":"","family":"Raggi","given":"Andrea","non-dropping-particle":"","parse-names":false,"suffix":""}],"container-title":"Journal of Cleaner Production","id":"ITEM-1","issued":{"date-parts":[["2021"]]},"page":"125457","publisher":"Elsevier Ltd","title":"Sustainability assessment in circular inter-firm networks: An integrated framework of industrial ecology and circular supply chain management approaches","type":"article-journal","volume":"286"},"uris":["http://www.mendeley.com/documents/?uuid=8101a4e7-58f6-4cf5-bb14-5685496ac2ed"]}],"mendeley":{"formattedCitation":"(Walker, Vermeulen, et al., 2021)","plainTextFormattedCitation":"(Walker, Vermeulen, et al., 2021)","previouslyFormattedCitation":"(Walker, Vermeulen, et al., 2021)"},"properties":{"noteIndex":0},"schema":"https://github.com/citation-style-language/schema/raw/master/csl-citation.json"}</w:instrText>
      </w:r>
      <w:r w:rsidRPr="00C34BEC">
        <w:fldChar w:fldCharType="separate"/>
      </w:r>
      <w:r w:rsidRPr="00C34BEC">
        <w:t>(Walker, Vermeulen, et al., 2021)</w:t>
      </w:r>
      <w:r w:rsidRPr="00C34BEC">
        <w:fldChar w:fldCharType="end"/>
      </w:r>
      <w:r w:rsidRPr="00C34BEC">
        <w:t xml:space="preserve">. </w:t>
      </w:r>
    </w:p>
    <w:p w14:paraId="37C42998" w14:textId="11BBC4E2" w:rsidR="00C34BEC" w:rsidRDefault="00C34BEC" w:rsidP="00C34BEC">
      <w:pPr>
        <w:jc w:val="center"/>
      </w:pPr>
      <w:r w:rsidRPr="00C34BEC">
        <w:rPr>
          <w:noProof/>
          <w:lang w:eastAsia="zh-CN"/>
        </w:rPr>
        <w:lastRenderedPageBreak/>
        <w:drawing>
          <wp:inline distT="0" distB="0" distL="0" distR="0" wp14:anchorId="4D3CCDBD" wp14:editId="30ADA31A">
            <wp:extent cx="5760720" cy="3738245"/>
            <wp:effectExtent l="0" t="0" r="11430" b="1460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4767DB10" w14:textId="77777777" w:rsidR="0085122E" w:rsidRPr="00C34BEC" w:rsidRDefault="0085122E" w:rsidP="0085122E">
      <w:pPr>
        <w:pStyle w:val="Figurecaption"/>
      </w:pPr>
      <w:r w:rsidRPr="00C34BEC">
        <w:t xml:space="preserve">Figure </w:t>
      </w:r>
      <w:fldSimple w:instr=" SEQ Figure \* ARABIC ">
        <w:r w:rsidRPr="00C34BEC">
          <w:t>10</w:t>
        </w:r>
      </w:fldSimple>
      <w:r w:rsidRPr="00C34BEC">
        <w:t xml:space="preserve"> - Modelling approaches following Seuring classification (2014). ENA: Ecological Network Analysis; I/O: input /output models; LCA: Life Cycle Assessment; MCDM: Multi Criteria Decision Making models; MFA: Material Flow Analysis.</w:t>
      </w:r>
    </w:p>
    <w:p w14:paraId="7B7C7100" w14:textId="77777777" w:rsidR="00C34BEC" w:rsidRPr="00C34BEC" w:rsidRDefault="00C34BEC" w:rsidP="00DD58CC">
      <w:pPr>
        <w:pStyle w:val="Heading3"/>
      </w:pPr>
      <w:bookmarkStart w:id="232" w:name="_Toc157759596"/>
      <w:bookmarkEnd w:id="231"/>
      <w:r w:rsidRPr="00C34BEC">
        <w:t>Metrics and Dimensions</w:t>
      </w:r>
      <w:bookmarkEnd w:id="232"/>
    </w:p>
    <w:p w14:paraId="70080376" w14:textId="77777777" w:rsidR="00C34BEC" w:rsidRPr="00C34BEC" w:rsidRDefault="00C34BEC" w:rsidP="00C34BEC">
      <w:r w:rsidRPr="00C34BEC">
        <w:rPr>
          <w:lang w:val="en-MY"/>
        </w:rPr>
        <w:t xml:space="preserve">In line with RQ1, the articles reviewed were classified according to the sustainability dimensions they consider and the single metrics they select. </w:t>
      </w:r>
      <w:r w:rsidRPr="00C34BEC">
        <w:t xml:space="preserve">The TBL approach is a central concept in sustainability studies, where performance standards need to be achieved across environmental, economic and social dimensions. Following the inclusion of environmental and social issues in the public agenda, SCM scholars have gradually incorporated adequate indicators in their models (Seuring &amp; Mueller, 2008). </w:t>
      </w:r>
    </w:p>
    <w:p w14:paraId="7E79A672" w14:textId="77777777" w:rsidR="00C34BEC" w:rsidRPr="00C34BEC" w:rsidRDefault="00C34BEC" w:rsidP="00C34BEC">
      <w:pPr>
        <w:rPr>
          <w:lang w:val="en-MY"/>
        </w:rPr>
      </w:pPr>
      <w:r w:rsidRPr="00C34BEC">
        <w:t xml:space="preserve">Only 15% of the 203 papers integrate the three dimensions simultaneously (Figure 11). The great majority of the papers (82%) do not consider social indicators, favouring the economic and the environmental dimensions. An interesting result is that 34% of the papers do not consider, in an explicit manner, environmental issues. Many of these 34% incorporate reverse logistics considerations, which (as explained in Section 2.1), were at first mainly based on economic aspects. This result highlights some differences in the choices between firm and supply chain level DSTs. Firm level DSTs seem to incorporate more often environmental considerations </w:t>
      </w:r>
      <w:r w:rsidRPr="00C34BEC">
        <w:fldChar w:fldCharType="begin" w:fldLock="1"/>
      </w:r>
      <w:r w:rsidRPr="00C34BEC">
        <w:instrText>ADDIN CSL_CITATION {"citationItems":[{"id":"ITEM-1","itemData":{"DOI":"10.1016/j.jclepro.2019.05.019","ISSN":"09596526","abstract":"The depletion of resources and the downgrading of the environment, driven by globalization and consumerism phenomena, is worldwide pushing the interest on the Circular Economy (CE)concept. Supposed to substitute the end-of-life notion with restoration and closed-loop product lifecycles, CE wants to eliminate wastes, retain the value embedded into products and materials, foster the use of renewable energies and eliminate toxic chemicals. However, the measurement and assessment of circularity performances are not yet a common practice in companies. To this aim, the paper wants to detect, through a systematic literature review, which are the existing CE performance assessment methods proposed in literature and, based on key findings, develop a positioning framework for measuring and assessing the circularity degree of a company.","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Production","id":"ITEM-1","issued":{"date-parts":[["2019"]]},"page":"440-453","publisher":"Elsevier Ltd","title":"Circular economy performance assessment methods: A systematic literature review","type":"article-journal","volume":"229"},"uris":["http://www.mendeley.com/documents/?uuid=5273591e-185a-4bbe-ab72-78cdc197cdf7"]}],"mendeley":{"formattedCitation":"(Sassanelli, Rosa, et al., 2019)","manualFormatting":"(Sassanelli et al., 2019)","plainTextFormattedCitation":"(Sassanelli, Rosa, et al., 2019)","previouslyFormattedCitation":"(Sassanelli, Rosa, et al., 2019)"},"properties":{"noteIndex":0},"schema":"https://github.com/citation-style-language/schema/raw/master/csl-citation.json"}</w:instrText>
      </w:r>
      <w:r w:rsidRPr="00C34BEC">
        <w:fldChar w:fldCharType="separate"/>
      </w:r>
      <w:r w:rsidRPr="00C34BEC">
        <w:t>(Sassanelli et al., 2019)</w:t>
      </w:r>
      <w:r w:rsidRPr="00C34BEC">
        <w:fldChar w:fldCharType="end"/>
      </w:r>
      <w:r w:rsidRPr="00C34BEC">
        <w:t xml:space="preserve">. </w:t>
      </w:r>
    </w:p>
    <w:p w14:paraId="7341B529" w14:textId="77777777" w:rsidR="0085122E" w:rsidRDefault="00C34BEC" w:rsidP="0085122E">
      <w:pPr>
        <w:jc w:val="center"/>
        <w:rPr>
          <w:i/>
          <w:iCs/>
        </w:rPr>
      </w:pPr>
      <w:r w:rsidRPr="00C34BEC">
        <w:rPr>
          <w:noProof/>
          <w:lang w:eastAsia="zh-CN"/>
        </w:rPr>
        <w:lastRenderedPageBreak/>
        <w:drawing>
          <wp:inline distT="0" distB="0" distL="0" distR="0" wp14:anchorId="1056F550" wp14:editId="730DC1DF">
            <wp:extent cx="3365500" cy="224270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417446" cy="2277319"/>
                    </a:xfrm>
                    <a:prstGeom prst="rect">
                      <a:avLst/>
                    </a:prstGeom>
                    <a:noFill/>
                  </pic:spPr>
                </pic:pic>
              </a:graphicData>
            </a:graphic>
          </wp:inline>
        </w:drawing>
      </w:r>
    </w:p>
    <w:p w14:paraId="0EC0ED34" w14:textId="714D0A7B" w:rsidR="0085122E" w:rsidRPr="00C34BEC" w:rsidRDefault="0085122E" w:rsidP="0085122E">
      <w:pPr>
        <w:pStyle w:val="Figurecaption"/>
      </w:pPr>
      <w:r w:rsidRPr="00C34BEC">
        <w:t xml:space="preserve">Figure </w:t>
      </w:r>
      <w:fldSimple w:instr=" SEQ Figure \* ARABIC ">
        <w:r w:rsidRPr="00C34BEC">
          <w:t>11</w:t>
        </w:r>
      </w:fldSimple>
      <w:r w:rsidRPr="00C34BEC">
        <w:t xml:space="preserve"> - Dimensions considered by the existing models and tools in the literature</w:t>
      </w:r>
    </w:p>
    <w:p w14:paraId="089F3E26" w14:textId="77777777" w:rsidR="00C34BEC" w:rsidRPr="00C34BEC" w:rsidRDefault="00C34BEC" w:rsidP="00C34BEC">
      <w:r w:rsidRPr="00C34BEC">
        <w:t>Half of the articles in the sample adopt a single-dimension perspective, mainly favouring the economic (32%) and the environmental (18%) dimensions. Nevertheless, looking at how the consideration of sustainability dimensions has evolved over time, it can be seen that an increasing number of studies account for at least two dimensions (Figure 12). Individual dimensions and employed indicators are discussed in detail in the following subsections (Table 5).</w:t>
      </w:r>
    </w:p>
    <w:p w14:paraId="452468B9" w14:textId="13158924" w:rsidR="00C34BEC" w:rsidRDefault="00C34BEC" w:rsidP="0085122E">
      <w:pPr>
        <w:ind w:left="360"/>
      </w:pPr>
      <w:r w:rsidRPr="00C34BEC">
        <w:rPr>
          <w:i/>
          <w:iCs/>
          <w:noProof/>
          <w:lang w:eastAsia="zh-CN"/>
        </w:rPr>
        <w:drawing>
          <wp:inline distT="0" distB="0" distL="0" distR="0" wp14:anchorId="71D3709C" wp14:editId="57940064">
            <wp:extent cx="5543550" cy="3171190"/>
            <wp:effectExtent l="0" t="0" r="0"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3C3AF3F5" w14:textId="06434D21" w:rsidR="0085122E" w:rsidRPr="0085122E" w:rsidRDefault="0085122E" w:rsidP="0085122E">
      <w:pPr>
        <w:pStyle w:val="Figurecaption"/>
      </w:pPr>
      <w:r w:rsidRPr="0085122E">
        <w:t xml:space="preserve">Figure </w:t>
      </w:r>
      <w:r w:rsidRPr="00C34BEC">
        <w:fldChar w:fldCharType="begin"/>
      </w:r>
      <w:r w:rsidRPr="0085122E">
        <w:instrText xml:space="preserve"> SEQ Figure \* ARABIC </w:instrText>
      </w:r>
      <w:r w:rsidRPr="00C34BEC">
        <w:fldChar w:fldCharType="separate"/>
      </w:r>
      <w:r w:rsidRPr="0085122E">
        <w:t>12</w:t>
      </w:r>
      <w:r w:rsidRPr="00C34BEC">
        <w:fldChar w:fldCharType="end"/>
      </w:r>
      <w:r w:rsidRPr="0085122E">
        <w:t xml:space="preserve"> - Interactions between the different methods considering sustainability dimensions and scale of interest.</w:t>
      </w:r>
    </w:p>
    <w:p w14:paraId="2A351532" w14:textId="25D1A2B1" w:rsidR="00296F8F" w:rsidRDefault="00296F8F" w:rsidP="00296F8F">
      <w:pPr>
        <w:spacing w:line="259" w:lineRule="auto"/>
        <w:jc w:val="left"/>
        <w:rPr>
          <w:i/>
          <w:iCs/>
        </w:rPr>
        <w:sectPr w:rsidR="00296F8F" w:rsidSect="00DB1C55">
          <w:pgSz w:w="11906" w:h="16838"/>
          <w:pgMar w:top="1418" w:right="1418" w:bottom="1372" w:left="1418" w:header="708" w:footer="316" w:gutter="0"/>
          <w:cols w:space="708"/>
          <w:docGrid w:linePitch="360"/>
        </w:sectPr>
      </w:pPr>
    </w:p>
    <w:p w14:paraId="3A502038" w14:textId="77777777" w:rsidR="00296F8F" w:rsidRPr="00C34BEC" w:rsidRDefault="00296F8F" w:rsidP="00296F8F">
      <w:pPr>
        <w:pStyle w:val="Figurecaption"/>
      </w:pPr>
      <w:r w:rsidRPr="00C34BEC">
        <w:lastRenderedPageBreak/>
        <w:t xml:space="preserve">Table </w:t>
      </w:r>
      <w:fldSimple w:instr=" SEQ Table \* ARABIC ">
        <w:r w:rsidRPr="00C34BEC">
          <w:t>5</w:t>
        </w:r>
      </w:fldSimple>
      <w:r w:rsidRPr="00C34BEC">
        <w:t xml:space="preserve"> - The most </w:t>
      </w:r>
      <w:r w:rsidRPr="00296F8F">
        <w:t>commonly</w:t>
      </w:r>
      <w:r w:rsidRPr="00C34BEC">
        <w:t xml:space="preserve"> employed metrics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02"/>
        <w:gridCol w:w="1661"/>
        <w:gridCol w:w="2070"/>
        <w:gridCol w:w="1985"/>
        <w:gridCol w:w="1366"/>
        <w:gridCol w:w="676"/>
      </w:tblGrid>
      <w:tr w:rsidR="00296F8F" w:rsidRPr="00317232" w14:paraId="56E436A1" w14:textId="77777777" w:rsidTr="00296F8F">
        <w:trPr>
          <w:trHeight w:val="310"/>
        </w:trPr>
        <w:tc>
          <w:tcPr>
            <w:tcW w:w="0" w:type="auto"/>
          </w:tcPr>
          <w:p w14:paraId="2EF0C4DC" w14:textId="77777777" w:rsidR="00296F8F" w:rsidRPr="00317232" w:rsidRDefault="00296F8F" w:rsidP="007B6F6D">
            <w:pPr>
              <w:pStyle w:val="Tabletext"/>
            </w:pPr>
            <w:r w:rsidRPr="00317232">
              <w:t>TBL Dimension</w:t>
            </w:r>
          </w:p>
        </w:tc>
        <w:tc>
          <w:tcPr>
            <w:tcW w:w="0" w:type="auto"/>
            <w:shd w:val="clear" w:color="auto" w:fill="auto"/>
            <w:tcMar>
              <w:top w:w="72" w:type="dxa"/>
              <w:left w:w="144" w:type="dxa"/>
              <w:bottom w:w="72" w:type="dxa"/>
              <w:right w:w="144" w:type="dxa"/>
            </w:tcMar>
            <w:hideMark/>
          </w:tcPr>
          <w:p w14:paraId="65BCEE75" w14:textId="77777777" w:rsidR="00296F8F" w:rsidRPr="00317232" w:rsidRDefault="00296F8F" w:rsidP="007B6F6D">
            <w:pPr>
              <w:pStyle w:val="Tabletext"/>
            </w:pPr>
            <w:r w:rsidRPr="00317232">
              <w:t>Category</w:t>
            </w:r>
          </w:p>
        </w:tc>
        <w:tc>
          <w:tcPr>
            <w:tcW w:w="0" w:type="auto"/>
            <w:shd w:val="clear" w:color="auto" w:fill="auto"/>
            <w:tcMar>
              <w:top w:w="72" w:type="dxa"/>
              <w:left w:w="144" w:type="dxa"/>
              <w:bottom w:w="72" w:type="dxa"/>
              <w:right w:w="144" w:type="dxa"/>
            </w:tcMar>
            <w:hideMark/>
          </w:tcPr>
          <w:p w14:paraId="1C14E3BC" w14:textId="77777777" w:rsidR="00296F8F" w:rsidRPr="00317232" w:rsidRDefault="00296F8F" w:rsidP="007B6F6D">
            <w:pPr>
              <w:pStyle w:val="Tabletext"/>
            </w:pPr>
            <w:r w:rsidRPr="00317232">
              <w:t>Metrics</w:t>
            </w:r>
          </w:p>
        </w:tc>
        <w:tc>
          <w:tcPr>
            <w:tcW w:w="0" w:type="auto"/>
            <w:shd w:val="clear" w:color="auto" w:fill="auto"/>
            <w:tcMar>
              <w:top w:w="72" w:type="dxa"/>
              <w:left w:w="144" w:type="dxa"/>
              <w:bottom w:w="72" w:type="dxa"/>
              <w:right w:w="144" w:type="dxa"/>
            </w:tcMar>
            <w:hideMark/>
          </w:tcPr>
          <w:p w14:paraId="687165FB" w14:textId="77777777" w:rsidR="00296F8F" w:rsidRPr="00317232" w:rsidRDefault="00296F8F" w:rsidP="007B6F6D">
            <w:pPr>
              <w:pStyle w:val="Tabletext"/>
            </w:pPr>
            <w:r w:rsidRPr="00317232">
              <w:t>Description</w:t>
            </w:r>
          </w:p>
        </w:tc>
        <w:tc>
          <w:tcPr>
            <w:tcW w:w="0" w:type="auto"/>
            <w:shd w:val="clear" w:color="auto" w:fill="auto"/>
            <w:tcMar>
              <w:top w:w="72" w:type="dxa"/>
              <w:left w:w="144" w:type="dxa"/>
              <w:bottom w:w="72" w:type="dxa"/>
              <w:right w:w="144" w:type="dxa"/>
            </w:tcMar>
            <w:hideMark/>
          </w:tcPr>
          <w:p w14:paraId="61624159" w14:textId="77777777" w:rsidR="00296F8F" w:rsidRPr="00317232" w:rsidRDefault="00296F8F" w:rsidP="007B6F6D">
            <w:pPr>
              <w:pStyle w:val="Tabletext"/>
            </w:pPr>
            <w:r w:rsidRPr="00317232">
              <w:t>Occurrences</w:t>
            </w:r>
          </w:p>
        </w:tc>
        <w:tc>
          <w:tcPr>
            <w:tcW w:w="0" w:type="auto"/>
            <w:shd w:val="clear" w:color="auto" w:fill="auto"/>
            <w:tcMar>
              <w:top w:w="72" w:type="dxa"/>
              <w:left w:w="144" w:type="dxa"/>
              <w:bottom w:w="72" w:type="dxa"/>
              <w:right w:w="144" w:type="dxa"/>
            </w:tcMar>
            <w:hideMark/>
          </w:tcPr>
          <w:p w14:paraId="1171D424" w14:textId="77777777" w:rsidR="00296F8F" w:rsidRPr="00317232" w:rsidRDefault="00296F8F" w:rsidP="007B6F6D">
            <w:pPr>
              <w:pStyle w:val="Tabletext"/>
            </w:pPr>
            <w:r w:rsidRPr="00317232">
              <w:t xml:space="preserve">% </w:t>
            </w:r>
          </w:p>
        </w:tc>
      </w:tr>
      <w:tr w:rsidR="00296F8F" w:rsidRPr="00317232" w14:paraId="0FD10C20" w14:textId="77777777" w:rsidTr="00296F8F">
        <w:trPr>
          <w:trHeight w:val="664"/>
        </w:trPr>
        <w:tc>
          <w:tcPr>
            <w:tcW w:w="0" w:type="auto"/>
            <w:vMerge w:val="restart"/>
          </w:tcPr>
          <w:p w14:paraId="0C109842" w14:textId="77777777" w:rsidR="00296F8F" w:rsidRPr="00317232" w:rsidRDefault="00296F8F" w:rsidP="007B6F6D">
            <w:pPr>
              <w:pStyle w:val="Tabletext"/>
            </w:pPr>
            <w:r w:rsidRPr="00317232">
              <w:t>Economic</w:t>
            </w:r>
          </w:p>
        </w:tc>
        <w:tc>
          <w:tcPr>
            <w:tcW w:w="0" w:type="auto"/>
            <w:shd w:val="clear" w:color="auto" w:fill="auto"/>
            <w:tcMar>
              <w:top w:w="72" w:type="dxa"/>
              <w:left w:w="144" w:type="dxa"/>
              <w:bottom w:w="72" w:type="dxa"/>
              <w:right w:w="144" w:type="dxa"/>
            </w:tcMar>
            <w:hideMark/>
          </w:tcPr>
          <w:p w14:paraId="73ADC050" w14:textId="77777777" w:rsidR="00296F8F" w:rsidRPr="00317232" w:rsidRDefault="00296F8F" w:rsidP="007B6F6D">
            <w:pPr>
              <w:pStyle w:val="Tabletext"/>
            </w:pPr>
            <w:r w:rsidRPr="00317232">
              <w:t>Costs</w:t>
            </w:r>
          </w:p>
        </w:tc>
        <w:tc>
          <w:tcPr>
            <w:tcW w:w="0" w:type="auto"/>
            <w:shd w:val="clear" w:color="auto" w:fill="auto"/>
            <w:tcMar>
              <w:top w:w="72" w:type="dxa"/>
              <w:left w:w="144" w:type="dxa"/>
              <w:bottom w:w="72" w:type="dxa"/>
              <w:right w:w="144" w:type="dxa"/>
            </w:tcMar>
            <w:hideMark/>
          </w:tcPr>
          <w:p w14:paraId="6BB7C0EF" w14:textId="77777777" w:rsidR="00296F8F" w:rsidRPr="00317232" w:rsidRDefault="00296F8F" w:rsidP="007B6F6D">
            <w:pPr>
              <w:pStyle w:val="Tabletext"/>
            </w:pPr>
            <w:r w:rsidRPr="00317232">
              <w:t>Operational costs</w:t>
            </w:r>
          </w:p>
          <w:p w14:paraId="0371850B" w14:textId="77777777" w:rsidR="00296F8F" w:rsidRPr="00317232" w:rsidRDefault="00296F8F" w:rsidP="007B6F6D">
            <w:pPr>
              <w:pStyle w:val="Tabletext"/>
            </w:pPr>
            <w:r w:rsidRPr="00317232">
              <w:t>Facility location costs</w:t>
            </w:r>
          </w:p>
          <w:p w14:paraId="35099FFC" w14:textId="77777777" w:rsidR="00296F8F" w:rsidRPr="00317232" w:rsidRDefault="00296F8F" w:rsidP="007B6F6D">
            <w:pPr>
              <w:pStyle w:val="Tabletext"/>
            </w:pPr>
            <w:r w:rsidRPr="00317232">
              <w:t>Transportation cost</w:t>
            </w:r>
          </w:p>
          <w:p w14:paraId="4D4B47BC" w14:textId="77777777" w:rsidR="00296F8F" w:rsidRPr="00317232" w:rsidRDefault="00296F8F" w:rsidP="007B6F6D">
            <w:pPr>
              <w:pStyle w:val="Tabletext"/>
            </w:pPr>
            <w:r w:rsidRPr="00317232">
              <w:t>Reverse supply chain cost</w:t>
            </w:r>
          </w:p>
        </w:tc>
        <w:tc>
          <w:tcPr>
            <w:tcW w:w="0" w:type="auto"/>
            <w:shd w:val="clear" w:color="auto" w:fill="auto"/>
            <w:tcMar>
              <w:top w:w="72" w:type="dxa"/>
              <w:left w:w="144" w:type="dxa"/>
              <w:bottom w:w="72" w:type="dxa"/>
              <w:right w:w="144" w:type="dxa"/>
            </w:tcMar>
            <w:hideMark/>
          </w:tcPr>
          <w:p w14:paraId="5C0BD22F" w14:textId="77777777" w:rsidR="00296F8F" w:rsidRPr="00317232" w:rsidRDefault="00296F8F" w:rsidP="007B6F6D">
            <w:pPr>
              <w:pStyle w:val="Tabletext"/>
            </w:pPr>
            <w:r w:rsidRPr="00317232">
              <w:t>Cost-based indicators, both at a company and at a supply chain level</w:t>
            </w:r>
          </w:p>
        </w:tc>
        <w:tc>
          <w:tcPr>
            <w:tcW w:w="0" w:type="auto"/>
            <w:shd w:val="clear" w:color="auto" w:fill="auto"/>
            <w:tcMar>
              <w:top w:w="72" w:type="dxa"/>
              <w:left w:w="144" w:type="dxa"/>
              <w:bottom w:w="72" w:type="dxa"/>
              <w:right w:w="144" w:type="dxa"/>
            </w:tcMar>
            <w:hideMark/>
          </w:tcPr>
          <w:p w14:paraId="4C8B3B93" w14:textId="77777777" w:rsidR="00296F8F" w:rsidRPr="00317232" w:rsidRDefault="00296F8F" w:rsidP="007B6F6D">
            <w:pPr>
              <w:pStyle w:val="Tabletext"/>
            </w:pPr>
            <w:r w:rsidRPr="00317232">
              <w:t>112</w:t>
            </w:r>
          </w:p>
        </w:tc>
        <w:tc>
          <w:tcPr>
            <w:tcW w:w="0" w:type="auto"/>
            <w:shd w:val="clear" w:color="auto" w:fill="auto"/>
            <w:tcMar>
              <w:top w:w="72" w:type="dxa"/>
              <w:left w:w="144" w:type="dxa"/>
              <w:bottom w:w="72" w:type="dxa"/>
              <w:right w:w="144" w:type="dxa"/>
            </w:tcMar>
            <w:hideMark/>
          </w:tcPr>
          <w:p w14:paraId="147962D4" w14:textId="77777777" w:rsidR="00296F8F" w:rsidRPr="00317232" w:rsidRDefault="00296F8F" w:rsidP="007B6F6D">
            <w:pPr>
              <w:pStyle w:val="Tabletext"/>
            </w:pPr>
            <w:r w:rsidRPr="00317232">
              <w:t>55%</w:t>
            </w:r>
          </w:p>
        </w:tc>
      </w:tr>
      <w:tr w:rsidR="00296F8F" w:rsidRPr="00317232" w14:paraId="611768D9" w14:textId="77777777" w:rsidTr="00296F8F">
        <w:trPr>
          <w:trHeight w:val="481"/>
        </w:trPr>
        <w:tc>
          <w:tcPr>
            <w:tcW w:w="0" w:type="auto"/>
            <w:vMerge/>
          </w:tcPr>
          <w:p w14:paraId="61CAE870" w14:textId="77777777" w:rsidR="00296F8F" w:rsidRPr="00317232" w:rsidRDefault="00296F8F" w:rsidP="007B6F6D">
            <w:pPr>
              <w:pStyle w:val="Tabletext"/>
            </w:pPr>
          </w:p>
        </w:tc>
        <w:tc>
          <w:tcPr>
            <w:tcW w:w="0" w:type="auto"/>
            <w:shd w:val="clear" w:color="auto" w:fill="auto"/>
            <w:tcMar>
              <w:top w:w="72" w:type="dxa"/>
              <w:left w:w="144" w:type="dxa"/>
              <w:bottom w:w="72" w:type="dxa"/>
              <w:right w:w="144" w:type="dxa"/>
            </w:tcMar>
            <w:hideMark/>
          </w:tcPr>
          <w:p w14:paraId="4043EF19" w14:textId="77777777" w:rsidR="00296F8F" w:rsidRPr="00317232" w:rsidRDefault="00296F8F" w:rsidP="007B6F6D">
            <w:pPr>
              <w:pStyle w:val="Tabletext"/>
            </w:pPr>
            <w:r w:rsidRPr="00317232">
              <w:t>Profits</w:t>
            </w:r>
          </w:p>
        </w:tc>
        <w:tc>
          <w:tcPr>
            <w:tcW w:w="0" w:type="auto"/>
            <w:shd w:val="clear" w:color="auto" w:fill="auto"/>
            <w:tcMar>
              <w:top w:w="72" w:type="dxa"/>
              <w:left w:w="144" w:type="dxa"/>
              <w:bottom w:w="72" w:type="dxa"/>
              <w:right w:w="144" w:type="dxa"/>
            </w:tcMar>
            <w:hideMark/>
          </w:tcPr>
          <w:p w14:paraId="093866D4" w14:textId="77777777" w:rsidR="00296F8F" w:rsidRPr="00317232" w:rsidRDefault="00296F8F" w:rsidP="007B6F6D">
            <w:pPr>
              <w:pStyle w:val="Tabletext"/>
            </w:pPr>
            <w:r w:rsidRPr="00317232">
              <w:t>Total CSC profits</w:t>
            </w:r>
          </w:p>
          <w:p w14:paraId="53CD9733" w14:textId="77777777" w:rsidR="00296F8F" w:rsidRPr="00317232" w:rsidRDefault="00296F8F" w:rsidP="007B6F6D">
            <w:pPr>
              <w:pStyle w:val="Tabletext"/>
            </w:pPr>
            <w:r w:rsidRPr="00317232">
              <w:t>Profits from recovery activities including remanufacturing, recycling and disposal</w:t>
            </w:r>
          </w:p>
        </w:tc>
        <w:tc>
          <w:tcPr>
            <w:tcW w:w="0" w:type="auto"/>
            <w:shd w:val="clear" w:color="auto" w:fill="auto"/>
            <w:tcMar>
              <w:top w:w="72" w:type="dxa"/>
              <w:left w:w="144" w:type="dxa"/>
              <w:bottom w:w="72" w:type="dxa"/>
              <w:right w:w="144" w:type="dxa"/>
            </w:tcMar>
            <w:hideMark/>
          </w:tcPr>
          <w:p w14:paraId="112E649C" w14:textId="77777777" w:rsidR="00296F8F" w:rsidRPr="00317232" w:rsidRDefault="00296F8F" w:rsidP="007B6F6D">
            <w:pPr>
              <w:pStyle w:val="Tabletext"/>
            </w:pPr>
            <w:r w:rsidRPr="00317232">
              <w:t>Profit-based indicators, both at a company and at a supply chain level</w:t>
            </w:r>
          </w:p>
        </w:tc>
        <w:tc>
          <w:tcPr>
            <w:tcW w:w="0" w:type="auto"/>
            <w:shd w:val="clear" w:color="auto" w:fill="auto"/>
            <w:tcMar>
              <w:top w:w="72" w:type="dxa"/>
              <w:left w:w="144" w:type="dxa"/>
              <w:bottom w:w="72" w:type="dxa"/>
              <w:right w:w="144" w:type="dxa"/>
            </w:tcMar>
            <w:hideMark/>
          </w:tcPr>
          <w:p w14:paraId="3BD6696C" w14:textId="77777777" w:rsidR="00296F8F" w:rsidRPr="00317232" w:rsidRDefault="00296F8F" w:rsidP="007B6F6D">
            <w:pPr>
              <w:pStyle w:val="Tabletext"/>
            </w:pPr>
            <w:r w:rsidRPr="00317232">
              <w:t>50</w:t>
            </w:r>
          </w:p>
        </w:tc>
        <w:tc>
          <w:tcPr>
            <w:tcW w:w="0" w:type="auto"/>
            <w:shd w:val="clear" w:color="auto" w:fill="auto"/>
            <w:tcMar>
              <w:top w:w="72" w:type="dxa"/>
              <w:left w:w="144" w:type="dxa"/>
              <w:bottom w:w="72" w:type="dxa"/>
              <w:right w:w="144" w:type="dxa"/>
            </w:tcMar>
            <w:hideMark/>
          </w:tcPr>
          <w:p w14:paraId="2B972948" w14:textId="77777777" w:rsidR="00296F8F" w:rsidRPr="00317232" w:rsidRDefault="00296F8F" w:rsidP="007B6F6D">
            <w:pPr>
              <w:pStyle w:val="Tabletext"/>
            </w:pPr>
            <w:r w:rsidRPr="00317232">
              <w:t>25%</w:t>
            </w:r>
          </w:p>
        </w:tc>
      </w:tr>
      <w:tr w:rsidR="00296F8F" w:rsidRPr="00317232" w14:paraId="0E019DF0" w14:textId="77777777" w:rsidTr="00296F8F">
        <w:trPr>
          <w:trHeight w:val="584"/>
        </w:trPr>
        <w:tc>
          <w:tcPr>
            <w:tcW w:w="0" w:type="auto"/>
            <w:vMerge/>
          </w:tcPr>
          <w:p w14:paraId="5A1E47CA" w14:textId="77777777" w:rsidR="00296F8F" w:rsidRPr="00317232" w:rsidRDefault="00296F8F" w:rsidP="007B6F6D">
            <w:pPr>
              <w:pStyle w:val="Tabletext"/>
            </w:pPr>
          </w:p>
        </w:tc>
        <w:tc>
          <w:tcPr>
            <w:tcW w:w="0" w:type="auto"/>
            <w:shd w:val="clear" w:color="auto" w:fill="auto"/>
            <w:tcMar>
              <w:top w:w="72" w:type="dxa"/>
              <w:left w:w="144" w:type="dxa"/>
              <w:bottom w:w="72" w:type="dxa"/>
              <w:right w:w="144" w:type="dxa"/>
            </w:tcMar>
            <w:hideMark/>
          </w:tcPr>
          <w:p w14:paraId="56B4ECFE" w14:textId="77777777" w:rsidR="00296F8F" w:rsidRPr="00317232" w:rsidRDefault="00296F8F" w:rsidP="007B6F6D">
            <w:pPr>
              <w:pStyle w:val="Tabletext"/>
            </w:pPr>
            <w:r w:rsidRPr="00317232">
              <w:t>Time</w:t>
            </w:r>
          </w:p>
        </w:tc>
        <w:tc>
          <w:tcPr>
            <w:tcW w:w="0" w:type="auto"/>
            <w:shd w:val="clear" w:color="auto" w:fill="auto"/>
            <w:tcMar>
              <w:top w:w="72" w:type="dxa"/>
              <w:left w:w="144" w:type="dxa"/>
              <w:bottom w:w="72" w:type="dxa"/>
              <w:right w:w="144" w:type="dxa"/>
            </w:tcMar>
            <w:hideMark/>
          </w:tcPr>
          <w:p w14:paraId="75F4B997" w14:textId="77777777" w:rsidR="00296F8F" w:rsidRPr="00317232" w:rsidRDefault="00296F8F" w:rsidP="007B6F6D">
            <w:pPr>
              <w:pStyle w:val="Tabletext"/>
            </w:pPr>
            <w:r w:rsidRPr="00317232">
              <w:t>Time responsiveness of the network</w:t>
            </w:r>
          </w:p>
          <w:p w14:paraId="4880D695" w14:textId="77777777" w:rsidR="00296F8F" w:rsidRPr="00317232" w:rsidRDefault="00296F8F" w:rsidP="007B6F6D">
            <w:pPr>
              <w:pStyle w:val="Tabletext"/>
            </w:pPr>
            <w:r w:rsidRPr="00317232">
              <w:t>Delivery reliability of suppliers</w:t>
            </w:r>
          </w:p>
        </w:tc>
        <w:tc>
          <w:tcPr>
            <w:tcW w:w="0" w:type="auto"/>
            <w:shd w:val="clear" w:color="auto" w:fill="auto"/>
            <w:tcMar>
              <w:top w:w="72" w:type="dxa"/>
              <w:left w:w="144" w:type="dxa"/>
              <w:bottom w:w="72" w:type="dxa"/>
              <w:right w:w="144" w:type="dxa"/>
            </w:tcMar>
            <w:hideMark/>
          </w:tcPr>
          <w:p w14:paraId="11B4EE5E" w14:textId="77777777" w:rsidR="00296F8F" w:rsidRPr="00317232" w:rsidRDefault="00296F8F" w:rsidP="007B6F6D">
            <w:pPr>
              <w:pStyle w:val="Tabletext"/>
            </w:pPr>
            <w:r w:rsidRPr="00317232">
              <w:t>Time responsiveness-based indicators, both at a company and at a supply chain level</w:t>
            </w:r>
          </w:p>
        </w:tc>
        <w:tc>
          <w:tcPr>
            <w:tcW w:w="0" w:type="auto"/>
            <w:shd w:val="clear" w:color="auto" w:fill="auto"/>
            <w:tcMar>
              <w:top w:w="72" w:type="dxa"/>
              <w:left w:w="144" w:type="dxa"/>
              <w:bottom w:w="72" w:type="dxa"/>
              <w:right w:w="144" w:type="dxa"/>
            </w:tcMar>
            <w:hideMark/>
          </w:tcPr>
          <w:p w14:paraId="652956A0" w14:textId="77777777" w:rsidR="00296F8F" w:rsidRPr="00317232" w:rsidRDefault="00296F8F" w:rsidP="007B6F6D">
            <w:pPr>
              <w:pStyle w:val="Tabletext"/>
            </w:pPr>
            <w:r w:rsidRPr="00317232">
              <w:t>18</w:t>
            </w:r>
          </w:p>
        </w:tc>
        <w:tc>
          <w:tcPr>
            <w:tcW w:w="0" w:type="auto"/>
            <w:shd w:val="clear" w:color="auto" w:fill="auto"/>
            <w:tcMar>
              <w:top w:w="15" w:type="dxa"/>
              <w:left w:w="108" w:type="dxa"/>
              <w:bottom w:w="0" w:type="dxa"/>
              <w:right w:w="108" w:type="dxa"/>
            </w:tcMar>
            <w:hideMark/>
          </w:tcPr>
          <w:p w14:paraId="7DED2717" w14:textId="77777777" w:rsidR="00296F8F" w:rsidRPr="00317232" w:rsidRDefault="00296F8F" w:rsidP="007B6F6D">
            <w:pPr>
              <w:pStyle w:val="Tabletext"/>
            </w:pPr>
            <w:r w:rsidRPr="00317232">
              <w:t>9%</w:t>
            </w:r>
          </w:p>
        </w:tc>
      </w:tr>
      <w:tr w:rsidR="00296F8F" w:rsidRPr="00317232" w14:paraId="63EA9935" w14:textId="77777777" w:rsidTr="00296F8F">
        <w:trPr>
          <w:trHeight w:val="21"/>
        </w:trPr>
        <w:tc>
          <w:tcPr>
            <w:tcW w:w="0" w:type="auto"/>
            <w:vMerge/>
          </w:tcPr>
          <w:p w14:paraId="6F14A7F9" w14:textId="77777777" w:rsidR="00296F8F" w:rsidRPr="00317232" w:rsidRDefault="00296F8F" w:rsidP="007B6F6D">
            <w:pPr>
              <w:pStyle w:val="Tabletext"/>
            </w:pPr>
          </w:p>
        </w:tc>
        <w:tc>
          <w:tcPr>
            <w:tcW w:w="0" w:type="auto"/>
            <w:shd w:val="clear" w:color="auto" w:fill="auto"/>
            <w:tcMar>
              <w:top w:w="72" w:type="dxa"/>
              <w:left w:w="144" w:type="dxa"/>
              <w:bottom w:w="72" w:type="dxa"/>
              <w:right w:w="144" w:type="dxa"/>
            </w:tcMar>
            <w:hideMark/>
          </w:tcPr>
          <w:p w14:paraId="067CE69C" w14:textId="77777777" w:rsidR="00296F8F" w:rsidRPr="00317232" w:rsidRDefault="00296F8F" w:rsidP="007B6F6D">
            <w:pPr>
              <w:pStyle w:val="Tabletext"/>
            </w:pPr>
            <w:r w:rsidRPr="00317232">
              <w:t>Quality</w:t>
            </w:r>
          </w:p>
        </w:tc>
        <w:tc>
          <w:tcPr>
            <w:tcW w:w="0" w:type="auto"/>
            <w:shd w:val="clear" w:color="auto" w:fill="auto"/>
            <w:tcMar>
              <w:top w:w="72" w:type="dxa"/>
              <w:left w:w="144" w:type="dxa"/>
              <w:bottom w:w="72" w:type="dxa"/>
              <w:right w:w="144" w:type="dxa"/>
            </w:tcMar>
            <w:hideMark/>
          </w:tcPr>
          <w:p w14:paraId="00A79890" w14:textId="77777777" w:rsidR="00296F8F" w:rsidRPr="00317232" w:rsidRDefault="00296F8F" w:rsidP="007B6F6D">
            <w:pPr>
              <w:pStyle w:val="Tabletext"/>
            </w:pPr>
            <w:r w:rsidRPr="00317232">
              <w:t>Reliability of supply</w:t>
            </w:r>
          </w:p>
          <w:p w14:paraId="38946E08" w14:textId="77777777" w:rsidR="00296F8F" w:rsidRPr="00317232" w:rsidRDefault="00296F8F" w:rsidP="007B6F6D">
            <w:pPr>
              <w:pStyle w:val="Tabletext"/>
            </w:pPr>
            <w:r w:rsidRPr="00317232">
              <w:t>Quality level of the production</w:t>
            </w:r>
          </w:p>
          <w:p w14:paraId="314DF8B5" w14:textId="77777777" w:rsidR="00296F8F" w:rsidRPr="00317232" w:rsidRDefault="00296F8F" w:rsidP="007B6F6D">
            <w:pPr>
              <w:pStyle w:val="Tabletext"/>
            </w:pPr>
            <w:r w:rsidRPr="00317232">
              <w:t>Quality of the returns</w:t>
            </w:r>
          </w:p>
        </w:tc>
        <w:tc>
          <w:tcPr>
            <w:tcW w:w="0" w:type="auto"/>
            <w:shd w:val="clear" w:color="auto" w:fill="auto"/>
            <w:tcMar>
              <w:top w:w="72" w:type="dxa"/>
              <w:left w:w="144" w:type="dxa"/>
              <w:bottom w:w="72" w:type="dxa"/>
              <w:right w:w="144" w:type="dxa"/>
            </w:tcMar>
            <w:hideMark/>
          </w:tcPr>
          <w:p w14:paraId="174B07DB" w14:textId="77777777" w:rsidR="00296F8F" w:rsidRPr="00317232" w:rsidRDefault="00296F8F" w:rsidP="007B6F6D">
            <w:pPr>
              <w:pStyle w:val="Tabletext"/>
            </w:pPr>
            <w:r w:rsidRPr="00317232">
              <w:t>Quality-based indicators, both at a company and at a supply chain level</w:t>
            </w:r>
          </w:p>
        </w:tc>
        <w:tc>
          <w:tcPr>
            <w:tcW w:w="0" w:type="auto"/>
            <w:shd w:val="clear" w:color="auto" w:fill="auto"/>
            <w:tcMar>
              <w:top w:w="72" w:type="dxa"/>
              <w:left w:w="144" w:type="dxa"/>
              <w:bottom w:w="72" w:type="dxa"/>
              <w:right w:w="144" w:type="dxa"/>
            </w:tcMar>
            <w:hideMark/>
          </w:tcPr>
          <w:p w14:paraId="347916B4" w14:textId="77777777" w:rsidR="00296F8F" w:rsidRPr="00317232" w:rsidRDefault="00296F8F" w:rsidP="007B6F6D">
            <w:pPr>
              <w:pStyle w:val="Tabletext"/>
            </w:pPr>
            <w:r w:rsidRPr="00317232">
              <w:t>14</w:t>
            </w:r>
          </w:p>
        </w:tc>
        <w:tc>
          <w:tcPr>
            <w:tcW w:w="0" w:type="auto"/>
            <w:shd w:val="clear" w:color="auto" w:fill="auto"/>
            <w:tcMar>
              <w:top w:w="15" w:type="dxa"/>
              <w:left w:w="108" w:type="dxa"/>
              <w:bottom w:w="0" w:type="dxa"/>
              <w:right w:w="108" w:type="dxa"/>
            </w:tcMar>
            <w:hideMark/>
          </w:tcPr>
          <w:p w14:paraId="2468CF6F" w14:textId="77777777" w:rsidR="00296F8F" w:rsidRPr="00317232" w:rsidRDefault="00296F8F" w:rsidP="007B6F6D">
            <w:pPr>
              <w:pStyle w:val="Tabletext"/>
            </w:pPr>
            <w:r w:rsidRPr="00317232">
              <w:t>7%</w:t>
            </w:r>
          </w:p>
        </w:tc>
      </w:tr>
      <w:tr w:rsidR="00296F8F" w:rsidRPr="00317232" w14:paraId="3676935E" w14:textId="77777777" w:rsidTr="00296F8F">
        <w:trPr>
          <w:trHeight w:val="1069"/>
        </w:trPr>
        <w:tc>
          <w:tcPr>
            <w:tcW w:w="0" w:type="auto"/>
            <w:vMerge/>
          </w:tcPr>
          <w:p w14:paraId="3A0475D3" w14:textId="77777777" w:rsidR="00296F8F" w:rsidRPr="00317232" w:rsidRDefault="00296F8F" w:rsidP="007B6F6D">
            <w:pPr>
              <w:pStyle w:val="Tabletext"/>
            </w:pPr>
          </w:p>
        </w:tc>
        <w:tc>
          <w:tcPr>
            <w:tcW w:w="0" w:type="auto"/>
            <w:shd w:val="clear" w:color="auto" w:fill="auto"/>
            <w:tcMar>
              <w:top w:w="72" w:type="dxa"/>
              <w:left w:w="144" w:type="dxa"/>
              <w:bottom w:w="72" w:type="dxa"/>
              <w:right w:w="144" w:type="dxa"/>
            </w:tcMar>
            <w:hideMark/>
          </w:tcPr>
          <w:p w14:paraId="5828E4E3" w14:textId="77777777" w:rsidR="00296F8F" w:rsidRPr="00317232" w:rsidRDefault="00296F8F" w:rsidP="007B6F6D">
            <w:pPr>
              <w:pStyle w:val="Tabletext"/>
            </w:pPr>
            <w:r w:rsidRPr="00317232">
              <w:t>Risk</w:t>
            </w:r>
          </w:p>
        </w:tc>
        <w:tc>
          <w:tcPr>
            <w:tcW w:w="0" w:type="auto"/>
            <w:shd w:val="clear" w:color="auto" w:fill="auto"/>
            <w:tcMar>
              <w:top w:w="72" w:type="dxa"/>
              <w:left w:w="144" w:type="dxa"/>
              <w:bottom w:w="72" w:type="dxa"/>
              <w:right w:w="144" w:type="dxa"/>
            </w:tcMar>
            <w:hideMark/>
          </w:tcPr>
          <w:p w14:paraId="33E1AC03" w14:textId="77777777" w:rsidR="00296F8F" w:rsidRPr="00317232" w:rsidRDefault="00296F8F" w:rsidP="007B6F6D">
            <w:pPr>
              <w:pStyle w:val="Tabletext"/>
            </w:pPr>
            <w:r w:rsidRPr="00317232">
              <w:t>Financial risk</w:t>
            </w:r>
          </w:p>
          <w:p w14:paraId="7390B6DE" w14:textId="77777777" w:rsidR="00296F8F" w:rsidRPr="00317232" w:rsidRDefault="00296F8F" w:rsidP="007B6F6D">
            <w:pPr>
              <w:pStyle w:val="Tabletext"/>
            </w:pPr>
            <w:r w:rsidRPr="00317232">
              <w:t>Value at risk</w:t>
            </w:r>
          </w:p>
          <w:p w14:paraId="11C4634E" w14:textId="77777777" w:rsidR="00296F8F" w:rsidRPr="00317232" w:rsidRDefault="00296F8F" w:rsidP="007B6F6D">
            <w:pPr>
              <w:pStyle w:val="Tabletext"/>
            </w:pPr>
            <w:r w:rsidRPr="00317232">
              <w:t>Conditional value at risk</w:t>
            </w:r>
          </w:p>
          <w:p w14:paraId="3622562B" w14:textId="77777777" w:rsidR="00296F8F" w:rsidRPr="00317232" w:rsidRDefault="00296F8F" w:rsidP="007B6F6D">
            <w:pPr>
              <w:pStyle w:val="Tabletext"/>
            </w:pPr>
            <w:r w:rsidRPr="00317232">
              <w:t>Variability index</w:t>
            </w:r>
          </w:p>
          <w:p w14:paraId="5E507740" w14:textId="77777777" w:rsidR="00296F8F" w:rsidRPr="00317232" w:rsidRDefault="00296F8F" w:rsidP="007B6F6D">
            <w:pPr>
              <w:pStyle w:val="Tabletext"/>
            </w:pPr>
            <w:r w:rsidRPr="00317232">
              <w:t>Downside risk</w:t>
            </w:r>
          </w:p>
        </w:tc>
        <w:tc>
          <w:tcPr>
            <w:tcW w:w="0" w:type="auto"/>
            <w:shd w:val="clear" w:color="auto" w:fill="auto"/>
            <w:tcMar>
              <w:top w:w="72" w:type="dxa"/>
              <w:left w:w="144" w:type="dxa"/>
              <w:bottom w:w="72" w:type="dxa"/>
              <w:right w:w="144" w:type="dxa"/>
            </w:tcMar>
            <w:hideMark/>
          </w:tcPr>
          <w:p w14:paraId="4FFBC4F7" w14:textId="2F1143A3" w:rsidR="00296F8F" w:rsidRPr="00317232" w:rsidRDefault="00296F8F" w:rsidP="007B6F6D">
            <w:pPr>
              <w:pStyle w:val="Tabletext"/>
            </w:pPr>
            <w:r w:rsidRPr="00317232">
              <w:t>Risk-based indicators associated to uncertainty (</w:t>
            </w:r>
            <w:r w:rsidR="00F07293" w:rsidRPr="00317232">
              <w:t>e.g.,</w:t>
            </w:r>
            <w:r w:rsidRPr="00317232">
              <w:t xml:space="preserve"> of demand, collection)</w:t>
            </w:r>
          </w:p>
        </w:tc>
        <w:tc>
          <w:tcPr>
            <w:tcW w:w="0" w:type="auto"/>
            <w:shd w:val="clear" w:color="auto" w:fill="auto"/>
            <w:tcMar>
              <w:top w:w="72" w:type="dxa"/>
              <w:left w:w="144" w:type="dxa"/>
              <w:bottom w:w="72" w:type="dxa"/>
              <w:right w:w="144" w:type="dxa"/>
            </w:tcMar>
            <w:hideMark/>
          </w:tcPr>
          <w:p w14:paraId="08C01518" w14:textId="77777777" w:rsidR="00296F8F" w:rsidRPr="00317232" w:rsidRDefault="00296F8F" w:rsidP="007B6F6D">
            <w:pPr>
              <w:pStyle w:val="Tabletext"/>
            </w:pPr>
            <w:r w:rsidRPr="00317232">
              <w:t>12</w:t>
            </w:r>
          </w:p>
        </w:tc>
        <w:tc>
          <w:tcPr>
            <w:tcW w:w="0" w:type="auto"/>
            <w:shd w:val="clear" w:color="auto" w:fill="auto"/>
            <w:tcMar>
              <w:top w:w="15" w:type="dxa"/>
              <w:left w:w="108" w:type="dxa"/>
              <w:bottom w:w="0" w:type="dxa"/>
              <w:right w:w="108" w:type="dxa"/>
            </w:tcMar>
            <w:hideMark/>
          </w:tcPr>
          <w:p w14:paraId="4BF5F9A2" w14:textId="77777777" w:rsidR="00296F8F" w:rsidRPr="00317232" w:rsidRDefault="00296F8F" w:rsidP="007B6F6D">
            <w:pPr>
              <w:pStyle w:val="Tabletext"/>
            </w:pPr>
            <w:r w:rsidRPr="00317232">
              <w:t>6%</w:t>
            </w:r>
          </w:p>
        </w:tc>
      </w:tr>
      <w:tr w:rsidR="00296F8F" w:rsidRPr="00317232" w14:paraId="32338495" w14:textId="77777777" w:rsidTr="00296F8F">
        <w:trPr>
          <w:trHeight w:val="69"/>
        </w:trPr>
        <w:tc>
          <w:tcPr>
            <w:tcW w:w="0" w:type="auto"/>
            <w:vMerge/>
          </w:tcPr>
          <w:p w14:paraId="7E005CFA" w14:textId="77777777" w:rsidR="00296F8F" w:rsidRPr="00317232" w:rsidRDefault="00296F8F" w:rsidP="007B6F6D">
            <w:pPr>
              <w:pStyle w:val="Tabletext"/>
            </w:pPr>
          </w:p>
        </w:tc>
        <w:tc>
          <w:tcPr>
            <w:tcW w:w="0" w:type="auto"/>
            <w:shd w:val="clear" w:color="auto" w:fill="auto"/>
            <w:tcMar>
              <w:top w:w="72" w:type="dxa"/>
              <w:left w:w="144" w:type="dxa"/>
              <w:bottom w:w="72" w:type="dxa"/>
              <w:right w:w="144" w:type="dxa"/>
            </w:tcMar>
            <w:hideMark/>
          </w:tcPr>
          <w:p w14:paraId="6EFBEF3C" w14:textId="77777777" w:rsidR="00296F8F" w:rsidRPr="00317232" w:rsidRDefault="00296F8F" w:rsidP="007B6F6D">
            <w:pPr>
              <w:pStyle w:val="Tabletext"/>
            </w:pPr>
            <w:r w:rsidRPr="00317232">
              <w:t>Profitability</w:t>
            </w:r>
          </w:p>
        </w:tc>
        <w:tc>
          <w:tcPr>
            <w:tcW w:w="0" w:type="auto"/>
            <w:shd w:val="clear" w:color="auto" w:fill="auto"/>
            <w:tcMar>
              <w:top w:w="72" w:type="dxa"/>
              <w:left w:w="144" w:type="dxa"/>
              <w:bottom w:w="72" w:type="dxa"/>
              <w:right w:w="144" w:type="dxa"/>
            </w:tcMar>
            <w:hideMark/>
          </w:tcPr>
          <w:p w14:paraId="5215B9EC" w14:textId="77777777" w:rsidR="00296F8F" w:rsidRPr="00317232" w:rsidRDefault="00296F8F" w:rsidP="007B6F6D">
            <w:pPr>
              <w:pStyle w:val="Tabletext"/>
            </w:pPr>
            <w:r w:rsidRPr="00317232">
              <w:t>Net Present Value</w:t>
            </w:r>
          </w:p>
          <w:p w14:paraId="268A6695" w14:textId="77777777" w:rsidR="00296F8F" w:rsidRPr="00317232" w:rsidRDefault="00296F8F" w:rsidP="007B6F6D">
            <w:pPr>
              <w:pStyle w:val="Tabletext"/>
            </w:pPr>
            <w:r w:rsidRPr="00317232">
              <w:t>Return on Equity</w:t>
            </w:r>
          </w:p>
          <w:p w14:paraId="268E1F6C" w14:textId="77777777" w:rsidR="00296F8F" w:rsidRPr="00317232" w:rsidRDefault="00296F8F" w:rsidP="007B6F6D">
            <w:pPr>
              <w:pStyle w:val="Tabletext"/>
            </w:pPr>
            <w:r w:rsidRPr="00317232">
              <w:t>Return on Assets</w:t>
            </w:r>
          </w:p>
        </w:tc>
        <w:tc>
          <w:tcPr>
            <w:tcW w:w="0" w:type="auto"/>
            <w:shd w:val="clear" w:color="auto" w:fill="auto"/>
            <w:tcMar>
              <w:top w:w="72" w:type="dxa"/>
              <w:left w:w="144" w:type="dxa"/>
              <w:bottom w:w="72" w:type="dxa"/>
              <w:right w:w="144" w:type="dxa"/>
            </w:tcMar>
            <w:hideMark/>
          </w:tcPr>
          <w:p w14:paraId="35583C0A" w14:textId="77777777" w:rsidR="00296F8F" w:rsidRPr="00317232" w:rsidRDefault="00296F8F" w:rsidP="007B6F6D">
            <w:pPr>
              <w:pStyle w:val="Tabletext"/>
            </w:pPr>
            <w:r w:rsidRPr="00317232">
              <w:t xml:space="preserve">Profitability-based indexes, measuring </w:t>
            </w:r>
          </w:p>
        </w:tc>
        <w:tc>
          <w:tcPr>
            <w:tcW w:w="0" w:type="auto"/>
            <w:shd w:val="clear" w:color="auto" w:fill="auto"/>
            <w:tcMar>
              <w:top w:w="72" w:type="dxa"/>
              <w:left w:w="144" w:type="dxa"/>
              <w:bottom w:w="72" w:type="dxa"/>
              <w:right w:w="144" w:type="dxa"/>
            </w:tcMar>
            <w:hideMark/>
          </w:tcPr>
          <w:p w14:paraId="15042241" w14:textId="77777777" w:rsidR="00296F8F" w:rsidRPr="00317232" w:rsidRDefault="00296F8F" w:rsidP="007B6F6D">
            <w:pPr>
              <w:pStyle w:val="Tabletext"/>
            </w:pPr>
            <w:r w:rsidRPr="00317232">
              <w:t>9</w:t>
            </w:r>
          </w:p>
        </w:tc>
        <w:tc>
          <w:tcPr>
            <w:tcW w:w="0" w:type="auto"/>
            <w:shd w:val="clear" w:color="auto" w:fill="auto"/>
            <w:tcMar>
              <w:top w:w="15" w:type="dxa"/>
              <w:left w:w="108" w:type="dxa"/>
              <w:bottom w:w="0" w:type="dxa"/>
              <w:right w:w="108" w:type="dxa"/>
            </w:tcMar>
            <w:hideMark/>
          </w:tcPr>
          <w:p w14:paraId="5AA2CA30" w14:textId="77777777" w:rsidR="00296F8F" w:rsidRPr="00317232" w:rsidRDefault="00296F8F" w:rsidP="007B6F6D">
            <w:pPr>
              <w:pStyle w:val="Tabletext"/>
            </w:pPr>
            <w:r w:rsidRPr="00317232">
              <w:t>4%</w:t>
            </w:r>
          </w:p>
        </w:tc>
      </w:tr>
      <w:tr w:rsidR="00296F8F" w:rsidRPr="00317232" w14:paraId="406F4032" w14:textId="77777777" w:rsidTr="00296F8F">
        <w:trPr>
          <w:trHeight w:val="69"/>
        </w:trPr>
        <w:tc>
          <w:tcPr>
            <w:tcW w:w="0" w:type="auto"/>
            <w:vMerge w:val="restart"/>
            <w:tcBorders>
              <w:top w:val="single" w:sz="4" w:space="0" w:color="auto"/>
              <w:left w:val="single" w:sz="4" w:space="0" w:color="auto"/>
              <w:right w:val="single" w:sz="4" w:space="0" w:color="auto"/>
            </w:tcBorders>
          </w:tcPr>
          <w:p w14:paraId="7D72063E" w14:textId="77777777" w:rsidR="00296F8F" w:rsidRPr="00317232" w:rsidRDefault="00296F8F" w:rsidP="007B6F6D">
            <w:pPr>
              <w:pStyle w:val="Tabletext"/>
            </w:pPr>
            <w:r w:rsidRPr="00317232">
              <w:t>Environmental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A66689E" w14:textId="77777777" w:rsidR="00296F8F" w:rsidRPr="00317232" w:rsidRDefault="00296F8F" w:rsidP="007B6F6D">
            <w:pPr>
              <w:pStyle w:val="Tabletext"/>
            </w:pPr>
            <w:r w:rsidRPr="00317232">
              <w:t>Emission equivalent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5C8450C" w14:textId="77777777" w:rsidR="00296F8F" w:rsidRPr="00317232" w:rsidRDefault="00296F8F" w:rsidP="007B6F6D">
            <w:pPr>
              <w:pStyle w:val="Tabletext"/>
            </w:pPr>
            <w:r w:rsidRPr="00317232">
              <w:t>Climate Change</w:t>
            </w:r>
          </w:p>
          <w:p w14:paraId="4F0DBA6B" w14:textId="77777777" w:rsidR="00296F8F" w:rsidRPr="00317232" w:rsidRDefault="00296F8F" w:rsidP="007B6F6D">
            <w:pPr>
              <w:pStyle w:val="Tabletext"/>
            </w:pPr>
            <w:r w:rsidRPr="00317232">
              <w:t>Greenhouse gases</w:t>
            </w:r>
          </w:p>
          <w:p w14:paraId="5CB58BA3" w14:textId="77777777" w:rsidR="00296F8F" w:rsidRPr="00317232" w:rsidRDefault="00296F8F" w:rsidP="007B6F6D">
            <w:pPr>
              <w:pStyle w:val="Tabletext"/>
            </w:pPr>
            <w:r w:rsidRPr="00317232">
              <w:t>Global Warming Potential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BBAD437" w14:textId="77777777" w:rsidR="00296F8F" w:rsidRPr="00317232" w:rsidRDefault="00296F8F" w:rsidP="007B6F6D">
            <w:pPr>
              <w:pStyle w:val="Tabletext"/>
            </w:pPr>
            <w:r w:rsidRPr="00317232">
              <w:t xml:space="preserve">CO2 eq. emissions associated with supply chain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96C2052" w14:textId="77777777" w:rsidR="00296F8F" w:rsidRPr="00317232" w:rsidRDefault="00296F8F" w:rsidP="007B6F6D">
            <w:pPr>
              <w:pStyle w:val="Tabletext"/>
            </w:pPr>
            <w:r w:rsidRPr="00317232">
              <w:t>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4209134" w14:textId="77777777" w:rsidR="00296F8F" w:rsidRPr="00317232" w:rsidRDefault="00296F8F" w:rsidP="007B6F6D">
            <w:pPr>
              <w:pStyle w:val="Tabletext"/>
            </w:pPr>
            <w:r w:rsidRPr="00317232">
              <w:t>44%</w:t>
            </w:r>
          </w:p>
        </w:tc>
      </w:tr>
      <w:tr w:rsidR="00296F8F" w:rsidRPr="00317232" w14:paraId="4A227668" w14:textId="77777777" w:rsidTr="00296F8F">
        <w:trPr>
          <w:trHeight w:val="69"/>
        </w:trPr>
        <w:tc>
          <w:tcPr>
            <w:tcW w:w="0" w:type="auto"/>
            <w:vMerge/>
            <w:tcBorders>
              <w:left w:val="single" w:sz="4" w:space="0" w:color="auto"/>
              <w:right w:val="single" w:sz="4" w:space="0" w:color="auto"/>
            </w:tcBorders>
          </w:tcPr>
          <w:p w14:paraId="06FEA2DF"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1BAFD48" w14:textId="77777777" w:rsidR="00296F8F" w:rsidRPr="00317232" w:rsidRDefault="00296F8F" w:rsidP="007B6F6D">
            <w:pPr>
              <w:pStyle w:val="Tabletext"/>
            </w:pPr>
            <w:r w:rsidRPr="00317232">
              <w:t>Waste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D939CCE" w14:textId="77777777" w:rsidR="00296F8F" w:rsidRPr="00317232" w:rsidRDefault="00296F8F" w:rsidP="007B6F6D">
            <w:pPr>
              <w:pStyle w:val="Tabletext"/>
            </w:pPr>
            <w:r w:rsidRPr="00317232">
              <w:t>Waste Landfilled</w:t>
            </w:r>
          </w:p>
          <w:p w14:paraId="12F3692C" w14:textId="77777777" w:rsidR="00296F8F" w:rsidRPr="00317232" w:rsidRDefault="00296F8F" w:rsidP="007B6F6D">
            <w:pPr>
              <w:pStyle w:val="Tabletext"/>
            </w:pPr>
            <w:r w:rsidRPr="00317232">
              <w:t>Recycled waste</w:t>
            </w:r>
          </w:p>
          <w:p w14:paraId="1F168AC3" w14:textId="77777777" w:rsidR="00296F8F" w:rsidRPr="00317232" w:rsidRDefault="00296F8F" w:rsidP="007B6F6D">
            <w:pPr>
              <w:pStyle w:val="Tabletext"/>
            </w:pPr>
            <w:r w:rsidRPr="00317232">
              <w:t>Recovered waste</w:t>
            </w:r>
          </w:p>
          <w:p w14:paraId="3ED62325" w14:textId="77777777" w:rsidR="00296F8F" w:rsidRPr="00317232" w:rsidRDefault="00296F8F" w:rsidP="007B6F6D">
            <w:pPr>
              <w:pStyle w:val="Tabletext"/>
            </w:pPr>
            <w:r w:rsidRPr="00317232">
              <w:t>Recyclability and ease of disassembly</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80F2725" w14:textId="77777777" w:rsidR="00296F8F" w:rsidRPr="00317232" w:rsidRDefault="00296F8F" w:rsidP="007B6F6D">
            <w:pPr>
              <w:pStyle w:val="Tabletext"/>
            </w:pPr>
            <w:r w:rsidRPr="00317232">
              <w:t xml:space="preserve">Residual waste produced and landfilled or recovered by supply chain activities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85D9514" w14:textId="77777777" w:rsidR="00296F8F" w:rsidRPr="00317232" w:rsidRDefault="00296F8F" w:rsidP="007B6F6D">
            <w:pPr>
              <w:pStyle w:val="Tabletext"/>
            </w:pPr>
            <w:r w:rsidRPr="00317232">
              <w:t>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92CE38C" w14:textId="77777777" w:rsidR="00296F8F" w:rsidRPr="00317232" w:rsidRDefault="00296F8F" w:rsidP="007B6F6D">
            <w:pPr>
              <w:pStyle w:val="Tabletext"/>
            </w:pPr>
            <w:r w:rsidRPr="00317232">
              <w:t>17%</w:t>
            </w:r>
          </w:p>
        </w:tc>
      </w:tr>
      <w:tr w:rsidR="00296F8F" w:rsidRPr="00317232" w14:paraId="26073A3C" w14:textId="77777777" w:rsidTr="00296F8F">
        <w:trPr>
          <w:trHeight w:val="69"/>
        </w:trPr>
        <w:tc>
          <w:tcPr>
            <w:tcW w:w="0" w:type="auto"/>
            <w:vMerge/>
            <w:tcBorders>
              <w:left w:val="single" w:sz="4" w:space="0" w:color="auto"/>
              <w:right w:val="single" w:sz="4" w:space="0" w:color="auto"/>
            </w:tcBorders>
          </w:tcPr>
          <w:p w14:paraId="27255A0F"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EFCC8F7" w14:textId="77777777" w:rsidR="00296F8F" w:rsidRPr="00317232" w:rsidRDefault="00296F8F" w:rsidP="007B6F6D">
            <w:pPr>
              <w:pStyle w:val="Tabletext"/>
            </w:pPr>
            <w:r w:rsidRPr="00317232">
              <w:t>Energy usage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2B68B91" w14:textId="77777777" w:rsidR="00296F8F" w:rsidRPr="00317232" w:rsidRDefault="00296F8F" w:rsidP="007B6F6D">
            <w:pPr>
              <w:pStyle w:val="Tabletext"/>
            </w:pPr>
            <w:r w:rsidRPr="00317232">
              <w:t>Energy use</w:t>
            </w:r>
          </w:p>
          <w:p w14:paraId="5014F95D" w14:textId="77777777" w:rsidR="00296F8F" w:rsidRPr="00317232" w:rsidRDefault="00296F8F" w:rsidP="007B6F6D">
            <w:pPr>
              <w:pStyle w:val="Tabletext"/>
            </w:pPr>
            <w:r w:rsidRPr="00317232">
              <w:lastRenderedPageBreak/>
              <w:t>Cumulative energy demand</w:t>
            </w:r>
          </w:p>
          <w:p w14:paraId="4FAF4DC2" w14:textId="77777777" w:rsidR="00296F8F" w:rsidRPr="00317232" w:rsidRDefault="00296F8F" w:rsidP="007B6F6D">
            <w:pPr>
              <w:pStyle w:val="Tabletext"/>
            </w:pPr>
            <w:r w:rsidRPr="00317232">
              <w:t>Renewable energy use</w:t>
            </w:r>
          </w:p>
          <w:p w14:paraId="1346F7AD" w14:textId="77777777" w:rsidR="00296F8F" w:rsidRPr="00317232" w:rsidRDefault="00296F8F" w:rsidP="007B6F6D">
            <w:pPr>
              <w:pStyle w:val="Tabletext"/>
            </w:pPr>
            <w:r w:rsidRPr="00317232">
              <w:t>Energy self-sufficiency</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498666A" w14:textId="77777777" w:rsidR="00296F8F" w:rsidRPr="00317232" w:rsidRDefault="00296F8F" w:rsidP="007B6F6D">
            <w:pPr>
              <w:pStyle w:val="Tabletext"/>
            </w:pPr>
            <w:r w:rsidRPr="00317232">
              <w:lastRenderedPageBreak/>
              <w:t xml:space="preserve">Energy-based indicators </w:t>
            </w:r>
            <w:r w:rsidRPr="00317232">
              <w:lastRenderedPageBreak/>
              <w:t xml:space="preserve">associated with supply chain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59DBDB0" w14:textId="77777777" w:rsidR="00296F8F" w:rsidRPr="00317232" w:rsidRDefault="00296F8F" w:rsidP="007B6F6D">
            <w:pPr>
              <w:pStyle w:val="Tabletext"/>
            </w:pPr>
            <w:r w:rsidRPr="00317232">
              <w:lastRenderedPageBreak/>
              <w:t>32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F82BFDD" w14:textId="77777777" w:rsidR="00296F8F" w:rsidRPr="00317232" w:rsidRDefault="00296F8F" w:rsidP="007B6F6D">
            <w:pPr>
              <w:pStyle w:val="Tabletext"/>
            </w:pPr>
            <w:r w:rsidRPr="00317232">
              <w:t>16%</w:t>
            </w:r>
          </w:p>
        </w:tc>
      </w:tr>
      <w:tr w:rsidR="00296F8F" w:rsidRPr="00317232" w14:paraId="652C881D" w14:textId="77777777" w:rsidTr="00296F8F">
        <w:trPr>
          <w:trHeight w:val="69"/>
        </w:trPr>
        <w:tc>
          <w:tcPr>
            <w:tcW w:w="0" w:type="auto"/>
            <w:vMerge/>
            <w:tcBorders>
              <w:left w:val="single" w:sz="4" w:space="0" w:color="auto"/>
              <w:right w:val="single" w:sz="4" w:space="0" w:color="auto"/>
            </w:tcBorders>
          </w:tcPr>
          <w:p w14:paraId="7E51C511"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2022300" w14:textId="77777777" w:rsidR="00296F8F" w:rsidRPr="00317232" w:rsidRDefault="00296F8F" w:rsidP="007B6F6D">
            <w:pPr>
              <w:pStyle w:val="Tabletext"/>
            </w:pPr>
            <w:r w:rsidRPr="00317232">
              <w:t xml:space="preserve">Virgin resources usage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7057A5C" w14:textId="77777777" w:rsidR="00296F8F" w:rsidRPr="00317232" w:rsidRDefault="00296F8F" w:rsidP="007B6F6D">
            <w:pPr>
              <w:pStyle w:val="Tabletext"/>
            </w:pPr>
            <w:r w:rsidRPr="00317232">
              <w:t>Abiotic depletion of resource</w:t>
            </w:r>
          </w:p>
          <w:p w14:paraId="38340093" w14:textId="77777777" w:rsidR="00296F8F" w:rsidRPr="00317232" w:rsidRDefault="00296F8F" w:rsidP="007B6F6D">
            <w:pPr>
              <w:pStyle w:val="Tabletext"/>
            </w:pPr>
            <w:r w:rsidRPr="00317232">
              <w:t>Mineral, fossil &amp; renewable resource depletion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E06E97C" w14:textId="77777777" w:rsidR="00296F8F" w:rsidRPr="00317232" w:rsidRDefault="00296F8F" w:rsidP="007B6F6D">
            <w:pPr>
              <w:pStyle w:val="Tabletext"/>
            </w:pPr>
            <w:r w:rsidRPr="00317232">
              <w:t>Virgin resource use associated with supply chain material consumption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A380AF9" w14:textId="77777777" w:rsidR="00296F8F" w:rsidRPr="00317232" w:rsidRDefault="00296F8F" w:rsidP="007B6F6D">
            <w:pPr>
              <w:pStyle w:val="Tabletext"/>
            </w:pPr>
            <w:r w:rsidRPr="00317232">
              <w:t>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309AC87" w14:textId="77777777" w:rsidR="00296F8F" w:rsidRPr="00317232" w:rsidRDefault="00296F8F" w:rsidP="007B6F6D">
            <w:pPr>
              <w:pStyle w:val="Tabletext"/>
            </w:pPr>
            <w:r w:rsidRPr="00317232">
              <w:t>13%</w:t>
            </w:r>
          </w:p>
        </w:tc>
      </w:tr>
      <w:tr w:rsidR="00296F8F" w:rsidRPr="00317232" w14:paraId="5CA8CF67" w14:textId="77777777" w:rsidTr="00296F8F">
        <w:trPr>
          <w:trHeight w:val="69"/>
        </w:trPr>
        <w:tc>
          <w:tcPr>
            <w:tcW w:w="0" w:type="auto"/>
            <w:vMerge/>
            <w:tcBorders>
              <w:left w:val="single" w:sz="4" w:space="0" w:color="auto"/>
              <w:right w:val="single" w:sz="4" w:space="0" w:color="auto"/>
            </w:tcBorders>
          </w:tcPr>
          <w:p w14:paraId="786EAEE7"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938C31C" w14:textId="77777777" w:rsidR="00296F8F" w:rsidRPr="00317232" w:rsidRDefault="00296F8F" w:rsidP="007B6F6D">
            <w:pPr>
              <w:pStyle w:val="Tabletext"/>
            </w:pPr>
            <w:r w:rsidRPr="00317232">
              <w:t xml:space="preserve">Water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21A1F84B" w14:textId="77777777" w:rsidR="00296F8F" w:rsidRPr="00317232" w:rsidRDefault="00296F8F" w:rsidP="007B6F6D">
            <w:pPr>
              <w:pStyle w:val="Tabletext"/>
            </w:pPr>
            <w:r w:rsidRPr="00317232">
              <w:t>Water depletion</w:t>
            </w:r>
          </w:p>
          <w:p w14:paraId="5DBF1708" w14:textId="77777777" w:rsidR="00296F8F" w:rsidRPr="00317232" w:rsidRDefault="00296F8F" w:rsidP="007B6F6D">
            <w:pPr>
              <w:pStyle w:val="Tabletext"/>
            </w:pPr>
            <w:r w:rsidRPr="00317232">
              <w:t>Water emissions</w:t>
            </w:r>
          </w:p>
          <w:p w14:paraId="06E37A2E" w14:textId="77777777" w:rsidR="00296F8F" w:rsidRPr="00317232" w:rsidRDefault="00296F8F" w:rsidP="007B6F6D">
            <w:pPr>
              <w:pStyle w:val="Tabletext"/>
            </w:pPr>
            <w:r w:rsidRPr="00317232">
              <w:t>Water use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5FD2FC3E" w14:textId="77777777" w:rsidR="00296F8F" w:rsidRPr="00317232" w:rsidRDefault="00296F8F" w:rsidP="007B6F6D">
            <w:pPr>
              <w:pStyle w:val="Tabletext"/>
            </w:pPr>
            <w:r w:rsidRPr="00317232">
              <w:t>Water used or contaminated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C23C5F1" w14:textId="77777777" w:rsidR="00296F8F" w:rsidRPr="00317232" w:rsidRDefault="00296F8F" w:rsidP="007B6F6D">
            <w:pPr>
              <w:pStyle w:val="Tabletext"/>
            </w:pPr>
            <w:r w:rsidRPr="00317232">
              <w:t>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36D8C36" w14:textId="77777777" w:rsidR="00296F8F" w:rsidRPr="00317232" w:rsidRDefault="00296F8F" w:rsidP="007B6F6D">
            <w:pPr>
              <w:pStyle w:val="Tabletext"/>
            </w:pPr>
            <w:r w:rsidRPr="00317232">
              <w:t>13%</w:t>
            </w:r>
          </w:p>
        </w:tc>
      </w:tr>
      <w:tr w:rsidR="00296F8F" w:rsidRPr="00317232" w14:paraId="40ECB87D" w14:textId="77777777" w:rsidTr="00296F8F">
        <w:trPr>
          <w:trHeight w:val="69"/>
        </w:trPr>
        <w:tc>
          <w:tcPr>
            <w:tcW w:w="0" w:type="auto"/>
            <w:vMerge/>
            <w:tcBorders>
              <w:left w:val="single" w:sz="4" w:space="0" w:color="auto"/>
              <w:right w:val="single" w:sz="4" w:space="0" w:color="auto"/>
            </w:tcBorders>
          </w:tcPr>
          <w:p w14:paraId="53298FD0"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C7EFFE4" w14:textId="77777777" w:rsidR="00296F8F" w:rsidRPr="00317232" w:rsidRDefault="00296F8F" w:rsidP="007B6F6D">
            <w:pPr>
              <w:pStyle w:val="Tabletext"/>
            </w:pPr>
            <w:r w:rsidRPr="00317232">
              <w:t>Air emissions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F2BCC29" w14:textId="77777777" w:rsidR="00296F8F" w:rsidRPr="00317232" w:rsidRDefault="00296F8F" w:rsidP="007B6F6D">
            <w:pPr>
              <w:pStyle w:val="Tabletext"/>
            </w:pPr>
            <w:r w:rsidRPr="00317232">
              <w:t>Particulate Matter</w:t>
            </w:r>
          </w:p>
          <w:p w14:paraId="3E43FDF6" w14:textId="77777777" w:rsidR="00296F8F" w:rsidRPr="00317232" w:rsidRDefault="00296F8F" w:rsidP="007B6F6D">
            <w:pPr>
              <w:pStyle w:val="Tabletext"/>
            </w:pPr>
            <w:r w:rsidRPr="00317232">
              <w:t>Respiratory inorganics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172A1A1" w14:textId="77777777" w:rsidR="00296F8F" w:rsidRPr="00317232" w:rsidRDefault="00296F8F" w:rsidP="007B6F6D">
            <w:pPr>
              <w:pStyle w:val="Tabletext"/>
            </w:pPr>
            <w:r w:rsidRPr="00317232">
              <w:t>Other air emissions associated with supply chain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5AF8078" w14:textId="77777777" w:rsidR="00296F8F" w:rsidRPr="00317232" w:rsidRDefault="00296F8F" w:rsidP="007B6F6D">
            <w:pPr>
              <w:pStyle w:val="Tabletext"/>
            </w:pPr>
            <w:r w:rsidRPr="00317232">
              <w:t>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8E05369" w14:textId="77777777" w:rsidR="00296F8F" w:rsidRPr="00317232" w:rsidRDefault="00296F8F" w:rsidP="007B6F6D">
            <w:pPr>
              <w:pStyle w:val="Tabletext"/>
            </w:pPr>
            <w:r w:rsidRPr="00317232">
              <w:t>11%</w:t>
            </w:r>
          </w:p>
        </w:tc>
      </w:tr>
      <w:tr w:rsidR="00296F8F" w:rsidRPr="00317232" w14:paraId="0438630C" w14:textId="77777777" w:rsidTr="00296F8F">
        <w:trPr>
          <w:trHeight w:val="69"/>
        </w:trPr>
        <w:tc>
          <w:tcPr>
            <w:tcW w:w="0" w:type="auto"/>
            <w:vMerge/>
            <w:tcBorders>
              <w:left w:val="single" w:sz="4" w:space="0" w:color="auto"/>
              <w:right w:val="single" w:sz="4" w:space="0" w:color="auto"/>
            </w:tcBorders>
          </w:tcPr>
          <w:p w14:paraId="546E68FA"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ABE294C" w14:textId="77777777" w:rsidR="00296F8F" w:rsidRPr="00317232" w:rsidRDefault="00296F8F" w:rsidP="007B6F6D">
            <w:pPr>
              <w:pStyle w:val="Tabletext"/>
            </w:pPr>
            <w:r w:rsidRPr="00317232">
              <w:t>Acidification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C43005B" w14:textId="77777777" w:rsidR="00296F8F" w:rsidRPr="00317232" w:rsidRDefault="00296F8F" w:rsidP="007B6F6D">
            <w:pPr>
              <w:pStyle w:val="Tabletext"/>
            </w:pPr>
            <w:r w:rsidRPr="00317232">
              <w:t>Terrestrial acidification</w:t>
            </w:r>
          </w:p>
          <w:p w14:paraId="1171824C" w14:textId="77777777" w:rsidR="00296F8F" w:rsidRPr="00317232" w:rsidRDefault="00296F8F" w:rsidP="007B6F6D">
            <w:pPr>
              <w:pStyle w:val="Tabletext"/>
            </w:pPr>
            <w:r w:rsidRPr="00317232">
              <w:t>Marine acidification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AA04BEA" w14:textId="77777777" w:rsidR="00296F8F" w:rsidRPr="00317232" w:rsidRDefault="00296F8F" w:rsidP="007B6F6D">
            <w:pPr>
              <w:pStyle w:val="Tabletext"/>
            </w:pPr>
            <w:r w:rsidRPr="00317232">
              <w:t>Acidification potential associated with supply chain processes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28D3397" w14:textId="77777777" w:rsidR="00296F8F" w:rsidRPr="00317232" w:rsidRDefault="00296F8F" w:rsidP="007B6F6D">
            <w:pPr>
              <w:pStyle w:val="Tabletext"/>
            </w:pPr>
            <w:r w:rsidRPr="00317232">
              <w:t>19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E00EAB0" w14:textId="77777777" w:rsidR="00296F8F" w:rsidRPr="00317232" w:rsidRDefault="00296F8F" w:rsidP="007B6F6D">
            <w:pPr>
              <w:pStyle w:val="Tabletext"/>
            </w:pPr>
            <w:r w:rsidRPr="00317232">
              <w:t>9%</w:t>
            </w:r>
          </w:p>
        </w:tc>
      </w:tr>
      <w:tr w:rsidR="00296F8F" w:rsidRPr="00317232" w14:paraId="41289884" w14:textId="77777777" w:rsidTr="00296F8F">
        <w:trPr>
          <w:trHeight w:val="69"/>
        </w:trPr>
        <w:tc>
          <w:tcPr>
            <w:tcW w:w="0" w:type="auto"/>
            <w:vMerge w:val="restart"/>
            <w:tcBorders>
              <w:top w:val="single" w:sz="4" w:space="0" w:color="auto"/>
              <w:left w:val="single" w:sz="4" w:space="0" w:color="auto"/>
              <w:right w:val="single" w:sz="4" w:space="0" w:color="auto"/>
            </w:tcBorders>
          </w:tcPr>
          <w:p w14:paraId="023C6635" w14:textId="77777777" w:rsidR="00296F8F" w:rsidRPr="00317232" w:rsidRDefault="00296F8F" w:rsidP="007B6F6D">
            <w:pPr>
              <w:pStyle w:val="Tabletext"/>
            </w:pPr>
            <w:r w:rsidRPr="00317232">
              <w:t>Social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2299E1F" w14:textId="77777777" w:rsidR="00296F8F" w:rsidRPr="00317232" w:rsidRDefault="00296F8F" w:rsidP="007B6F6D">
            <w:pPr>
              <w:pStyle w:val="Tabletext"/>
            </w:pPr>
            <w:r w:rsidRPr="00317232">
              <w:t>CSC jobs created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1A4052B" w14:textId="77777777" w:rsidR="00296F8F" w:rsidRPr="00317232" w:rsidRDefault="00296F8F" w:rsidP="007B6F6D">
            <w:pPr>
              <w:pStyle w:val="Tabletext"/>
            </w:pPr>
            <w:r w:rsidRPr="00317232">
              <w:t>Number of fixed and variable jobs</w:t>
            </w:r>
          </w:p>
          <w:p w14:paraId="3C6747C5" w14:textId="77777777" w:rsidR="00296F8F" w:rsidRPr="00317232" w:rsidRDefault="00296F8F" w:rsidP="007B6F6D">
            <w:pPr>
              <w:pStyle w:val="Tabletext"/>
            </w:pPr>
            <w:r w:rsidRPr="00317232">
              <w:t>Number of drivers hired for transportation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13921DD" w14:textId="77777777" w:rsidR="00296F8F" w:rsidRPr="00317232" w:rsidRDefault="00296F8F" w:rsidP="007B6F6D">
            <w:pPr>
              <w:pStyle w:val="Tabletext"/>
            </w:pPr>
            <w:r w:rsidRPr="00317232">
              <w:t>Employment opportunities provided by the CSC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7D4F832" w14:textId="77777777" w:rsidR="00296F8F" w:rsidRPr="00317232" w:rsidRDefault="00296F8F" w:rsidP="007B6F6D">
            <w:pPr>
              <w:pStyle w:val="Tabletext"/>
            </w:pPr>
            <w:r w:rsidRPr="00317232">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04278FE" w14:textId="77777777" w:rsidR="00296F8F" w:rsidRPr="00317232" w:rsidRDefault="00296F8F" w:rsidP="007B6F6D">
            <w:pPr>
              <w:pStyle w:val="Tabletext"/>
            </w:pPr>
            <w:r w:rsidRPr="00317232">
              <w:t>7%</w:t>
            </w:r>
          </w:p>
        </w:tc>
      </w:tr>
      <w:tr w:rsidR="00296F8F" w:rsidRPr="00317232" w14:paraId="076524FA" w14:textId="77777777" w:rsidTr="00296F8F">
        <w:trPr>
          <w:trHeight w:val="69"/>
        </w:trPr>
        <w:tc>
          <w:tcPr>
            <w:tcW w:w="0" w:type="auto"/>
            <w:vMerge/>
            <w:tcBorders>
              <w:left w:val="single" w:sz="4" w:space="0" w:color="auto"/>
              <w:right w:val="single" w:sz="4" w:space="0" w:color="auto"/>
            </w:tcBorders>
          </w:tcPr>
          <w:p w14:paraId="4D6FDDB0"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7988BB1" w14:textId="77777777" w:rsidR="00296F8F" w:rsidRPr="00317232" w:rsidRDefault="00296F8F" w:rsidP="007B6F6D">
            <w:pPr>
              <w:pStyle w:val="Tabletext"/>
            </w:pPr>
            <w:r w:rsidRPr="00317232">
              <w:t xml:space="preserve">Organisational H&amp;S compliance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233EE94" w14:textId="77777777" w:rsidR="00296F8F" w:rsidRPr="00317232" w:rsidRDefault="00296F8F" w:rsidP="007B6F6D">
            <w:pPr>
              <w:pStyle w:val="Tabletext"/>
            </w:pPr>
            <w:r w:rsidRPr="00317232">
              <w:t xml:space="preserve">Compliance with the ILO guidelines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D545F1B" w14:textId="77777777" w:rsidR="00296F8F" w:rsidRPr="00317232" w:rsidRDefault="00296F8F" w:rsidP="007B6F6D">
            <w:pPr>
              <w:pStyle w:val="Tabletext"/>
            </w:pPr>
            <w:r w:rsidRPr="00317232">
              <w:t>Measures of compliance to H&amp;S Guidelines for the jobs created in the CSC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8D1899D" w14:textId="77777777" w:rsidR="00296F8F" w:rsidRPr="00317232" w:rsidRDefault="00296F8F" w:rsidP="007B6F6D">
            <w:pPr>
              <w:pStyle w:val="Tabletext"/>
            </w:pPr>
            <w:r w:rsidRPr="00317232">
              <w:t>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9994125" w14:textId="77777777" w:rsidR="00296F8F" w:rsidRPr="00317232" w:rsidRDefault="00296F8F" w:rsidP="007B6F6D">
            <w:pPr>
              <w:pStyle w:val="Tabletext"/>
            </w:pPr>
            <w:r w:rsidRPr="00317232">
              <w:t>4%</w:t>
            </w:r>
          </w:p>
        </w:tc>
      </w:tr>
      <w:tr w:rsidR="00296F8F" w:rsidRPr="00317232" w14:paraId="29701DBF" w14:textId="77777777" w:rsidTr="00296F8F">
        <w:trPr>
          <w:trHeight w:val="69"/>
        </w:trPr>
        <w:tc>
          <w:tcPr>
            <w:tcW w:w="0" w:type="auto"/>
            <w:vMerge/>
            <w:tcBorders>
              <w:left w:val="single" w:sz="4" w:space="0" w:color="auto"/>
              <w:right w:val="single" w:sz="4" w:space="0" w:color="auto"/>
            </w:tcBorders>
          </w:tcPr>
          <w:p w14:paraId="4E483A19"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3E9C286" w14:textId="77777777" w:rsidR="00296F8F" w:rsidRPr="00317232" w:rsidRDefault="00296F8F" w:rsidP="007B6F6D">
            <w:pPr>
              <w:pStyle w:val="Tabletext"/>
            </w:pPr>
            <w:r w:rsidRPr="00317232">
              <w:t xml:space="preserve">Quality of work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9D868AA" w14:textId="77777777" w:rsidR="00296F8F" w:rsidRPr="00317232" w:rsidRDefault="00296F8F" w:rsidP="007B6F6D">
            <w:pPr>
              <w:pStyle w:val="Tabletext"/>
            </w:pPr>
            <w:r w:rsidRPr="00317232">
              <w:t>Work damages</w:t>
            </w:r>
          </w:p>
          <w:p w14:paraId="7E3447BA" w14:textId="77777777" w:rsidR="00296F8F" w:rsidRPr="00317232" w:rsidRDefault="00296F8F" w:rsidP="007B6F6D">
            <w:pPr>
              <w:pStyle w:val="Tabletext"/>
            </w:pPr>
            <w:r w:rsidRPr="00317232">
              <w:t>number of accidents, lost</w:t>
            </w:r>
          </w:p>
          <w:p w14:paraId="36B0A215" w14:textId="77777777" w:rsidR="00296F8F" w:rsidRPr="00317232" w:rsidRDefault="00296F8F" w:rsidP="007B6F6D">
            <w:pPr>
              <w:pStyle w:val="Tabletext"/>
            </w:pPr>
            <w:r w:rsidRPr="00317232">
              <w:t>Employee turnover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146CEAE" w14:textId="77777777" w:rsidR="00296F8F" w:rsidRPr="00317232" w:rsidRDefault="00296F8F" w:rsidP="007B6F6D">
            <w:pPr>
              <w:pStyle w:val="Tabletext"/>
            </w:pPr>
            <w:r w:rsidRPr="00317232">
              <w:t>Measures of quality of the jobs created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0473B4E4" w14:textId="77777777" w:rsidR="00296F8F" w:rsidRPr="00317232" w:rsidRDefault="00296F8F" w:rsidP="007B6F6D">
            <w:pPr>
              <w:pStyle w:val="Tabletext"/>
            </w:pPr>
            <w:r w:rsidRPr="00317232">
              <w:t>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5EF53D6" w14:textId="77777777" w:rsidR="00296F8F" w:rsidRPr="00317232" w:rsidRDefault="00296F8F" w:rsidP="007B6F6D">
            <w:pPr>
              <w:pStyle w:val="Tabletext"/>
            </w:pPr>
            <w:r w:rsidRPr="00317232">
              <w:t>3%</w:t>
            </w:r>
          </w:p>
        </w:tc>
      </w:tr>
      <w:tr w:rsidR="00296F8F" w:rsidRPr="00317232" w14:paraId="2A5955E6" w14:textId="77777777" w:rsidTr="00296F8F">
        <w:trPr>
          <w:trHeight w:val="69"/>
        </w:trPr>
        <w:tc>
          <w:tcPr>
            <w:tcW w:w="0" w:type="auto"/>
            <w:vMerge/>
            <w:tcBorders>
              <w:left w:val="single" w:sz="4" w:space="0" w:color="auto"/>
              <w:right w:val="single" w:sz="4" w:space="0" w:color="auto"/>
            </w:tcBorders>
          </w:tcPr>
          <w:p w14:paraId="4D31FC88"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11B1C693" w14:textId="77777777" w:rsidR="00296F8F" w:rsidRPr="00317232" w:rsidRDefault="00296F8F" w:rsidP="007B6F6D">
            <w:pPr>
              <w:pStyle w:val="Tabletext"/>
            </w:pPr>
            <w:r w:rsidRPr="00317232">
              <w:t>Training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C1BAEB8" w14:textId="77777777" w:rsidR="00296F8F" w:rsidRPr="00317232" w:rsidRDefault="00296F8F" w:rsidP="007B6F6D">
            <w:pPr>
              <w:pStyle w:val="Tabletext"/>
            </w:pPr>
            <w:r w:rsidRPr="00317232">
              <w:t>Average hours of training</w:t>
            </w:r>
          </w:p>
          <w:p w14:paraId="7D0AC752" w14:textId="77777777" w:rsidR="00296F8F" w:rsidRPr="00317232" w:rsidRDefault="00296F8F" w:rsidP="007B6F6D">
            <w:pPr>
              <w:pStyle w:val="Tabletext"/>
            </w:pPr>
            <w:r w:rsidRPr="00317232">
              <w:t>Training on skills for employability</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18D8602" w14:textId="77777777" w:rsidR="00296F8F" w:rsidRPr="00317232" w:rsidRDefault="00296F8F" w:rsidP="007B6F6D">
            <w:pPr>
              <w:pStyle w:val="Tabletext"/>
            </w:pPr>
            <w:r w:rsidRPr="00317232">
              <w:t>Indicators of the training provided to workers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D5ABFE3" w14:textId="77777777" w:rsidR="00296F8F" w:rsidRPr="00317232" w:rsidRDefault="00296F8F" w:rsidP="007B6F6D">
            <w:pPr>
              <w:pStyle w:val="Tabletext"/>
            </w:pPr>
            <w:r w:rsidRPr="00317232">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D80340B" w14:textId="77777777" w:rsidR="00296F8F" w:rsidRPr="00317232" w:rsidRDefault="00296F8F" w:rsidP="007B6F6D">
            <w:pPr>
              <w:pStyle w:val="Tabletext"/>
            </w:pPr>
            <w:r w:rsidRPr="00317232">
              <w:t>2%</w:t>
            </w:r>
          </w:p>
        </w:tc>
      </w:tr>
      <w:tr w:rsidR="00296F8F" w:rsidRPr="00317232" w14:paraId="38AB6B43" w14:textId="77777777" w:rsidTr="00296F8F">
        <w:trPr>
          <w:trHeight w:val="69"/>
        </w:trPr>
        <w:tc>
          <w:tcPr>
            <w:tcW w:w="0" w:type="auto"/>
            <w:vMerge/>
            <w:tcBorders>
              <w:left w:val="single" w:sz="4" w:space="0" w:color="auto"/>
              <w:right w:val="single" w:sz="4" w:space="0" w:color="auto"/>
            </w:tcBorders>
          </w:tcPr>
          <w:p w14:paraId="40413278"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039FE3C" w14:textId="77777777" w:rsidR="00296F8F" w:rsidRPr="00317232" w:rsidRDefault="00296F8F" w:rsidP="007B6F6D">
            <w:pPr>
              <w:pStyle w:val="Tabletext"/>
            </w:pPr>
            <w:r w:rsidRPr="00317232">
              <w:t>Expenditure on Benefits for employees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BDB1910" w14:textId="77777777" w:rsidR="00296F8F" w:rsidRPr="00317232" w:rsidRDefault="00296F8F" w:rsidP="007B6F6D">
            <w:pPr>
              <w:pStyle w:val="Tabletext"/>
            </w:pPr>
            <w:r w:rsidRPr="00317232">
              <w:t>Food</w:t>
            </w:r>
          </w:p>
          <w:p w14:paraId="4F5D6FC6" w14:textId="77777777" w:rsidR="00296F8F" w:rsidRPr="00317232" w:rsidRDefault="00296F8F" w:rsidP="007B6F6D">
            <w:pPr>
              <w:pStyle w:val="Tabletext"/>
            </w:pPr>
            <w:r w:rsidRPr="00317232">
              <w:t>Transportation</w:t>
            </w:r>
          </w:p>
          <w:p w14:paraId="4E95ED99" w14:textId="77777777" w:rsidR="00296F8F" w:rsidRPr="00317232" w:rsidRDefault="00296F8F" w:rsidP="007B6F6D">
            <w:pPr>
              <w:pStyle w:val="Tabletext"/>
            </w:pPr>
            <w:r w:rsidRPr="00317232">
              <w:t>Pension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8C8EB49" w14:textId="77777777" w:rsidR="00296F8F" w:rsidRPr="00317232" w:rsidRDefault="00296F8F" w:rsidP="007B6F6D">
            <w:pPr>
              <w:pStyle w:val="Tabletext"/>
            </w:pPr>
            <w:r w:rsidRPr="00317232">
              <w:t xml:space="preserve">Indicators of benefits provided to the workers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EF72E27" w14:textId="77777777" w:rsidR="00296F8F" w:rsidRPr="00317232" w:rsidRDefault="00296F8F" w:rsidP="007B6F6D">
            <w:pPr>
              <w:pStyle w:val="Tabletext"/>
            </w:pPr>
            <w:r w:rsidRPr="00317232">
              <w:t>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BB277D1" w14:textId="77777777" w:rsidR="00296F8F" w:rsidRPr="00317232" w:rsidRDefault="00296F8F" w:rsidP="007B6F6D">
            <w:pPr>
              <w:pStyle w:val="Tabletext"/>
            </w:pPr>
            <w:r w:rsidRPr="00317232">
              <w:t>2%</w:t>
            </w:r>
          </w:p>
        </w:tc>
      </w:tr>
      <w:tr w:rsidR="00296F8F" w:rsidRPr="00317232" w14:paraId="27854E7C" w14:textId="77777777" w:rsidTr="00296F8F">
        <w:trPr>
          <w:trHeight w:val="69"/>
        </w:trPr>
        <w:tc>
          <w:tcPr>
            <w:tcW w:w="0" w:type="auto"/>
            <w:vMerge/>
            <w:tcBorders>
              <w:left w:val="single" w:sz="4" w:space="0" w:color="auto"/>
              <w:right w:val="single" w:sz="4" w:space="0" w:color="auto"/>
            </w:tcBorders>
          </w:tcPr>
          <w:p w14:paraId="233EB731"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3806A213" w14:textId="77777777" w:rsidR="00296F8F" w:rsidRPr="00317232" w:rsidRDefault="00296F8F" w:rsidP="007B6F6D">
            <w:pPr>
              <w:pStyle w:val="Tabletext"/>
            </w:pPr>
            <w:r w:rsidRPr="00317232">
              <w:t>Customer environmental awareness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7184937B" w14:textId="77777777" w:rsidR="00296F8F" w:rsidRPr="00317232" w:rsidRDefault="00296F8F" w:rsidP="007B6F6D">
            <w:pPr>
              <w:pStyle w:val="Tabletext"/>
            </w:pPr>
            <w:r w:rsidRPr="00317232">
              <w:t>Enlightening customers to return end of used product</w:t>
            </w:r>
          </w:p>
          <w:p w14:paraId="061ADB0F" w14:textId="77777777" w:rsidR="00296F8F" w:rsidRPr="00317232" w:rsidRDefault="00296F8F" w:rsidP="007B6F6D">
            <w:pPr>
              <w:pStyle w:val="Tabletext"/>
            </w:pPr>
            <w:r w:rsidRPr="00317232">
              <w:t>Customer incentives for recovery from discarded product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F528E36" w14:textId="77777777" w:rsidR="00296F8F" w:rsidRPr="00317232" w:rsidRDefault="00296F8F" w:rsidP="007B6F6D">
            <w:pPr>
              <w:pStyle w:val="Tabletext"/>
            </w:pPr>
            <w:r w:rsidRPr="00317232">
              <w:t xml:space="preserve">Indicators of environmental awareness of the customers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D269D90" w14:textId="77777777" w:rsidR="00296F8F" w:rsidRPr="00317232" w:rsidRDefault="00296F8F" w:rsidP="007B6F6D">
            <w:pPr>
              <w:pStyle w:val="Tabletext"/>
            </w:pPr>
            <w:r w:rsidRPr="00317232">
              <w:t>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D775F06" w14:textId="77777777" w:rsidR="00296F8F" w:rsidRPr="00317232" w:rsidRDefault="00296F8F" w:rsidP="007B6F6D">
            <w:pPr>
              <w:pStyle w:val="Tabletext"/>
            </w:pPr>
            <w:r w:rsidRPr="00317232">
              <w:t>1%</w:t>
            </w:r>
          </w:p>
        </w:tc>
      </w:tr>
      <w:tr w:rsidR="00296F8F" w:rsidRPr="00317232" w14:paraId="636B910D" w14:textId="77777777" w:rsidTr="00296F8F">
        <w:trPr>
          <w:trHeight w:val="69"/>
        </w:trPr>
        <w:tc>
          <w:tcPr>
            <w:tcW w:w="0" w:type="auto"/>
            <w:vMerge/>
            <w:tcBorders>
              <w:left w:val="single" w:sz="4" w:space="0" w:color="auto"/>
              <w:bottom w:val="single" w:sz="4" w:space="0" w:color="auto"/>
              <w:right w:val="single" w:sz="4" w:space="0" w:color="auto"/>
            </w:tcBorders>
          </w:tcPr>
          <w:p w14:paraId="4020B4B4" w14:textId="77777777" w:rsidR="00296F8F" w:rsidRPr="00317232" w:rsidRDefault="00296F8F" w:rsidP="007B6F6D">
            <w:pPr>
              <w:pStyle w:val="Tabletext"/>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41C12612" w14:textId="77777777" w:rsidR="00296F8F" w:rsidRPr="00317232" w:rsidRDefault="00296F8F" w:rsidP="007B6F6D">
            <w:pPr>
              <w:pStyle w:val="Tabletext"/>
            </w:pPr>
            <w:r w:rsidRPr="00317232">
              <w:t>Social cost of waste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9DE61B9" w14:textId="77777777" w:rsidR="00296F8F" w:rsidRPr="00317232" w:rsidRDefault="00296F8F" w:rsidP="007B6F6D">
            <w:pPr>
              <w:pStyle w:val="Tabletext"/>
            </w:pPr>
            <w:r w:rsidRPr="00317232">
              <w:t>Penalty cost of disposal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5357C03C" w14:textId="77777777" w:rsidR="00296F8F" w:rsidRPr="00317232" w:rsidRDefault="00296F8F" w:rsidP="007B6F6D">
            <w:pPr>
              <w:pStyle w:val="Tabletext"/>
            </w:pPr>
            <w:r w:rsidRPr="00317232">
              <w:t>Social cost of waste produced. Sum of disposal cost and of the cost for the recycler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6876A951" w14:textId="77777777" w:rsidR="00296F8F" w:rsidRPr="00317232" w:rsidRDefault="00296F8F" w:rsidP="007B6F6D">
            <w:pPr>
              <w:pStyle w:val="Tabletext"/>
            </w:pPr>
            <w:r w:rsidRPr="00317232">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B4A7B5E" w14:textId="77777777" w:rsidR="00296F8F" w:rsidRPr="00317232" w:rsidRDefault="00296F8F" w:rsidP="007B6F6D">
            <w:pPr>
              <w:pStyle w:val="Tabletext"/>
            </w:pPr>
            <w:r w:rsidRPr="00317232">
              <w:t>1%</w:t>
            </w:r>
          </w:p>
        </w:tc>
      </w:tr>
    </w:tbl>
    <w:p w14:paraId="30A879A3" w14:textId="77777777" w:rsidR="00296F8F" w:rsidRPr="00C34BEC" w:rsidRDefault="00296F8F" w:rsidP="00296F8F">
      <w:pPr>
        <w:sectPr w:rsidR="00296F8F" w:rsidRPr="00C34BEC" w:rsidSect="00DB1C55">
          <w:pgSz w:w="11906" w:h="16838"/>
          <w:pgMar w:top="1418" w:right="1418" w:bottom="1372" w:left="1418" w:header="709" w:footer="318" w:gutter="0"/>
          <w:cols w:space="708"/>
          <w:docGrid w:linePitch="360"/>
        </w:sectPr>
      </w:pPr>
    </w:p>
    <w:p w14:paraId="3089850C" w14:textId="77777777" w:rsidR="00C34BEC" w:rsidRPr="00C34BEC" w:rsidRDefault="00C34BEC" w:rsidP="0034288B">
      <w:pPr>
        <w:pStyle w:val="Heading4Paragraph"/>
        <w:rPr>
          <w:lang w:val="en-US"/>
        </w:rPr>
      </w:pPr>
      <w:bookmarkStart w:id="233" w:name="_Toc39268483"/>
      <w:r w:rsidRPr="0034288B">
        <w:lastRenderedPageBreak/>
        <w:t>Economic</w:t>
      </w:r>
      <w:r w:rsidRPr="00C34BEC">
        <w:rPr>
          <w:lang w:val="en-US"/>
        </w:rPr>
        <w:t xml:space="preserve"> indicators</w:t>
      </w:r>
      <w:bookmarkEnd w:id="233"/>
    </w:p>
    <w:p w14:paraId="26C1F9E6" w14:textId="77777777" w:rsidR="00C34BEC" w:rsidRPr="00C34BEC" w:rsidRDefault="00C34BEC" w:rsidP="00C34BEC">
      <w:r w:rsidRPr="00C34BEC">
        <w:t xml:space="preserve">80% of the studies employ economic indicators, with a clear prevalence of cost-based measures (Table 5). Notable examples include cost of production, transportation cost, facility location cost </w:t>
      </w:r>
      <w:r w:rsidRPr="00C34BEC">
        <w:fldChar w:fldCharType="begin" w:fldLock="1"/>
      </w:r>
      <w:r w:rsidRPr="00C34BEC">
        <w:instrText>ADDIN CSL_CITATION {"citationItems":[{"id":"ITEM-1","itemData":{"DOI":"10.1080/00207543.2013.784405","ISSN":"00207543","abstract":"Due to responding environmental issues, conforming governmental legislations and providing economic benefits, there has been a growing interest in recycling activities through the supply chains. Reverse supply chain (RSC) optimisation problem has a great potential as an efficient tactic to achieve this goal. While disassembly, one of the main activities in RSC, enables reuse and recycling of products and prevents the overuse, disassembly line balancing problem involves determination of a line design in which used products are partially/completely disassembled to obtain available components. The aim of this study is to optimise a RSC, involving customers, collection/disassembly centres and plants, that minimises the transportation costs while balancing the disassembly lines, which minimises the total fixed costs of opened workstations, simultaneously. A non-linear mixed-integer programming model, which simultaneously determines: (i) optimal distribution between the facilities with minimum cost, (ii) the number of disassembly workstations that will be opened with minimum cost, (iii) the cycle time in each disassembly centre and (iv) optimal assignment of tasks to workstations, is developed. A numerical example is given to illustrate the applicability of the proposed model. Different scenarios have been conducted to show the effects of sensitivity analyses on the performance measures of the problem. © 152013 © 2013 Taylor &amp; Francis.","author":[{"dropping-particle":"","family":"Özceylan","given":"Eren","non-dropping-particle":"","parse-names":false,"suffix":""},{"dropping-particle":"","family":"Paksoy","given":"Turan","non-dropping-particle":"","parse-names":false,"suffix":""}],"container-title":"International Journal of Production Research","id":"ITEM-1","issue":"20","issued":{"date-parts":[["2013"]]},"page":"5985-6001","title":"Reverse supply chain optimisation with disassembly line balancing","type":"article-journal","volume":"51"},"uris":["http://www.mendeley.com/documents/?uuid=566cde90-6ecf-4a94-851f-a7d61a22bc2b"]},{"id":"ITEM-2","itemData":{"DOI":"10.1016/j.ijpe.2017.10.005","ISSN":"09255273","abstract":"Closed-loop supply chain strategies for End-of-Life (EOL) products and their logistics operations have received greater attention in recent years from supply chain research community. These strategies include warranty–based acquisition, quantity–based acquisition, quality–based acquisition, centrally coordinated logistics operations and third-party logistics (3PL) operations. The proposed research integrates two important aspects of an automobile's closed-loop supply chain strategy. The first aspect is optimal transportation planning for raw material parts, newly manufactured and EOL products in a closed-loop supply chain, using demand, collection rate and capacity of associated facilities in the network as functional parameters. We formulated a mixed integer mathematical model for the closed-loop supply chain network with a multi-echelon inventory, multi-period planning and multi-product scenario, which are used to compute the maximum contribution margin generated through different strategies. The second aspect pertains to using the output of the proposed model in first stage to handle the sequential form of a cooperative game. The proposed two–phase decision model analyzes the realization times and delivery limits of different products as an indicator of swapping different strategies. We analyze three instances to understand and validate the applicability of the model. In these scenarios, sensitivity analysis has been performed to demonstrate the robustness of the proposed model. We present managerial insights, leading to flexibility in decision making. It is observed that the demand, collection rate and capacity of network facilities create highly sensitive trilogy for the contribution margin of proposed network. The outcome of this research firstly confers optimal amounts of mass flows in the closed loop supply chain network from a state of the end product (new products, recycled products and non–recycled used products) to a state of the raw material (ferrous metal, non-ferrous metal and shredder fluff). Secondly, authors culminated a confound dichotomy among all reintegration strategies (conveyance, acquisition and cannibalization) by distinct enumeration and quantification (regarding realization times and delivery limits) of each one to forge a robust planning horizon for original equipment manufacturer.","author":[{"dropping-particle":"","family":"Shankar","given":"Ravi","non-dropping-particle":"","parse-names":false,"suffix":""},{"dropping-particle":"","family":"Bhattacharyya","given":"Shisam","non-dropping-particle":"","parse-names":false,"suffix":""},{"dropping-particle":"","family":"Choudhary","given":"Alok","non-dropping-particle":"","parse-names":false,"suffix":""}],"container-title":"International Journal of Production Economics","id":"ITEM-2","issue":"October 2017","issued":{"date-parts":[["2018"]]},"page":"273-286","publisher":"Elsevier Ltd","title":"A decision model for a strategic closed-loop supply chain to reclaim End-of-Life Vehicles","type":"article-journal","volume":"195"},"uris":["http://www.mendeley.com/documents/?uuid=40d3bad3-46bd-4503-bb8f-f302a5f95ca2"]},{"id":"ITEM-3","itemData":{"DOI":"10.1007/s13243-019-00070-x","ISSN":"22104690","abstract":"We investigate the dynamics of a hybrid manufacturing/remanufacturing system (HMRS) by exploring the impact of the average return yield and uncertainty in returns volume. Through modelling and simulation techniques, we measure the long-term variability of end-product inventories and orders issued, given its negative impact on the operational performance of supply chains, as well as the average net stock and the average backlog, in order to consider the key trade-off between service level and holding requirements. In this regard, prior studies have observed that returns may positively impact the dynamic behaviour of the HMRS. We demonstrate that this occurs as long as the intrinsic uncertainty in the volume of returns is low —increasing the return yield results in decreased fluctuations in production, which enhances the operation of the closed-loop system. Interestingly, we observe a U-shaped relationship between the inventory performance and the return yield. However, the dynamics of the supply chain may significantly suffer from returns volume uncertainty through the damaging Bullwhip phenomenon. Under this scenario, the relationship between the average return yield and the intrinsic returns volume variability determines the operational performance of closed-loop supply chains in comparison with traditional (open-loop) systems. In this sense, this research adds to the still very limited literature on the dynamic behaviour of closed-loop supply chains, whose importance is enormously growing in the current production model evolving from a linear to a circular architecture.","author":[{"dropping-particle":"","family":"Ponte","given":"Borja","non-dropping-particle":"","parse-names":false,"suffix":""},{"dropping-particle":"","family":"Naim","given":"Mohamed M.","non-dropping-particle":"","parse-names":false,"suffix":""},{"dropping-particle":"","family":"Syntetos","given":"Aris A.","non-dropping-particle":"","parse-names":false,"suffix":""}],"container-title":"Journal of Remanufacturing","id":"ITEM-3","issue":"1","issued":{"date-parts":[["2020"]]},"page":"1-14","publisher":"Journal of Remanufacturing","title":"The effect of returns volume uncertainty on the dynamic performance of closed-loop supply chains","type":"article-journal","volume":"10"},"uris":["http://www.mendeley.com/documents/?uuid=57bde550-b205-4c64-9a98-74a8e7de17b9"]}],"mendeley":{"formattedCitation":"(Özceylan &amp; Paksoy, 2013; Shankar et al., 2018; Ponte et al., 2020)","plainTextFormattedCitation":"(Özceylan &amp; Paksoy, 2013; Shankar et al., 2018; Ponte et al., 2020)","previouslyFormattedCitation":"(Özceylan &amp; Paksoy, 2013; Shankar et al., 2018; Ponte et al., 2020)"},"properties":{"noteIndex":0},"schema":"https://github.com/citation-style-language/schema/raw/master/csl-citation.json"}</w:instrText>
      </w:r>
      <w:r w:rsidRPr="00C34BEC">
        <w:fldChar w:fldCharType="separate"/>
      </w:r>
      <w:r w:rsidRPr="00C34BEC">
        <w:t>(Özceylan &amp; Paksoy, 2013; Shankar et al., 2018; Ponte et al., 2020)</w:t>
      </w:r>
      <w:r w:rsidRPr="00C34BEC">
        <w:fldChar w:fldCharType="end"/>
      </w:r>
      <w:r w:rsidRPr="00C34BEC">
        <w:t xml:space="preserve">. These considerations are very common in CSC Network Design Optimisation models. Indicators related to the time responsiveness of the CSC and to the quality of the products are less common </w:t>
      </w:r>
      <w:r w:rsidRPr="00C34BEC">
        <w:fldChar w:fldCharType="begin" w:fldLock="1"/>
      </w:r>
      <w:r w:rsidRPr="00C34BEC">
        <w:instrText>ADDIN CSL_CITATION {"citationItems":[{"id":"ITEM-1","itemData":{"DOI":"10.1080/00207543.2019.1662132","ISSN":"1366588X","abstract":"Recently, the manufacturing industry has been striving for sustainability because of the environmental degradation and resource depletion caused by it. Remanufacturing considerably saves material and is energy efficient, and thus, it can represent an important solution to environmental issues. However, the uncertainty of remanufacturing makes the practical management of closed-loop supply chains (CLSCs) difficult. To unlock the value potential of end-of-life (EOL) products, we studied a reuse, remanufacture, and recycle (3R) processing system under quality uncertainty for returned EOL engines. In the system, the returned cores were distributed into different processing routes, depending on the results of quality grading. The proposed matrix operations could efficiently assess the environmental benefits; moreover, we designed an algorithm to calculate the quality coefficient that reflects the overall quality condition of returned EOL cores. The impacts of quality uncertainty on the environment could be efficiently quantified via our proposed method. Furthermore, using Monte Carlo simulation and the law of large numbers, we devised a model to establish direct and definite quantitative relationships between the quality coefficient and production indexes. This model provides a basis for the formulation of optimal acquisition strategies under different returning scenarios.","author":[{"dropping-particle":"","family":"Liao","given":"Haolan","non-dropping-particle":"","parse-names":false,"suffix":""},{"dropping-particle":"","family":"Shen","given":"Neng","non-dropping-particle":"","parse-names":false,"suffix":""},{"dropping-particle":"","family":"Wang","given":"Yanzhen","non-dropping-particle":"","parse-names":false,"suffix":""}],"container-title":"International Journal of Production Research","id":"ITEM-1","issue":"19","issued":{"date-parts":[["2020"]]},"page":"5980-6003","publisher":"Taylor &amp; Francis","title":"Design and realisation of an efficient environmental assessment method for 3R systems: a case study on engine remanufacturing","type":"article-journal","volume":"58"},"uris":["http://www.mendeley.com/documents/?uuid=71a70364-b7ad-42f9-9a1f-891e19372e04"]},{"id":"ITEM-2","itemData":{"DOI":"10.1016/j.jclepro.2018.06.015","ISSN":"09596526","abstract":"In circular economy, the Green Supply Chain Management (GSCM) provides the resource optimization and it is seen as a solution to solve environmental problems and consumption patterns within the whole supply chain. The GSCM implementation and performance assessment is relatively important for survival in an ever-increasingly competitive environment. Within the circular economy context; companies that aim to improve GSCM must constantly monitor their performance. In order to integrate the circular economy concept into GSCM, it is required to achieve an optimal balance of environmental, economic, logistics, organizational, and marketing performance indicators. However, in the literature, these indicators were investigated separately in terms of GSCM performance assessment, therefore, to achieve this optimal balance, it is necessary to assess these different indicators. Within this context, the aim of this paper is to propose a new holistic conceptual GSCM performance assessment framework which integrates environmental, economic, logistics, operational, organizational and marketing performance. The framework has three-dimensional hierarchy which includes the main criteria, sub-criteria, and the measures for the GSCM performance assessment which have great significance to implement effective GSCM.","author":[{"dropping-particle":"","family":"Kazancoglu","given":"Yigit","non-dropping-particle":"","parse-names":false,"suffix":""},{"dropping-particle":"","family":"Kazancoglu","given":"Ipek","non-dropping-particle":"","parse-names":false,"suffix":""},{"dropping-particle":"","family":"Sagnak","given":"Muhittin","non-dropping-particle":"","parse-names":false,"suffix":""}],"container-title":"Journal of Cleaner Production","id":"ITEM-2","issued":{"date-parts":[["2018"]]},"page":"1282-1299","publisher":"Elsevier Ltd","title":"A new holistic conceptual framework for green supply chain management performance assessment based on circular economy","type":"article-journal","volume":"195"},"uris":["http://www.mendeley.com/documents/?uuid=b0e7d5fd-ef6d-43a4-a4bf-08509cf4b9f9"]}],"mendeley":{"formattedCitation":"(Kazancoglu et al., 2018; Liao et al., 2020)","plainTextFormattedCitation":"(Kazancoglu et al., 2018; Liao et al., 2020)","previouslyFormattedCitation":"(Kazancoglu et al., 2018; Liao et al., 2020)"},"properties":{"noteIndex":0},"schema":"https://github.com/citation-style-language/schema/raw/master/csl-citation.json"}</w:instrText>
      </w:r>
      <w:r w:rsidRPr="00C34BEC">
        <w:fldChar w:fldCharType="separate"/>
      </w:r>
      <w:r w:rsidRPr="00C34BEC">
        <w:t>(Kazancoglu et al., 2018; Liao et al., 2020)</w:t>
      </w:r>
      <w:r w:rsidRPr="00C34BEC">
        <w:fldChar w:fldCharType="end"/>
      </w:r>
      <w:r w:rsidRPr="00C34BEC">
        <w:t xml:space="preserve">. Some CE indicators can be noticed across the different categories of measures. Notable examples are the cost of the reverse supply chain, the profits associated with recovery activities </w:t>
      </w:r>
      <w:r w:rsidRPr="00C34BEC">
        <w:fldChar w:fldCharType="begin" w:fldLock="1"/>
      </w:r>
      <w:r w:rsidRPr="00C34BEC">
        <w:instrText>ADDIN CSL_CITATION {"citationItems":[{"id":"ITEM-1","itemData":{"DOI":"10.1016/j.ejor.2018.09.041","ISSN":"03772217","abstract":"In this work, the design and operation planning of a multi-period, multi-product closed-loop supply chain is addressed. Recovered end-of-life products from customers are evaluated in disassembly centers and accordingly are sent back to factories for remanufacturing, or leave the network either by being sold to third parties or by being sent to disposal. Typical uncertain parameters are product demand, production cost, and returned product volume and evaluation, among others. So, stochastic optimization approaches should be used for problem solving, where different topology decisions on the timing, location and capacity of some entities (factories, and distribution and sorting centers) are to be considered along a time horizon. A two-stage multi-period stochastic mixed 0–1 bilinear optimization model is introduced, where the combined definition of the available entities at the periods and the products’ flow among the entities, maximizes the net present value of the expected total profit along the time horizon. A version of the mixture of chance-constrained and second order stochastic dominance risk averse measures is considered for risk management at intermediate periods of the time horizon. Given the high dimensions of the model it is unrealistic to look for the optimality of the solution in an affordable computing effort for current hardware and optimization software resources. So, a decomposition approach is considered, namely a Fix-and-Relax decomposition algorithm. For assessing the computational validation of the modeling and algorithmic proposals, pilot cases are taken from a real-life glass supply chain network whose main features are retained.","author":[{"dropping-particle":"","family":"Baptista","given":"Susana","non-dropping-particle":"","parse-names":false,"suffix":""},{"dropping-particle":"","family":"Barbosa-Póvoa","given":"Ana Paula","non-dropping-particle":"","parse-names":false,"suffix":""},{"dropping-particle":"","family":"Escudero","given":"Laureano F.","non-dropping-particle":"","parse-names":false,"suffix":""},{"dropping-particle":"","family":"Gomes","given":"Maria Isabel","non-dropping-particle":"","parse-names":false,"suffix":""},{"dropping-particle":"","family":"Pizarro","given":"Celeste","non-dropping-particle":"","parse-names":false,"suffix":""}],"container-title":"European Journal of Operational Research","id":"ITEM-1","issue":"1","issued":{"date-parts":[["2019"]]},"page":"91-107","publisher":"Elsevier B.V.","title":"On risk management of a two-stage stochastic mixed 0–1 model for the closed-loop supply chain design problem","type":"article-journal","volume":"274"},"uris":["http://www.mendeley.com/documents/?uuid=0f5c73f4-8257-4213-a46c-45190461d760"]},{"id":"ITEM-2","itemData":{"DOI":"10.1016/j.jclepro.2018.11.101","ISSN":"09596526","abstract":"Rare earth elements (REEs) such as neodymium (Nd) and dysprosium (Dy) are indispensable in modern society because they are vital for creating powerful neodymium-iron-boron (NdFeB) magnets used in many technological applications. These elements have been subject to a significant supply uncertainty. A promising strategy to alleviate supply risk is value recovery from end-of-life (EOL) products. This paper proposes a reverse supply network to optimize: 1) the locations and capacities of dismantling and recycling facilities, and 2) the transportation flows between collection centers, dismantling facilities, recycling facilities, and sales points. Two objectives are considered: maximizing profit and environmental benefits. A Pareto front is created that shows non-dominated optimal solutions. When the model was applied to the United States, California was found to be the most important state for EOL product collection, representing up to 22% of the total collection volume. Nevada, Tennessee, and Delaware were the key states for EOL product dismantling, and Nevada, Texas, and Delaware were the key states for NdFeB magnet recycling. A sensitivity analysis was performed to measure the impact of different NdFeB magnet price on the overall network design. While REE recovery is still at an early stage of the development, this research serves as a blueprint for constructing a profitable and environmentally friendly NdFeB magnet reverse supply chain.","author":[{"dropping-particle":"","family":"Jin","given":"Hongyue","non-dropping-particle":"","parse-names":false,"suffix":""},{"dropping-particle":"","family":"Song","given":"Byung Duk","non-dropping-particle":"","parse-names":false,"suffix":""},{"dropping-particle":"","family":"Yih","given":"Yuehwern","non-dropping-particle":"","parse-names":false,"suffix":""},{"dropping-particle":"","family":"Sutherland","given":"John W.","non-dropping-particle":"","parse-names":false,"suffix":""}],"container-title":"Journal of Cleaner Production","id":"ITEM-2","issued":{"date-parts":[["2019"]]},"page":"257-269","publisher":"Elsevier Ltd","title":"A bi-objective network design for value recovery of neodymium-iron-boron magnets: A case study of the United States","type":"article-journal","volume":"211"},"uris":["http://www.mendeley.com/documents/?uuid=4718837e-5b70-475d-a039-fcc30f9dfadf"]}],"mendeley":{"formattedCitation":"(Baptista et al., 2019; Jin et al., 2019)","plainTextFormattedCitation":"(Baptista et al., 2019; Jin et al., 2019)","previouslyFormattedCitation":"(Baptista et al., 2019; Jin et al., 2019)"},"properties":{"noteIndex":0},"schema":"https://github.com/citation-style-language/schema/raw/master/csl-citation.json"}</w:instrText>
      </w:r>
      <w:r w:rsidRPr="00C34BEC">
        <w:fldChar w:fldCharType="separate"/>
      </w:r>
      <w:r w:rsidRPr="00C34BEC">
        <w:t>(Baptista et al., 2019; Jin et al., 2019)</w:t>
      </w:r>
      <w:r w:rsidRPr="00C34BEC">
        <w:fldChar w:fldCharType="end"/>
      </w:r>
      <w:r w:rsidRPr="00C34BEC">
        <w:t xml:space="preserve">, including remanufacturing </w:t>
      </w:r>
      <w:r w:rsidRPr="00C34BEC">
        <w:fldChar w:fldCharType="begin" w:fldLock="1"/>
      </w:r>
      <w:r w:rsidRPr="00C34BEC">
        <w:instrText>ADDIN CSL_CITATION {"citationItems":[{"id":"ITEM-1","itemData":{"DOI":"10.1080/23302674.2019.1610197","ISSN":"23302682","abstract":"Nowadays, there is a great deal of interest in developing supply chain networks with the goal of optimisation. This paper addresses a new stochastic optimisation model by using a two-stage stochastic programming for a closed-loop supply chain network design problem. To control the uncertainty circumstances of manufacturing of products, customers’ demand, prices of products and its returned rates, the financial risk is considered as a distinguished objective function to find a robust solution. To address the developed model, a new recent nature-inspired algorithm, namely, Whale Optimisation Algorithm (WOA) and also Particle Swarm Optimisation (PSO) as a popular method in swarm intelligence algorithms are utilised in this study. In addition to this development, Genetic Algorithm (GA) and Simulated Annealing (SA) as the well-known metaheuristics used repeatedly among the literature are employed to have a comprehensive comparison. In order to be faired, a popular method for calibration called Response Surface Method (RSM) is applied to tune the algorithms’ parameters. Finally, some evaluation metrics to assess the Pareto optimal fronts of algorithms’ quality are considered to conduct a comparative study using statistical analyses and some sensitivity analyses are performed through an industrial example.","author":[{"dropping-particle":"","family":"Abdi","given":"Anita","non-dropping-particle":"","parse-names":false,"suffix":""},{"dropping-particle":"","family":"Abdi","given":"Andisheh","non-dropping-particle":"","parse-names":false,"suffix":""},{"dropping-particle":"","family":"Fathollahi-Fard","given":"Amir Mohammad","non-dropping-particle":"","parse-names":false,"suffix":""},{"dropping-particle":"","family":"Hajiaghaei-Keshteli","given":"Mostafa","non-dropping-particle":"","parse-names":false,"suffix":""}],"container-title":"International Journal of Systems Science: Operations and Logistics","id":"ITEM-1","issued":{"date-parts":[["2019"]]},"title":"A set of calibrated metaheuristics to address a closed-loop supply chain network design problem under uncertainty","type":"article-journal"},"uris":["http://www.mendeley.com/documents/?uuid=2c757996-ef8c-4586-aa59-0469bd105f7d"]}],"mendeley":{"formattedCitation":"(Abdi et al., 2019)","plainTextFormattedCitation":"(Abdi et al., 2019)","previouslyFormattedCitation":"(Abdi et al., 2019)"},"properties":{"noteIndex":0},"schema":"https://github.com/citation-style-language/schema/raw/master/csl-citation.json"}</w:instrText>
      </w:r>
      <w:r w:rsidRPr="00C34BEC">
        <w:fldChar w:fldCharType="separate"/>
      </w:r>
      <w:r w:rsidRPr="00C34BEC">
        <w:t>(Abdi et al., 2019)</w:t>
      </w:r>
      <w:r w:rsidRPr="00C34BEC">
        <w:fldChar w:fldCharType="end"/>
      </w:r>
      <w:r w:rsidRPr="00C34BEC">
        <w:t xml:space="preserve">, recycling and disposal </w:t>
      </w:r>
      <w:r w:rsidRPr="00C34BEC">
        <w:fldChar w:fldCharType="begin" w:fldLock="1"/>
      </w:r>
      <w:r w:rsidRPr="00C34BEC">
        <w:instrText>ADDIN CSL_CITATION {"citationItems":[{"id":"ITEM-1","itemData":{"DOI":"10.1080/24725854.2018.1501169","ISSN":"24725862","abstract":"PhotoVoltaic (PV) power is one of the rapidly growing solar energy technologies worldwide. The installed PV power capacity has considerably increased over the past decades. Consequently, the End-of-Life management of used PV modules is becoming very urgent. This article investigates strategic recycling network planning for recycling PV module considering reclaimed resource price uncertainty. Based on a real case setting, the problem is first formulated as a risk-neutral model and then extended to a risk-averse model that considers the risk preferences of investors. Moreover, robust reformulations of the risk-neutral/risk-averse models are proposed to hedge against ambiguity in the probability distribution of the uncertain resource price. An outer approximation based solution approach is proposed to solve the robust reformulations. Numerical experiments with test data generated from the real case are carried out to demonstrate the benefits of the resulting robust model and managerial insights are explored. Lastly, conclusions are drawn and future research directions are outlined.","author":[{"dropping-particle":"","family":"Li","given":"Qiaofeng","non-dropping-particle":"","parse-names":false,"suffix":""},{"dropping-particle":"","family":"Liu","given":"Kanglin","non-dropping-particle":"","parse-names":false,"suffix":""},{"dropping-particle":"","family":"Zhang","given":"Zhi Hai","non-dropping-particle":"","parse-names":false,"suffix":""}],"container-title":"IISE Transactions","id":"ITEM-1","issue":"7","issued":{"date-parts":[["2019"]]},"page":"691-708","publisher":"Taylor &amp; Francis","title":"Robust design of a strategic network planning for photovoltaic module recycling considering reclaimed resource price uncertainty","type":"article-journal","volume":"51"},"uris":["http://www.mendeley.com/documents/?uuid=bb736a2f-99bc-41c9-93c4-7781abfc9040"]}],"mendeley":{"formattedCitation":"(Li et al., 2019)","plainTextFormattedCitation":"(Li et al., 2019)","previouslyFormattedCitation":"(Li et al., 2019)"},"properties":{"noteIndex":0},"schema":"https://github.com/citation-style-language/schema/raw/master/csl-citation.json"}</w:instrText>
      </w:r>
      <w:r w:rsidRPr="00C34BEC">
        <w:fldChar w:fldCharType="separate"/>
      </w:r>
      <w:r w:rsidRPr="00C34BEC">
        <w:t>(Li et al., 2019)</w:t>
      </w:r>
      <w:r w:rsidRPr="00C34BEC">
        <w:fldChar w:fldCharType="end"/>
      </w:r>
      <w:r w:rsidRPr="00C34BEC">
        <w:t xml:space="preserve">, and the quality of the recovered products after the end of their life </w:t>
      </w:r>
      <w:r w:rsidRPr="00C34BEC">
        <w:fldChar w:fldCharType="begin" w:fldLock="1"/>
      </w:r>
      <w:r w:rsidRPr="00C34BEC">
        <w:instrText>ADDIN CSL_CITATION {"citationItems":[{"id":"ITEM-1","itemData":{"DOI":"10.1016/j.ijpe.2016.07.023","ISSN":"09255273","abstract":"This paper proposes a two-stage stochastic mixed-integer programming model for a closed-loop supply chain network design problem in the context of modular structured products in which the reverse network entails several types of recovery options. It accounts for uncertainty in the quality status of the return stream, modeled as binary scenarios for each component in the reverse bill of material corresponding to such products. To deal with the intractable number of scenarios in the proposed model, a scenario reduction scheme is adapted to the problem of interest to preserve the most pertinent scenarios based on a modified Euclidean distance measure. The reduced stochastic large-scale optimization problem is then solved via a L-shaped algorithm enhanced with surrogate constraints and Pareto-optimal cuts. Numerical results indicate that the scenario reduction algorithm provides good quality solutions to the stochastic problem in a reasonable amount of time through applying the enhanced L-shaped method.","author":[{"dropping-particle":"","family":"Jeihoonian","given":"Mohammad","non-dropping-particle":"","parse-names":false,"suffix":""},{"dropping-particle":"","family":"Kazemi Zanjani","given":"Masoumeh","non-dropping-particle":"","parse-names":false,"suffix":""},{"dropping-particle":"","family":"Gendreau","given":"Michel","non-dropping-particle":"","parse-names":false,"suffix":""}],"container-title":"International Journal of Production Economics","id":"ITEM-1","issued":{"date-parts":[["2017"]]},"page":"470-486","publisher":"Elsevier","title":"Closed-loop supply chain network design under uncertain quality status: Case of durable products","type":"article-journal","volume":"183"},"uris":["http://www.mendeley.com/documents/?uuid=db12f072-caa1-403e-9443-829d222336be"]}],"mendeley":{"formattedCitation":"(Jeihoonian et al., 2017)","plainTextFormattedCitation":"(Jeihoonian et al., 2017)","previouslyFormattedCitation":"(Jeihoonian et al., 2017)"},"properties":{"noteIndex":0},"schema":"https://github.com/citation-style-language/schema/raw/master/csl-citation.json"}</w:instrText>
      </w:r>
      <w:r w:rsidRPr="00C34BEC">
        <w:fldChar w:fldCharType="separate"/>
      </w:r>
      <w:r w:rsidRPr="00C34BEC">
        <w:t>(Jeihoonian et al., 2017)</w:t>
      </w:r>
      <w:r w:rsidRPr="00C34BEC">
        <w:fldChar w:fldCharType="end"/>
      </w:r>
      <w:r w:rsidRPr="00C34BEC">
        <w:t>.</w:t>
      </w:r>
    </w:p>
    <w:p w14:paraId="7A9CAC8A" w14:textId="77777777" w:rsidR="00C34BEC" w:rsidRPr="00C34BEC" w:rsidRDefault="00C34BEC" w:rsidP="0034288B">
      <w:pPr>
        <w:pStyle w:val="Heading4Paragraph"/>
        <w:rPr>
          <w:lang w:val="en-US"/>
        </w:rPr>
      </w:pPr>
      <w:bookmarkStart w:id="234" w:name="_Toc39268484"/>
      <w:r w:rsidRPr="00C34BEC">
        <w:rPr>
          <w:lang w:val="en-US"/>
        </w:rPr>
        <w:t>Environmental indicators</w:t>
      </w:r>
      <w:bookmarkEnd w:id="234"/>
    </w:p>
    <w:p w14:paraId="67942EFB" w14:textId="77777777" w:rsidR="00C34BEC" w:rsidRPr="00C34BEC" w:rsidRDefault="00C34BEC" w:rsidP="00C34BEC">
      <w:r w:rsidRPr="00C34BEC">
        <w:rPr>
          <w:lang w:val="en-US"/>
        </w:rPr>
        <w:t>Most of</w:t>
      </w:r>
      <w:r w:rsidRPr="00C34BEC">
        <w:t xml:space="preserve"> the studies that consider the environmental dimension utilise indicators based on Global Warming Potential and Greenhouse Gas Emissions </w:t>
      </w:r>
      <w:r w:rsidRPr="00C34BEC">
        <w:fldChar w:fldCharType="begin" w:fldLock="1"/>
      </w:r>
      <w:r w:rsidRPr="00C34BEC">
        <w:instrText xml:space="preserve">ADDIN CSL_CITATION {"citationItems":[{"id":"ITEM-1","itemData":{"DOI":"10.1016/S0921-3449(02)00016-2","ISBN":"3014142328","ISSN":"09213449","abstract":"An environmental analysis of the used starting, lighting and ignition (SLI) batteries sector, based on the logistics involved in the recovery process and the tools available for measuring the environmental impact of such a process, is performed in this paper. The different phases of the reverse supply chain of used batteries are analysed, and the operations and practices involved are related with the impact on the environment, using a life cycle analysis. The analysis is exemplified by using the results of a case study. In addition, the situation in different countries from a legislative point of view is presented. Finally, the results of the analysis are summarised and several important issues arising from the analysis are discussed. © 2002 Elsevier Science B.V.","author":[{"dropping-particle":"","family":"Tsoulfas","given":"G. T.","non-dropping-particle":"","parse-names":false,"suffix":""},{"dropping-particle":"","family":"Pappis","given":"C. P.","non-dropping-particle":"","parse-names":false,"suffix":""},{"dropping-particle":"","family":"Minner","given":"S.","non-dropping-particle":"","parse-names":false,"suffix":""}],"container-title":"Resources, Conservation and Recycling","id":"ITEM-1","issue":"2","issued":{"date-parts":[["2002"]]},"page":"135-154","title":"An environmental analysis of the reverse supply chain of SLI batteries","type":"article-journal","volume":"36"},"uris":["http://www.mendeley.com/documents/?uuid=41ee2f4d-5feb-42f2-9b62-8bbe1476b8ab"]},{"id":"ITEM-2","itemData":{"DOI":"10.1016/j.jclepro.2015.09.095","ISSN":"09596526","abstract":"In a previous work, the Product Structure-based Integrated Life cycle Analysis (PSILA) technique was developed to conduct cost modelling and analysis of closed-loop production systems. In this paper, we expand the utility of this technique into carbon footprint (CFP) modelling and analysis of closed-loop production systems - enabling companies to make informed decisions on whether to adopt closed-loop production based not only on economic but also environmental performance. A description of the PSILA technique applied for carbon footprint modelling and analysis is explained, followed by a case study of closed-loop production of a flat-panel display (FPD) monitor to validate the technique. We verified the CFP result simulated by the model built through the PSILA technique, or PSILA-CFP model in short, against the result generated by a model built through the conventional Life Cycle Assessment (LCA) method. A benchmarking analysis was then conducted to compare the closed-loop production system against the linear production system. Through this analysis, we demonstrated how the CFP result can be broken down based on the product structure, thus enabling us to granularise the result and trace the impact of implementing a closed-loop production system to the individual modules, components and materials that are recovered, reutilised or treated in the system. The results were able to show that the implementation of the closed-loop production system for the FPD monitor can potentially result in an overall CFP reduction of 39.91 million kg CO2e, of which 90.03% is contributed by the closed-loop recycling of ABS. The other significant contributors of CFP reduction are from the closed-loop material recycling of the aluminium, which accounts for 8.13 million kg CO2e or 20.37% of the total CFP reduction. A sensitivity analysis was also carried out to investigate the effects of data uncertainties, which may invalidate assumptions made in the case study. In summary, we have successfully adapted the PSILA technique so as to provide decision support in the form of analytical insights on how a closed-loop production system will perform in terms of carbon footprint, why it performs this way and what to look out for if the decision is made to implement such a system.","author":[{"dropping-particle":"","family":"Low","given":"Jonathan Sze Choong","non-dropping-particle":"","parse-names":false,"suffix":""},{"dropping-particle":"","family":"Tjandra","given":"Tobias Bestari","non-dropping-particle":"","parse-names":false,"suffix":""},{"dropping-particle":"","family":"Lu","given":"Wen Feng","non-dropping-particle":"","parse-names":false,"suffix":""},{"dropping-particle":"","family":"Lee","given":"Hui Mien","non-dropping-particle":"","parse-names":false,"suffix":""}],"container-title":"Journal of Cleaner Production","id":"ITEM-2","issued":{"date-parts":[["2016"]]},"page":"105-123","publisher":"Elsevier Ltd","title":"Adaptation of the Product Structure-based Integrated Life cycle Analysis (PSILA) technique for carbon footprint modelling and analysis of closed-loop production systems","type":"article-journal","volume":"120"},"uris":["http://www.mendeley.com/documents/?uuid=ae43cf94-259f-4778-9cb4-c4a6b0d78852"]},{"id":"ITEM-3","itemData":{"DOI":"10.1016/j.resconrec.2017.10.038","ISSN":"18790658","abstract":"Each year, a high number of automobiles need to be disposed of in Mexico; leading to a high amount of automotive thermoplastic polymer waste. This situation makes Mexico an interesting country to deploy a closed-loop supply chain (CLSC) for the chemical recycling of this kind of waste. Despite being an interesting case, no study has been carried out until now evaluating the potential of a CLSC under the umbrella of the Mexican automobile market. This study is the first one that evaluates the profitability and environmental friendliness (energy consumed and CO2 generated) of a closed-loop supply chain (CLSC) for the chemical recycling of Polyethylene terephthalate (PET) seats within the Mexican automobile market. The originality of this study also relies on being the first one that considers at the same time, the influence of Mexico's current political, social, legal, and technological conditions on the CLSC's profitability and environmental friendliness, as well as, on being the first that quantifies this influence in costs, CO2 footprint, and consumed energy terms. This approach allows the easy identification of the CLSC's profitability and environmental friendliness key drivers; making possible the design of effective strategies to improve the CLSC's performance. The study uses stakeholder mapping, as well as, Political, Economic, Social, Technological, Legal and Environmental Analysis (PESTLE) as data analysis tools. It shows that the studied CLSC is profitable under the umbrella of Mexico's current infrastructure, political, and legal frameworks. Regarding environmental friendliness, the studied CLSC consumes 79% less energy and generates 73% less CO2 than those associated with the production of PET using a forward supply chain. Keeping in mind this study's results, it provides evidence about CLSCs being both profitable and environmentally friendly under the umbrella of emerging economies, such as Mexico.","author":[{"dropping-particle":"","family":"Chavez","given":"Ricardo","non-dropping-particle":"","parse-names":false,"suffix":""},{"dropping-particle":"","family":"Sharma","given":"Manish","non-dropping-particle":"","parse-names":false,"suffix":""}],"container-title":"Resources, Conservation and Recycling","id":"ITEM-3","issue":"December 2016","issued":{"date-parts":[["2018"]]},"page":"172-189","publisher":"Elsevier","title":"Profitability and environmental friendliness of a closed-loop supply chain for PET components: A case study of the Mexican automobile market","type":"article-journal","volume":"135"},"uris":["http://www.mendeley.com/documents/?uuid=e9d56acb-7556-4339-89fe-cfcaa75ff903"]},{"id":"ITEM-4","itemData":{"DOI":"10.1016/j.jclepro.2019.118227","ISSN":"09596526","abstract":"Water reclamation and reuse not only reduce the negative impacts of wastewater to the environment, but also provide an alternative to withdrawal from natural water resources, forming a closed-loop water supply chain. The design of such a supply chain requires an appropriate sustainability assessment, which simultaneously accounts for economic, environmental, and social dimensions. In this study, a multi-objective optimization model was developed to minimize the costs and carbon footprint (as an environmental indicator), and maximize the value of resource recovery (representing a social benefit) of the water reclamation systems by locating the treatment facility, allocating the treatment capacity, selecting the treatment technology, and allocating customers (final reclaimed water users). The optimizer CPLEX 12.7 was applied and the Triangle Splitting Method was used for the optimization algorithm. The expansion of a water reclamation system in Hillsborough County, Florida was evaluated to illustrate the use of the model. The impacts of population density and elevation variation in the water service area on the model outputs were also investigated. Although the centralization of treatment facilities takes advantage of the economies of scale, the results revealed that simultaneous consideration of economic and environmental indicators favored decentralization of treatment facilities in the study area. This was mainly due to the significant decrease in water transfer requirements, especially in less populous areas. Moreover, the results revealed that contribution of population density to the optimal degree of decentralization of treatment facilities was significant.","author":[{"dropping-particle":"","family":"Rezaei","given":"Nader","non-dropping-particle":"","parse-names":false,"suffix":""},{"dropping-particle":"","family":"Sierra-Altamiranda","given":"Alvaro","non-dropping-particle":"","parse-names":false,"suffix":""},{"dropping-particle":"","family":"Diaz-Elsayed","given":"Nancy","non-dropping-particle":"","parse-names":false,"suffix":""},{"dropping-particle":"","family":"Charkhgard","given":"Hadi","non-dropping-particle":"","parse-names":false,"suffix":""},{"dropping-particle":"","family":"Zhang","given":"Qiong","non-dropping-particle":"","parse-names":false,"suffix":""}],"container-title":"Journal of Cleaner Production","id":"ITEM-4","issued":{"date-parts":[["2019"]]},"page":"118227","publisher":"Elsevier Ltd","title":"A multi-objective optimization model for decision support in water reclamation system planning","type":"article-journal","volume":"240"},"uris":["http://www.mendeley.com/documents/?uuid=7b47987a-6324-4ebe-b229-a4041003e747"]},{"id":"ITEM-5","itemData":{"DOI":"10.1016/j.jclepro.2018.09.198","ISSN":"09596526","abstract":"Increasing rates of environmental and social concerns involved in various communities have recently attracted researchers’ attention to consider them in proper designs of sustainable supply chains (SSCs). In this paper, the planning problem of a multi-period multi-echelon sustainable closed loop supply chain (SCLSC) is investigated. A comprehensive model that seriously takes into account the social and environmental aspects of the supply chain (SC) decisions and measures their social and environmental effects using the GRI (Global Reporting Initiative) guideline indicators is proposed. The proposed planning model includes tactical decisions comprising the price of the product and logistic decisions. A discount offer is used on the returned product as an incentive policy to increase customers’ willingness to return back the used products. In this offer, the discount depends on the quality of the returned products. Besides, as the discount for upcoming purchases stimulates customers to buy new products more, the product demand depends on the discount offer in addition to the product price. Moreover, two recovery approaches including remanufacturing and recycling alongside disposing of very low quality returned products are considered. Categorizing returned products according to their quality, quality-dependent recovery decisions for returned products, and the quality-dependent discount offer is the other novel points of this paper. The proposed model is implemented in a case study involving a CFL light bulbs supply chain. The TH (Torabi-Hassini) procedure is employed to solve the newly-developed three-objective optimization problem. The results of sensitivity analyses on the case-study demonstrate that the discount offer significantly improve the collecting rate of used products, which in turn helps improving sustainability. Finally, the Pareto optimal solutions show that the proposed approach provides a comprehensive planning model for </w:instrText>
      </w:r>
      <w:r w:rsidRPr="00C34BEC">
        <w:rPr>
          <w:lang w:val="fr-FR"/>
        </w:rPr>
        <w:instrText>SSCs which enables the decision makers to use a proper solution that considers legislation, social preference, cost, and environmental objectives.","author":[{"dropping-particle":"","family":"Taleizadeh","given":"Ata Allah","non-dropping-particle":"","parse-names":false,"suffix":""},{"dropping-particle":"","family":"Haghighi","given":"Farnoosh","non-dropping-particle":"","parse-names":false,"suffix":""},{"dropping-particle":"","family":"Niaki","given":"Seyed Taghi Akhavan","non-dropping-particle":"","parse-names":false,"suffix":""}],"container-title":"Journal of Cleaner Production","id":"ITEM-5","issued":{"date-parts":[["2019"]]},"page":"163-181","publisher":"Elsevier Ltd","title":"Modeling and solving a sustainable closed loop supply chain problem with pricing decisions and discounts on returned products","type":"article-journal","volume":"207"},"uris":["http://www.mendeley.com/documents/?uuid=66cdeb5f-df5d-44bd-a665-d749eac65a9c"]}],"mendeley":{"formattedCitation":"(Tsoulfas et al., 2002; Low et al., 2016; Chavez &amp; Sharma, 2018; Rezaei et al., 2019; Taleizadeh et al., 2019)","plainTextFormattedCitation":"(Tsoulfas et al., 2002; Low et al., 2016; Chavez &amp; Sharma, 2018; Rezaei et al., 2019; Taleizadeh et al., 2019)","previouslyFormattedCitation":"(Tsoulfas et al., 2002; Low et al., 2016; Chavez &amp; Sharma, 2018; Rezaei et al., 2019; Taleizadeh et al., 2019)"},"properties":{"noteIndex":0},"schema":"https://github.com/citation-style-language/schema/raw/master/csl-citation.json"}</w:instrText>
      </w:r>
      <w:r w:rsidRPr="00C34BEC">
        <w:fldChar w:fldCharType="separate"/>
      </w:r>
      <w:r w:rsidRPr="00C34BEC">
        <w:rPr>
          <w:lang w:val="fr-FR"/>
        </w:rPr>
        <w:t>(Tsoulfas et al., 2002; Low et al., 2016; Chavez &amp; Sharma, 2018; Rezaei et al., 2019; Taleizadeh et al., 2019)</w:t>
      </w:r>
      <w:r w:rsidRPr="00C34BEC">
        <w:fldChar w:fldCharType="end"/>
      </w:r>
      <w:r w:rsidRPr="00C34BEC">
        <w:rPr>
          <w:lang w:val="fr-FR"/>
        </w:rPr>
        <w:t xml:space="preserve">. </w:t>
      </w:r>
      <w:r w:rsidRPr="00C34BEC">
        <w:t>Emission equivalent (such as CO</w:t>
      </w:r>
      <w:r w:rsidRPr="00C34BEC">
        <w:rPr>
          <w:vertAlign w:val="subscript"/>
        </w:rPr>
        <w:t>2</w:t>
      </w:r>
      <w:r w:rsidRPr="00C34BEC">
        <w:t xml:space="preserve">-eq) metrics are three times more likely to be employed than any other category of environmental indicators, which seems to confirm that SCM literature has an established carbon-centric point of view </w:t>
      </w:r>
      <w:r w:rsidRPr="00C34BEC">
        <w:fldChar w:fldCharType="begin" w:fldLock="1"/>
      </w:r>
      <w:r w:rsidRPr="00C34BEC">
        <w:instrText>ADDIN CSL_CITATION {"citationItems":[{"id":"ITEM-1","itemData":{"DOI":"10.1016/j.jclepro.2017.05.186","ISBN":"0000000256","ISSN":"09596526","abstract":"Incorporating environmental sustainability into production systems and supply chain management perspectives is a growing issue; this requires thorough efforts in measuring the environmental performance of such systems and benchmarking these against industry standards, through the usage of appropriate indicators. The usage of environmental indicators in order to monitor and manage sustainability issues is an ongoing topic of debate and deliberation in the scientific community, which has generated the development of several methodological and conceptual approaches, often incorporated into Life Cycle Assessment frameworks, enabling the evaluation and monitoring of cumulative polluting impacts resulting across the whole product supply chain. In this field, the main challenge is to identify indicators to be employed in environmental assessments, in such a way that a precise account of sustainability issues is given without overloading end-users with overly complex and redundant information. By utilising well-established environmental indicators measuring the sustainability performance of supply chains, this paper aims at critically assessing the amount of redundancy embedded in current performance measurement systems, also identifying the subset of environmental indicators that, if employed, could cover a wide amount of environmental impact categories without redundancies and providing decision-makers with a clear perspective.","author":[{"dropping-particle":"","family":"Genovese","given":"Andrea","non-dropping-particle":"","parse-names":false,"suffix":""},{"dropping-particle":"","family":"Morris","given":"Jonathan","non-dropping-particle":"","parse-names":false,"suffix":""},{"dropping-particle":"","family":"Piccolo","given":"Carmela","non-dropping-particle":"","parse-names":false,"suffix":""},{"dropping-particle":"","family":"Koh","given":"S. C.Lenny","non-dropping-particle":"","parse-names":false,"suffix":""}],"container-title":"Journal of Cleaner Production","id":"ITEM-1","issued":{"date-parts":[["2017"]]},"number-of-pages":"1290-1302","title":"Assessing redundancies in environmental performance measures for supply chains","type":"book","volume":"167"},"uris":["http://www.mendeley.com/documents/?uuid=d5f521ac-12c0-4f3b-a8af-0d1823d8cd3a"]}],"mendeley":{"formattedCitation":"(Genovese, Morris, et al., 2017)","manualFormatting":"(Genovese et al., 2017)","plainTextFormattedCitation":"(Genovese, Morris, et al., 2017)","previouslyFormattedCitation":"(Genovese, Morris, et al., 2017)"},"properties":{"noteIndex":0},"schema":"https://github.com/citation-style-language/schema/raw/master/csl-citation.json"}</w:instrText>
      </w:r>
      <w:r w:rsidRPr="00C34BEC">
        <w:fldChar w:fldCharType="separate"/>
      </w:r>
      <w:r w:rsidRPr="00C34BEC">
        <w:t>(Genovese et al., 2017)</w:t>
      </w:r>
      <w:r w:rsidRPr="00C34BEC">
        <w:fldChar w:fldCharType="end"/>
      </w:r>
      <w:r w:rsidRPr="00C34BEC">
        <w:t xml:space="preserve">.  </w:t>
      </w:r>
    </w:p>
    <w:p w14:paraId="3ADB2EF9" w14:textId="77777777" w:rsidR="00C34BEC" w:rsidRPr="00C34BEC" w:rsidRDefault="00C34BEC" w:rsidP="00C34BEC">
      <w:r w:rsidRPr="00C34BEC">
        <w:t xml:space="preserve">Fewer studies select indicators related to the residual waste that is incinerated or landfilled (17%), or on waste recovered thanks to CSC feedback loops </w:t>
      </w:r>
      <w:r w:rsidRPr="00C34BEC">
        <w:fldChar w:fldCharType="begin" w:fldLock="1"/>
      </w:r>
      <w:r w:rsidRPr="00C34BEC">
        <w:instrText>ADDIN CSL_CITATION {"citationItems":[{"id":"ITEM-1","itemData":{"DOI":"10.1007/s10668-018-0160-9","ISSN":"15732975","abstract":"Reuse is one of the most important waste-prevention strategies. Although the importance of preparation for reuse is clear, preparation centres for reuse are not common in the traditional waste management supply chain. An analysis of their contribution in waste-prevention strategies is therefore needed. Our research evaluates three preparations for reuse scenarios in municipal solid waste management with an analytic hierarchy process (AHP). These alternatives were assessed with three criteria: economic, social and environmental. Sensitivity analyses were performed to study the impact on the final ranking of changes in various parameters. Results highlight that the best alternative is to include the preparation for reuse in the waste management supply chain, with a moderate recourse to it. The study sheds light on how managers can better plan preparation for reuse activities and provides new trajectories for future research.","author":[{"dropping-particle":"","family":"Gusmerotti","given":"Natalia M.","non-dropping-particle":"","parse-names":false,"suffix":""},{"dropping-particle":"","family":"Corsini","given":"Filippo","non-dropping-particle":"","parse-names":false,"suffix":""},{"dropping-particle":"","family":"Borghini","given":"Alessandra","non-dropping-particle":"","parse-names":false,"suffix":""},{"dropping-particle":"","family":"Frey","given":"Marco","non-dropping-particle":"","parse-names":false,"suffix":""}],"container-title":"Environment, Development and Sustainability","id":"ITEM-1","issue":"6","issued":{"date-parts":[["2019"]]},"page":"2773-2792","publisher":"Springer Netherlands","title":"Assessing the role of preparation for reuse in waste-prevention strategies by analytical hierarchical process: suggestions for an optimal implementation in waste management supply chain","type":"article-journal","volume":"21"},"uris":["http://www.mendeley.com/documents/?uuid=e88edbd1-f91f-4204-adcd-8dae39a70f4a"]},{"id":"ITEM-2","itemData":{"DOI":"10.1504/IJLSM.2014.062820","ISSN":"17427975","abstract":"End of life (EOL) product management, which encompasses reuse, remanufacturing and materials recycling, requires a structured reverse logistic network in order to collect products efficiently at the end of their life cycle. This work describes modelling and simulation of reverse logistics network design for collection of spent batteries for Sangrur District of North India. To compare different order assignment, a simulation model of forward and reverse logistics networks has been developed. Several simulation experiments have been designed to analyse impact of the system design factors on the operational performance ofthe reverse logistics system. The simulation results show that the model presented in this paper calculates the battery collection cost, transfer time, transfer cost, and resource utilisation in a predictable manner. Moreover, it provides a tool to understand how the system behaves by carrying out 'what-if' assessments and to identify which parameters are most important for more detailed analysis. ©2014 Inderscience Enterprises Ltd.","author":[{"dropping-particle":"","family":"Jayant","given":"Arvind","non-dropping-particle":"","parse-names":false,"suffix":""},{"dropping-particle":"","family":"Gupta","given":"Pardeep","non-dropping-particle":"","parse-names":false,"suffix":""},{"dropping-particle":"","family":"Garg","given":"S. K.","non-dropping-particle":"","parse-names":false,"suffix":""}],"container-title":"International Journal of Logistics Systems and Management","id":"ITEM-2","issue":"3","issued":{"date-parts":[["2014"]]},"page":"343-365","title":"Reverse logistics network design for spent batteries: A simulation study","type":"article-journal","volume":"18"},"uris":["http://www.mendeley.com/documents/?uuid=58120a1b-99a7-426c-a4db-c109a12eeea9"]},{"id":"ITEM-3","itemData":{"DOI":"10.1016/j.camwa.2009.07.004","ISSN":"08981221","abstract":"Re-assembling identical or similar deteriorating systems which are elements of a network (for example, a network of personal computers) from used and new parts represents a special case of closed loop supply chains management. Environmental gains may incur, since the life cycle of used components may be extended by re-using them instead of putting them into the waste stream. These benefits are assessed using a case study referring to personal computers. The problem examined is to find proper re-assembly policies in a time period, under a limited budget as well as re-assembly and compatibility constraints, so as to obtain the Pareto optimal solutions for the overall performance and the total environmental savings. © 2009 Elsevier Ltd. All rights reserved.","author":[{"dropping-particle":"","family":"Rachaniotis","given":"N. P.","non-dropping-particle":"","parse-names":false,"suffix":""},{"dropping-particle":"","family":"Pappis","given":"C. P.","non-dropping-particle":"","parse-names":false,"suffix":""},{"dropping-particle":"","family":"Tsoulfas","given":"G. T.","non-dropping-particle":"","parse-names":false,"suffix":""},{"dropping-particle":"","family":"Dasaklis","given":"T.","non-dropping-particle":"","parse-names":false,"suffix":""}],"container-title":"Computers and Mathematics with Applications","id":"ITEM-3","issue":"1","issued":{"date-parts":[["2010"]]},"page":"391-398","publisher":"Elsevier Ltd","title":"A multi-objective re-assembling policy model and its implementation in the case of a network of personal computers","type":"article-journal","volume":"59"},"uris":["http://www.mendeley.com/documents/?uuid=1733d28d-2b08-4e49-9179-3cd62d3680df"]}],"mendeley":{"formattedCitation":"(Rachaniotis et al., 2010; Jayant et al., 2014; Gusmerotti et al., 2019)","plainTextFormattedCitation":"(Rachaniotis et al., 2010; Jayant et al., 2014; Gusmerotti et al., 2019)","previouslyFormattedCitation":"(Rachaniotis et al., 2010; Jayant et al., 2014; Gusmerotti et al., 2019)"},"properties":{"noteIndex":0},"schema":"https://github.com/citation-style-language/schema/raw/master/csl-citation.json"}</w:instrText>
      </w:r>
      <w:r w:rsidRPr="00C34BEC">
        <w:fldChar w:fldCharType="separate"/>
      </w:r>
      <w:r w:rsidRPr="00C34BEC">
        <w:t>(Rachaniotis et al., 2010; Jayant et al., 2014; Gusmerotti et al., 2019)</w:t>
      </w:r>
      <w:r w:rsidRPr="00C34BEC">
        <w:fldChar w:fldCharType="end"/>
      </w:r>
      <w:r w:rsidRPr="00C34BEC">
        <w:t xml:space="preserve">. Other commonly utilised indicators focus on use of energy across supply chains </w:t>
      </w:r>
      <w:r w:rsidRPr="00C34BEC">
        <w:fldChar w:fldCharType="begin" w:fldLock="1"/>
      </w:r>
      <w:r w:rsidRPr="00C34BEC">
        <w:instrText>ADDIN CSL_CITATION {"citationItems":[{"id":"ITEM-1","itemData":{"DOI":"10.1016/j.jclepro.2017.05.186","ISBN":"0000000256","ISSN":"09596526","abstract":"Incorporating environmental sustainability into production systems and supply chain management perspectives is a growing issue; this requires thorough efforts in measuring the environmental performance of such systems and benchmarking these against industry standards, through the usage of appropriate indicators. The usage of environmental indicators in order to monitor and manage sustainability issues is an ongoing topic of debate and deliberation in the scientific community, which has generated the development of several methodological and conceptual approaches, often incorporated into Life Cycle Assessment frameworks, enabling the evaluation and monitoring of cumulative polluting impacts resulting across the whole product supply chain. In this field, the main challenge is to identify indicators to be employed in environmental assessments, in such a way that a precise account of sustainability issues is given without overloading end-users with overly complex and redundant information. By utilising well-established environmental indicators measuring the sustainability performance of supply chains, this paper aims at critically assessing the amount of redundancy embedded in current performance measurement systems, also identifying the subset of environmental indicators that, if employed, could cover a wide amount of environmental impact categories without redundancies and providing decision-makers with a clear perspective.","author":[{"dropping-particle":"","family":"Genovese","given":"Andrea","non-dropping-particle":"","parse-names":false,"suffix":""},{"dropping-particle":"","family":"Morris","given":"Jonathan","non-dropping-particle":"","parse-names":false,"suffix":""},{"dropping-particle":"","family":"Piccolo","given":"Carmela","non-dropping-particle":"","parse-names":false,"suffix":""},{"dropping-particle":"","family":"Koh","given":"S. C.Lenny","non-dropping-particle":"","parse-names":false,"suffix":""}],"container-title":"Journal of Cleaner Production","id":"ITEM-1","issued":{"date-parts":[["2017"]]},"number-of-pages":"1290-1302","title":"Assessing redundancies in environmental performance measures for supply chains","type":"book","volume":"167"},"uris":["http://www.mendeley.com/documents/?uuid=d5f521ac-12c0-4f3b-a8af-0d1823d8cd3a"]}],"mendeley":{"formattedCitation":"(Genovese, Morris, et al., 2017)","manualFormatting":"(Genovese et al., 2017)","plainTextFormattedCitation":"(Genovese, Morris, et al., 2017)","previouslyFormattedCitation":"(Genovese, Morris, et al., 2017)"},"properties":{"noteIndex":0},"schema":"https://github.com/citation-style-language/schema/raw/master/csl-citation.json"}</w:instrText>
      </w:r>
      <w:r w:rsidRPr="00C34BEC">
        <w:fldChar w:fldCharType="separate"/>
      </w:r>
      <w:r w:rsidRPr="00C34BEC">
        <w:t>(Genovese et al., 2017)</w:t>
      </w:r>
      <w:r w:rsidRPr="00C34BEC">
        <w:fldChar w:fldCharType="end"/>
      </w:r>
      <w:r w:rsidRPr="00C34BEC">
        <w:t xml:space="preserve">. Cumulative energy demand (CED) considers the energy consumed throughout the product lifecycle, including the energy consumed during the extraction, manufacturing and disposal of the raw and auxiliary materials </w:t>
      </w:r>
      <w:r w:rsidRPr="00C34BEC">
        <w:fldChar w:fldCharType="begin" w:fldLock="1"/>
      </w:r>
      <w:r w:rsidRPr="00C34BEC">
        <w:instrText>ADDIN CSL_CITATION {"citationItems":[{"id":"ITEM-1","itemData":{"DOI":"10.1016/j.ijpe.2016.07.022","ISSN":"09255273","abstract":"Recently more and more companies are adopting proactive sustainable strategies and developing sustainable supply chain management practices. Researchers identify Closed-Loop Supply Chain (CLSC) models as one of the major contributors to realising sustainable operations. Such models typically use flows concerning the products only as the unit of analysis. This paper intends to provide a basis for developing new CLSC models, extending them to recovery resources from general outputs (e.g. unavoidable waste) with no value in terms of products. The new models affect also the configuration of the CLSC, with different set of resource suppliers and logistics providers. The case study analysed in this paper derives from the food sector, in which the waste produced is reused as a resource, avoiding the disposal of different materials through resource-recovery activities that allow waste to be returned to the main supply chain as valuable inputs to configure a new supply chain. The principal objective of this study is to create a new sustainable model of CLSC using and recovering waste from meat processing. A profitability indicator, an energy self-sufficiency one and a qualitative assessment of social implications are introduced to evaluate global sustainability opportunities for activating new loops.","author":[{"dropping-particle":"","family":"Sgarbossa","given":"Fabio","non-dropping-particle":"","parse-names":false,"suffix":""},{"dropping-particle":"","family":"Russo","given":"Ivan","non-dropping-particle":"","parse-names":false,"suffix":""}],"container-title":"International Journal of Production Economics","id":"ITEM-1","issue":"2017","issued":{"date-parts":[["2017"]]},"page":"596-606","publisher":"Elsevier","title":"A proactive model in sustainable food supply chain: Insight from a case study","type":"article-journal","volume":"183"},"uris":["http://www.mendeley.com/documents/?uuid=2b255553-e0c3-4bad-aa13-30a8957f1bcb"]},{"id":"ITEM-2","itemData":{"DOI":"10.1016/j.jclepro.2018.05.119","ISSN":"09596526","abstract":"Remanufacturing and direct reuse are considered important measures for promoting the circular economy and improving resource efficiency. Automotive production is a typical resource- and energy-intensive industrial sector, and is a prime market for remanufacturing and direct reuse. Assessing the effect of remanufacturing and direct reuse on the automotive production industry from the perspective of resource efficiency will provide an important reference for improving understandings of remanufacturing and guiding relevant policies in a broader context. A literature review reveals few studies focusing on the resource efficiency of remanufacturing and direct reuse, and the relative lack of a generally accepted indicator to assess the resource efficiency of industrial processes. This paper promotes a new indicator, resource productivity of industrial process, and constructs a material flow model to calculate the resource productivity of China's automotive industry. Results suggest that the indicator and its analytical model are effective tools to assess resource efficiency. Results also suggest that compared to a case where remanufacturing and direct reuse are not employed, adding these processes in China's automotive supply chain would increase resource productivity of industrial process by 7.1% in a high efficiency scenario. Based on these findings, policy recommendations for applying the indicator at industry level and encouraging remanufacturing and direct reuse are provided.","author":[{"dropping-particle":"","family":"Liu","given":"Bomin","non-dropping-particle":"","parse-names":false,"suffix":""},{"dropping-particle":"","family":"Chen","given":"Dingjiang","non-dropping-particle":"","parse-names":false,"suffix":""},{"dropping-particle":"","family":"Zhou","given":"Wenji","non-dropping-particle":"","parse-names":false,"suffix":""},{"dropping-particle":"","family":"Nasr","given":"Nabil","non-dropping-particle":"","parse-names":false,"suffix":""},{"dropping-particle":"","family":"Wang","given":"Tao","non-dropping-particle":"","parse-names":false,"suffix":""},{"dropping-particle":"","family":"Hu","given":"Shanying","non-dropping-particle":"","parse-names":false,"suffix":""},{"dropping-particle":"","family":"Zhu","given":"Bing","non-dropping-particle":"","parse-names":false,"suffix":""}],"container-title":"Journal of Cleaner Production","id":"ITEM-2","issued":{"date-parts":[["2018"]]},"page":"309-317","publisher":"Elsevier Ltd","title":"The effect of remanufacturing and direct reuse on resource productivity of China's automotive production","type":"article-journal","volume":"194"},"uris":["http://www.mendeley.com/documents/?uuid=8d1b04c3-0ef5-418e-9301-be57604300e9"]},{"id":"ITEM-3","itemData":{"DOI":"10.1016/j.ecolind.2016.01.035","ISSN":"1470160X","abstract":"The inclusion of economical, environmental, and societal issues in all stages of doing business helps to bring about sustainable development. A business begins or expands by establishing new facilities, so selecting a facility location is a strategic and crucial decision. In the context of sustainability, the selection of location for different facilities can be a critical problem, especially for manufacturing firms that endorse the wide footprint of Extended Producer Responsibility policies. This study aims at prioritizing alternative potential locations for manufacturing firms with respect to the three dimensions of sustainability identified above. The three dimensions are assessed by factors obtained through a factor analysis and are grouped by corresponding invariable sub criteria. These sub criteria are chosen from the extant literature review. Then, the preferred order of alternative potential location is obtained by Technique for Order Preference by Similarity to Ideal Solution (TOPSIS) based on each location's overall performance. The performance of each alternative potential location is assessed on the basis of overall weights of alternatives, evaluating factors, and triple bottom line attributes, which were obtained by Analytical Hierarchical Process (AHP). The multi criteria decision making technique, AHP, calculates the weights of the qualitative and quantitative criteria impacting the location selection problem. Then the approach of the study is validated by applying a case from real life; the results are justified by completing a sensitivity analysis on the relative importance weights of the three primary attributes (economical, environmental, and social). The results of the sensitivity analysis demonstrate an effective decision making technique for the optimal selection of sustainable manufacturing locations.","author":[{"dropping-particle":"","family":"Govindan","given":"Kannan","non-dropping-particle":"","parse-names":false,"suffix":""},{"dropping-particle":"","family":"Garg","given":"Kiran","non-dropping-particle":"","parse-names":false,"suffix":""},{"dropping-particle":"","family":"Gupta","given":"Seema","non-dropping-particle":"","parse-names":false,"suffix":""},{"dropping-particle":"","family":"Jha","given":"P. C.","non-dropping-particle":"","parse-names":false,"suffix":""}],"container-title":"Ecological Indicators","id":"ITEM-3","issued":{"date-parts":[["2016"]]},"page":"517-532","publisher":"Elsevier Ltd","title":"Effect of product recovery and sustainability enhancing indicators on the location selection of manufacturing facility","type":"article-journal","volume":"67"},"uris":["http://www.mendeley.com/documents/?uuid=bd0956ea-6f46-4c7b-ae66-0d2f8a6a8307"]}],"mendeley":{"formattedCitation":"(Govindan et al., 2016; Sgarbossa &amp; Russo, 2017; B. Liu et al., 2018)","plainTextFormattedCitation":"(Govindan et al., 2016; Sgarbossa &amp; Russo, 2017; B. Liu et al., 2018)","previouslyFormattedCitation":"(Govindan et al., 2016; Sgarbossa &amp; Russo, 2017; B. Liu et al., 2018)"},"properties":{"noteIndex":0},"schema":"https://github.com/citation-style-language/schema/raw/master/csl-citation.json"}</w:instrText>
      </w:r>
      <w:r w:rsidRPr="00C34BEC">
        <w:fldChar w:fldCharType="separate"/>
      </w:r>
      <w:r w:rsidRPr="00C34BEC">
        <w:t>(Govindan et al., 2016; Sgarbossa &amp; Russo, 2017; B. Liu et al., 2018)</w:t>
      </w:r>
      <w:r w:rsidRPr="00C34BEC">
        <w:fldChar w:fldCharType="end"/>
      </w:r>
      <w:r w:rsidRPr="00C34BEC">
        <w:t xml:space="preserve">. Only 13% of the articles measure the quantity of virgin resources (e.g. minerals, fossil fuels, renewable resources) that are depleted throughout the supply chain </w:t>
      </w:r>
      <w:r w:rsidRPr="00C34BEC">
        <w:fldChar w:fldCharType="begin" w:fldLock="1"/>
      </w:r>
      <w:r w:rsidRPr="00C34BEC">
        <w:instrText>ADDIN CSL_CITATION {"citationItems":[{"id":"ITEM-1","itemData":{"DOI":"10.1002/bse.1929","ISSN":"10990836","abstract":"For the circular economy to be tenable, consumers need to not only return products after use, but also purchase products that are remanufactured. However, research finds that consumers have a poor opinion of remanufactured products and are typically not prepared to adopt them. Thus, development of the circular economy is dependent upon deeper understanding of consumers’ attitudes and behaviors. Research typically considers either micro-level or macro-level factors when assessing consumer perceptions of remanufactured products. The current research incorporates macro-level factors of price, government incentives and environmental benefits with the moderating influence of micro-level consumer attitudes to examine consumers’ intention to switch from purchasing new products to remanufactured products. The findings suggest that a consumer's attitude toward remanufactured products is an important moderating factor predicting consumer switching behavior to remanufactured products. Copyright © 2016 John Wiley &amp; Sons, Ltd and ERP Environment.","author":[{"dropping-particle":"","family":"Hazen","given":"Benjamin T.","non-dropping-particle":"","parse-names":false,"suffix":""},{"dropping-particle":"","family":"Mollenkopf","given":"Diane A.","non-dropping-particle":"","parse-names":false,"suffix":""},{"dropping-particle":"","family":"Wang","given":"Yacan","non-dropping-particle":"","parse-names":false,"suffix":""}],"container-title":"Business Strategy and the Environment","id":"ITEM-1","issue":"4","issued":{"date-parts":[["2017"]]},"page":"451-464","title":"Remanufacturing for the Circular Economy: An Examination of Consumer Switching Behavior","type":"article-journal","volume":"26"},"uris":["http://www.mendeley.com/documents/?uuid=ef1f1fe0-89db-4a2f-b016-c59c5d4f8e57"]},{"id":"ITEM-2","itemData":{"DOI":"10.1177/0256090920140104","ISSN":"23953799","abstract":"The concept of green supply chains is now accepted in many corporate organizations in Asia. Since the early nineties, when industry became aware of the increasing relevance of sustainable development, many business enterprises in Asia have adopted environmental initiatives as an integral part of their business practices. In time these organizations came to realize that the environmental initiatives needed to encompass not only the organization's own business practices but also the entire stretch of operations across the supply chain. In other words, they felt the need to include the employees, suppliers, customers, waste handlers, and other business partners in the greening process (Bacallan, 2000). Thus, an integrated supply chain approach was called for. Such an approach should be able to identify the environmental aspects at every stage, assess the environmental impacts associated with these aspects, prioritize them, and design action plans to mitigate their adverse effects on the environment if any. An integrated green supply chain approach would take into consideration the inbound logistics phase of the supply chain, the production or internal supply chain, the outbound logistics phase, and the reverse logistics phase (Rao &amp; Holt, 2005; Sarkis, 1999; Seuring &amp; Muller, 2007). For many organizations in Asia, the green supply chain approach has also emerged as a way to demonstrate their commitment to sustainability (Seuring et al., 2008). However, there is a continuous need to measure and monitor the extent to which environmental performance is actually achieved. To assess this performance, a system of indicators across the supply chain is proposed, which is computationally easy to implement at the industry level. To demonstrate that the system of environmental indicators does measure performance, an empirical approach is adopted to test whether the system correlates with the four constructs of environmental sustainability: resource conservation, energy efficiency, reduction of hazardous waste, and reduction of greenhouse gas emissions (Vachon &amp; Mao, 2008). In order to check these linkages of environmental indicators to the constituents of environmental performance, four multiple regression models were run. In the first model, the dependent variable was resource conservation, the independent predictor variables being the 20 environmental indicators grouped under the four constructs: Inbound logistics, production or internal logistics, outbound logisti…","author":[{"dropping-particle":"","family":"Rao","given":"Purba H.","non-dropping-particle":"","parse-names":false,"suffix":""}],"container-title":"Vikalpa","id":"ITEM-2","issue":"1","issued":{"date-parts":[["2014"]]},"page":"57-74","title":"Measuring Environmental Performance across a Green Supply Chain: A Managerial Overview of Environmental Indicators","type":"article-journal","volume":"39"},"uris":["http://www.mendeley.com/documents/?uuid=0bfc4ff8-5674-43b1-8573-adf886359225"]},{"id":"ITEM-3","itemData":{"DOI":"10.1080/09537287.2016.1177234","ISSN":"13665871","abstract":"Abstract: Nowadays, reverse logistics is gaining importance for many companies in different industries. This importance is rooted in the fact that it generates profit and decreases the environmental impacts of products. Even though the decrease of environmental impacts is an indispensable requisite, reverse logistics design is only driven by cost indicators. The main reason behind this high cost is access to environmental information is difficult and is directly linked to data all along the lifecycle of the product. This paper presents a method by which reverse logistics design integrates environmental impacts based on the management of closed-loop product lifecycle. This method is divided into two processes: from beginning of life to end of life and from end of life to beginning of life. The first process integrates product data in order to calculate environmental impacts of the potential reverse logistics networks, whereas the second process selects the most appropriate reverse logistics network before optimising the product based on this particular network. The proposition is illustrated by a case study on a recycled aluminium automotive part.","author":[{"dropping-particle":"","family":"Daaboul","given":"Joanna","non-dropping-particle":"","parse-names":false,"suffix":""},{"dropping-particle":"","family":"Duigou","given":"Julien","non-dropping-particle":"Le","parse-names":false,"suffix":""},{"dropping-particle":"","family":"Penciuc","given":"Diana","non-dropping-particle":"","parse-names":false,"suffix":""},{"dropping-particle":"","family":"Eynard","given":"Benoît","non-dropping-particle":"","parse-names":false,"suffix":""}],"container-title":"Production Planning and Control","id":"ITEM-3","issue":"13","issued":{"date-parts":[["2016"]]},"page":"1062-1077","publisher":"Taylor &amp; Francis","title":"An integrated closed-loop product lifecycle management approach for reverse logistics design","type":"article-journal","volume":"27"},"uris":["http://www.mendeley.com/documents/?uuid=3be36c72-481d-4cf6-9974-fea27cc52948"]}],"mendeley":{"formattedCitation":"(Rao, 2014; Daaboul et al., 2016; Hazen et al., 2017)","plainTextFormattedCitation":"(Rao, 2014; Daaboul et al., 2016; Hazen et al., 2017)","previouslyFormattedCitation":"(Rao, 2014; Daaboul et al., 2016; Hazen et al., 2017)"},"properties":{"noteIndex":0},"schema":"https://github.com/citation-style-language/schema/raw/master/csl-citation.json"}</w:instrText>
      </w:r>
      <w:r w:rsidRPr="00C34BEC">
        <w:fldChar w:fldCharType="separate"/>
      </w:r>
      <w:r w:rsidRPr="00C34BEC">
        <w:t>(Rao, 2014; Daaboul et al., 2016; Hazen et al., 2017)</w:t>
      </w:r>
      <w:r w:rsidRPr="00C34BEC">
        <w:fldChar w:fldCharType="end"/>
      </w:r>
      <w:r w:rsidRPr="00C34BEC">
        <w:t xml:space="preserve">. </w:t>
      </w:r>
    </w:p>
    <w:p w14:paraId="05A5CD7E" w14:textId="77777777" w:rsidR="00C34BEC" w:rsidRPr="00C34BEC" w:rsidRDefault="00C34BEC" w:rsidP="00C34BEC">
      <w:r w:rsidRPr="00C34BEC">
        <w:t xml:space="preserve">In total, 77 different environmental indicators are employed. This denotes the lack of an agreed standard for measuring the environmental performance of CSCs, or the transition of supply chains towards CSC configurations. Many studies use traditional LCA frameworks, in this way taking into account a wide variety of impacts across the whole product supply chain. </w:t>
      </w:r>
    </w:p>
    <w:p w14:paraId="44C915BE" w14:textId="77777777" w:rsidR="00C34BEC" w:rsidRPr="006F0BB9" w:rsidRDefault="00C34BEC" w:rsidP="00C34BEC">
      <w:pPr>
        <w:rPr>
          <w:lang w:val="nl-NL"/>
        </w:rPr>
      </w:pPr>
      <w:r w:rsidRPr="00C34BEC">
        <w:lastRenderedPageBreak/>
        <w:t xml:space="preserve">Another relevant gap is the absence of explicit metrics regarding process or material ‘circularity’. Only a very small minority of papers employ specific indicators to measure the proportion of waste and by-products reincorporated in the supply chain </w:t>
      </w:r>
      <w:r w:rsidRPr="00C34BEC">
        <w:fldChar w:fldCharType="begin" w:fldLock="1"/>
      </w:r>
      <w:r w:rsidRPr="00C34BEC">
        <w:instrText>ADDIN CSL_CITATION {"citationItems":[{"id":"ITEM-1","itemData":{"ISSN":"09573720","abstract":"Circular economy is a model of economic development to maximize the use of resources and protect the environment. Guided by the theory of recycled economy, green supply chain management, as a new notion of management, plays a more and more important role in the development of manufacturing industry in Guangxi. The research on performance evaluation system for green supply chain management can provide a predetermined evaluation criteria to investigate whether Guangxi's manufacturing industry is driven or forced to implement green supply chain management. By employing the meta-analysis method for the statistics and analysis of researches on performance evaluation indexes system in relevant literature, this study concludes a performance evaluation indexes system for green supply chain management.","author":[{"dropping-particle":"","family":"Wei","given":"Feng","non-dropping-particle":"","parse-names":false,"suffix":""},{"dropping-particle":"","family":"Liu","given":"Sifeng","non-dropping-particle":"","parse-names":false,"suffix":""},{"dropping-particle":"","family":"Yin","given":"Lijun","non-dropping-particle":"","parse-names":false,"suffix":""},{"dropping-particle":"","family":"Li","given":"Weizhao","non-dropping-particle":"","parse-names":false,"suffix":""},{"dropping-particle":"","family":"Yu","given":"Zhengyang","non-dropping-particle":"","parse-names":false,"suffix":""}],"container-title":"Journal of Grey System","id":"ITEM-1","issue":"2","issued":{"date-parts":[["2014"]]},"page":"177-187","title":"Research on performance evaluation system for green supply chain management based on the context of recycled economy - Taking Guangxi's manufacturing industry as example","type":"article-journal","volume":"26"},"uris":["http://www.mendeley.com/documents/?uuid=099618d6-7696-422d-856b-f6fdad94b96b"]},{"id":"ITEM-2","itemData":{"DOI":"10.1016/j.marpol.2016.04.003","ISSN":"0308597X","abstract":"Low carbon shipping research focuses on energy efficiency and mitigation measures related to operations and technology. However, reducing energy use and greenhouse gas emissions associated with a vessel's material production receives limited attention. Material efficiency is defined as “providing material services with less material production and processing”. The current business model for ship building and breaking does not embrace fully material efficiency principles. Exploring a case study of a vessel's steel hull, this study applies a Life Cycle Assessment approach to determine the effectiveness of material efficiency to reduce CO2 emissions. When compared to Business as Usual, designing and manufacturing for 100% hull reuse provides an emissions reduction of 29% from 221,978 t CO2 to 158,285 t CO2; 50% reuse provides a 10% reduction (199,816 t CO2). From a technical and safety perspective there remain key barriers that need addressing: a vessel's hull would require to be designed for dismantling to improve reuse; the operation and maintenance schedule must ensure the value of the steel is retained and; data must flow between key stakeholders on the quality of the steel. Despite these challenges, progressing material efficiency would require different business models that reach out and integrate the whole supply chain. There is a need for public and privately funded demonstration projects at a range of scales and markets, to provide investors the confidence that there is retained value in the steel hull when it reaches its end-of-life.","author":[{"dropping-particle":"","family":"Gilbert","given":"P.","non-dropping-particle":"","parse-names":false,"suffix":""},{"dropping-particle":"","family":"Wilson","given":"P.","non-dropping-particle":"","parse-names":false,"suffix":""},{"dropping-particle":"","family":"Walsh","given":"C.","non-dropping-particle":"","parse-names":false,"suffix":""},{"dropping-particle":"","family":"Hodgson","given":"P.","non-dropping-particle":"","parse-names":false,"suffix":""}],"container-title":"Marine Policy","id":"ITEM-2","issued":{"date-parts":[["2017"]]},"page":"227-237","publisher":"Elsevier","title":"The role of material efficiency to reduce CO2 emissions during ship manufacture: A life cycle approach","type":"article-journal","volume":"75"},"uris":["http://www.mendeley.com/documents/?uuid=8c746d2d-9855-4ccc-9274-fc50ff151441"]},{"id":"ITEM-3","itemData":{"DOI":"10.1016/j.jclepro.2019.07.032","ISSN":"09596526","abstract":"The debate on the sustainability of service supply chain has recently become notorious with the increased environmental and economic impacts of service materiality. Cost-effective material management in the service domain has, therefore, become a competitive priority and a means for sustainability. This essentially requires the development of quantitative models with green options for optimizing material sourcing, transportation, inventory, processing, and reverse logistics. It is, however, a challenge to assess and integrate the economic and environmental costs of material procurement and consumption within service systems. The gap is more evident in service-only supply chains such as tourism, finance, and healthcare. Thus, this paper develops a service-oriented optimization model with green options for effective material management in a service environment. The developed model is focused on managing the material procurement and processing across the supply chain of a service firm (a hotel supply chain as an example). Mathematical formulation is first provided for a deterministic single-order model and this is then extended to a multi-period comprehensive material planning model. Proposed formulations are demonstrated through a simulated supply chain of accommodation services in a hotel. The theoretical and practical implications of the results are discussed along with directions for future research. The value-added of this research is providing insight into material management across service supply chains, optimizing material assignment to offered services, and extending the impacts of green options to the whole supply chain of hotels and accommodation services.","author":[{"dropping-particle":"","family":"Al-Aomar","given":"Raid","non-dropping-particle":"","parse-names":false,"suffix":""},{"dropping-particle":"","family":"Alshraideh","given":"Hussam","non-dropping-particle":"","parse-names":false,"suffix":""}],"container-title":"Journal of Cleaner Production","id":"ITEM-3","issued":{"date-parts":[["2019"]]},"page":"117557","publisher":"Elsevier Ltd","title":"A service-oriented material management model with green options","type":"article-journal","volume":"236"},"uris":["http://www.mendeley.com/documents/?uuid=a069cd9e-f8f0-4a1f-b4fb-d456a89d8cf5"]},{"id":"ITEM-4","itemData":{"DOI":"10.1016/j.ijpe.2016.07.023","ISSN":"09255273","abstract":"This paper proposes a two-stage stochastic mixed-integer programming model for a closed-loop supply chain network design problem in the context of modular structured products in which the reverse network entails several types of recovery options. It accounts for uncertainty in the quality status of the return stream, modeled as binary scenarios for each component in the reverse bill of material corresponding to such products. To deal with the intractable number of scenarios in the proposed model, a scenario reduction scheme is adapted to the problem of interest to preserve the most pertinent scenarios based on a modified Euclidean distance measure. The reduced stochastic large-scale optimization problem is then solved via a L-shaped algorithm enhanced with surrogate constraints and Paret</w:instrText>
      </w:r>
      <w:r w:rsidRPr="006F0BB9">
        <w:rPr>
          <w:lang w:val="nl-NL"/>
        </w:rPr>
        <w:instrText>o-optimal cuts. Numerical results indicate that the scenario reduction algorithm provides good quality solutions to the stochastic problem in a reasonable amount of time through applying the enhanced L-shaped method.","author":[{"dropping-particle":"","family":"Jeihoonian","given":"Mohammad","non-dropping-particle":"","parse-names":false,"suffix":""},{"dropping-particle":"","family":"Kazemi Zanjani","given":"Masoumeh","non-dropping-particle":"","parse-names":false,"suffix":""},{"dropping-particle":"","family":"Gendreau","given":"Michel","non-dropping-particle":"","parse-names":false,"suffix":""}],"container-title":"International Journal of Production Economics","id":"ITEM-4","issued":{"date-parts":[["2017"]]},"page":"470-486","publisher":"Elsevier","title":"Closed-loop supply chain network design under uncertain quality status: Case of durable products","type":"article-journal","volume":"183"},"uris":["http://www.mendeley.com/documents/?uuid=db12f072-caa1-403e-9443-829d222336be"]}],"mendeley":{"formattedCitation":"(Wei et al., 2014; Gilbert et al., 2017; Jeihoonian et al., 2017; Al-Aomar &amp; Alshraideh, 2019)","plainTextFormattedCitation":"(Wei et al., 2014; Gilbert et al., 2017; Jeihoonian et al., 2017; Al-Aomar &amp; Alshraideh, 2019)","previouslyFormattedCitation":"(Wei et al., 2014; Gilbert et al., 2017; Jeihoonian et al., 2017; Al-Aomar &amp; Alshraideh, 2019)"},"properties":{"noteIndex":0},"schema":"https://github.com/citation-style-language/schema/raw/master/csl-citation.json"}</w:instrText>
      </w:r>
      <w:r w:rsidRPr="00C34BEC">
        <w:fldChar w:fldCharType="separate"/>
      </w:r>
      <w:r w:rsidRPr="006F0BB9">
        <w:rPr>
          <w:lang w:val="nl-NL"/>
        </w:rPr>
        <w:t>(Wei et al., 2014; Gilbert et al., 2017; Jeihoonian et al., 2017; Al-Aomar &amp; Alshraideh, 2019)</w:t>
      </w:r>
      <w:r w:rsidRPr="00C34BEC">
        <w:fldChar w:fldCharType="end"/>
      </w:r>
      <w:r w:rsidRPr="006F0BB9">
        <w:rPr>
          <w:lang w:val="nl-NL"/>
        </w:rPr>
        <w:t xml:space="preserve">. </w:t>
      </w:r>
    </w:p>
    <w:p w14:paraId="7153F1FD" w14:textId="77777777" w:rsidR="00C34BEC" w:rsidRPr="00C34BEC" w:rsidRDefault="00C34BEC" w:rsidP="0034288B">
      <w:pPr>
        <w:pStyle w:val="Heading4Paragraph"/>
        <w:rPr>
          <w:lang w:val="en-US"/>
        </w:rPr>
      </w:pPr>
      <w:bookmarkStart w:id="235" w:name="_Toc39268485"/>
      <w:r w:rsidRPr="00C34BEC">
        <w:rPr>
          <w:lang w:val="en-US"/>
        </w:rPr>
        <w:t>Social indicators</w:t>
      </w:r>
      <w:bookmarkEnd w:id="235"/>
      <w:r w:rsidRPr="00C34BEC">
        <w:rPr>
          <w:lang w:val="en-US"/>
        </w:rPr>
        <w:t xml:space="preserve"> </w:t>
      </w:r>
    </w:p>
    <w:p w14:paraId="3C775A31" w14:textId="77777777" w:rsidR="00C34BEC" w:rsidRPr="00C34BEC" w:rsidRDefault="00C34BEC" w:rsidP="00C34BEC">
      <w:r w:rsidRPr="00C34BEC">
        <w:t xml:space="preserve">Only 18% of the sample consider the social dimension within the definition of the objectives </w:t>
      </w:r>
      <w:r w:rsidRPr="00C34BEC">
        <w:fldChar w:fldCharType="begin" w:fldLock="1"/>
      </w:r>
      <w:r w:rsidRPr="00C34BEC">
        <w:instrText>ADDIN CSL_CITATION {"citationItems":[{"id":"ITEM-1","itemData":{"DOI":"10.1016/j.jclepro.2018.09.198","ISSN":"09596526","abstract":"Increasing rates of environmental and social concerns involved in various communities have recently attracted researchers’ attention to consider them in proper designs of sustainable supply chains (SSCs). In this paper, the planning problem of a multi-period multi-echelon sustainable closed loop supply chain (SCLSC) is investigated. A comprehensive model that seriously takes into account the social and environmental aspects of the supply chain (SC) decisions and measures their social and environmental effects using the GRI (Global Reporting Initiative) guideline indicators is proposed. The proposed planning model includes tactical decisions comprising the price of the product and logistic decisions. A discount offer is used on the returned product as an incentive policy to increase customers’ willingness to return back the used products. In this offer, the discount depends on the quality of the returned products. Besides, as the discount for upcoming purchases stimulates customers to buy new products more, the product demand depends on the discount offer in addition to the product price. Moreover, two recovery approaches including remanufacturing and recycling alongside disposing of very low quality returned products are considered. Categorizing returned products according to their quality, quality-dependent recovery decisions for returned products, and the quality-dependent discount offer is the other novel points of this paper. The proposed model is implemented in a case study involving a CFL light bulbs supply chain. The TH (Torabi-Hassini) procedure is employed to solve the newly-developed three-objective optimization problem. The results of sensitivity analyses on the case-study demonstrate that the discount offer significantly improve the collecting rate of used products, which in turn helps improving sustainability. Finally, the Pareto optimal solutions show that the proposed approach provides a comprehensive planning model for SSCs which enables the decision makers to use a proper solution that considers legislation, social preference, cost, and environmental objectives.","author":[{"dropping-particle":"","family":"Taleizadeh","given":"Ata Allah","non-dropping-particle":"","parse-names":false,"suffix":""},{"dropping-particle":"","family":"Haghighi","given":"Farnoosh","non-dropping-particle":"","parse-names":false,"suffix":""},{"dropping-particle":"","family":"Niaki","given":"Seyed Taghi Akhavan","non-dropping-particle":"","parse-names":false,"suffix":""}],"container-title":"Journal of Cleaner Production","id":"ITEM-1","issued":{"date-parts":[["2019"]]},"page":"163-181","publisher":"Elsevier Ltd","title":"Modeling and solving a sustainable closed loop supply chain problem with pricing decisions and discounts on returned products","type":"article-journal","volume":"207"},"uris":["http://www.mendeley.com/documents/?uuid=66cdeb5f-df5d-44bd-a665-d749eac65a9c"]},{"id":"ITEM-2","itemData":{"DOI":"10.1007/s10479-017-2701-2","ISSN":"15729338","abstract":"Immense concern for sustainability and increasing stakeholders’ involvement has sparked tremendous interest towards designing optimal supply chain networks with significant economic, environmental, and social influence. Central to the idea, this study aims to design a closed loop supply chain (CLSC) network for an Indian laptop manufacturer. The network configuration, which involves a manufacturer, suppliers, third party logistics providers (forward and reverse), retailers, customers and a non-government organisation (NGO), is modelled as a mixed integer linear programming problem with fuzzy goals of minimising environmental impact and maximising net profit and social impact, subject to fuzzy demand and capacity constraints. Profit is generated from the sale of primary and secondary laptops, earned tax credits, and revenue sharing with reverse logistics providers. The environmental implications are investigated by measuring the carbon emitted due to activities of manufacturing, assembling, dismantling, fabrication, and transportation. The social dimension is quantified in terms of the number of jobs created, training hours, community service hours, and donations to NGO. The novelty of the model rests on its quantification of the three triple bottom line (TBL) indicators and on its use of AHP–TOPSIS for modelling the multi-criteria perspectives of the stakeholders. Numerical weights for the triple lines of sustainability are utilized. Further, a fuzzy multi-objective programming approach that integrates fuzzy set theory with goal programming techniques is utilised to yield properly efficient solutions to the multi-objective problem and to provide a trade-off set for conflicting objectives. The significance of the CLSC model is empirically established as a decision support tool for improving the TBL performance of a particular Indian laptop manufacturer. Practical and theoretical implications are derived from the result analysis, and a generalised quantitative closed-loop model can be effectively adapted by other electronic manufacturers to increase their competitiveness, profitability, and to improve their TBL.","author":[{"dropping-particle":"","family":"Darbari","given":"Jyoti Dhingra","non-dropping-particle":"","parse-names":false,"suffix":""},{"dropping-particle":"","family":"Kannan","given":"Devika","non-dropping-particle":"","parse-names":false,"suffix":""},{"dropping-particle":"","family":"Agarwal","given":"Vernika","non-dropping-particle":"","parse-names":false,"suffix":""},{"dropping-particle":"","family":"Jha","given":"P. C.","non-dropping-particle":"","parse-names":false,"suffix":""}],"container-title":"Annals of Operations Research","id":"ITEM-2","issue":"1-2","issued":{"date-parts":[["2019"]]},"page":"693-738","publisher":"Springer US","title":"Fuzzy criteria programming approach for optimising the TBL performance of closed loop supply chain network design problem","type":"article-journal","volume":"273"},"uris":["http://www.mendeley.com/documents/?uuid=7a138314-0dea-48fd-9648-c5b29c32a6f6"]}],"mendeley":{"formattedCitation":"(Darbari et al., 2019; Taleizadeh et al., 2019)","plainTextFormattedCitation":"(Darbari et al., 2019; Taleizadeh et al., 2019)","previouslyFormattedCitation":"(Darbari et al., 2019; Taleizadeh et al., 2019)"},"properties":{"noteIndex":0},"schema":"https://github.com/citation-style-language/schema/raw/master/csl-citation.json"}</w:instrText>
      </w:r>
      <w:r w:rsidRPr="00C34BEC">
        <w:fldChar w:fldCharType="separate"/>
      </w:r>
      <w:r w:rsidRPr="00C34BEC">
        <w:t>(Darbari et al., 2019; Taleizadeh et al., 2019)</w:t>
      </w:r>
      <w:r w:rsidRPr="00C34BEC">
        <w:fldChar w:fldCharType="end"/>
      </w:r>
      <w:r w:rsidRPr="00C34BEC">
        <w:t xml:space="preserve">. It can be observed that there is no agreement on the stakeholders to be involved. Some measurement approaches only consider employees, whilst others consider customers and as well as suppliers, organisations or communities (see Table 5). </w:t>
      </w:r>
    </w:p>
    <w:p w14:paraId="49CBD734" w14:textId="573232FF" w:rsidR="00C34BEC" w:rsidRPr="00C34BEC" w:rsidRDefault="00C34BEC" w:rsidP="00C34BEC">
      <w:r w:rsidRPr="00C34BEC">
        <w:t>The most common indicator (which appears in 7% of the papers included in the sample) is represented by the employment opportunities generated within the supply chain (</w:t>
      </w:r>
      <w:r w:rsidR="00F07293" w:rsidRPr="00C34BEC">
        <w:t>i.e.,</w:t>
      </w:r>
      <w:r w:rsidRPr="00C34BEC">
        <w:t xml:space="preserve"> the total number of jobs created by the CSC). Whilst not common, some metrics representing the ‘quality’ of the jobs created are also considered: 3% of these indicators mention aspects such as the presence of decent work conditions </w:t>
      </w:r>
      <w:r w:rsidRPr="00C34BEC">
        <w:fldChar w:fldCharType="begin" w:fldLock="1"/>
      </w:r>
      <w:r w:rsidRPr="00C34BEC">
        <w:instrText>ADDIN CSL_CITATION {"citationItems":[{"id":"ITEM-1","itemData":{"DOI":"10.1007/s00521-018-3369-5","ISBN":"0123456789","ISSN":"14333058","abstract":"Supply chain network design (SCND) is one of the important, primary and strategic decisions affecting competitive advantages and all other decisions in supply chain management. Although most of papers in SCND focus only on the economic performance, this study considers simultaneously economic, social and environmental aspects. In this study, a new mixed integer nonlinear programming model is developed to formulate a multi-objective sustainable closed-loop supply chain network design problem by considering discount supposition in the transportation costs for the first time. In order to address the problem, not only traditional and recent metaheuristics are utilized, but also the algorithms are hybridized according to their strengths especially in intensification and diversification. To evaluate the efficiency and effectiveness of these algorithms, they are compared with each other by four assessment metrics for Pareto optimal analyses. Although the results indicate the performance of three proposed new hybridization algorithms, KAGA achieves better solutions compared with the others, but it needs more time. At the end, we introduced a real industrial example in glass industry to verify the proposed model and the algorithms.","author":[{"dropping-particle":"","family":"Hajiaghaei-Keshteli","given":"Mostafa","non-dropping-particle":"","parse-names":false,"suffix":""},{"dropping-particle":"","family":"Fathollahi Fard","given":"Amir Mohammad","non-dropping-particle":"","parse-names":false,"suffix":""}],"container-title":"Neural Computing and Applications","id":"ITEM-1","issue":"9","issued":{"date-parts":[["2019"]]},"number-of-pages":"5343-5377","publisher":"Springer London","title":"Sustainable closed-loop supply chain network design with discount supposition","type":"book","volume":"31"},"uris":["http://www.mendeley.com/documents/?uuid=a1c8152d-949c-4d20-99d3-bded0759741a"]},{"id":"ITEM-2","itemData":{"DOI":"10.1016/j.jclepro.2017.10.240","ISSN":"09596526","abstract":"Decreasing the environmental effect and increasing the social effect as well as the profit of organizations has gained a considerable attention in supply chain network problems. Construction and demolition wastes (C&amp;D wastes) management poses serious challenges to the government and private sector in terms of the environmental damages and potential gains due to recycling these types of wastes. On the other hand, considering the triple bottom line in reverse logistics network design problems simultaneously is an issue that has gained little attention in previous studies. Therefore in this research we propose a multi-period multi-objective mixed integer linear programming to design and plan a network of reverse logistics under uncertainty for recycling C&amp;D wastes in which the objectives are represented as profit and social impact maximization and environmental effect minimization. In this paper the network design problem with stochastic demand of recycled products and rate on investment is regarded. In order to cope with the uncertainty in the model, we consider a risk averse two-stage stochastic programming, where we specify the conditional value at risk (CVaR) as the risk measure. We also apply off-site and on-site separation as two common method for segregating C&amp;D wastes. Appropriate numerical is conducted to learn the effects of crucial parameters on the model and gain managerial insights as well.","author":[{"dropping-particle":"","family":"Rahimi","given":"Mohsen","non-dropping-particle":"","parse-names":false,"suffix":""},{"dropping-particle":"","family":"Ghezavati","given":"Vahidreza","non-dropping-particle":"","parse-names":false,"suffix":""}],"container-title":"Journal of Cleaner Production","id":"ITEM-2","issued":{"date-parts":[["2018"]]},"page":"1567-1581","publisher":"Elsevier Ltd","title":"Sustainable multi-period reverse logistics network design and planning under uncertainty utilizing conditional value at risk (CVaR) for recycling construction and demolition waste","type":"article-journal","volume":"172"},"uris":["http://www.mendeley.com/documents/?uuid=19e7bc9b-ff4c-42d9-99ce-3a64d8b24819"]}],"mendeley":{"formattedCitation":"(Rahimi &amp; Ghezavati, 2018; Hajiaghaei-Keshteli &amp; Fathollahi Fard, 2019)","plainTextFormattedCitation":"(Rahimi &amp; Ghezavati, 2018; Hajiaghaei-Keshteli &amp; Fathollahi Fard, 2019)","previouslyFormattedCitation":"(Rahimi &amp; Ghezavati, 2018; Hajiaghaei-Keshteli &amp; Fathollahi Fard, 2019)"},"properties":{"noteIndex":0},"schema":"https://github.com/citation-style-language/schema/raw/master/csl-citation.json"}</w:instrText>
      </w:r>
      <w:r w:rsidRPr="00C34BEC">
        <w:fldChar w:fldCharType="separate"/>
      </w:r>
      <w:r w:rsidRPr="00C34BEC">
        <w:t>(Rahimi &amp; Ghezavati, 2018; Hajiaghaei-Keshteli &amp; Fathollahi Fard, 2019)</w:t>
      </w:r>
      <w:r w:rsidRPr="00C34BEC">
        <w:fldChar w:fldCharType="end"/>
      </w:r>
      <w:r w:rsidRPr="00C34BEC">
        <w:t xml:space="preserve">, 2% of employee training opportunities </w:t>
      </w:r>
      <w:r w:rsidRPr="00C34BEC">
        <w:fldChar w:fldCharType="begin" w:fldLock="1"/>
      </w:r>
      <w:r w:rsidRPr="00C34BEC">
        <w:instrText>ADDIN CSL_CITATION {"citationItems":[{"id":"ITEM-1","itemData":{"DOI":"10.1016/j.ecolind.2016.01.035","ISSN":"1470160X","abstract":"The inclusion of economical, environmental, and societal issues in all stages of doing business helps to bring about sustainable development. A business begins or expands by establishing new facilities, so selecting a facility location is a strategic and crucial decision. In the context of sustainability, the selection of location for different facilities can be a critical problem, especially for manufacturing firms that endorse the wide footprint of Extended Producer Responsibility policies. This study aims at prioritizing alternative potential locations for manufacturing firms with respect to the three dimensions of sustainability identified above. The three dimensions are assessed by factors obtained through a factor analysis and are grouped by corresponding invariable sub criteria. These sub criteria are chosen from the extant literature review. Then, the preferred order of alternative potential location is obtained by Technique for Order Preference by Similarity to Ideal Solution (TOPSIS) based on each location's overall performance. The performance of each alternative potential location is assessed on the basis of overall weights of alternatives, evaluating factors, and triple bottom line attributes, which were obtained by Analytical Hierarchical Process (AHP). The multi criteria decision making technique, AHP, calculates the weights of the qualitative and quantitative criteria impacting the location selection problem. Then the approach of the study is validated by applying a case from real life; the results are justified by completing a sensitivity analysis on the relative importance weights of the three primary attributes (economical, environmental, and social). The results of the sensitivity analysis demonstrate an effective decision making technique for the optimal selection of sustainable manufacturing locations.","author":[{"dropping-particle":"","family":"Govindan","given":"Kannan","non-dropping-particle":"","parse-names":false,"suffix":""},{"dropping-particle":"","family":"Garg","given":"Kiran","non-dropping-particle":"","parse-names":false,"suffix":""},{"dropping-particle":"","family":"Gupta","given":"Seema","non-dropping-particle":"","parse-names":false,"suffix":""},{"dropping-particle":"","family":"Jha","given":"P. C.","non-dropping-particle":"","parse-names":false,"suffix":""}],"container-title":"Ecological Indicators","id":"ITEM-1","issued":{"date-parts":[["2016"]]},"page":"517-532","publisher":"Elsevier Ltd","title":"Effect of product recovery and sustainability enhancing indicators on the location selection of manufacturing facility","type":"article-journal","volume":"67"},"uris":["http://www.mendeley.com/documents/?uuid=bd0956ea-6f46-4c7b-ae66-0d2f8a6a8307"]}],"mendeley":{"formattedCitation":"(Govindan et al., 2016)","plainTextFormattedCitation":"(Govindan et al., 2016)","previouslyFormattedCitation":"(Govindan et al., 2016)"},"properties":{"noteIndex":0},"schema":"https://github.com/citation-style-language/schema/raw/master/csl-citation.json"}</w:instrText>
      </w:r>
      <w:r w:rsidRPr="00C34BEC">
        <w:fldChar w:fldCharType="separate"/>
      </w:r>
      <w:r w:rsidRPr="00C34BEC">
        <w:t>(Govindan et al., 2016)</w:t>
      </w:r>
      <w:r w:rsidRPr="00C34BEC">
        <w:fldChar w:fldCharType="end"/>
      </w:r>
      <w:r w:rsidRPr="00C34BEC">
        <w:t xml:space="preserve"> and other benefits for workers. </w:t>
      </w:r>
    </w:p>
    <w:p w14:paraId="2C0BB1B8" w14:textId="77777777" w:rsidR="00C34BEC" w:rsidRPr="00C34BEC" w:rsidRDefault="00C34BEC" w:rsidP="00C34BEC">
      <w:r w:rsidRPr="00C34BEC">
        <w:t xml:space="preserve">A less common indicator (which appears in just 1% of the papers considered) measures customers’ environmental awareness, related to their willingness to return used products at the end of their life </w:t>
      </w:r>
      <w:r w:rsidRPr="00C34BEC">
        <w:fldChar w:fldCharType="begin" w:fldLock="1"/>
      </w:r>
      <w:r w:rsidRPr="00C34BEC">
        <w:instrText>ADDIN CSL_CITATION {"citationItems":[{"id":"ITEM-1","itemData":{"DOI":"10.1016/j.ecolind.2016.01.035","ISSN":"1470160X","abstract":"The inclusion of economical, environmental, and societal issues in all stages of doing business helps to bring about sustainable development. A business begins or expands by establishing new facilities, so selecting a facility location is a strategic and crucial decision. In the context of sustainability, the selection of location for different facilities can be a critical problem, especially for manufacturing firms that endorse the wide footprint of Extended Producer Responsibility policies. This study aims at prioritizing alternative potential locations for manufacturing firms with respect to the three dimensions of sustainability identified above. The three dimensions are assessed by factors obtained through a factor analysis and are grouped by corresponding invariable sub criteria. These sub criteria are chosen from the extant literature review. Then, the preferred order of alternative potential location is obtained by Technique for Order Preference by Similarity to Ideal Solution (TOPSIS) based on each location's overall performance. The performance of each alternative potential location is assessed on the basis of overall weights of alternatives, evaluating factors, and triple bottom line attributes, which were obtained by Analytical Hierarchical Process (AHP). The multi criteria decision making technique, AHP, calculates the weights of the qualitative and quantitative criteria impacting the location selection problem. Then the approach of the study is validated by applying a case from real life; the results are justified by completing a sensitivity analysis on the relative importance weights of the three primary attributes (economical, environmental, and social). The results of the sensitivity analysis demonstrate an effective decision making technique for the optimal selection of sustainable manufacturing locations.","author":[{"dropping-particle":"","family":"Govindan","given":"Kannan","non-dropping-particle":"","parse-names":false,"suffix":""},{"dropping-particle":"","family":"Garg","given":"Kiran","non-dropping-particle":"","parse-names":false,"suffix":""},{"dropping-particle":"","family":"Gupta","given":"Seema","non-dropping-particle":"","parse-names":false,"suffix":""},{"dropping-particle":"","family":"Jha","given":"P. C.","non-dropping-particle":"","parse-names":false,"suffix":""}],"container-title":"Ecological Indicators","id":"ITEM-1","issued":{"date-parts":[["2016"]]},"page":"517-532","publisher":"Elsevier Ltd","title":"Effect of product recovery and sustainability enhancing indicators on the location selection of manufacturing facility","type":"article-journal","volume":"67"},"uris":["http://www.mendeley.com/documents/?uuid=bd0956ea-6f46-4c7b-ae66-0d2f8a6a8307"]},{"id":"ITEM-2","itemData":{"DOI":"10.1007/s10668-018-0160-9","ISSN":"15732975","abstract":"Reuse is one of the most important waste-prevention strategies. Although the importance of preparation for reuse is clear, preparation centres for reuse are not common in the traditional waste management supply chain. An analysis of their contribution in waste-prevention strategies is therefore needed. Our research evaluates three preparations for reuse scenarios in municipal solid waste management with an analytic hierarchy process (AHP). These alternatives were assessed with three criteria: economic, social and environmental. Sensitivity analyses were performed to study the impact on the final ranking of changes in various parameters. Results highlight that the best alternative is to include the preparation for reuse in the waste management supply chain, with a moderate recourse to it. The study sheds light on how managers can better plan preparation for reuse activities and provides new trajectories for future research.","author":[{"dropping-particle":"","family":"Gusmerotti","given":"Natalia M.","non-dropping-particle":"","parse-names":false,"suffix":""},{"dropping-particle":"","family":"Corsini","given":"Filippo","non-dropping-particle":"","parse-names":false,"suffix":""},{"dropping-particle":"","family":"Borghini","given":"Alessandra","non-dropping-particle":"","parse-names":false,"suffix":""},{"dropping-particle":"","family":"Frey","given":"Marco","non-dropping-particle":"","parse-names":false,"suffix":""}],"container-title":"Environment, Development and Sustainability","id":"ITEM-2","issue":"6","issued":{"date-parts":[["2019"]]},"page":"2773-2792","publisher":"Springer Netherlands","title":"Assessing the role of preparation for reuse in waste-prevention strategies by analytical hierarchical process: suggestions for an optimal implementation in waste management supply chain","type":"article-journal","volume":"21"},"uris":["http://www.mendeley.com/documents/?uuid=e88edbd1-f91f-4204-adcd-8dae39a70f4a"]}],"mendeley":{"formattedCitation":"(Govindan et al., 2016; Gusmerotti et al., 2019)","plainTextFormattedCitation":"(Govindan et al., 2016; Gusmerotti et al., 2019)","previouslyFormattedCitation":"(Govindan et al., 2016; Gusmerotti et al., 2019)"},"properties":{"noteIndex":0},"schema":"https://github.com/citation-style-language/schema/raw/master/csl-citation.json"}</w:instrText>
      </w:r>
      <w:r w:rsidRPr="00C34BEC">
        <w:fldChar w:fldCharType="separate"/>
      </w:r>
      <w:r w:rsidRPr="00C34BEC">
        <w:t>(Govindan et al., 2016; Gusmerotti et al., 2019)</w:t>
      </w:r>
      <w:r w:rsidRPr="00C34BEC">
        <w:fldChar w:fldCharType="end"/>
      </w:r>
      <w:r w:rsidRPr="00C34BEC">
        <w:t>. Another notable indicator describes the social cost of waste (1%), defined as a penalty cost assigned to companies for disposal of materials throughout the supply chain.</w:t>
      </w:r>
    </w:p>
    <w:p w14:paraId="57ADB2CA" w14:textId="77777777" w:rsidR="00C34BEC" w:rsidRPr="00C34BEC" w:rsidRDefault="00C34BEC" w:rsidP="0034288B">
      <w:pPr>
        <w:pStyle w:val="Heading4Paragraph"/>
        <w:rPr>
          <w:lang w:val="en-US"/>
        </w:rPr>
      </w:pPr>
      <w:bookmarkStart w:id="236" w:name="_Toc39268486"/>
      <w:bookmarkStart w:id="237" w:name="_Toc39268487"/>
      <w:r w:rsidRPr="00C34BEC">
        <w:rPr>
          <w:lang w:val="en-US"/>
        </w:rPr>
        <w:t>A classification of existing measurement approaches</w:t>
      </w:r>
      <w:bookmarkEnd w:id="236"/>
    </w:p>
    <w:p w14:paraId="3DB0CC25" w14:textId="77777777" w:rsidR="00C34BEC" w:rsidRPr="00C34BEC" w:rsidRDefault="00C34BEC" w:rsidP="00C34BEC">
      <w:r w:rsidRPr="00C34BEC">
        <w:t xml:space="preserve">In this section articles are classified by looking at the work of Gasparatos and Scolobig (2012) on general sustainability assessment tools, characterising existing measurement approaches on the basis of the underlying conceptual assumptions. Three DST classes could be identified (Table 6). Each class of tools shows a good degree of similarity in terms of DST objective, research method adopted, sustainability dimension considered, and metrics selected. Each class also reflects very similar assumptions of value. The three classes of CSC DSTs can be defined as follows: </w:t>
      </w:r>
    </w:p>
    <w:p w14:paraId="42947C56" w14:textId="77777777" w:rsidR="00C34BEC" w:rsidRPr="00C34BEC" w:rsidRDefault="00C34BEC" w:rsidP="0081080C">
      <w:pPr>
        <w:numPr>
          <w:ilvl w:val="0"/>
          <w:numId w:val="21"/>
        </w:numPr>
      </w:pPr>
      <w:r w:rsidRPr="00C34BEC">
        <w:rPr>
          <w:i/>
          <w:iCs/>
        </w:rPr>
        <w:t>CSC Monetary tools (88 papers)</w:t>
      </w:r>
      <w:r w:rsidRPr="00C34BEC">
        <w:t xml:space="preserve"> support decisions by looking mainly at the economic viability of CSCs. As a consequence, within these tools the economic dimension is prevalent. 63 out of 88 DSTs do not consider at all environmental and social metrics. The other 25 consider </w:t>
      </w:r>
      <w:r w:rsidRPr="00C34BEC">
        <w:lastRenderedPageBreak/>
        <w:t xml:space="preserve">multiple dimensions and convert environmental and social impacts in monetary terms to become part of a general cost function. Usually, they employ simplified environmental indicators, mainly based on carbon emissions which are translated into carbon cost. Only 4 out of 88 tools select indicators related to the circularity of material flows or to waste creation at the different stages of the supply chain. 79 out of 88 use mathematical programming or simulation approaches. This class encompasses articles that have an acceptance of </w:t>
      </w:r>
      <w:r w:rsidRPr="00C34BEC">
        <w:rPr>
          <w:i/>
          <w:iCs/>
        </w:rPr>
        <w:t>neoclassical</w:t>
      </w:r>
      <w:r w:rsidRPr="00C34BEC">
        <w:t xml:space="preserve"> value assumptions. </w:t>
      </w:r>
    </w:p>
    <w:p w14:paraId="5572C15D" w14:textId="14F15FBB" w:rsidR="00C34BEC" w:rsidRPr="00C34BEC" w:rsidRDefault="00C34BEC" w:rsidP="0081080C">
      <w:pPr>
        <w:numPr>
          <w:ilvl w:val="0"/>
          <w:numId w:val="21"/>
        </w:numPr>
      </w:pPr>
      <w:r w:rsidRPr="00C34BEC">
        <w:rPr>
          <w:i/>
          <w:iCs/>
        </w:rPr>
        <w:t>CSC Biophysical tools (29 papers)</w:t>
      </w:r>
      <w:r w:rsidRPr="00C34BEC">
        <w:t>: This class collects mainly tools from the environmental sciences and other tools that analytically represent systems. Articles have the objective of quantifying flows and stocks of materials within the supply chain system and calculating the environmental impacts associated with those flows. The methods employed are mainly LCA, Material Flow Analysis (MFA), hybrid LCA, and I/O methods. The type of decision supported is mainly at the strategic level (</w:t>
      </w:r>
      <w:r w:rsidR="00F07293" w:rsidRPr="00C34BEC">
        <w:t>e.g.,</w:t>
      </w:r>
      <w:r w:rsidRPr="00C34BEC">
        <w:t xml:space="preserve"> comparing different products, processes and CSCs); chosen metrics are purely environmental. They are usually not aggregated or normalised into composite indicators. The type of value consideration of these tools is </w:t>
      </w:r>
      <w:r w:rsidRPr="00C34BEC">
        <w:rPr>
          <w:i/>
          <w:iCs/>
        </w:rPr>
        <w:t>eco-centric</w:t>
      </w:r>
      <w:r w:rsidRPr="00C34BEC">
        <w:t>: production and consumption systems are evaluated on how much resources they are consuming, how much waste they produce and how much and how they affect natural systems.</w:t>
      </w:r>
    </w:p>
    <w:p w14:paraId="350EB366" w14:textId="128DB72B" w:rsidR="00317232" w:rsidRDefault="00C34BEC" w:rsidP="00317232">
      <w:pPr>
        <w:numPr>
          <w:ilvl w:val="0"/>
          <w:numId w:val="21"/>
        </w:numPr>
      </w:pPr>
      <w:r w:rsidRPr="00C34BEC">
        <w:rPr>
          <w:i/>
          <w:iCs/>
        </w:rPr>
        <w:t>CSC Composite and multicriteria indicators (86 papers)</w:t>
      </w:r>
      <w:r w:rsidRPr="00C34BEC">
        <w:t xml:space="preserve">: these tools consider multiple dimensions at the same time; just 9 over 86 focus on one dimension only. Their objective is to combine performances offered by alternative solutions across different criteria, assisting decision-makers in selecting the best course of action according to their preferences. MCDM and multi-objective mathematical programming approaches are the most common methods. Within these approaches, a first group of papers (38) normalise and combine all the different aspects into a single indicator. These DSTs weight and aggregate more metrics into a </w:t>
      </w:r>
      <w:r w:rsidRPr="00C34BEC">
        <w:rPr>
          <w:i/>
          <w:iCs/>
        </w:rPr>
        <w:t>composite indicator</w:t>
      </w:r>
      <w:r w:rsidRPr="00C34BEC">
        <w:t>. A second group of studies (48) do not perform normalisation and weighting operations, rather they keep separate aspects that might not be comparable, doing sensitivity analysis and showing alternative solutions (</w:t>
      </w:r>
      <w:r w:rsidRPr="00C34BEC">
        <w:rPr>
          <w:i/>
          <w:iCs/>
        </w:rPr>
        <w:t>multicriteria indicators</w:t>
      </w:r>
      <w:r w:rsidRPr="00C34BEC">
        <w:t xml:space="preserve">). Decision-makers are left with a qualitative evaluation of the different profiles of dominant and dominated solution. Also </w:t>
      </w:r>
      <w:r w:rsidRPr="00C34BEC">
        <w:rPr>
          <w:i/>
          <w:iCs/>
        </w:rPr>
        <w:t>multicriteria tools</w:t>
      </w:r>
      <w:r w:rsidRPr="00C34BEC">
        <w:t xml:space="preserve"> consider simplified environmental indicators and often normalise different environmental metrics into an environmental index, which is considered a proxy of all the environmental impact. Value considerations within these models are complex.</w:t>
      </w:r>
      <w:r w:rsidR="00317232">
        <w:br w:type="page"/>
      </w:r>
    </w:p>
    <w:p w14:paraId="501B1E1B" w14:textId="77777777" w:rsidR="00317232" w:rsidRDefault="00317232" w:rsidP="00317232">
      <w:pPr>
        <w:sectPr w:rsidR="00317232" w:rsidSect="00DB1C55">
          <w:pgSz w:w="11906" w:h="16838"/>
          <w:pgMar w:top="1418" w:right="1418" w:bottom="1372" w:left="1418" w:header="708" w:footer="316" w:gutter="0"/>
          <w:cols w:space="708"/>
          <w:docGrid w:linePitch="360"/>
        </w:sectPr>
      </w:pPr>
    </w:p>
    <w:p w14:paraId="131E4C21" w14:textId="330D1A6D" w:rsidR="00C34BEC" w:rsidRPr="0085122E" w:rsidRDefault="00C34BEC" w:rsidP="00317232">
      <w:pPr>
        <w:pStyle w:val="Figurecaption"/>
        <w:spacing w:after="0"/>
      </w:pPr>
      <w:r w:rsidRPr="0085122E">
        <w:lastRenderedPageBreak/>
        <w:t xml:space="preserve">Table </w:t>
      </w:r>
      <w:r w:rsidRPr="00C34BEC">
        <w:fldChar w:fldCharType="begin"/>
      </w:r>
      <w:r w:rsidRPr="0085122E">
        <w:instrText xml:space="preserve"> SEQ Table \* ARABIC </w:instrText>
      </w:r>
      <w:r w:rsidRPr="00C34BEC">
        <w:fldChar w:fldCharType="separate"/>
      </w:r>
      <w:r w:rsidRPr="0085122E">
        <w:t>6</w:t>
      </w:r>
      <w:r w:rsidRPr="00C34BEC">
        <w:fldChar w:fldCharType="end"/>
      </w:r>
      <w:r w:rsidRPr="0085122E">
        <w:t xml:space="preserve"> - Objectives, </w:t>
      </w:r>
      <w:r w:rsidRPr="00317232">
        <w:t>methodological</w:t>
      </w:r>
      <w:r w:rsidRPr="0085122E">
        <w:t xml:space="preserve"> approaches, and metrics of different classes of articles in the literature</w:t>
      </w:r>
    </w:p>
    <w:tbl>
      <w:tblPr>
        <w:tblStyle w:val="TableGrid"/>
        <w:tblpPr w:leftFromText="180" w:rightFromText="180" w:vertAnchor="text" w:horzAnchor="margin" w:tblpY="472"/>
        <w:tblW w:w="14052" w:type="dxa"/>
        <w:tblLook w:val="04A0" w:firstRow="1" w:lastRow="0" w:firstColumn="1" w:lastColumn="0" w:noHBand="0" w:noVBand="1"/>
      </w:tblPr>
      <w:tblGrid>
        <w:gridCol w:w="1576"/>
        <w:gridCol w:w="1654"/>
        <w:gridCol w:w="1674"/>
        <w:gridCol w:w="1182"/>
        <w:gridCol w:w="1947"/>
        <w:gridCol w:w="938"/>
        <w:gridCol w:w="1939"/>
        <w:gridCol w:w="1721"/>
        <w:gridCol w:w="1421"/>
      </w:tblGrid>
      <w:tr w:rsidR="00C34BEC" w:rsidRPr="00C34BEC" w14:paraId="6A95DF65" w14:textId="77777777" w:rsidTr="00C34BEC">
        <w:tc>
          <w:tcPr>
            <w:tcW w:w="0" w:type="auto"/>
          </w:tcPr>
          <w:p w14:paraId="0C5B44D7" w14:textId="77777777" w:rsidR="00C34BEC" w:rsidRPr="00C34BEC" w:rsidRDefault="00C34BEC" w:rsidP="0034288B">
            <w:pPr>
              <w:pStyle w:val="Tabletext"/>
            </w:pPr>
            <w:r w:rsidRPr="00C34BEC">
              <w:t>Type of tools</w:t>
            </w:r>
          </w:p>
        </w:tc>
        <w:tc>
          <w:tcPr>
            <w:tcW w:w="0" w:type="auto"/>
          </w:tcPr>
          <w:p w14:paraId="246C9E16" w14:textId="77777777" w:rsidR="00C34BEC" w:rsidRPr="00C34BEC" w:rsidRDefault="00C34BEC" w:rsidP="0034288B">
            <w:pPr>
              <w:pStyle w:val="Tabletext"/>
            </w:pPr>
            <w:r w:rsidRPr="00C34BEC">
              <w:t>Objective</w:t>
            </w:r>
          </w:p>
        </w:tc>
        <w:tc>
          <w:tcPr>
            <w:tcW w:w="0" w:type="auto"/>
          </w:tcPr>
          <w:p w14:paraId="75F96B62" w14:textId="77777777" w:rsidR="00C34BEC" w:rsidRPr="00C34BEC" w:rsidRDefault="00C34BEC" w:rsidP="0034288B">
            <w:pPr>
              <w:pStyle w:val="Tabletext"/>
            </w:pPr>
            <w:r w:rsidRPr="00C34BEC">
              <w:t>Methodological approach</w:t>
            </w:r>
          </w:p>
        </w:tc>
        <w:tc>
          <w:tcPr>
            <w:tcW w:w="0" w:type="auto"/>
          </w:tcPr>
          <w:p w14:paraId="7C99940C" w14:textId="77777777" w:rsidR="00C34BEC" w:rsidRPr="00C34BEC" w:rsidRDefault="00C34BEC" w:rsidP="0034288B">
            <w:pPr>
              <w:pStyle w:val="Tabletext"/>
            </w:pPr>
            <w:r w:rsidRPr="00C34BEC">
              <w:t>Economic metrics</w:t>
            </w:r>
          </w:p>
        </w:tc>
        <w:tc>
          <w:tcPr>
            <w:tcW w:w="0" w:type="auto"/>
          </w:tcPr>
          <w:p w14:paraId="2AD17D88" w14:textId="77777777" w:rsidR="00C34BEC" w:rsidRPr="00C34BEC" w:rsidRDefault="00C34BEC" w:rsidP="0034288B">
            <w:pPr>
              <w:pStyle w:val="Tabletext"/>
            </w:pPr>
            <w:r w:rsidRPr="00C34BEC">
              <w:t>Environmental metrics</w:t>
            </w:r>
          </w:p>
        </w:tc>
        <w:tc>
          <w:tcPr>
            <w:tcW w:w="0" w:type="auto"/>
          </w:tcPr>
          <w:p w14:paraId="41C996E9" w14:textId="77777777" w:rsidR="00C34BEC" w:rsidRPr="00C34BEC" w:rsidRDefault="00C34BEC" w:rsidP="0034288B">
            <w:pPr>
              <w:pStyle w:val="Tabletext"/>
            </w:pPr>
            <w:r w:rsidRPr="00C34BEC">
              <w:t>Social metrics</w:t>
            </w:r>
          </w:p>
        </w:tc>
        <w:tc>
          <w:tcPr>
            <w:tcW w:w="0" w:type="auto"/>
          </w:tcPr>
          <w:p w14:paraId="6DAF2D93" w14:textId="77777777" w:rsidR="00C34BEC" w:rsidRPr="00C34BEC" w:rsidRDefault="00C34BEC" w:rsidP="0034288B">
            <w:pPr>
              <w:pStyle w:val="Tabletext"/>
            </w:pPr>
            <w:r w:rsidRPr="00C34BEC">
              <w:t>Aggregation Technique</w:t>
            </w:r>
          </w:p>
        </w:tc>
        <w:tc>
          <w:tcPr>
            <w:tcW w:w="0" w:type="auto"/>
          </w:tcPr>
          <w:p w14:paraId="747464CC" w14:textId="77777777" w:rsidR="00C34BEC" w:rsidRPr="00C34BEC" w:rsidRDefault="00C34BEC" w:rsidP="0034288B">
            <w:pPr>
              <w:pStyle w:val="Tabletext"/>
            </w:pPr>
            <w:r w:rsidRPr="00C34BEC">
              <w:t>Value</w:t>
            </w:r>
          </w:p>
        </w:tc>
        <w:tc>
          <w:tcPr>
            <w:tcW w:w="0" w:type="auto"/>
          </w:tcPr>
          <w:p w14:paraId="304BE4D0" w14:textId="77777777" w:rsidR="00C34BEC" w:rsidRPr="00C34BEC" w:rsidRDefault="00C34BEC" w:rsidP="0034288B">
            <w:pPr>
              <w:pStyle w:val="Tabletext"/>
            </w:pPr>
            <w:r w:rsidRPr="00C34BEC">
              <w:t>Examples</w:t>
            </w:r>
          </w:p>
        </w:tc>
      </w:tr>
      <w:tr w:rsidR="00C34BEC" w:rsidRPr="00C34BEC" w14:paraId="2AB130ED" w14:textId="77777777" w:rsidTr="00C34BEC">
        <w:tc>
          <w:tcPr>
            <w:tcW w:w="0" w:type="auto"/>
          </w:tcPr>
          <w:p w14:paraId="12A80BBF" w14:textId="77777777" w:rsidR="00C34BEC" w:rsidRPr="00C34BEC" w:rsidRDefault="00C34BEC" w:rsidP="0034288B">
            <w:pPr>
              <w:pStyle w:val="Tabletext"/>
            </w:pPr>
            <w:r w:rsidRPr="00C34BEC">
              <w:t>CSC Monetary tools</w:t>
            </w:r>
          </w:p>
        </w:tc>
        <w:tc>
          <w:tcPr>
            <w:tcW w:w="0" w:type="auto"/>
          </w:tcPr>
          <w:p w14:paraId="53D760FF" w14:textId="77777777" w:rsidR="00C34BEC" w:rsidRPr="00C34BEC" w:rsidRDefault="00C34BEC" w:rsidP="0034288B">
            <w:pPr>
              <w:pStyle w:val="Tabletext"/>
            </w:pPr>
            <w:r w:rsidRPr="00C34BEC">
              <w:t>Evaluate the economic viability of CSCs</w:t>
            </w:r>
          </w:p>
        </w:tc>
        <w:tc>
          <w:tcPr>
            <w:tcW w:w="0" w:type="auto"/>
          </w:tcPr>
          <w:p w14:paraId="08B102D6" w14:textId="77777777" w:rsidR="00C34BEC" w:rsidRPr="00C34BEC" w:rsidRDefault="00C34BEC" w:rsidP="0034288B">
            <w:pPr>
              <w:pStyle w:val="Tabletext"/>
            </w:pPr>
            <w:r w:rsidRPr="00C34BEC">
              <w:t xml:space="preserve">Mathematical programming; </w:t>
            </w:r>
          </w:p>
          <w:p w14:paraId="09C68A50" w14:textId="77777777" w:rsidR="00C34BEC" w:rsidRPr="00C34BEC" w:rsidRDefault="00C34BEC" w:rsidP="0034288B">
            <w:pPr>
              <w:pStyle w:val="Tabletext"/>
            </w:pPr>
            <w:r w:rsidRPr="00C34BEC">
              <w:t xml:space="preserve">Simulation  </w:t>
            </w:r>
          </w:p>
        </w:tc>
        <w:tc>
          <w:tcPr>
            <w:tcW w:w="0" w:type="auto"/>
          </w:tcPr>
          <w:p w14:paraId="20B4C5E1" w14:textId="77777777" w:rsidR="00C34BEC" w:rsidRPr="00C34BEC" w:rsidRDefault="00C34BEC" w:rsidP="0034288B">
            <w:pPr>
              <w:pStyle w:val="Tabletext"/>
            </w:pPr>
            <w:r w:rsidRPr="00C34BEC">
              <w:t>Cost-based</w:t>
            </w:r>
          </w:p>
        </w:tc>
        <w:tc>
          <w:tcPr>
            <w:tcW w:w="0" w:type="auto"/>
          </w:tcPr>
          <w:p w14:paraId="5217FFA9" w14:textId="77777777" w:rsidR="00C34BEC" w:rsidRPr="00C34BEC" w:rsidRDefault="00C34BEC" w:rsidP="0034288B">
            <w:pPr>
              <w:pStyle w:val="Tabletext"/>
            </w:pPr>
            <w:r w:rsidRPr="00C34BEC">
              <w:t>Emission based</w:t>
            </w:r>
          </w:p>
        </w:tc>
        <w:tc>
          <w:tcPr>
            <w:tcW w:w="0" w:type="auto"/>
          </w:tcPr>
          <w:p w14:paraId="7DB7D5B3" w14:textId="77777777" w:rsidR="00C34BEC" w:rsidRPr="00C34BEC" w:rsidRDefault="00C34BEC" w:rsidP="0034288B">
            <w:pPr>
              <w:pStyle w:val="Tabletext"/>
            </w:pPr>
            <w:r w:rsidRPr="00C34BEC">
              <w:t>CSC jobs created</w:t>
            </w:r>
          </w:p>
        </w:tc>
        <w:tc>
          <w:tcPr>
            <w:tcW w:w="0" w:type="auto"/>
          </w:tcPr>
          <w:p w14:paraId="108E3608" w14:textId="77777777" w:rsidR="00C34BEC" w:rsidRPr="00C34BEC" w:rsidRDefault="00C34BEC" w:rsidP="0034288B">
            <w:pPr>
              <w:pStyle w:val="Tabletext"/>
            </w:pPr>
            <w:r w:rsidRPr="00C34BEC">
              <w:t>choose an efficient solution on the Pareto frontier</w:t>
            </w:r>
          </w:p>
        </w:tc>
        <w:tc>
          <w:tcPr>
            <w:tcW w:w="0" w:type="auto"/>
          </w:tcPr>
          <w:p w14:paraId="3ABB8A14" w14:textId="77777777" w:rsidR="00C34BEC" w:rsidRPr="00C34BEC" w:rsidRDefault="00C34BEC" w:rsidP="0034288B">
            <w:pPr>
              <w:pStyle w:val="Tabletext"/>
            </w:pPr>
            <w:r w:rsidRPr="00C34BEC">
              <w:t>Neoclassical economics</w:t>
            </w:r>
          </w:p>
          <w:p w14:paraId="47ACEB72" w14:textId="77777777" w:rsidR="00C34BEC" w:rsidRPr="00C34BEC" w:rsidRDefault="00C34BEC" w:rsidP="0034288B">
            <w:pPr>
              <w:pStyle w:val="Tabletext"/>
            </w:pPr>
            <w:r w:rsidRPr="00C34BEC">
              <w:t>Utility-based; anthropocentric</w:t>
            </w:r>
          </w:p>
        </w:tc>
        <w:tc>
          <w:tcPr>
            <w:tcW w:w="0" w:type="auto"/>
          </w:tcPr>
          <w:p w14:paraId="4FD14782" w14:textId="77777777" w:rsidR="00C34BEC" w:rsidRPr="00C34BEC" w:rsidRDefault="00C34BEC" w:rsidP="0034288B">
            <w:pPr>
              <w:pStyle w:val="Tabletext"/>
            </w:pPr>
            <w:r w:rsidRPr="00C34BEC">
              <w:fldChar w:fldCharType="begin" w:fldLock="1"/>
            </w:r>
            <w:r w:rsidRPr="00C34BEC">
              <w:instrText>ADDIN CSL_CITATION {"citationItems":[{"id":"ITEM-1","itemData":{"DOI":"10.1016/j.ejor.2018.09.041","ISSN":"03772217","abstract":"In this work, the design and operation planning of a multi-period, multi-product closed-loop supply chain is addressed. Recovered end-of-life products from customers are evaluated in disassembly centers and accordingly are sent back to factories for remanufacturing, or leave the network either by being sold to third parties or by being sent to disposal. Typical uncertain parameters are product demand, production cost, and returned product volume and evaluation, among others. So, stochastic optimization approaches should be used for problem solving, where different topology decisions on the timing, location and capacity of some entities (factories, and distribution and sorting centers) are to be considered along a time horizon. A two-stage multi-period stochastic mixed 0–1 bilinear optimization model is introduced, where the combined definition of the available entities at the periods and the products’ flow among the entities, maximizes the net present value of the expected total profit along the time horizon. A version of the mixture of chance-constrained and second order stochastic dominance risk averse measures is considered for risk management at intermediate periods of the time horizon. Given the high dimensions of the model it is unrealistic to look for the optimality of the solution in an affordable computing effort for current hardware and optimization software resources. So, a decomposition approach is considered, namely a Fix-and-Relax decomposition algorithm. For assessing the computational validation of the modeling and algorithmic proposals, pilot cases are taken from a real-life glass supply chain network whose main features are retained.","author":[{"dropping-particle":"","family":"Baptista","given":"Susana","non-dropping-particle":"","parse-names":false,"suffix":""},{"dropping-particle":"","family":"Barbosa-Póvoa","given":"Ana Paula","non-dropping-particle":"","parse-names":false,"suffix":""},{"dropping-particle":"","family":"Escudero","given":"Laureano F.","non-dropping-particle":"","parse-names":false,"suffix":""},{"dropping-particle":"","family":"Gomes","given":"Maria Isabel","non-dropping-particle":"","parse-names":false,"suffix":""},{"dropping-particle":"","family":"Pizarro","given":"Celeste","non-dropping-particle":"","parse-names":false,"suffix":""}],"container-title":"European Journal of Operational Research","id":"ITEM-1","issue":"1","issued":{"date-parts":[["2019"]]},"page":"91-107","publisher":"Elsevier B.V.","title":"On risk management of a two-stage stochastic mixed 0–1 model for the closed-loop supply chain design problem","type":"article-journal","volume":"274"},"uris":["http://www.mendeley.com/documents/?uuid=0f5c73f4-8257-4213-a46c-45190461d760"]},{"id":"ITEM-2","itemData":{"DOI":"10.1016/j.omega.2018.09.003","ISSN":"03050483","abstract":"This paper proposes the formulation of a Mixed Integer Non-Linear Programming (MINLP) model that integrates financial risks measures in the robust design of a closed-loop supply chain, considering demand uncertainty of final products. In light of the advances in the reprocessing of goods to improve financial performance, the analysis of a closed-loop supply chain becomes crucial for the competitiveness of companies. We propose a multi-period model to solve the supply chain design problem in which several items must be produced through different levels after the production process, considering the flow of reverse of some products, which can be reprocessed or discarded. In this paper, we studied the design of a supply chain that includes several plants, distribution centers, collection centers, demand zones, and products; it consists of both products forward and reverses in the supply chain. Indeed, the perturbation parameters, robustness requirements, and the performance characteristics were identified qualitatively and quantitatively by determining their impact on the formulation and methodology. A variety of configurations are produced in the closed-loop supply chain, considering the variations of the uncertainty of the demand as a perturbation parameter. The objective is to maximize the economic value-added (EVA™); therefore, the most robust configuration is identified through robustness- EVA™ characterization and used to design the closed-loop chain. Finally, we present a numerical example using real information of the electronics industry in Bogotá to test the applied methodology and show that it is suitable for this type of problems.","author":[{"dropping-particle":"","family":"Polo","given":"Andrés","non-dropping-particle":"","parse-names":false,"suffix":""},{"dropping-particle":"","family":"Peña","given":"Numar","non-dropping-particle":"","parse-names":false,"suffix":""},{"dropping-particle":"","family":"Muñoz","given":"Dairo","non-dropping-particle":"","parse-names":false,"suffix":""},{"dropping-particle":"","family":"Cañón","given":"Adrián","non-dropping-particle":"","parse-names":false,"suffix":""},{"dropping-particle":"","family":"Escobar","given":"John Willmer","non-dropping-particle":"","parse-names":false,"suffix":""}],"container-title":"Omega (United Kingdom)","id":"ITEM-2","issued":{"date-parts":[["2019"]]},"page":"110-132","title":"Robust design of a closed-loop supply chain under uncertainty conditions integrating financial criteria","type":"article-journal","volume":"88"},"uris":["http://www.mendeley.com/documents/?uuid=aceb2dac-05ab-4fa7-902c-650a134cd23b"]}],"mendeley":{"formattedCitation":"(Baptista et al., 2019; Polo et al., 2019)","plainTextFormattedCitation":"(Baptista et al., 2019; Polo et al., 2019)","previouslyFormattedCitation":"(Baptista et al., 2019; Polo et al., 2019)"},"properties":{"noteIndex":0},"schema":"https://github.com/citation-style-language/schema/raw/master/csl-citation.json"}</w:instrText>
            </w:r>
            <w:r w:rsidRPr="00C34BEC">
              <w:fldChar w:fldCharType="separate"/>
            </w:r>
            <w:r w:rsidRPr="00C34BEC">
              <w:t>(Baptista et al., 2019; Polo et al., 2019)</w:t>
            </w:r>
            <w:r w:rsidRPr="00C34BEC">
              <w:fldChar w:fldCharType="end"/>
            </w:r>
          </w:p>
        </w:tc>
      </w:tr>
      <w:tr w:rsidR="00C34BEC" w:rsidRPr="00C34BEC" w14:paraId="570D7299" w14:textId="77777777" w:rsidTr="00C34BEC">
        <w:tc>
          <w:tcPr>
            <w:tcW w:w="0" w:type="auto"/>
          </w:tcPr>
          <w:p w14:paraId="6AAEC0BF" w14:textId="77777777" w:rsidR="00C34BEC" w:rsidRPr="00C34BEC" w:rsidRDefault="00C34BEC" w:rsidP="0034288B">
            <w:pPr>
              <w:pStyle w:val="Tabletext"/>
            </w:pPr>
            <w:r w:rsidRPr="00C34BEC">
              <w:t>CSC Biophysical tools</w:t>
            </w:r>
          </w:p>
        </w:tc>
        <w:tc>
          <w:tcPr>
            <w:tcW w:w="0" w:type="auto"/>
          </w:tcPr>
          <w:p w14:paraId="4D25589F" w14:textId="77777777" w:rsidR="00C34BEC" w:rsidRPr="00C34BEC" w:rsidRDefault="00C34BEC" w:rsidP="0034288B">
            <w:pPr>
              <w:pStyle w:val="Tabletext"/>
            </w:pPr>
            <w:r w:rsidRPr="00C34BEC">
              <w:t>Evaluate CSCs impact on Nature</w:t>
            </w:r>
          </w:p>
        </w:tc>
        <w:tc>
          <w:tcPr>
            <w:tcW w:w="0" w:type="auto"/>
          </w:tcPr>
          <w:p w14:paraId="2CC5A18E" w14:textId="77777777" w:rsidR="00C34BEC" w:rsidRPr="008C1593" w:rsidRDefault="00C34BEC" w:rsidP="0034288B">
            <w:pPr>
              <w:pStyle w:val="Tabletext"/>
            </w:pPr>
            <w:r w:rsidRPr="008C1593">
              <w:t xml:space="preserve">LCA; MFA; </w:t>
            </w:r>
          </w:p>
          <w:p w14:paraId="34D39D9A" w14:textId="77777777" w:rsidR="00C34BEC" w:rsidRPr="008C1593" w:rsidRDefault="00C34BEC" w:rsidP="0034288B">
            <w:pPr>
              <w:pStyle w:val="Tabletext"/>
            </w:pPr>
            <w:r w:rsidRPr="008C1593">
              <w:t>I/O Analysis;</w:t>
            </w:r>
          </w:p>
          <w:p w14:paraId="3551EEB1" w14:textId="77777777" w:rsidR="00C34BEC" w:rsidRPr="008C1593" w:rsidRDefault="00C34BEC" w:rsidP="0034288B">
            <w:pPr>
              <w:pStyle w:val="Tabletext"/>
            </w:pPr>
            <w:r w:rsidRPr="008C1593">
              <w:t>Hybrid I/O LCA</w:t>
            </w:r>
          </w:p>
        </w:tc>
        <w:tc>
          <w:tcPr>
            <w:tcW w:w="0" w:type="auto"/>
          </w:tcPr>
          <w:p w14:paraId="233EDCA9" w14:textId="77777777" w:rsidR="00C34BEC" w:rsidRPr="00C34BEC" w:rsidRDefault="00C34BEC" w:rsidP="0034288B">
            <w:pPr>
              <w:pStyle w:val="Tabletext"/>
            </w:pPr>
            <w:r w:rsidRPr="00C34BEC">
              <w:t>No</w:t>
            </w:r>
          </w:p>
        </w:tc>
        <w:tc>
          <w:tcPr>
            <w:tcW w:w="0" w:type="auto"/>
          </w:tcPr>
          <w:p w14:paraId="3DA40980" w14:textId="77777777" w:rsidR="00C34BEC" w:rsidRPr="00C34BEC" w:rsidRDefault="00C34BEC" w:rsidP="0034288B">
            <w:pPr>
              <w:pStyle w:val="Tabletext"/>
            </w:pPr>
            <w:r w:rsidRPr="00C34BEC">
              <w:t>mainly standard LCA based metrics / material, waste flows</w:t>
            </w:r>
          </w:p>
        </w:tc>
        <w:tc>
          <w:tcPr>
            <w:tcW w:w="0" w:type="auto"/>
          </w:tcPr>
          <w:p w14:paraId="590D3FA0" w14:textId="77777777" w:rsidR="00C34BEC" w:rsidRPr="00C34BEC" w:rsidRDefault="00C34BEC" w:rsidP="0034288B">
            <w:pPr>
              <w:pStyle w:val="Tabletext"/>
            </w:pPr>
            <w:r w:rsidRPr="00C34BEC">
              <w:t>No</w:t>
            </w:r>
          </w:p>
        </w:tc>
        <w:tc>
          <w:tcPr>
            <w:tcW w:w="0" w:type="auto"/>
          </w:tcPr>
          <w:p w14:paraId="6C4ECBF1" w14:textId="77777777" w:rsidR="00C34BEC" w:rsidRPr="00C34BEC" w:rsidRDefault="00C34BEC" w:rsidP="0034288B">
            <w:pPr>
              <w:pStyle w:val="Tabletext"/>
            </w:pPr>
            <w:r w:rsidRPr="00C34BEC">
              <w:t xml:space="preserve">do not aggregate; </w:t>
            </w:r>
          </w:p>
          <w:p w14:paraId="25F2CF31" w14:textId="77777777" w:rsidR="00C34BEC" w:rsidRPr="00C34BEC" w:rsidRDefault="00C34BEC" w:rsidP="0034288B">
            <w:pPr>
              <w:pStyle w:val="Tabletext"/>
            </w:pPr>
            <w:r w:rsidRPr="00C34BEC">
              <w:t>aggregate per type of impact (Recipe, Eco-indicator 99)</w:t>
            </w:r>
          </w:p>
        </w:tc>
        <w:tc>
          <w:tcPr>
            <w:tcW w:w="0" w:type="auto"/>
          </w:tcPr>
          <w:p w14:paraId="6F036157" w14:textId="77777777" w:rsidR="00C34BEC" w:rsidRPr="00C34BEC" w:rsidRDefault="00C34BEC" w:rsidP="0034288B">
            <w:pPr>
              <w:pStyle w:val="Tabletext"/>
            </w:pPr>
            <w:r w:rsidRPr="00C34BEC">
              <w:t>Eco-centric</w:t>
            </w:r>
          </w:p>
        </w:tc>
        <w:tc>
          <w:tcPr>
            <w:tcW w:w="0" w:type="auto"/>
          </w:tcPr>
          <w:p w14:paraId="6FBA3EF0" w14:textId="77777777" w:rsidR="00C34BEC" w:rsidRPr="00C34BEC" w:rsidRDefault="00C34BEC" w:rsidP="0034288B">
            <w:pPr>
              <w:pStyle w:val="Tabletext"/>
            </w:pPr>
            <w:r w:rsidRPr="00C34BEC">
              <w:fldChar w:fldCharType="begin" w:fldLock="1"/>
            </w:r>
            <w:r w:rsidRPr="00C34BEC">
              <w:instrText>ADDIN CSL_CITATION {"citationItems":[{"id":"ITEM-1","itemData":{"DOI":"10.1016/j.jclepro.2017.11.134","ISSN":"09596526","abstract":"Although circular supply chains are widely perceived as a leap towards a more environmentally friendly economy, the environmental impact across circular supply chains differs. This article sets out to develop environmental supplier selection criteria for circular supply chains. The method draws upon a consequential life cycle assessment and the monetized environmental impact of four alternative fuel suppliers in the cement industry. The best supplier performs three times better than the worst supplier in terms of environmental impact, thereby exemplifying the need for this study. The findings also show how three supplier selection criteria explain most of the environmental impact of selecting a supplier in a circular supply chain. First, supplier selection might impact environmentally preferred waste handling activities. Second, sourcing from a supplier located on an under-supplied market may lead to indirect transport as the players on that market may source on other markets to compensate for the diverted products. Third, low usability of the discarded product compared to the substituted virgin material may lead to additional emissions. The three criteria must be considered simultaneously when selecting suppliers in circular supply chains since focusing on a single criterion may negatively affect the other criteria. The findings contribute to circular supply chain literature by proposing and demonstrating the need for environmental supplier selection criteria in circular supply chains. Moreover, this study is relevant for achieving cleaner production in the cases where firms increasingly rely on the use of discarded products as a virgin fuel or material substitute.","author":[{"dropping-particle":"","family":"Prosman","given":"Ernst Johannes","non-dropping-particle":"","parse-names":false,"suffix":""},{"dropping-particle":"","family":"Sacchi","given":"Romain","non-dropping-particle":"","parse-names":false,"suffix":""}],"container-title":"Journal of Cleaner Production","id":"ITEM-1","issued":{"date-parts":[["2016"]]},"page":"2782-2792","publisher":"Elsevier Ltd","title":"New environmental supplier selection criteria for circular supply chains: Lessons from a consequential LCA study on waste recovery","type":"article-journal","volume":"172"},"uris":["http://www.mendeley.com/documents/?uuid=c8a55f78-7fe1-475b-b37b-e7c33bb99664"]},{"id":"ITEM-2","itemData":{"DOI":"10.3390/en12040767","ISSN":"19961073","abstract":"Recently, important efforts have been made to define food loss management strategies. Most strategies have mainly been focused on mass and energy recovery through mixed food loss in centralised recovery models. This work aims to highlight the need to address a decentralised food loss management, in order to manage the different fractions and on each of the different stages of the food supply chain. For this purpose, an energy flow analysis is made, through the calculation of the primary energy demand of four stages and 11 food categories of the Spanish food supply chain in 2015. The energy efficiency assessment is conducted under a resource use perspective, using the energy return on investment (EROI) ratio, and a circular economy perspective, developing an Energy return on investment – Circular economy index (EROIce), based on a food waste-to-energy-to-food approach. Results suggest that the embodied energy loss consist of 17% of the total primary energy demand, and related to the food categories, the vegetarian diet appears to be the most efficient, followed by the pescetarian diet. Comparing food energy loss values with the estimated energy provided for one consumer, it is highlighted the fact that the food energy loss generated by two to three persons amounts to one person’s total daily intake. Moreover, cereals is the category responsible for the highest percentage on the total food energy loss (44%); following by meat, fish and seafood and vegetables. When the results of food energy loss and embodied energy loss are related, it is observed that categories such as meat and fish and seafood have a very high primary energy demand to produce less food, besides that the parts of the food supply chain with more energy recovery potential are the beginning and the end. Finally, the EROIce analysis shows that in the categories of meat, fish and seafood and cereals, anaerobic digestion and composting is the best option for energy recovery. From the results, it is discussed the possibility to developed local digesters at the beginning and end of the food supply chain, as well as to developed double digesters installations for hydrogen recovery from cereals loss, and methane recovery from mixed food loss.","author":[{"dropping-particle":"","family":"Hoehn","given":"Daniel","non-dropping-particle":"","parse-names":false,"suffix":""},{"dropping-particle":"","family":"Margallo","given":"María","non-dropping-particle":"","parse-names":false,"suffix":""},{"dropping-particle":"","family":"Laso","given":"Jara","non-dropping-particle":"","parse-names":false,"suffix":""},{"dropping-particle":"","family":"García-Herrero","given":"Isabel","non-dropping-particle":"","parse-names":false,"suffix":""},{"dropping-particle":"","family":"Bala","given":"Alba","non-dropping-particle":"","parse-names":false,"suffix":""},{"dropping-particle":"","family":"Fullana-i-Palmer","given":"Pere","non-dropping-particle":"","parse-names":false,"suffix":""},{"dropping-particle":"","family":"Irabien","given":"Angel","non-dropping-particle":"","parse-names":false,"suffix":""},{"dropping-particle":"","family":"Aldaco","given":"Rubén","non-dropping-particle":"","parse-names":false,"suffix":""}],"container-title":"Energies","id":"ITEM-2","issue":"4","issued":{"date-parts":[["2019"]]},"page":"1-19","title":"Energy embedded in food loss management and in the production of uneaten food: Seeking a sustainable pathway","type":"article-journal","volume":"12"},"uris":["http://www.mendeley.com/documents/?uuid=1aa2f7a4-4c89-4ad2-8910-ff5dd93ba4cb"]}],"mendeley":{"formattedCitation":"(Prosman &amp; Sacchi, 2016; Hoehn et al., 2019)","plainTextFormattedCitation":"(Prosman &amp; Sacchi, 2016; Hoehn et al., 2019)","previouslyFormattedCitation":"(Prosman &amp; Sacchi, 2016; Hoehn et al., 2019)"},"properties":{"noteIndex":0},"schema":"https://github.com/citation-style-language/schema/raw/master/csl-citation.json"}</w:instrText>
            </w:r>
            <w:r w:rsidRPr="00C34BEC">
              <w:fldChar w:fldCharType="separate"/>
            </w:r>
            <w:r w:rsidRPr="00C34BEC">
              <w:t>(Prosman &amp; Sacchi, 2016; Hoehn et al., 2019)</w:t>
            </w:r>
            <w:r w:rsidRPr="00C34BEC">
              <w:fldChar w:fldCharType="end"/>
            </w:r>
          </w:p>
        </w:tc>
      </w:tr>
      <w:tr w:rsidR="00C34BEC" w:rsidRPr="00C34BEC" w14:paraId="239426C2" w14:textId="77777777" w:rsidTr="00C34BEC">
        <w:tc>
          <w:tcPr>
            <w:tcW w:w="0" w:type="auto"/>
          </w:tcPr>
          <w:p w14:paraId="39F249B3" w14:textId="77777777" w:rsidR="00C34BEC" w:rsidRPr="00C34BEC" w:rsidRDefault="00C34BEC" w:rsidP="0034288B">
            <w:pPr>
              <w:pStyle w:val="Tabletext"/>
            </w:pPr>
            <w:r w:rsidRPr="00C34BEC">
              <w:t>CSC Composite and Multicriteria indicators</w:t>
            </w:r>
          </w:p>
        </w:tc>
        <w:tc>
          <w:tcPr>
            <w:tcW w:w="0" w:type="auto"/>
          </w:tcPr>
          <w:p w14:paraId="1F022402" w14:textId="77777777" w:rsidR="00C34BEC" w:rsidRPr="00C34BEC" w:rsidRDefault="00C34BEC" w:rsidP="0034288B">
            <w:pPr>
              <w:pStyle w:val="Tabletext"/>
            </w:pPr>
            <w:r w:rsidRPr="00C34BEC">
              <w:t>Combine multiple performances</w:t>
            </w:r>
          </w:p>
        </w:tc>
        <w:tc>
          <w:tcPr>
            <w:tcW w:w="0" w:type="auto"/>
          </w:tcPr>
          <w:p w14:paraId="302C1B3F" w14:textId="77777777" w:rsidR="00C34BEC" w:rsidRPr="00C34BEC" w:rsidRDefault="00C34BEC" w:rsidP="0034288B">
            <w:pPr>
              <w:pStyle w:val="Tabletext"/>
            </w:pPr>
            <w:r w:rsidRPr="00C34BEC">
              <w:t xml:space="preserve">MCDM; </w:t>
            </w:r>
          </w:p>
          <w:p w14:paraId="271E1468" w14:textId="77777777" w:rsidR="00C34BEC" w:rsidRPr="00C34BEC" w:rsidRDefault="00C34BEC" w:rsidP="0034288B">
            <w:pPr>
              <w:pStyle w:val="Tabletext"/>
            </w:pPr>
            <w:r w:rsidRPr="00C34BEC">
              <w:t>Mathematical programming</w:t>
            </w:r>
          </w:p>
        </w:tc>
        <w:tc>
          <w:tcPr>
            <w:tcW w:w="0" w:type="auto"/>
          </w:tcPr>
          <w:p w14:paraId="4801AF6D" w14:textId="77777777" w:rsidR="00C34BEC" w:rsidRPr="00C34BEC" w:rsidRDefault="00C34BEC" w:rsidP="0034288B">
            <w:pPr>
              <w:pStyle w:val="Tabletext"/>
            </w:pPr>
            <w:r w:rsidRPr="00C34BEC">
              <w:t>Cost-based</w:t>
            </w:r>
          </w:p>
        </w:tc>
        <w:tc>
          <w:tcPr>
            <w:tcW w:w="0" w:type="auto"/>
          </w:tcPr>
          <w:p w14:paraId="03B3B3AE" w14:textId="77777777" w:rsidR="00C34BEC" w:rsidRPr="00C34BEC" w:rsidRDefault="00C34BEC" w:rsidP="0034288B">
            <w:pPr>
              <w:pStyle w:val="Tabletext"/>
            </w:pPr>
            <w:r w:rsidRPr="00C34BEC">
              <w:t>Emission based</w:t>
            </w:r>
          </w:p>
        </w:tc>
        <w:tc>
          <w:tcPr>
            <w:tcW w:w="0" w:type="auto"/>
          </w:tcPr>
          <w:p w14:paraId="2000CDD7" w14:textId="77777777" w:rsidR="00C34BEC" w:rsidRPr="00C34BEC" w:rsidRDefault="00C34BEC" w:rsidP="0034288B">
            <w:pPr>
              <w:pStyle w:val="Tabletext"/>
            </w:pPr>
            <w:r w:rsidRPr="00C34BEC">
              <w:t>CSC jobs created</w:t>
            </w:r>
          </w:p>
        </w:tc>
        <w:tc>
          <w:tcPr>
            <w:tcW w:w="0" w:type="auto"/>
          </w:tcPr>
          <w:p w14:paraId="59E56A59" w14:textId="77777777" w:rsidR="00C34BEC" w:rsidRPr="00C34BEC" w:rsidRDefault="00C34BEC" w:rsidP="0034288B">
            <w:pPr>
              <w:pStyle w:val="Tabletext"/>
            </w:pPr>
            <w:r w:rsidRPr="00C34BEC">
              <w:t xml:space="preserve">normalise all the metrics into one composite indicators; </w:t>
            </w:r>
          </w:p>
          <w:p w14:paraId="512DCFD8" w14:textId="77777777" w:rsidR="00C34BEC" w:rsidRPr="00C34BEC" w:rsidRDefault="00C34BEC" w:rsidP="0034288B">
            <w:pPr>
              <w:pStyle w:val="Tabletext"/>
            </w:pPr>
            <w:r w:rsidRPr="00C34BEC">
              <w:t>identify many dominant and dominated solutions on an efficient Pareto frontier</w:t>
            </w:r>
          </w:p>
        </w:tc>
        <w:tc>
          <w:tcPr>
            <w:tcW w:w="0" w:type="auto"/>
          </w:tcPr>
          <w:p w14:paraId="658B6071" w14:textId="77777777" w:rsidR="00C34BEC" w:rsidRPr="00C34BEC" w:rsidRDefault="00C34BEC" w:rsidP="0034288B">
            <w:pPr>
              <w:pStyle w:val="Tabletext"/>
            </w:pPr>
            <w:r w:rsidRPr="00C34BEC">
              <w:t>Flexible</w:t>
            </w:r>
          </w:p>
        </w:tc>
        <w:tc>
          <w:tcPr>
            <w:tcW w:w="0" w:type="auto"/>
          </w:tcPr>
          <w:p w14:paraId="2EFFBA20" w14:textId="77777777" w:rsidR="00C34BEC" w:rsidRPr="00C34BEC" w:rsidRDefault="00C34BEC" w:rsidP="0034288B">
            <w:pPr>
              <w:pStyle w:val="Tabletext"/>
            </w:pPr>
            <w:r w:rsidRPr="00C34BEC">
              <w:fldChar w:fldCharType="begin" w:fldLock="1"/>
            </w:r>
            <w:r w:rsidRPr="00C34BEC">
              <w:instrText>ADDIN CSL_CITATION {"citationItems":[{"id":"ITEM-1","itemData":{"DOI":"10.1007/s10479-017-2701-2","ISSN":"15729338","abstract":"Immense concern for sustainability and increasing stakeholders’ involvement has sparked tremendous interest towards designing optimal supply chain networks with significant economic, environmental, and social influence. Central to the idea, this study aims to design a closed loop supply chain (CLSC) network for an Indian laptop manufacturer. The network configuration, which involves a manufacturer, suppliers, third party logistics providers (forward and reverse), retailers, customers and a non-government organisation (NGO), is modelled as a mixed integer linear programming problem with fuzzy goals of minimising environmental impact and maximising net profit and social impact, subject to fuzzy demand and capacity constraints. Profit is generated from the sale of primary and secondary laptops, earned tax credits, and revenue sharing with reverse logistics providers. The environmental implications are investigated by measuring the carbon emitted due to activities of manufacturing, assembling, dismantling, fabrication, and transportation. The social dimension is quantified in terms of the number of jobs created, training hours, community service hours, and donations to NGO. The novelty of the model rests on its quantification of the three triple bottom line (TBL) indicators and on its use of AHP–TOPSIS for modelling the multi-criteria perspectives of the stakeholders. Numerical weights for the triple lines of sustainability are utilized. Further, a fuzzy multi-objective programming approach that integrates fuzzy set theory with goal programming techniques is utilised to yield properly efficient solutions to the multi-objective problem and to provide a trade-off set for conflicting objectives. The significance of the CLSC model is empirically established as a decision support tool for improving the TBL performance of a particular Indian laptop manufacturer. Practical and theoretical implications are derived from the result analysis, and a generalised quantitative closed-loop model can be effectively adapted by other electronic manufacturers to increase their competitiveness, profitability, and to improve their TBL.","author":[{"dropping-particle":"","family":"Darbari","given":"Jyoti Dhingra","non-dropping-particle":"","parse-names":false,"suffix":""},{"dropping-particle":"","family":"Kannan","given":"Devika","non-dropping-particle":"","parse-names":false,"suffix":""},{"dropping-particle":"","family":"Agarwal","given":"Vernika","non-dropping-particle":"","parse-names":false,"suffix":""},{"dropping-particle":"","family":"Jha","given":"P. C.","non-dropping-particle":"","parse-names":false,"suffix":""}],"container-title":"Annals of Operations Research","id":"ITEM-1","issue":"1-2","issued":{"date-parts":[["2019"]]},"page":"693-738","publisher":"Springer US","title":"Fuzzy criteria programming approach for optimising the TBL performance of closed loop supply chain network design problem","type":"article-journal","volume":"273"},"uris":["http://www.mendeley.com/documents/?uuid=7a138314-0dea-48fd-9648-c5b29c32a6f6"]},{"id":"ITEM-2","itemData":{"DOI":"10.1016/j.resconrec.2017.10.038","ISSN":"18790658","abstract":"Each year, a high number of automobiles need to be disposed of in Mexico; leading to a high amount of automotive thermoplastic polymer waste. This situation makes Mexico an interesting country to deploy a closed-loop supply chain (CLSC) for the chemical recycling of this kind of waste. Despite being an interesting case, no study has been carried out until now evaluating the potential of a CLSC under the umbrella of the Mexican automobile market. This study is the first one that evaluates the profitability and environmental friendliness (energy consumed and CO2 generated) of a closed-loop supply chain (CLSC) for the chemical recycling of Polyethylene terephthalate (PET) seats within the Mexican automobile market. The originality of this study also relies on being the first one that considers at the same time, the influence of Mexico's current political, social, legal, and technological conditions on the CLSC's profitability and environmental friendliness, as well as, on being the first that quantifies this influence in costs, CO2 footprint, and consumed energy terms. This approach allows the easy identification of the CLSC's profitability and environmental friendliness key drivers; making possible the design of effective strategies to improve the CLSC's performance. The study uses stakeholder mapping, as well as, Political, Economic, Social, Technological, Legal and Environmental Analysis (PESTLE) as data analysis tools. It shows that the studied CLSC is profitable under the umbrella of Mexico's current infrastructure, political, and legal frameworks. Regarding environmental friendliness, the studied CLSC consumes 79% less energy and generates 73% less CO2 than those associated with the production of PET using a forward supply chain. Keeping in mind this study's results, it provides evidence about CLSCs being both profitable and environmentally friendly under the umbrella of emerging economies, such as Mexico.","author":[{"dropping-particle":"","family":"Chavez","given":"Ricardo","non-dropping-particle":"","parse-names":false,"suffix":""},{"dropping-particle":"","family":"Sharma","given":"Manish","non-dropping-particle":"","parse-names":false,"suffix":""}],"container-title":"Resources, Conservation and Recycling","id":"ITEM-2","issue":"December 2016","issued":{"date-parts":[["2018"]]},"page":"172-189","publisher":"Elsevier","title":"Profitability and environmental friendliness of a closed-loop supply chain for PET components: A case study of the Mexican automobile market","type":"article-journal","volume":"135"},"uris":["http://www.mendeley.com/documents/?uuid=e9d56acb-7556-4339-89fe-cfcaa75ff903"]}],"mendeley":{"formattedCitation":"(Chavez &amp; Sharma, 2018; Darbari et al., 2019)","plainTextFormattedCitation":"(Chavez &amp; Sharma, 2018; Darbari et al., 2019)","previouslyFormattedCitation":"(Chavez &amp; Sharma, 2018; Darbari et al., 2019)"},"properties":{"noteIndex":0},"schema":"https://github.com/citation-style-language/schema/raw/master/csl-citation.json"}</w:instrText>
            </w:r>
            <w:r w:rsidRPr="00C34BEC">
              <w:fldChar w:fldCharType="separate"/>
            </w:r>
            <w:r w:rsidRPr="00C34BEC">
              <w:t>(Chavez &amp; Sharma, 2018; Darbari et al., 2019)</w:t>
            </w:r>
            <w:r w:rsidRPr="00C34BEC">
              <w:fldChar w:fldCharType="end"/>
            </w:r>
          </w:p>
        </w:tc>
      </w:tr>
    </w:tbl>
    <w:p w14:paraId="059F9EBF" w14:textId="77777777" w:rsidR="00C34BEC" w:rsidRPr="00C34BEC" w:rsidRDefault="00C34BEC" w:rsidP="00C34BEC">
      <w:pPr>
        <w:sectPr w:rsidR="00C34BEC" w:rsidRPr="00C34BEC" w:rsidSect="00DB1C55">
          <w:pgSz w:w="11906" w:h="16838"/>
          <w:pgMar w:top="1418" w:right="1418" w:bottom="1372" w:left="1418" w:header="709" w:footer="318" w:gutter="0"/>
          <w:cols w:space="708"/>
          <w:docGrid w:linePitch="360"/>
        </w:sectPr>
      </w:pPr>
    </w:p>
    <w:p w14:paraId="28E82691" w14:textId="3BB1D33A" w:rsidR="00317232" w:rsidRDefault="00317232">
      <w:pPr>
        <w:spacing w:line="259" w:lineRule="auto"/>
        <w:jc w:val="left"/>
        <w:rPr>
          <w:rFonts w:eastAsia="Arial" w:cs="Arial"/>
          <w:b/>
          <w:bCs/>
          <w:sz w:val="26"/>
          <w:szCs w:val="26"/>
        </w:rPr>
      </w:pPr>
      <w:r>
        <w:br w:type="page"/>
      </w:r>
    </w:p>
    <w:p w14:paraId="66E0467B" w14:textId="77777777" w:rsidR="00317232" w:rsidRDefault="00317232" w:rsidP="00317232">
      <w:pPr>
        <w:pStyle w:val="Heading3"/>
        <w:numPr>
          <w:ilvl w:val="0"/>
          <w:numId w:val="0"/>
        </w:numPr>
        <w:ind w:left="357" w:hanging="357"/>
        <w:sectPr w:rsidR="00317232" w:rsidSect="00DB1C55">
          <w:type w:val="continuous"/>
          <w:pgSz w:w="11906" w:h="16838"/>
          <w:pgMar w:top="1418" w:right="1418" w:bottom="1372" w:left="1418" w:header="720" w:footer="720" w:gutter="0"/>
          <w:cols w:space="720"/>
          <w:docGrid w:linePitch="299"/>
        </w:sectPr>
      </w:pPr>
    </w:p>
    <w:p w14:paraId="30012925" w14:textId="77777777" w:rsidR="00317232" w:rsidRDefault="00317232" w:rsidP="0090228D"/>
    <w:p w14:paraId="5799B6B0" w14:textId="4EC9A5BD" w:rsidR="00C34BEC" w:rsidRPr="00C34BEC" w:rsidRDefault="00C34BEC" w:rsidP="0034288B">
      <w:pPr>
        <w:pStyle w:val="Heading3"/>
      </w:pPr>
      <w:bookmarkStart w:id="238" w:name="_Toc157759597"/>
      <w:r w:rsidRPr="00C34BEC">
        <w:t xml:space="preserve">CE </w:t>
      </w:r>
      <w:r w:rsidRPr="0034288B">
        <w:t>indicators</w:t>
      </w:r>
      <w:r w:rsidRPr="00C34BEC">
        <w:t xml:space="preserve"> from industry practitioners</w:t>
      </w:r>
      <w:bookmarkEnd w:id="237"/>
      <w:bookmarkEnd w:id="238"/>
    </w:p>
    <w:p w14:paraId="3F026BB5" w14:textId="77777777" w:rsidR="00C34BEC" w:rsidRPr="00C34BEC" w:rsidRDefault="00C34BEC" w:rsidP="00C34BEC">
      <w:r w:rsidRPr="00C34BEC">
        <w:t>Also this section contributes to answering RQ 1, highlighting CE indicators in the industrial practice</w:t>
      </w:r>
      <w:r w:rsidRPr="00C34BEC">
        <w:rPr>
          <w:vertAlign w:val="superscript"/>
        </w:rPr>
        <w:footnoteReference w:id="18"/>
      </w:r>
      <w:r w:rsidRPr="00C34BEC">
        <w:t>.  Indicators of the economic impact of CE practices adoption vary according to the industrial sector and to the type of practice. ‘Revenues from remanufactured products’ is a common indicator among the manufacturing companies that built an infrastructure to recover end of life parts to be sold in the secondary markets (</w:t>
      </w:r>
      <w:r w:rsidRPr="00C34BEC">
        <w:rPr>
          <w:i/>
          <w:iCs/>
        </w:rPr>
        <w:t>Renault, FCA, PSA, Volkswagen, Daimler, and BMW</w:t>
      </w:r>
      <w:r w:rsidRPr="00C34BEC">
        <w:t xml:space="preserve">). In the financial sector, economic indicators refer mostly to the ‘green’ investments associated with CE activities or with the promotion of renewable energy or resource efficiency solutions. </w:t>
      </w:r>
    </w:p>
    <w:p w14:paraId="5AEADC90" w14:textId="77777777" w:rsidR="00C34BEC" w:rsidRPr="00C34BEC" w:rsidRDefault="00C34BEC" w:rsidP="00C34BEC">
      <w:r w:rsidRPr="00C34BEC">
        <w:t xml:space="preserve">Most of the environmental KPIs which are employed are efficiency indicators (Table 7), comparing a measure of polluting activities (for instance, carbon emissions) to the total production output. It must be highlighted that the usage of such indicators for measuring the success of CE practices is problematic. Figures could be manipulated to obtain better results, for example just by increasing production volumes (for instance, through productivity improvements), rather than by implementing practices which can promote a more efficient usage of resources. Social impacts associated with CE practices are included only in 3 organisations and refer to the employment opportunities provided by the CSC. </w:t>
      </w:r>
    </w:p>
    <w:p w14:paraId="7F1C6A08" w14:textId="5385407E" w:rsidR="00C34BEC" w:rsidRDefault="00C34BEC" w:rsidP="00C34BEC">
      <w:r w:rsidRPr="00C34BEC">
        <w:t xml:space="preserve">Just one company, the Italian Energy Utility provider </w:t>
      </w:r>
      <w:r w:rsidRPr="00C34BEC">
        <w:rPr>
          <w:i/>
          <w:iCs/>
        </w:rPr>
        <w:t>Enel</w:t>
      </w:r>
      <w:r w:rsidRPr="00C34BEC">
        <w:t xml:space="preserve">, develops a measurement system to assess the level of circularity of its solutions and products. Enel </w:t>
      </w:r>
      <w:r w:rsidRPr="00C34BEC">
        <w:rPr>
          <w:i/>
        </w:rPr>
        <w:t>X Circular Economy Score</w:t>
      </w:r>
      <w:r w:rsidRPr="00C34BEC">
        <w:rPr>
          <w:i/>
          <w:vertAlign w:val="superscript"/>
        </w:rPr>
        <w:footnoteReference w:id="19"/>
      </w:r>
      <w:r w:rsidRPr="00C34BEC">
        <w:t xml:space="preserve"> evaluates five CE key dimensions (commitment by suppliers to CE principles; the presence of reusable elements which can increase the life-cycle of the product; the resource efficiency; the reuse of materials; and the support offered to suppliers) and circular business models (inter alia: product as a service; sharing platforms; product life cycle extension). </w:t>
      </w:r>
    </w:p>
    <w:p w14:paraId="4BB53229" w14:textId="77777777" w:rsidR="0090228D" w:rsidRPr="00C34BEC" w:rsidRDefault="0090228D" w:rsidP="0090228D">
      <w:pPr>
        <w:pStyle w:val="Heading3"/>
      </w:pPr>
      <w:bookmarkStart w:id="239" w:name="_Toc157759598"/>
      <w:r w:rsidRPr="00C34BEC">
        <w:t>Developing CE indicators for supply chains from the state-of-the-art</w:t>
      </w:r>
      <w:bookmarkEnd w:id="239"/>
    </w:p>
    <w:p w14:paraId="01522FEE" w14:textId="77777777" w:rsidR="0090228D" w:rsidRPr="00C34BEC" w:rsidRDefault="0090228D" w:rsidP="0090228D">
      <w:bookmarkStart w:id="240" w:name="_Toc39268489"/>
      <w:r w:rsidRPr="00C34BEC">
        <w:t xml:space="preserve">This final section addresses RQ 2. The results of the reviews of the academic and of industrial practitioners’ literature are used to identify appropriate subsets of KPIs from the three dimensions of sustainability (i.e., economic, environment and social). KPIs are then normalised though MCDM method into two distinct CE composite indicators. These two prototypes could form the basis of DSTs that could be used to keep track of the effectiveness of CE interventions in CSCs; to focus </w:t>
      </w:r>
      <w:r w:rsidRPr="00C34BEC">
        <w:lastRenderedPageBreak/>
        <w:t xml:space="preserve">on the trade-offs between different sustainability dimensions; and to account for benefits, impacts and preferences of different decision-makers and stakeholders. </w:t>
      </w:r>
    </w:p>
    <w:bookmarkEnd w:id="240"/>
    <w:p w14:paraId="001CC06D" w14:textId="77777777" w:rsidR="00C34BEC" w:rsidRPr="00C34BEC" w:rsidRDefault="00C34BEC" w:rsidP="0085122E">
      <w:pPr>
        <w:pStyle w:val="Figurecaption"/>
      </w:pPr>
      <w:r w:rsidRPr="00C34BEC">
        <w:t xml:space="preserve">Table </w:t>
      </w:r>
      <w:fldSimple w:instr=" SEQ Table \* ARABIC ">
        <w:r w:rsidRPr="00C34BEC">
          <w:t>7</w:t>
        </w:r>
      </w:fldSimple>
      <w:r w:rsidRPr="00C34BEC">
        <w:t xml:space="preserve"> - Commonly used economic, environmental and social KPIs for European MNEs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96"/>
        <w:gridCol w:w="1734"/>
        <w:gridCol w:w="2247"/>
        <w:gridCol w:w="2363"/>
        <w:gridCol w:w="1420"/>
      </w:tblGrid>
      <w:tr w:rsidR="00C34BEC" w:rsidRPr="00C34BEC" w14:paraId="0C997C0D" w14:textId="77777777" w:rsidTr="00C34BEC">
        <w:trPr>
          <w:trHeight w:val="310"/>
        </w:trPr>
        <w:tc>
          <w:tcPr>
            <w:tcW w:w="0" w:type="auto"/>
            <w:shd w:val="clear" w:color="auto" w:fill="auto"/>
          </w:tcPr>
          <w:p w14:paraId="6A0ED177" w14:textId="77777777" w:rsidR="00C34BEC" w:rsidRPr="00C34BEC" w:rsidRDefault="00C34BEC" w:rsidP="0085122E">
            <w:pPr>
              <w:pStyle w:val="Tabletext"/>
            </w:pPr>
            <w:r w:rsidRPr="00C34BEC">
              <w:t>Dimension</w:t>
            </w:r>
          </w:p>
        </w:tc>
        <w:tc>
          <w:tcPr>
            <w:tcW w:w="0" w:type="auto"/>
            <w:shd w:val="clear" w:color="auto" w:fill="auto"/>
            <w:tcMar>
              <w:top w:w="72" w:type="dxa"/>
              <w:left w:w="144" w:type="dxa"/>
              <w:bottom w:w="72" w:type="dxa"/>
              <w:right w:w="144" w:type="dxa"/>
            </w:tcMar>
            <w:hideMark/>
          </w:tcPr>
          <w:p w14:paraId="5586A117" w14:textId="77777777" w:rsidR="00C34BEC" w:rsidRPr="00C34BEC" w:rsidRDefault="00C34BEC" w:rsidP="0085122E">
            <w:pPr>
              <w:pStyle w:val="Tabletext"/>
            </w:pPr>
            <w:r w:rsidRPr="00C34BEC">
              <w:t>Category</w:t>
            </w:r>
          </w:p>
        </w:tc>
        <w:tc>
          <w:tcPr>
            <w:tcW w:w="0" w:type="auto"/>
            <w:shd w:val="clear" w:color="auto" w:fill="auto"/>
            <w:tcMar>
              <w:top w:w="72" w:type="dxa"/>
              <w:left w:w="144" w:type="dxa"/>
              <w:bottom w:w="72" w:type="dxa"/>
              <w:right w:w="144" w:type="dxa"/>
            </w:tcMar>
            <w:hideMark/>
          </w:tcPr>
          <w:p w14:paraId="28DED5EF" w14:textId="77777777" w:rsidR="00C34BEC" w:rsidRPr="00C34BEC" w:rsidRDefault="00C34BEC" w:rsidP="0085122E">
            <w:pPr>
              <w:pStyle w:val="Tabletext"/>
            </w:pPr>
            <w:r w:rsidRPr="00C34BEC">
              <w:t>Examples</w:t>
            </w:r>
          </w:p>
        </w:tc>
        <w:tc>
          <w:tcPr>
            <w:tcW w:w="0" w:type="auto"/>
            <w:shd w:val="clear" w:color="auto" w:fill="auto"/>
            <w:tcMar>
              <w:top w:w="72" w:type="dxa"/>
              <w:left w:w="144" w:type="dxa"/>
              <w:bottom w:w="72" w:type="dxa"/>
              <w:right w:w="144" w:type="dxa"/>
            </w:tcMar>
            <w:hideMark/>
          </w:tcPr>
          <w:p w14:paraId="07C1FEDB" w14:textId="77777777" w:rsidR="00C34BEC" w:rsidRPr="00C34BEC" w:rsidRDefault="00C34BEC" w:rsidP="0085122E">
            <w:pPr>
              <w:pStyle w:val="Tabletext"/>
            </w:pPr>
            <w:r w:rsidRPr="00C34BEC">
              <w:t>Description</w:t>
            </w:r>
          </w:p>
        </w:tc>
        <w:tc>
          <w:tcPr>
            <w:tcW w:w="0" w:type="auto"/>
            <w:shd w:val="clear" w:color="auto" w:fill="auto"/>
            <w:tcMar>
              <w:top w:w="72" w:type="dxa"/>
              <w:left w:w="144" w:type="dxa"/>
              <w:bottom w:w="72" w:type="dxa"/>
              <w:right w:w="144" w:type="dxa"/>
            </w:tcMar>
            <w:hideMark/>
          </w:tcPr>
          <w:p w14:paraId="385AC08C" w14:textId="77777777" w:rsidR="00C34BEC" w:rsidRPr="00C34BEC" w:rsidRDefault="00C34BEC" w:rsidP="0085122E">
            <w:pPr>
              <w:pStyle w:val="Tabletext"/>
            </w:pPr>
            <w:r w:rsidRPr="00C34BEC">
              <w:t>Adopting Companies</w:t>
            </w:r>
          </w:p>
        </w:tc>
      </w:tr>
      <w:tr w:rsidR="00C34BEC" w:rsidRPr="00C34BEC" w14:paraId="54C76163" w14:textId="77777777" w:rsidTr="00C34BEC">
        <w:trPr>
          <w:trHeight w:val="572"/>
        </w:trPr>
        <w:tc>
          <w:tcPr>
            <w:tcW w:w="0" w:type="auto"/>
            <w:vMerge w:val="restart"/>
            <w:shd w:val="clear" w:color="auto" w:fill="auto"/>
          </w:tcPr>
          <w:p w14:paraId="7738B33F" w14:textId="77777777" w:rsidR="00C34BEC" w:rsidRPr="00C34BEC" w:rsidRDefault="00C34BEC" w:rsidP="0085122E">
            <w:pPr>
              <w:pStyle w:val="Tabletext"/>
            </w:pPr>
            <w:r w:rsidRPr="00C34BEC">
              <w:t xml:space="preserve">Economic </w:t>
            </w:r>
          </w:p>
        </w:tc>
        <w:tc>
          <w:tcPr>
            <w:tcW w:w="0" w:type="auto"/>
            <w:shd w:val="clear" w:color="auto" w:fill="auto"/>
            <w:tcMar>
              <w:top w:w="72" w:type="dxa"/>
              <w:left w:w="144" w:type="dxa"/>
              <w:bottom w:w="72" w:type="dxa"/>
              <w:right w:w="144" w:type="dxa"/>
            </w:tcMar>
          </w:tcPr>
          <w:p w14:paraId="55415E63" w14:textId="77777777" w:rsidR="00C34BEC" w:rsidRPr="00C34BEC" w:rsidRDefault="00C34BEC" w:rsidP="0085122E">
            <w:pPr>
              <w:pStyle w:val="Tabletext"/>
            </w:pPr>
            <w:r w:rsidRPr="00C34BEC">
              <w:t>Revenues</w:t>
            </w:r>
          </w:p>
        </w:tc>
        <w:tc>
          <w:tcPr>
            <w:tcW w:w="0" w:type="auto"/>
            <w:shd w:val="clear" w:color="auto" w:fill="auto"/>
            <w:tcMar>
              <w:top w:w="72" w:type="dxa"/>
              <w:left w:w="144" w:type="dxa"/>
              <w:bottom w:w="72" w:type="dxa"/>
              <w:right w:w="144" w:type="dxa"/>
            </w:tcMar>
          </w:tcPr>
          <w:p w14:paraId="47CEE863" w14:textId="77777777" w:rsidR="00C34BEC" w:rsidRPr="00C34BEC" w:rsidRDefault="00C34BEC" w:rsidP="0085122E">
            <w:pPr>
              <w:pStyle w:val="Tabletext"/>
            </w:pPr>
            <w:r w:rsidRPr="00C34BEC">
              <w:t>Revenues from remanufactured products</w:t>
            </w:r>
          </w:p>
          <w:p w14:paraId="67B5F16F" w14:textId="77777777" w:rsidR="00C34BEC" w:rsidRPr="00C34BEC" w:rsidRDefault="00C34BEC" w:rsidP="0085122E">
            <w:pPr>
              <w:pStyle w:val="Tabletext"/>
            </w:pPr>
            <w:r w:rsidRPr="00C34BEC">
              <w:t>Revenues from ‘green products’</w:t>
            </w:r>
          </w:p>
        </w:tc>
        <w:tc>
          <w:tcPr>
            <w:tcW w:w="0" w:type="auto"/>
            <w:shd w:val="clear" w:color="auto" w:fill="auto"/>
            <w:tcMar>
              <w:top w:w="72" w:type="dxa"/>
              <w:left w:w="144" w:type="dxa"/>
              <w:bottom w:w="72" w:type="dxa"/>
              <w:right w:w="144" w:type="dxa"/>
            </w:tcMar>
          </w:tcPr>
          <w:p w14:paraId="49FC1680" w14:textId="77777777" w:rsidR="00C34BEC" w:rsidRPr="00C34BEC" w:rsidRDefault="00C34BEC" w:rsidP="0085122E">
            <w:pPr>
              <w:pStyle w:val="Tabletext"/>
            </w:pPr>
            <w:r w:rsidRPr="00C34BEC">
              <w:t>Revenues associated with CSC activities</w:t>
            </w:r>
          </w:p>
        </w:tc>
        <w:tc>
          <w:tcPr>
            <w:tcW w:w="0" w:type="auto"/>
            <w:shd w:val="clear" w:color="auto" w:fill="auto"/>
            <w:tcMar>
              <w:top w:w="72" w:type="dxa"/>
              <w:left w:w="144" w:type="dxa"/>
              <w:bottom w:w="72" w:type="dxa"/>
              <w:right w:w="144" w:type="dxa"/>
            </w:tcMar>
          </w:tcPr>
          <w:p w14:paraId="66F80AE8" w14:textId="77777777" w:rsidR="00C34BEC" w:rsidRPr="00C34BEC" w:rsidRDefault="00C34BEC" w:rsidP="0085122E">
            <w:pPr>
              <w:pStyle w:val="Tabletext"/>
            </w:pPr>
            <w:r w:rsidRPr="00C34BEC">
              <w:t>3/50</w:t>
            </w:r>
          </w:p>
        </w:tc>
      </w:tr>
      <w:tr w:rsidR="00C34BEC" w:rsidRPr="00C34BEC" w14:paraId="0765A20D" w14:textId="77777777" w:rsidTr="00C34BEC">
        <w:trPr>
          <w:trHeight w:val="803"/>
        </w:trPr>
        <w:tc>
          <w:tcPr>
            <w:tcW w:w="0" w:type="auto"/>
            <w:vMerge/>
            <w:shd w:val="clear" w:color="auto" w:fill="auto"/>
          </w:tcPr>
          <w:p w14:paraId="7FEFFD82" w14:textId="77777777" w:rsidR="00C34BEC" w:rsidRPr="00C34BEC" w:rsidRDefault="00C34BEC" w:rsidP="0085122E">
            <w:pPr>
              <w:pStyle w:val="Tabletext"/>
            </w:pPr>
          </w:p>
        </w:tc>
        <w:tc>
          <w:tcPr>
            <w:tcW w:w="0" w:type="auto"/>
            <w:shd w:val="clear" w:color="auto" w:fill="auto"/>
            <w:tcMar>
              <w:top w:w="72" w:type="dxa"/>
              <w:left w:w="144" w:type="dxa"/>
              <w:bottom w:w="72" w:type="dxa"/>
              <w:right w:w="144" w:type="dxa"/>
            </w:tcMar>
          </w:tcPr>
          <w:p w14:paraId="34DD6FAB" w14:textId="77777777" w:rsidR="00C34BEC" w:rsidRPr="00C34BEC" w:rsidRDefault="00C34BEC" w:rsidP="0085122E">
            <w:pPr>
              <w:pStyle w:val="Tabletext"/>
            </w:pPr>
            <w:r w:rsidRPr="00C34BEC">
              <w:t>Investments</w:t>
            </w:r>
          </w:p>
        </w:tc>
        <w:tc>
          <w:tcPr>
            <w:tcW w:w="0" w:type="auto"/>
            <w:shd w:val="clear" w:color="auto" w:fill="auto"/>
            <w:tcMar>
              <w:top w:w="72" w:type="dxa"/>
              <w:left w:w="144" w:type="dxa"/>
              <w:bottom w:w="72" w:type="dxa"/>
              <w:right w:w="144" w:type="dxa"/>
            </w:tcMar>
          </w:tcPr>
          <w:p w14:paraId="2E11CE4F" w14:textId="77777777" w:rsidR="00C34BEC" w:rsidRPr="00C34BEC" w:rsidRDefault="00C34BEC" w:rsidP="0085122E">
            <w:pPr>
              <w:pStyle w:val="Tabletext"/>
            </w:pPr>
            <w:r w:rsidRPr="00C34BEC">
              <w:t>Capital invested in sustainable solutions</w:t>
            </w:r>
          </w:p>
          <w:p w14:paraId="7C2488B5" w14:textId="77777777" w:rsidR="00C34BEC" w:rsidRPr="00C34BEC" w:rsidRDefault="00C34BEC" w:rsidP="0085122E">
            <w:pPr>
              <w:pStyle w:val="Tabletext"/>
            </w:pPr>
            <w:r w:rsidRPr="00C34BEC">
              <w:t>Capital dis-invested from carbon intensive assets</w:t>
            </w:r>
          </w:p>
        </w:tc>
        <w:tc>
          <w:tcPr>
            <w:tcW w:w="0" w:type="auto"/>
            <w:shd w:val="clear" w:color="auto" w:fill="auto"/>
            <w:tcMar>
              <w:top w:w="72" w:type="dxa"/>
              <w:left w:w="144" w:type="dxa"/>
              <w:bottom w:w="72" w:type="dxa"/>
              <w:right w:w="144" w:type="dxa"/>
            </w:tcMar>
          </w:tcPr>
          <w:p w14:paraId="209D8A0E" w14:textId="77777777" w:rsidR="00C34BEC" w:rsidRPr="00C34BEC" w:rsidRDefault="00C34BEC" w:rsidP="0085122E">
            <w:pPr>
              <w:pStyle w:val="Tabletext"/>
            </w:pPr>
            <w:r w:rsidRPr="00C34BEC">
              <w:t>Investments associated with CSC activities</w:t>
            </w:r>
          </w:p>
        </w:tc>
        <w:tc>
          <w:tcPr>
            <w:tcW w:w="0" w:type="auto"/>
            <w:shd w:val="clear" w:color="auto" w:fill="auto"/>
            <w:tcMar>
              <w:top w:w="72" w:type="dxa"/>
              <w:left w:w="144" w:type="dxa"/>
              <w:bottom w:w="72" w:type="dxa"/>
              <w:right w:w="144" w:type="dxa"/>
            </w:tcMar>
          </w:tcPr>
          <w:p w14:paraId="56C61021" w14:textId="77777777" w:rsidR="00C34BEC" w:rsidRPr="00C34BEC" w:rsidRDefault="00C34BEC" w:rsidP="0085122E">
            <w:pPr>
              <w:pStyle w:val="Tabletext"/>
            </w:pPr>
            <w:r w:rsidRPr="00C34BEC">
              <w:t>15/50</w:t>
            </w:r>
          </w:p>
        </w:tc>
      </w:tr>
      <w:tr w:rsidR="00C34BEC" w:rsidRPr="00C34BEC" w14:paraId="0474524A" w14:textId="77777777" w:rsidTr="00C34BEC">
        <w:trPr>
          <w:trHeight w:val="584"/>
        </w:trPr>
        <w:tc>
          <w:tcPr>
            <w:tcW w:w="0" w:type="auto"/>
            <w:vMerge w:val="restart"/>
            <w:shd w:val="clear" w:color="auto" w:fill="auto"/>
          </w:tcPr>
          <w:p w14:paraId="61067AF4" w14:textId="77777777" w:rsidR="00C34BEC" w:rsidRPr="00C34BEC" w:rsidRDefault="00C34BEC" w:rsidP="0085122E">
            <w:pPr>
              <w:pStyle w:val="Tabletext"/>
            </w:pPr>
            <w:r w:rsidRPr="00C34BEC">
              <w:t>Environmental</w:t>
            </w:r>
          </w:p>
        </w:tc>
        <w:tc>
          <w:tcPr>
            <w:tcW w:w="0" w:type="auto"/>
            <w:shd w:val="clear" w:color="auto" w:fill="auto"/>
            <w:tcMar>
              <w:top w:w="72" w:type="dxa"/>
              <w:left w:w="144" w:type="dxa"/>
              <w:bottom w:w="72" w:type="dxa"/>
              <w:right w:w="144" w:type="dxa"/>
            </w:tcMar>
          </w:tcPr>
          <w:p w14:paraId="50A7BF40" w14:textId="77777777" w:rsidR="00C34BEC" w:rsidRPr="00C34BEC" w:rsidRDefault="00C34BEC" w:rsidP="0085122E">
            <w:pPr>
              <w:pStyle w:val="Tabletext"/>
            </w:pPr>
            <w:r w:rsidRPr="00C34BEC">
              <w:t>Emissions equivalent</w:t>
            </w:r>
          </w:p>
        </w:tc>
        <w:tc>
          <w:tcPr>
            <w:tcW w:w="0" w:type="auto"/>
            <w:shd w:val="clear" w:color="auto" w:fill="auto"/>
            <w:tcMar>
              <w:top w:w="72" w:type="dxa"/>
              <w:left w:w="144" w:type="dxa"/>
              <w:bottom w:w="72" w:type="dxa"/>
              <w:right w:w="144" w:type="dxa"/>
            </w:tcMar>
          </w:tcPr>
          <w:p w14:paraId="4E60E792" w14:textId="77777777" w:rsidR="00C34BEC" w:rsidRPr="00C34BEC" w:rsidRDefault="00C34BEC" w:rsidP="0085122E">
            <w:pPr>
              <w:pStyle w:val="Tabletext"/>
            </w:pPr>
            <w:r w:rsidRPr="00C34BEC">
              <w:t>CO2eq per functional unit</w:t>
            </w:r>
          </w:p>
          <w:p w14:paraId="76A0A666" w14:textId="77777777" w:rsidR="00C34BEC" w:rsidRPr="00C34BEC" w:rsidRDefault="00C34BEC" w:rsidP="0085122E">
            <w:pPr>
              <w:pStyle w:val="Tabletext"/>
            </w:pPr>
            <w:r w:rsidRPr="00C34BEC">
              <w:t>Absolute CO2-eq</w:t>
            </w:r>
          </w:p>
        </w:tc>
        <w:tc>
          <w:tcPr>
            <w:tcW w:w="0" w:type="auto"/>
            <w:shd w:val="clear" w:color="auto" w:fill="auto"/>
            <w:tcMar>
              <w:top w:w="72" w:type="dxa"/>
              <w:left w:w="144" w:type="dxa"/>
              <w:bottom w:w="72" w:type="dxa"/>
              <w:right w:w="144" w:type="dxa"/>
            </w:tcMar>
          </w:tcPr>
          <w:p w14:paraId="0C1C9982" w14:textId="77777777" w:rsidR="00C34BEC" w:rsidRPr="00C34BEC" w:rsidRDefault="00C34BEC" w:rsidP="0085122E">
            <w:pPr>
              <w:pStyle w:val="Tabletext"/>
            </w:pPr>
            <w:r w:rsidRPr="00C34BEC">
              <w:t>CO</w:t>
            </w:r>
            <w:r w:rsidRPr="00C34BEC">
              <w:rPr>
                <w:vertAlign w:val="subscript"/>
              </w:rPr>
              <w:t>2</w:t>
            </w:r>
            <w:r w:rsidRPr="00C34BEC">
              <w:t xml:space="preserve"> eq. emissions associated with the supply chain</w:t>
            </w:r>
          </w:p>
        </w:tc>
        <w:tc>
          <w:tcPr>
            <w:tcW w:w="0" w:type="auto"/>
            <w:shd w:val="clear" w:color="auto" w:fill="auto"/>
            <w:tcMar>
              <w:top w:w="72" w:type="dxa"/>
              <w:left w:w="144" w:type="dxa"/>
              <w:bottom w:w="72" w:type="dxa"/>
              <w:right w:w="144" w:type="dxa"/>
            </w:tcMar>
          </w:tcPr>
          <w:p w14:paraId="4039CCD8" w14:textId="77777777" w:rsidR="00C34BEC" w:rsidRPr="00C34BEC" w:rsidRDefault="00C34BEC" w:rsidP="0085122E">
            <w:pPr>
              <w:pStyle w:val="Tabletext"/>
            </w:pPr>
            <w:r w:rsidRPr="00C34BEC">
              <w:t>44/50</w:t>
            </w:r>
          </w:p>
        </w:tc>
      </w:tr>
      <w:tr w:rsidR="00C34BEC" w:rsidRPr="00C34BEC" w14:paraId="301430CF" w14:textId="77777777" w:rsidTr="00C34BEC">
        <w:trPr>
          <w:trHeight w:val="584"/>
        </w:trPr>
        <w:tc>
          <w:tcPr>
            <w:tcW w:w="0" w:type="auto"/>
            <w:vMerge/>
            <w:shd w:val="clear" w:color="auto" w:fill="auto"/>
          </w:tcPr>
          <w:p w14:paraId="7D858FDC" w14:textId="77777777" w:rsidR="00C34BEC" w:rsidRPr="00C34BEC" w:rsidRDefault="00C34BEC" w:rsidP="0085122E">
            <w:pPr>
              <w:pStyle w:val="Tabletext"/>
            </w:pPr>
          </w:p>
        </w:tc>
        <w:tc>
          <w:tcPr>
            <w:tcW w:w="0" w:type="auto"/>
            <w:shd w:val="clear" w:color="auto" w:fill="auto"/>
            <w:tcMar>
              <w:top w:w="72" w:type="dxa"/>
              <w:left w:w="144" w:type="dxa"/>
              <w:bottom w:w="72" w:type="dxa"/>
              <w:right w:w="144" w:type="dxa"/>
            </w:tcMar>
          </w:tcPr>
          <w:p w14:paraId="07ECE6DB" w14:textId="77777777" w:rsidR="00C34BEC" w:rsidRPr="00C34BEC" w:rsidRDefault="00C34BEC" w:rsidP="0085122E">
            <w:pPr>
              <w:pStyle w:val="Tabletext"/>
            </w:pPr>
            <w:r w:rsidRPr="00C34BEC">
              <w:t>Energy Usage</w:t>
            </w:r>
          </w:p>
        </w:tc>
        <w:tc>
          <w:tcPr>
            <w:tcW w:w="0" w:type="auto"/>
            <w:shd w:val="clear" w:color="auto" w:fill="auto"/>
            <w:tcMar>
              <w:top w:w="72" w:type="dxa"/>
              <w:left w:w="144" w:type="dxa"/>
              <w:bottom w:w="72" w:type="dxa"/>
              <w:right w:w="144" w:type="dxa"/>
            </w:tcMar>
          </w:tcPr>
          <w:p w14:paraId="266123D2" w14:textId="77777777" w:rsidR="00C34BEC" w:rsidRPr="00C34BEC" w:rsidRDefault="00C34BEC" w:rsidP="0085122E">
            <w:pPr>
              <w:pStyle w:val="Tabletext"/>
            </w:pPr>
            <w:r w:rsidRPr="00C34BEC">
              <w:t>Energy intensity</w:t>
            </w:r>
          </w:p>
          <w:p w14:paraId="77A7F4F8" w14:textId="77777777" w:rsidR="00C34BEC" w:rsidRPr="00C34BEC" w:rsidRDefault="00C34BEC" w:rsidP="0085122E">
            <w:pPr>
              <w:pStyle w:val="Tabletext"/>
            </w:pPr>
            <w:r w:rsidRPr="00C34BEC">
              <w:t>Cumulative energy use</w:t>
            </w:r>
          </w:p>
          <w:p w14:paraId="016DCB74" w14:textId="77777777" w:rsidR="00C34BEC" w:rsidRPr="00C34BEC" w:rsidRDefault="00C34BEC" w:rsidP="0085122E">
            <w:pPr>
              <w:pStyle w:val="Tabletext"/>
            </w:pPr>
            <w:r w:rsidRPr="00C34BEC">
              <w:t>Energy from renewable sources</w:t>
            </w:r>
          </w:p>
        </w:tc>
        <w:tc>
          <w:tcPr>
            <w:tcW w:w="0" w:type="auto"/>
            <w:shd w:val="clear" w:color="auto" w:fill="auto"/>
            <w:tcMar>
              <w:top w:w="72" w:type="dxa"/>
              <w:left w:w="144" w:type="dxa"/>
              <w:bottom w:w="72" w:type="dxa"/>
              <w:right w:w="144" w:type="dxa"/>
            </w:tcMar>
          </w:tcPr>
          <w:p w14:paraId="6C22D045" w14:textId="77777777" w:rsidR="00C34BEC" w:rsidRPr="00C34BEC" w:rsidRDefault="00C34BEC" w:rsidP="0085122E">
            <w:pPr>
              <w:pStyle w:val="Tabletext"/>
            </w:pPr>
            <w:r w:rsidRPr="00C34BEC">
              <w:t xml:space="preserve">Energy-based indicators associated with the supply chain </w:t>
            </w:r>
          </w:p>
        </w:tc>
        <w:tc>
          <w:tcPr>
            <w:tcW w:w="0" w:type="auto"/>
            <w:shd w:val="clear" w:color="auto" w:fill="auto"/>
            <w:tcMar>
              <w:top w:w="72" w:type="dxa"/>
              <w:left w:w="144" w:type="dxa"/>
              <w:bottom w:w="72" w:type="dxa"/>
              <w:right w:w="144" w:type="dxa"/>
            </w:tcMar>
          </w:tcPr>
          <w:p w14:paraId="0E9CCA93" w14:textId="77777777" w:rsidR="00C34BEC" w:rsidRPr="00C34BEC" w:rsidRDefault="00C34BEC" w:rsidP="0085122E">
            <w:pPr>
              <w:pStyle w:val="Tabletext"/>
            </w:pPr>
            <w:r w:rsidRPr="00C34BEC">
              <w:t>44/50</w:t>
            </w:r>
          </w:p>
        </w:tc>
      </w:tr>
      <w:tr w:rsidR="00C34BEC" w:rsidRPr="00C34BEC" w14:paraId="4C38220F" w14:textId="77777777" w:rsidTr="00C34BEC">
        <w:trPr>
          <w:trHeight w:val="584"/>
        </w:trPr>
        <w:tc>
          <w:tcPr>
            <w:tcW w:w="0" w:type="auto"/>
            <w:vMerge/>
            <w:shd w:val="clear" w:color="auto" w:fill="auto"/>
          </w:tcPr>
          <w:p w14:paraId="11A15303" w14:textId="77777777" w:rsidR="00C34BEC" w:rsidRPr="00C34BEC" w:rsidRDefault="00C34BEC" w:rsidP="0085122E">
            <w:pPr>
              <w:pStyle w:val="Tabletext"/>
            </w:pPr>
          </w:p>
        </w:tc>
        <w:tc>
          <w:tcPr>
            <w:tcW w:w="0" w:type="auto"/>
            <w:shd w:val="clear" w:color="auto" w:fill="auto"/>
            <w:tcMar>
              <w:top w:w="72" w:type="dxa"/>
              <w:left w:w="144" w:type="dxa"/>
              <w:bottom w:w="72" w:type="dxa"/>
              <w:right w:w="144" w:type="dxa"/>
            </w:tcMar>
          </w:tcPr>
          <w:p w14:paraId="74FA5D73" w14:textId="77777777" w:rsidR="00C34BEC" w:rsidRPr="00C34BEC" w:rsidRDefault="00C34BEC" w:rsidP="0085122E">
            <w:pPr>
              <w:pStyle w:val="Tabletext"/>
            </w:pPr>
            <w:r w:rsidRPr="00C34BEC">
              <w:t xml:space="preserve">Water </w:t>
            </w:r>
          </w:p>
        </w:tc>
        <w:tc>
          <w:tcPr>
            <w:tcW w:w="0" w:type="auto"/>
            <w:shd w:val="clear" w:color="auto" w:fill="auto"/>
            <w:tcMar>
              <w:top w:w="72" w:type="dxa"/>
              <w:left w:w="144" w:type="dxa"/>
              <w:bottom w:w="72" w:type="dxa"/>
              <w:right w:w="144" w:type="dxa"/>
            </w:tcMar>
          </w:tcPr>
          <w:p w14:paraId="43DFE9EE" w14:textId="77777777" w:rsidR="00C34BEC" w:rsidRPr="00C34BEC" w:rsidRDefault="00C34BEC" w:rsidP="0085122E">
            <w:pPr>
              <w:pStyle w:val="Tabletext"/>
            </w:pPr>
            <w:r w:rsidRPr="00C34BEC">
              <w:t>Water used</w:t>
            </w:r>
          </w:p>
          <w:p w14:paraId="001E31B2" w14:textId="77777777" w:rsidR="00C34BEC" w:rsidRPr="00C34BEC" w:rsidRDefault="00C34BEC" w:rsidP="0085122E">
            <w:pPr>
              <w:pStyle w:val="Tabletext"/>
            </w:pPr>
            <w:r w:rsidRPr="00C34BEC">
              <w:t>Wastewater production</w:t>
            </w:r>
          </w:p>
          <w:p w14:paraId="2165322A" w14:textId="77777777" w:rsidR="00C34BEC" w:rsidRPr="00C34BEC" w:rsidRDefault="00C34BEC" w:rsidP="0085122E">
            <w:pPr>
              <w:pStyle w:val="Tabletext"/>
            </w:pPr>
            <w:r w:rsidRPr="00C34BEC">
              <w:t>Discharges to water</w:t>
            </w:r>
          </w:p>
        </w:tc>
        <w:tc>
          <w:tcPr>
            <w:tcW w:w="0" w:type="auto"/>
            <w:shd w:val="clear" w:color="auto" w:fill="auto"/>
            <w:tcMar>
              <w:top w:w="72" w:type="dxa"/>
              <w:left w:w="144" w:type="dxa"/>
              <w:bottom w:w="72" w:type="dxa"/>
              <w:right w:w="144" w:type="dxa"/>
            </w:tcMar>
          </w:tcPr>
          <w:p w14:paraId="42422716" w14:textId="77777777" w:rsidR="00C34BEC" w:rsidRPr="00C34BEC" w:rsidRDefault="00C34BEC" w:rsidP="0085122E">
            <w:pPr>
              <w:pStyle w:val="Tabletext"/>
            </w:pPr>
            <w:r w:rsidRPr="00C34BEC">
              <w:t>Water used or contaminated</w:t>
            </w:r>
          </w:p>
        </w:tc>
        <w:tc>
          <w:tcPr>
            <w:tcW w:w="0" w:type="auto"/>
            <w:shd w:val="clear" w:color="auto" w:fill="auto"/>
            <w:tcMar>
              <w:top w:w="72" w:type="dxa"/>
              <w:left w:w="144" w:type="dxa"/>
              <w:bottom w:w="72" w:type="dxa"/>
              <w:right w:w="144" w:type="dxa"/>
            </w:tcMar>
          </w:tcPr>
          <w:p w14:paraId="7EE25732" w14:textId="77777777" w:rsidR="00C34BEC" w:rsidRPr="00C34BEC" w:rsidRDefault="00C34BEC" w:rsidP="0085122E">
            <w:pPr>
              <w:pStyle w:val="Tabletext"/>
            </w:pPr>
            <w:r w:rsidRPr="00C34BEC">
              <w:t>42/50</w:t>
            </w:r>
          </w:p>
        </w:tc>
      </w:tr>
      <w:tr w:rsidR="00C34BEC" w:rsidRPr="00C34BEC" w14:paraId="258D5F5A" w14:textId="77777777" w:rsidTr="00C34BEC">
        <w:trPr>
          <w:trHeight w:val="584"/>
        </w:trPr>
        <w:tc>
          <w:tcPr>
            <w:tcW w:w="0" w:type="auto"/>
            <w:vMerge/>
            <w:shd w:val="clear" w:color="auto" w:fill="auto"/>
          </w:tcPr>
          <w:p w14:paraId="207F6DE5" w14:textId="77777777" w:rsidR="00C34BEC" w:rsidRPr="00C34BEC" w:rsidRDefault="00C34BEC" w:rsidP="0085122E">
            <w:pPr>
              <w:pStyle w:val="Tabletext"/>
            </w:pPr>
          </w:p>
        </w:tc>
        <w:tc>
          <w:tcPr>
            <w:tcW w:w="0" w:type="auto"/>
            <w:shd w:val="clear" w:color="auto" w:fill="auto"/>
            <w:tcMar>
              <w:top w:w="72" w:type="dxa"/>
              <w:left w:w="144" w:type="dxa"/>
              <w:bottom w:w="72" w:type="dxa"/>
              <w:right w:w="144" w:type="dxa"/>
            </w:tcMar>
          </w:tcPr>
          <w:p w14:paraId="53A7B8DE" w14:textId="77777777" w:rsidR="00C34BEC" w:rsidRPr="00C34BEC" w:rsidRDefault="00C34BEC" w:rsidP="0085122E">
            <w:pPr>
              <w:pStyle w:val="Tabletext"/>
            </w:pPr>
            <w:r w:rsidRPr="00C34BEC">
              <w:t xml:space="preserve">Waste </w:t>
            </w:r>
          </w:p>
        </w:tc>
        <w:tc>
          <w:tcPr>
            <w:tcW w:w="0" w:type="auto"/>
            <w:shd w:val="clear" w:color="auto" w:fill="auto"/>
            <w:tcMar>
              <w:top w:w="72" w:type="dxa"/>
              <w:left w:w="144" w:type="dxa"/>
              <w:bottom w:w="72" w:type="dxa"/>
              <w:right w:w="144" w:type="dxa"/>
            </w:tcMar>
          </w:tcPr>
          <w:p w14:paraId="646BEBD9" w14:textId="77777777" w:rsidR="00C34BEC" w:rsidRPr="00C34BEC" w:rsidRDefault="00C34BEC" w:rsidP="0085122E">
            <w:pPr>
              <w:pStyle w:val="Tabletext"/>
            </w:pPr>
            <w:r w:rsidRPr="00C34BEC">
              <w:t>Waste sent to landfill</w:t>
            </w:r>
          </w:p>
          <w:p w14:paraId="1B43BD73" w14:textId="77777777" w:rsidR="00C34BEC" w:rsidRPr="00C34BEC" w:rsidRDefault="00C34BEC" w:rsidP="0085122E">
            <w:pPr>
              <w:pStyle w:val="Tabletext"/>
            </w:pPr>
            <w:r w:rsidRPr="00C34BEC">
              <w:t>Waste recovered</w:t>
            </w:r>
          </w:p>
        </w:tc>
        <w:tc>
          <w:tcPr>
            <w:tcW w:w="0" w:type="auto"/>
            <w:shd w:val="clear" w:color="auto" w:fill="auto"/>
            <w:tcMar>
              <w:top w:w="72" w:type="dxa"/>
              <w:left w:w="144" w:type="dxa"/>
              <w:bottom w:w="72" w:type="dxa"/>
              <w:right w:w="144" w:type="dxa"/>
            </w:tcMar>
          </w:tcPr>
          <w:p w14:paraId="10C7A18C" w14:textId="77777777" w:rsidR="00C34BEC" w:rsidRPr="00C34BEC" w:rsidRDefault="00C34BEC" w:rsidP="0085122E">
            <w:pPr>
              <w:pStyle w:val="Tabletext"/>
            </w:pPr>
            <w:r w:rsidRPr="00C34BEC">
              <w:t>Residual waste produced or recovered by supply chain activities</w:t>
            </w:r>
          </w:p>
        </w:tc>
        <w:tc>
          <w:tcPr>
            <w:tcW w:w="0" w:type="auto"/>
            <w:shd w:val="clear" w:color="auto" w:fill="auto"/>
            <w:tcMar>
              <w:top w:w="72" w:type="dxa"/>
              <w:left w:w="144" w:type="dxa"/>
              <w:bottom w:w="72" w:type="dxa"/>
              <w:right w:w="144" w:type="dxa"/>
            </w:tcMar>
          </w:tcPr>
          <w:p w14:paraId="558D373F" w14:textId="77777777" w:rsidR="00C34BEC" w:rsidRPr="00C34BEC" w:rsidRDefault="00C34BEC" w:rsidP="0085122E">
            <w:pPr>
              <w:pStyle w:val="Tabletext"/>
            </w:pPr>
            <w:r w:rsidRPr="00C34BEC">
              <w:t>36/50</w:t>
            </w:r>
          </w:p>
        </w:tc>
      </w:tr>
      <w:tr w:rsidR="00C34BEC" w:rsidRPr="00C34BEC" w14:paraId="7EA0AC3B" w14:textId="77777777" w:rsidTr="00C34BEC">
        <w:trPr>
          <w:trHeight w:val="481"/>
        </w:trPr>
        <w:tc>
          <w:tcPr>
            <w:tcW w:w="0" w:type="auto"/>
            <w:shd w:val="clear" w:color="auto" w:fill="auto"/>
          </w:tcPr>
          <w:p w14:paraId="3B8FD603" w14:textId="77777777" w:rsidR="00C34BEC" w:rsidRPr="00C34BEC" w:rsidRDefault="00C34BEC" w:rsidP="0085122E">
            <w:pPr>
              <w:pStyle w:val="Tabletext"/>
            </w:pPr>
            <w:r w:rsidRPr="00C34BEC">
              <w:t xml:space="preserve">Social </w:t>
            </w:r>
          </w:p>
        </w:tc>
        <w:tc>
          <w:tcPr>
            <w:tcW w:w="0" w:type="auto"/>
            <w:shd w:val="clear" w:color="auto" w:fill="auto"/>
            <w:tcMar>
              <w:top w:w="72" w:type="dxa"/>
              <w:left w:w="144" w:type="dxa"/>
              <w:bottom w:w="72" w:type="dxa"/>
              <w:right w:w="144" w:type="dxa"/>
            </w:tcMar>
            <w:hideMark/>
          </w:tcPr>
          <w:p w14:paraId="18121486" w14:textId="77777777" w:rsidR="00C34BEC" w:rsidRPr="00C34BEC" w:rsidRDefault="00C34BEC" w:rsidP="0085122E">
            <w:pPr>
              <w:pStyle w:val="Tabletext"/>
            </w:pPr>
            <w:r w:rsidRPr="00C34BEC">
              <w:t>Social Impacts associated with CSC</w:t>
            </w:r>
          </w:p>
        </w:tc>
        <w:tc>
          <w:tcPr>
            <w:tcW w:w="0" w:type="auto"/>
            <w:shd w:val="clear" w:color="auto" w:fill="auto"/>
            <w:tcMar>
              <w:top w:w="72" w:type="dxa"/>
              <w:left w:w="144" w:type="dxa"/>
              <w:bottom w:w="72" w:type="dxa"/>
              <w:right w:w="144" w:type="dxa"/>
            </w:tcMar>
            <w:hideMark/>
          </w:tcPr>
          <w:p w14:paraId="08AA0D95" w14:textId="77777777" w:rsidR="00C34BEC" w:rsidRPr="00C34BEC" w:rsidRDefault="00C34BEC" w:rsidP="0085122E">
            <w:pPr>
              <w:pStyle w:val="Tabletext"/>
            </w:pPr>
            <w:r w:rsidRPr="00C34BEC">
              <w:t>‘Green’ jobs created</w:t>
            </w:r>
          </w:p>
        </w:tc>
        <w:tc>
          <w:tcPr>
            <w:tcW w:w="0" w:type="auto"/>
            <w:shd w:val="clear" w:color="auto" w:fill="auto"/>
            <w:tcMar>
              <w:top w:w="72" w:type="dxa"/>
              <w:left w:w="144" w:type="dxa"/>
              <w:bottom w:w="72" w:type="dxa"/>
              <w:right w:w="144" w:type="dxa"/>
            </w:tcMar>
            <w:hideMark/>
          </w:tcPr>
          <w:p w14:paraId="7ED7C9BE" w14:textId="77777777" w:rsidR="00C34BEC" w:rsidRPr="00C34BEC" w:rsidRDefault="00C34BEC" w:rsidP="0085122E">
            <w:pPr>
              <w:pStyle w:val="Tabletext"/>
            </w:pPr>
            <w:r w:rsidRPr="00C34BEC">
              <w:t>Employment opportunities provided by the CSC</w:t>
            </w:r>
          </w:p>
        </w:tc>
        <w:tc>
          <w:tcPr>
            <w:tcW w:w="0" w:type="auto"/>
            <w:shd w:val="clear" w:color="auto" w:fill="auto"/>
            <w:tcMar>
              <w:top w:w="72" w:type="dxa"/>
              <w:left w:w="144" w:type="dxa"/>
              <w:bottom w:w="72" w:type="dxa"/>
              <w:right w:w="144" w:type="dxa"/>
            </w:tcMar>
            <w:hideMark/>
          </w:tcPr>
          <w:p w14:paraId="37637C34" w14:textId="77777777" w:rsidR="00C34BEC" w:rsidRPr="00C34BEC" w:rsidRDefault="00C34BEC" w:rsidP="0085122E">
            <w:pPr>
              <w:pStyle w:val="Tabletext"/>
            </w:pPr>
            <w:r w:rsidRPr="00C34BEC">
              <w:t>4/50</w:t>
            </w:r>
          </w:p>
        </w:tc>
      </w:tr>
      <w:tr w:rsidR="00C34BEC" w:rsidRPr="00C34BEC" w14:paraId="25A6C37F" w14:textId="77777777" w:rsidTr="00C34BEC">
        <w:trPr>
          <w:trHeight w:val="283"/>
        </w:trPr>
        <w:tc>
          <w:tcPr>
            <w:tcW w:w="0" w:type="auto"/>
            <w:shd w:val="clear" w:color="auto" w:fill="auto"/>
          </w:tcPr>
          <w:p w14:paraId="74FC4F5D" w14:textId="77777777" w:rsidR="00C34BEC" w:rsidRPr="00C34BEC" w:rsidRDefault="00C34BEC" w:rsidP="0085122E">
            <w:pPr>
              <w:pStyle w:val="Tabletext"/>
            </w:pPr>
            <w:r w:rsidRPr="00C34BEC">
              <w:t>CE</w:t>
            </w:r>
          </w:p>
        </w:tc>
        <w:tc>
          <w:tcPr>
            <w:tcW w:w="0" w:type="auto"/>
            <w:shd w:val="clear" w:color="auto" w:fill="auto"/>
            <w:tcMar>
              <w:top w:w="72" w:type="dxa"/>
              <w:left w:w="144" w:type="dxa"/>
              <w:bottom w:w="72" w:type="dxa"/>
              <w:right w:w="144" w:type="dxa"/>
            </w:tcMar>
          </w:tcPr>
          <w:p w14:paraId="0E7D8D69" w14:textId="77777777" w:rsidR="00C34BEC" w:rsidRPr="00C34BEC" w:rsidRDefault="00C34BEC" w:rsidP="0085122E">
            <w:pPr>
              <w:pStyle w:val="Tabletext"/>
            </w:pPr>
            <w:r w:rsidRPr="00C34BEC">
              <w:t>Overall Circularity</w:t>
            </w:r>
          </w:p>
        </w:tc>
        <w:tc>
          <w:tcPr>
            <w:tcW w:w="0" w:type="auto"/>
            <w:shd w:val="clear" w:color="auto" w:fill="auto"/>
            <w:tcMar>
              <w:top w:w="72" w:type="dxa"/>
              <w:left w:w="144" w:type="dxa"/>
              <w:bottom w:w="72" w:type="dxa"/>
              <w:right w:w="144" w:type="dxa"/>
            </w:tcMar>
          </w:tcPr>
          <w:p w14:paraId="01A6BAE8" w14:textId="77777777" w:rsidR="00C34BEC" w:rsidRPr="00C34BEC" w:rsidRDefault="00C34BEC" w:rsidP="0085122E">
            <w:pPr>
              <w:pStyle w:val="Tabletext"/>
            </w:pPr>
            <w:r w:rsidRPr="00C34BEC">
              <w:t>CE Score</w:t>
            </w:r>
          </w:p>
          <w:p w14:paraId="745D0DE0" w14:textId="77777777" w:rsidR="00C34BEC" w:rsidRPr="00C34BEC" w:rsidRDefault="00C34BEC" w:rsidP="0085122E">
            <w:pPr>
              <w:pStyle w:val="Tabletext"/>
            </w:pPr>
            <w:r w:rsidRPr="00C34BEC">
              <w:t>Parts Collected and Remanufactured</w:t>
            </w:r>
          </w:p>
        </w:tc>
        <w:tc>
          <w:tcPr>
            <w:tcW w:w="0" w:type="auto"/>
            <w:shd w:val="clear" w:color="auto" w:fill="auto"/>
            <w:tcMar>
              <w:top w:w="72" w:type="dxa"/>
              <w:left w:w="144" w:type="dxa"/>
              <w:bottom w:w="72" w:type="dxa"/>
              <w:right w:w="144" w:type="dxa"/>
            </w:tcMar>
          </w:tcPr>
          <w:p w14:paraId="30EA420A" w14:textId="77777777" w:rsidR="00C34BEC" w:rsidRPr="00C34BEC" w:rsidRDefault="00C34BEC" w:rsidP="0085122E">
            <w:pPr>
              <w:pStyle w:val="Tabletext"/>
            </w:pPr>
            <w:r w:rsidRPr="00C34BEC">
              <w:t xml:space="preserve">Indicators of environmental awareness of the customers </w:t>
            </w:r>
          </w:p>
        </w:tc>
        <w:tc>
          <w:tcPr>
            <w:tcW w:w="0" w:type="auto"/>
            <w:shd w:val="clear" w:color="auto" w:fill="auto"/>
            <w:tcMar>
              <w:top w:w="72" w:type="dxa"/>
              <w:left w:w="144" w:type="dxa"/>
              <w:bottom w:w="72" w:type="dxa"/>
              <w:right w:w="144" w:type="dxa"/>
            </w:tcMar>
          </w:tcPr>
          <w:p w14:paraId="25F43BCC" w14:textId="77777777" w:rsidR="00C34BEC" w:rsidRPr="00C34BEC" w:rsidRDefault="00C34BEC" w:rsidP="0085122E">
            <w:pPr>
              <w:pStyle w:val="Tabletext"/>
            </w:pPr>
            <w:r w:rsidRPr="00C34BEC">
              <w:t>3/50</w:t>
            </w:r>
          </w:p>
        </w:tc>
      </w:tr>
    </w:tbl>
    <w:p w14:paraId="09A6B66F" w14:textId="77777777" w:rsidR="00C34BEC" w:rsidRPr="00C34BEC" w:rsidRDefault="00C34BEC" w:rsidP="00C34BEC"/>
    <w:p w14:paraId="04DD8198" w14:textId="53876D46" w:rsidR="00C34BEC" w:rsidRPr="00C34BEC" w:rsidRDefault="0090228D" w:rsidP="00414786">
      <w:pPr>
        <w:pStyle w:val="Heading4Paragraph"/>
        <w:rPr>
          <w:lang w:val="en-US"/>
        </w:rPr>
      </w:pPr>
      <w:bookmarkStart w:id="241" w:name="_Toc39268490"/>
      <w:r>
        <w:rPr>
          <w:lang w:val="en-US"/>
        </w:rPr>
        <w:t xml:space="preserve">4.3.1 </w:t>
      </w:r>
      <w:r w:rsidR="00C34BEC" w:rsidRPr="00C34BEC">
        <w:rPr>
          <w:lang w:val="en-US"/>
        </w:rPr>
        <w:t xml:space="preserve">A </w:t>
      </w:r>
      <w:r w:rsidR="00C34BEC" w:rsidRPr="00414786">
        <w:t>literature</w:t>
      </w:r>
      <w:r w:rsidR="00C34BEC" w:rsidRPr="00C34BEC">
        <w:rPr>
          <w:lang w:val="en-US"/>
        </w:rPr>
        <w:t>-based CE composite indicator for supply chain</w:t>
      </w:r>
      <w:bookmarkEnd w:id="241"/>
    </w:p>
    <w:p w14:paraId="40C14E41" w14:textId="77777777" w:rsidR="00C34BEC" w:rsidRPr="00C34BEC" w:rsidRDefault="00C34BEC" w:rsidP="00C34BEC">
      <w:pPr>
        <w:rPr>
          <w:lang w:val="en-MY"/>
        </w:rPr>
      </w:pPr>
      <w:r w:rsidRPr="00C34BEC">
        <w:rPr>
          <w:lang w:val="en-MY"/>
        </w:rPr>
        <w:t>The first multi-objective composite indicator is based on the results of the literature review. This Literature-based CE index (L-CEI) aims to synthesise the models and tools already developed in the literature. The steps for the definition of this indicator are presented below:</w:t>
      </w:r>
    </w:p>
    <w:p w14:paraId="52E3E9A1" w14:textId="53D1D99B" w:rsidR="00C34BEC" w:rsidRPr="00C34BEC" w:rsidRDefault="00C34BEC" w:rsidP="0081080C">
      <w:pPr>
        <w:numPr>
          <w:ilvl w:val="0"/>
          <w:numId w:val="20"/>
        </w:numPr>
        <w:rPr>
          <w:lang w:val="en-MY"/>
        </w:rPr>
      </w:pPr>
      <w:r w:rsidRPr="00C34BEC">
        <w:rPr>
          <w:lang w:val="en-MY"/>
        </w:rPr>
        <w:lastRenderedPageBreak/>
        <w:t xml:space="preserve">The weights of the three components representing the sustainability dimensions have been determined </w:t>
      </w:r>
      <w:r w:rsidR="005306C0" w:rsidRPr="00C34BEC">
        <w:rPr>
          <w:lang w:val="en-MY"/>
        </w:rPr>
        <w:t>based on</w:t>
      </w:r>
      <w:r w:rsidRPr="00C34BEC">
        <w:rPr>
          <w:lang w:val="en-MY"/>
        </w:rPr>
        <w:t xml:space="preserve"> their relative frequencies (as reported in Table 8). For instance, the weight of the economic dimension is 0.49 as this represents the normalised frequency of articles accounting for economic factors (with respect to a normalisation factor that is the sum of the percentage of articles reporting of each dimension). </w:t>
      </w:r>
    </w:p>
    <w:p w14:paraId="0C86B369" w14:textId="77777777" w:rsidR="00C34BEC" w:rsidRPr="00C34BEC" w:rsidRDefault="00C34BEC" w:rsidP="0081080C">
      <w:pPr>
        <w:numPr>
          <w:ilvl w:val="0"/>
          <w:numId w:val="20"/>
        </w:numPr>
        <w:rPr>
          <w:lang w:val="en-MY"/>
        </w:rPr>
      </w:pPr>
      <w:r w:rsidRPr="00C34BEC">
        <w:rPr>
          <w:lang w:val="en-MY"/>
        </w:rPr>
        <w:t>The subset of indicators considered for each dimension has been determined by considering the most popular metrics in the subset of papers selected in the review. The three most popular metrics have been selected for each dimension. Weights have been determined in a similar manner to what has been done for dimensions, considering normalised relative frequencies (Table 9).</w:t>
      </w:r>
    </w:p>
    <w:p w14:paraId="048B8487" w14:textId="77777777" w:rsidR="00C34BEC" w:rsidRPr="00C34BEC" w:rsidRDefault="00C34BEC" w:rsidP="0085122E">
      <w:pPr>
        <w:pStyle w:val="Figurecaption"/>
      </w:pPr>
      <w:r w:rsidRPr="00C34BEC">
        <w:t xml:space="preserve">Table </w:t>
      </w:r>
      <w:fldSimple w:instr=" SEQ Table \* ARABIC ">
        <w:r w:rsidRPr="00C34BEC">
          <w:t>8</w:t>
        </w:r>
      </w:fldSimple>
      <w:r w:rsidRPr="00C34BEC">
        <w:t xml:space="preserve"> - Calculation of the normalised weights for the dimensions</w:t>
      </w:r>
    </w:p>
    <w:tbl>
      <w:tblPr>
        <w:tblStyle w:val="TableGrid2"/>
        <w:tblW w:w="0" w:type="auto"/>
        <w:jc w:val="center"/>
        <w:tblLook w:val="04A0" w:firstRow="1" w:lastRow="0" w:firstColumn="1" w:lastColumn="0" w:noHBand="0" w:noVBand="1"/>
      </w:tblPr>
      <w:tblGrid>
        <w:gridCol w:w="1811"/>
        <w:gridCol w:w="1812"/>
        <w:gridCol w:w="1813"/>
      </w:tblGrid>
      <w:tr w:rsidR="00C34BEC" w:rsidRPr="00C34BEC" w14:paraId="56CCE0B6" w14:textId="77777777" w:rsidTr="0085122E">
        <w:trPr>
          <w:jc w:val="center"/>
        </w:trPr>
        <w:tc>
          <w:tcPr>
            <w:tcW w:w="1811" w:type="dxa"/>
          </w:tcPr>
          <w:p w14:paraId="7767EE94" w14:textId="77777777" w:rsidR="00C34BEC" w:rsidRPr="0085122E" w:rsidRDefault="00C34BEC" w:rsidP="0085122E">
            <w:pPr>
              <w:pStyle w:val="Tabletext"/>
            </w:pPr>
          </w:p>
        </w:tc>
        <w:tc>
          <w:tcPr>
            <w:tcW w:w="1812" w:type="dxa"/>
          </w:tcPr>
          <w:p w14:paraId="6938A52A" w14:textId="77777777" w:rsidR="00C34BEC" w:rsidRPr="0085122E" w:rsidRDefault="00C34BEC" w:rsidP="0085122E">
            <w:pPr>
              <w:pStyle w:val="Tabletext"/>
            </w:pPr>
            <w:r w:rsidRPr="0085122E">
              <w:t>Occurrences (%)</w:t>
            </w:r>
          </w:p>
        </w:tc>
        <w:tc>
          <w:tcPr>
            <w:tcW w:w="1813" w:type="dxa"/>
          </w:tcPr>
          <w:p w14:paraId="3D2530C6" w14:textId="77777777" w:rsidR="00C34BEC" w:rsidRPr="0085122E" w:rsidRDefault="00C34BEC" w:rsidP="0085122E">
            <w:pPr>
              <w:pStyle w:val="Tabletext"/>
            </w:pPr>
            <w:r w:rsidRPr="0085122E">
              <w:t>Normalised dimension weight</w:t>
            </w:r>
          </w:p>
        </w:tc>
      </w:tr>
      <w:tr w:rsidR="00C34BEC" w:rsidRPr="00C34BEC" w14:paraId="411ED0EB" w14:textId="77777777" w:rsidTr="0085122E">
        <w:trPr>
          <w:jc w:val="center"/>
        </w:trPr>
        <w:tc>
          <w:tcPr>
            <w:tcW w:w="1811" w:type="dxa"/>
          </w:tcPr>
          <w:p w14:paraId="0CD59C95" w14:textId="77777777" w:rsidR="00C34BEC" w:rsidRPr="0085122E" w:rsidRDefault="00C34BEC" w:rsidP="0085122E">
            <w:pPr>
              <w:pStyle w:val="Tabletext"/>
            </w:pPr>
            <w:r w:rsidRPr="0085122E">
              <w:t>Economic</w:t>
            </w:r>
          </w:p>
        </w:tc>
        <w:tc>
          <w:tcPr>
            <w:tcW w:w="1812" w:type="dxa"/>
          </w:tcPr>
          <w:p w14:paraId="79E4BA45" w14:textId="77777777" w:rsidR="00C34BEC" w:rsidRPr="0085122E" w:rsidRDefault="00C34BEC" w:rsidP="0085122E">
            <w:pPr>
              <w:pStyle w:val="Tabletext"/>
            </w:pPr>
            <w:r w:rsidRPr="0085122E">
              <w:t>80%</w:t>
            </w:r>
          </w:p>
        </w:tc>
        <w:tc>
          <w:tcPr>
            <w:tcW w:w="1813" w:type="dxa"/>
          </w:tcPr>
          <w:p w14:paraId="56CAE778" w14:textId="77777777" w:rsidR="00C34BEC" w:rsidRPr="0085122E" w:rsidRDefault="00C34BEC" w:rsidP="0085122E">
            <w:pPr>
              <w:pStyle w:val="Tabletext"/>
            </w:pPr>
            <w:r w:rsidRPr="0085122E">
              <w:t>0.49</w:t>
            </w:r>
          </w:p>
        </w:tc>
      </w:tr>
      <w:tr w:rsidR="00C34BEC" w:rsidRPr="00C34BEC" w14:paraId="09752780" w14:textId="77777777" w:rsidTr="0085122E">
        <w:trPr>
          <w:jc w:val="center"/>
        </w:trPr>
        <w:tc>
          <w:tcPr>
            <w:tcW w:w="1811" w:type="dxa"/>
          </w:tcPr>
          <w:p w14:paraId="5641978B" w14:textId="77777777" w:rsidR="00C34BEC" w:rsidRPr="0085122E" w:rsidRDefault="00C34BEC" w:rsidP="0085122E">
            <w:pPr>
              <w:pStyle w:val="Tabletext"/>
            </w:pPr>
            <w:r w:rsidRPr="0085122E">
              <w:t>Environmental</w:t>
            </w:r>
          </w:p>
        </w:tc>
        <w:tc>
          <w:tcPr>
            <w:tcW w:w="1812" w:type="dxa"/>
          </w:tcPr>
          <w:p w14:paraId="2D5F96F9" w14:textId="77777777" w:rsidR="00C34BEC" w:rsidRPr="0085122E" w:rsidRDefault="00C34BEC" w:rsidP="0085122E">
            <w:pPr>
              <w:pStyle w:val="Tabletext"/>
            </w:pPr>
            <w:r w:rsidRPr="0085122E">
              <w:t>66%</w:t>
            </w:r>
          </w:p>
        </w:tc>
        <w:tc>
          <w:tcPr>
            <w:tcW w:w="1813" w:type="dxa"/>
          </w:tcPr>
          <w:p w14:paraId="472FA260" w14:textId="77777777" w:rsidR="00C34BEC" w:rsidRPr="0085122E" w:rsidRDefault="00C34BEC" w:rsidP="0085122E">
            <w:pPr>
              <w:pStyle w:val="Tabletext"/>
            </w:pPr>
            <w:r w:rsidRPr="0085122E">
              <w:t>0.40</w:t>
            </w:r>
          </w:p>
        </w:tc>
      </w:tr>
      <w:tr w:rsidR="00C34BEC" w:rsidRPr="00C34BEC" w14:paraId="1C2ECDA1" w14:textId="77777777" w:rsidTr="0085122E">
        <w:trPr>
          <w:jc w:val="center"/>
        </w:trPr>
        <w:tc>
          <w:tcPr>
            <w:tcW w:w="1811" w:type="dxa"/>
          </w:tcPr>
          <w:p w14:paraId="6E791F2E" w14:textId="77777777" w:rsidR="00C34BEC" w:rsidRPr="0085122E" w:rsidRDefault="00C34BEC" w:rsidP="0085122E">
            <w:pPr>
              <w:pStyle w:val="Tabletext"/>
            </w:pPr>
            <w:r w:rsidRPr="0085122E">
              <w:t>Social</w:t>
            </w:r>
          </w:p>
        </w:tc>
        <w:tc>
          <w:tcPr>
            <w:tcW w:w="1812" w:type="dxa"/>
          </w:tcPr>
          <w:p w14:paraId="37AE2511" w14:textId="77777777" w:rsidR="00C34BEC" w:rsidRPr="0085122E" w:rsidRDefault="00C34BEC" w:rsidP="0085122E">
            <w:pPr>
              <w:pStyle w:val="Tabletext"/>
            </w:pPr>
            <w:r w:rsidRPr="0085122E">
              <w:t>18%</w:t>
            </w:r>
          </w:p>
        </w:tc>
        <w:tc>
          <w:tcPr>
            <w:tcW w:w="1813" w:type="dxa"/>
          </w:tcPr>
          <w:p w14:paraId="2ED0D2AC" w14:textId="77777777" w:rsidR="00C34BEC" w:rsidRPr="0085122E" w:rsidRDefault="00C34BEC" w:rsidP="0085122E">
            <w:pPr>
              <w:pStyle w:val="Tabletext"/>
            </w:pPr>
            <w:r w:rsidRPr="0085122E">
              <w:t>0.11</w:t>
            </w:r>
          </w:p>
        </w:tc>
      </w:tr>
    </w:tbl>
    <w:p w14:paraId="4A93555B" w14:textId="77777777" w:rsidR="00C34BEC" w:rsidRPr="00C34BEC" w:rsidRDefault="00C34BEC" w:rsidP="00C34BEC">
      <w:pPr>
        <w:rPr>
          <w:lang w:val="en-MY"/>
        </w:rPr>
      </w:pPr>
    </w:p>
    <w:p w14:paraId="113E62EC" w14:textId="77777777" w:rsidR="00C34BEC" w:rsidRPr="00C34BEC" w:rsidRDefault="00C34BEC" w:rsidP="0085122E">
      <w:pPr>
        <w:pStyle w:val="Figurecaption"/>
      </w:pPr>
      <w:r w:rsidRPr="00C34BEC">
        <w:t xml:space="preserve">Table </w:t>
      </w:r>
      <w:fldSimple w:instr=" SEQ Table \* ARABIC ">
        <w:r w:rsidRPr="00C34BEC">
          <w:t>9</w:t>
        </w:r>
      </w:fldSimple>
      <w:r w:rsidRPr="00C34BEC">
        <w:t xml:space="preserve"> - Calculation of the normalised weights for the economic indicators</w:t>
      </w:r>
    </w:p>
    <w:tbl>
      <w:tblPr>
        <w:tblStyle w:val="TableGrid2"/>
        <w:tblW w:w="0" w:type="auto"/>
        <w:jc w:val="center"/>
        <w:tblLayout w:type="fixed"/>
        <w:tblLook w:val="04A0" w:firstRow="1" w:lastRow="0" w:firstColumn="1" w:lastColumn="0" w:noHBand="0" w:noVBand="1"/>
      </w:tblPr>
      <w:tblGrid>
        <w:gridCol w:w="1836"/>
        <w:gridCol w:w="1700"/>
        <w:gridCol w:w="1842"/>
      </w:tblGrid>
      <w:tr w:rsidR="00C34BEC" w:rsidRPr="00C34BEC" w14:paraId="47DEDF32" w14:textId="77777777" w:rsidTr="0085122E">
        <w:trPr>
          <w:jc w:val="center"/>
        </w:trPr>
        <w:tc>
          <w:tcPr>
            <w:tcW w:w="1836" w:type="dxa"/>
          </w:tcPr>
          <w:p w14:paraId="2165A990" w14:textId="77777777" w:rsidR="00C34BEC" w:rsidRPr="00C34BEC" w:rsidRDefault="00C34BEC" w:rsidP="0085122E">
            <w:pPr>
              <w:pStyle w:val="Tabletext"/>
              <w:rPr>
                <w:lang w:val="en-MY"/>
              </w:rPr>
            </w:pPr>
          </w:p>
        </w:tc>
        <w:tc>
          <w:tcPr>
            <w:tcW w:w="1700" w:type="dxa"/>
          </w:tcPr>
          <w:p w14:paraId="5426CB22" w14:textId="77777777" w:rsidR="00C34BEC" w:rsidRPr="00C34BEC" w:rsidRDefault="00C34BEC" w:rsidP="0085122E">
            <w:pPr>
              <w:pStyle w:val="Tabletext"/>
              <w:rPr>
                <w:lang w:val="en-MY"/>
              </w:rPr>
            </w:pPr>
            <w:r w:rsidRPr="00C34BEC">
              <w:rPr>
                <w:lang w:val="en-MY"/>
              </w:rPr>
              <w:t>% articles</w:t>
            </w:r>
          </w:p>
        </w:tc>
        <w:tc>
          <w:tcPr>
            <w:tcW w:w="1842" w:type="dxa"/>
          </w:tcPr>
          <w:p w14:paraId="6F4BBEAD" w14:textId="77777777" w:rsidR="00C34BEC" w:rsidRPr="00C34BEC" w:rsidRDefault="00C34BEC" w:rsidP="0085122E">
            <w:pPr>
              <w:pStyle w:val="Tabletext"/>
              <w:rPr>
                <w:lang w:val="en-MY"/>
              </w:rPr>
            </w:pPr>
            <w:r w:rsidRPr="00C34BEC">
              <w:rPr>
                <w:lang w:val="en-MY"/>
              </w:rPr>
              <w:t>Normalised indicator weight</w:t>
            </w:r>
          </w:p>
        </w:tc>
      </w:tr>
      <w:tr w:rsidR="00C34BEC" w:rsidRPr="00C34BEC" w14:paraId="4B5CA6EF" w14:textId="77777777" w:rsidTr="0085122E">
        <w:trPr>
          <w:jc w:val="center"/>
        </w:trPr>
        <w:tc>
          <w:tcPr>
            <w:tcW w:w="1836" w:type="dxa"/>
          </w:tcPr>
          <w:p w14:paraId="4C254DD1" w14:textId="77777777" w:rsidR="00C34BEC" w:rsidRPr="00C34BEC" w:rsidRDefault="00C34BEC" w:rsidP="0085122E">
            <w:pPr>
              <w:pStyle w:val="Tabletext"/>
              <w:rPr>
                <w:lang w:val="en-MY"/>
              </w:rPr>
            </w:pPr>
            <w:r w:rsidRPr="00C34BEC">
              <w:rPr>
                <w:lang w:val="en-MY"/>
              </w:rPr>
              <w:t>CSC Cost</w:t>
            </w:r>
          </w:p>
        </w:tc>
        <w:tc>
          <w:tcPr>
            <w:tcW w:w="1700" w:type="dxa"/>
          </w:tcPr>
          <w:p w14:paraId="4E271DCC" w14:textId="77777777" w:rsidR="00C34BEC" w:rsidRPr="00C34BEC" w:rsidRDefault="00C34BEC" w:rsidP="0085122E">
            <w:pPr>
              <w:pStyle w:val="Tabletext"/>
              <w:rPr>
                <w:lang w:val="en-MY"/>
              </w:rPr>
            </w:pPr>
            <w:r w:rsidRPr="00C34BEC">
              <w:rPr>
                <w:lang w:val="en-MY"/>
              </w:rPr>
              <w:t>52%</w:t>
            </w:r>
          </w:p>
        </w:tc>
        <w:tc>
          <w:tcPr>
            <w:tcW w:w="1842" w:type="dxa"/>
          </w:tcPr>
          <w:p w14:paraId="4DAEF0E7" w14:textId="77777777" w:rsidR="00C34BEC" w:rsidRPr="00C34BEC" w:rsidRDefault="00C34BEC" w:rsidP="0085122E">
            <w:pPr>
              <w:pStyle w:val="Tabletext"/>
              <w:rPr>
                <w:lang w:val="en-MY"/>
              </w:rPr>
            </w:pPr>
            <w:r w:rsidRPr="00C34BEC">
              <w:rPr>
                <w:lang w:val="en-MY"/>
              </w:rPr>
              <w:t>0.31</w:t>
            </w:r>
          </w:p>
        </w:tc>
      </w:tr>
      <w:tr w:rsidR="00C34BEC" w:rsidRPr="00C34BEC" w14:paraId="2ECF1106" w14:textId="77777777" w:rsidTr="0085122E">
        <w:trPr>
          <w:jc w:val="center"/>
        </w:trPr>
        <w:tc>
          <w:tcPr>
            <w:tcW w:w="1836" w:type="dxa"/>
          </w:tcPr>
          <w:p w14:paraId="3C7CF092" w14:textId="77777777" w:rsidR="00C34BEC" w:rsidRPr="00C34BEC" w:rsidRDefault="00C34BEC" w:rsidP="0085122E">
            <w:pPr>
              <w:pStyle w:val="Tabletext"/>
              <w:rPr>
                <w:lang w:val="en-MY"/>
              </w:rPr>
            </w:pPr>
            <w:r w:rsidRPr="00C34BEC">
              <w:rPr>
                <w:lang w:val="en-MY"/>
              </w:rPr>
              <w:t>CSC Profit</w:t>
            </w:r>
          </w:p>
        </w:tc>
        <w:tc>
          <w:tcPr>
            <w:tcW w:w="1700" w:type="dxa"/>
          </w:tcPr>
          <w:p w14:paraId="2025F166" w14:textId="77777777" w:rsidR="00C34BEC" w:rsidRPr="00C34BEC" w:rsidRDefault="00C34BEC" w:rsidP="0085122E">
            <w:pPr>
              <w:pStyle w:val="Tabletext"/>
              <w:rPr>
                <w:lang w:val="en-MY"/>
              </w:rPr>
            </w:pPr>
            <w:r w:rsidRPr="00C34BEC">
              <w:rPr>
                <w:lang w:val="en-MY"/>
              </w:rPr>
              <w:t>22%</w:t>
            </w:r>
          </w:p>
        </w:tc>
        <w:tc>
          <w:tcPr>
            <w:tcW w:w="1842" w:type="dxa"/>
          </w:tcPr>
          <w:p w14:paraId="6AAAA028" w14:textId="77777777" w:rsidR="00C34BEC" w:rsidRPr="00C34BEC" w:rsidRDefault="00C34BEC" w:rsidP="0085122E">
            <w:pPr>
              <w:pStyle w:val="Tabletext"/>
              <w:rPr>
                <w:lang w:val="en-MY"/>
              </w:rPr>
            </w:pPr>
            <w:r w:rsidRPr="00C34BEC">
              <w:rPr>
                <w:lang w:val="en-MY"/>
              </w:rPr>
              <w:t>0.13</w:t>
            </w:r>
          </w:p>
        </w:tc>
      </w:tr>
      <w:tr w:rsidR="00C34BEC" w:rsidRPr="00C34BEC" w14:paraId="455015A8" w14:textId="77777777" w:rsidTr="0085122E">
        <w:trPr>
          <w:jc w:val="center"/>
        </w:trPr>
        <w:tc>
          <w:tcPr>
            <w:tcW w:w="1836" w:type="dxa"/>
          </w:tcPr>
          <w:p w14:paraId="58CCDBA2" w14:textId="77777777" w:rsidR="00C34BEC" w:rsidRPr="00C34BEC" w:rsidRDefault="00C34BEC" w:rsidP="0085122E">
            <w:pPr>
              <w:pStyle w:val="Tabletext"/>
            </w:pPr>
            <w:r w:rsidRPr="00C34BEC">
              <w:t>Time Responsiveness</w:t>
            </w:r>
          </w:p>
        </w:tc>
        <w:tc>
          <w:tcPr>
            <w:tcW w:w="1700" w:type="dxa"/>
          </w:tcPr>
          <w:p w14:paraId="4612C87E" w14:textId="77777777" w:rsidR="00C34BEC" w:rsidRPr="00C34BEC" w:rsidRDefault="00C34BEC" w:rsidP="0085122E">
            <w:pPr>
              <w:pStyle w:val="Tabletext"/>
              <w:rPr>
                <w:lang w:val="en-MY"/>
              </w:rPr>
            </w:pPr>
            <w:r w:rsidRPr="00C34BEC">
              <w:rPr>
                <w:lang w:val="en-MY"/>
              </w:rPr>
              <w:t>8%</w:t>
            </w:r>
          </w:p>
        </w:tc>
        <w:tc>
          <w:tcPr>
            <w:tcW w:w="1842" w:type="dxa"/>
          </w:tcPr>
          <w:p w14:paraId="59A2602A" w14:textId="77777777" w:rsidR="00C34BEC" w:rsidRPr="00C34BEC" w:rsidRDefault="00C34BEC" w:rsidP="0085122E">
            <w:pPr>
              <w:pStyle w:val="Tabletext"/>
              <w:rPr>
                <w:lang w:val="en-MY"/>
              </w:rPr>
            </w:pPr>
            <w:r w:rsidRPr="00C34BEC">
              <w:rPr>
                <w:lang w:val="en-MY"/>
              </w:rPr>
              <w:t>0.05</w:t>
            </w:r>
          </w:p>
        </w:tc>
      </w:tr>
    </w:tbl>
    <w:p w14:paraId="4F97CA81" w14:textId="77777777" w:rsidR="0085122E" w:rsidRDefault="0085122E" w:rsidP="00C34BEC"/>
    <w:p w14:paraId="2C5BA52D" w14:textId="2FAE5FA3" w:rsidR="00C34BEC" w:rsidRPr="00C34BEC" w:rsidRDefault="00C34BEC" w:rsidP="00C34BEC">
      <w:r w:rsidRPr="00C34BEC">
        <w:t xml:space="preserve">Figure 13 shows L-CEI and its components and the weights. </w:t>
      </w:r>
      <w:r w:rsidRPr="00C34BEC">
        <w:rPr>
          <w:lang w:val="en-MY"/>
        </w:rPr>
        <w:t xml:space="preserve">The economic dimension </w:t>
      </w:r>
      <w:r w:rsidRPr="00C34BEC">
        <w:t>dominates</w:t>
      </w:r>
      <w:r w:rsidRPr="00C34BEC">
        <w:rPr>
          <w:lang w:val="en-MY"/>
        </w:rPr>
        <w:t>, and accounts for around half of the total weight. The metrics are mainly cost-based and profit-based measures. A small portion (0.05) is given by a parameter representing the Time Responsiveness, which measures the time taken by the supply chain to move materials and components in the forward and the reverse supply chain.</w:t>
      </w:r>
    </w:p>
    <w:p w14:paraId="6D3519E6" w14:textId="5870704B" w:rsidR="00C34BEC" w:rsidRDefault="00C34BEC" w:rsidP="00C34BEC">
      <w:pPr>
        <w:rPr>
          <w:lang w:val="en-MY"/>
        </w:rPr>
      </w:pPr>
      <w:r w:rsidRPr="00C34BEC">
        <w:rPr>
          <w:noProof/>
          <w:lang w:eastAsia="zh-CN"/>
        </w:rPr>
        <w:lastRenderedPageBreak/>
        <w:drawing>
          <wp:inline distT="0" distB="0" distL="0" distR="0" wp14:anchorId="63DFCF92" wp14:editId="1C2B0CAD">
            <wp:extent cx="5486400" cy="3200400"/>
            <wp:effectExtent l="0" t="0" r="0" b="381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14:paraId="0EC00A95" w14:textId="77777777" w:rsidR="0085122E" w:rsidRPr="00C34BEC" w:rsidRDefault="0085122E" w:rsidP="00D53414">
      <w:pPr>
        <w:pStyle w:val="Figurecaption"/>
      </w:pPr>
      <w:r w:rsidRPr="00C34BEC">
        <w:t xml:space="preserve">Figure </w:t>
      </w:r>
      <w:fldSimple w:instr=" SEQ Figure \* ARABIC ">
        <w:r w:rsidRPr="00C34BEC">
          <w:t>13</w:t>
        </w:r>
      </w:fldSimple>
      <w:r w:rsidRPr="00C34BEC">
        <w:t xml:space="preserve"> - A literature-based CE indicator</w:t>
      </w:r>
    </w:p>
    <w:p w14:paraId="292F73A8" w14:textId="77777777" w:rsidR="00C34BEC" w:rsidRPr="00C34BEC" w:rsidRDefault="00C34BEC" w:rsidP="00C34BEC">
      <w:r w:rsidRPr="00C34BEC">
        <w:rPr>
          <w:lang w:val="en-MY"/>
        </w:rPr>
        <w:t>Among the environmental metrics prominence is given to the CO</w:t>
      </w:r>
      <w:r w:rsidRPr="00C34BEC">
        <w:rPr>
          <w:vertAlign w:val="subscript"/>
          <w:lang w:val="en-MY"/>
        </w:rPr>
        <w:t>2</w:t>
      </w:r>
      <w:r w:rsidRPr="00C34BEC">
        <w:rPr>
          <w:lang w:val="en-MY"/>
        </w:rPr>
        <w:t>-eq. emissions parameter. The ‘Energy use’ and ‘Virgin Resource use’ metrics have a similar and limited importance (0.08 and 0.07), and account for how intensively the supply chain makes use of energy and of primary resources. The Social component just accounts for 11% of the weight; within this dimension, selected metrics include the employment opportunities of the reverse supply chain ‘CSC Jobs created’ (0.05), and some measures of the quality of jobs, such as compliance to Health &amp; Safety standards and ‘Quality of work’. This last measure usually includes the number of accidents that cause workers’ injuries across supply chain activities.</w:t>
      </w:r>
    </w:p>
    <w:p w14:paraId="1C74CB7A" w14:textId="1858B752" w:rsidR="00C34BEC" w:rsidRPr="00C34BEC" w:rsidRDefault="0090228D" w:rsidP="0034288B">
      <w:pPr>
        <w:pStyle w:val="Heading4Paragraph"/>
        <w:rPr>
          <w:lang w:val="en-US"/>
        </w:rPr>
      </w:pPr>
      <w:bookmarkStart w:id="242" w:name="_Toc39268491"/>
      <w:r>
        <w:rPr>
          <w:lang w:val="en-US"/>
        </w:rPr>
        <w:t xml:space="preserve">4.3.2 </w:t>
      </w:r>
      <w:r w:rsidR="00C34BEC" w:rsidRPr="00C34BEC">
        <w:rPr>
          <w:lang w:val="en-US"/>
        </w:rPr>
        <w:t>An industry-based CE composite indicator for supply chain</w:t>
      </w:r>
      <w:bookmarkEnd w:id="242"/>
    </w:p>
    <w:p w14:paraId="47AEB9D2" w14:textId="77777777" w:rsidR="00C34BEC" w:rsidRPr="00C34BEC" w:rsidRDefault="00C34BEC" w:rsidP="00C34BEC">
      <w:pPr>
        <w:rPr>
          <w:lang w:val="en-MY"/>
        </w:rPr>
      </w:pPr>
      <w:r w:rsidRPr="00C34BEC">
        <w:rPr>
          <w:lang w:val="en-MY"/>
        </w:rPr>
        <w:t>The second prototype, the Industry-based CE index (I-CEI), is based on the results of the previously presented review of the industrial practice (Section 4.2). The steps for the definition of this indicator are presented below:</w:t>
      </w:r>
    </w:p>
    <w:p w14:paraId="151B9777" w14:textId="792B766A" w:rsidR="00C34BEC" w:rsidRPr="00C34BEC" w:rsidRDefault="00C34BEC" w:rsidP="0081080C">
      <w:pPr>
        <w:numPr>
          <w:ilvl w:val="0"/>
          <w:numId w:val="20"/>
        </w:numPr>
        <w:rPr>
          <w:lang w:val="en-MY"/>
        </w:rPr>
      </w:pPr>
      <w:r w:rsidRPr="00C34BEC">
        <w:rPr>
          <w:lang w:val="en-MY"/>
        </w:rPr>
        <w:t xml:space="preserve">The weights of the three components representing the sustainability dimensions have been determined </w:t>
      </w:r>
      <w:r w:rsidR="005306C0" w:rsidRPr="00C34BEC">
        <w:rPr>
          <w:lang w:val="en-MY"/>
        </w:rPr>
        <w:t>based on</w:t>
      </w:r>
      <w:r w:rsidRPr="00C34BEC">
        <w:rPr>
          <w:lang w:val="en-MY"/>
        </w:rPr>
        <w:t xml:space="preserve"> the relative frequencies, in analogy with the calculations shown for L-CEI. </w:t>
      </w:r>
    </w:p>
    <w:p w14:paraId="5E8E7277" w14:textId="194F9ACE" w:rsidR="00C34BEC" w:rsidRPr="00C34BEC" w:rsidRDefault="00C34BEC" w:rsidP="0081080C">
      <w:pPr>
        <w:numPr>
          <w:ilvl w:val="0"/>
          <w:numId w:val="20"/>
        </w:numPr>
        <w:rPr>
          <w:lang w:val="en-MY"/>
        </w:rPr>
      </w:pPr>
      <w:r w:rsidRPr="00C34BEC">
        <w:rPr>
          <w:lang w:val="en-MY"/>
        </w:rPr>
        <w:t xml:space="preserve">The subset of indicators considered for each dimension has been determined by considering the most popular metrics in the sample of organisations. The three most </w:t>
      </w:r>
      <w:r w:rsidRPr="00C34BEC">
        <w:rPr>
          <w:lang w:val="en-MY"/>
        </w:rPr>
        <w:lastRenderedPageBreak/>
        <w:t xml:space="preserve">popular metrics have been selected for each dimension. The relative weights inside each dimension have been chosen </w:t>
      </w:r>
      <w:r w:rsidR="005306C0" w:rsidRPr="00C34BEC">
        <w:rPr>
          <w:lang w:val="en-MY"/>
        </w:rPr>
        <w:t>based on</w:t>
      </w:r>
      <w:r w:rsidRPr="00C34BEC">
        <w:rPr>
          <w:lang w:val="en-MY"/>
        </w:rPr>
        <w:t xml:space="preserve"> the relative frequencies, in analogy with the calculations shown for L-CEI.</w:t>
      </w:r>
    </w:p>
    <w:p w14:paraId="19CA2EF4" w14:textId="77777777" w:rsidR="00C34BEC" w:rsidRPr="00C34BEC" w:rsidRDefault="00C34BEC" w:rsidP="00C34BEC">
      <w:pPr>
        <w:rPr>
          <w:lang w:val="en-MY"/>
        </w:rPr>
      </w:pPr>
      <w:r w:rsidRPr="00C34BEC">
        <w:rPr>
          <w:lang w:val="en-MY"/>
        </w:rPr>
        <w:t xml:space="preserve">The environmental component is </w:t>
      </w:r>
      <w:r w:rsidRPr="00C34BEC">
        <w:t>dominant (Figure 14)</w:t>
      </w:r>
      <w:r w:rsidRPr="00C34BEC">
        <w:rPr>
          <w:lang w:val="en-MY"/>
        </w:rPr>
        <w:t>, and accounts for more than half of the total weight. The most important metrics are mainly carbon-based and energy-based measures, not differing from the ones which can be found in the sustainable supply chain management literature, with no specific emphasis on circularity issues. A large portion (0.21) is also given by a parameter representing the consumption of water.</w:t>
      </w:r>
      <w:r w:rsidRPr="00C34BEC">
        <w:t xml:space="preserve"> </w:t>
      </w:r>
      <w:r w:rsidRPr="00C34BEC">
        <w:rPr>
          <w:lang w:val="en-MY"/>
        </w:rPr>
        <w:t xml:space="preserve">Among the economic indicators considerable importance is given investments to support the transition towards a more CE, both through sustainable investments (0.15) and through disinvesting from polluting and carbon intensive solutions (CIS) (0.09). Revenues from “green” products refers to the sale of sustainable or remanufactured products and services. The Social dimension has a slightly lower weight than in the L-CEI (0.06) and includes a single indicator (the amount of ‘green jobs’ created). </w:t>
      </w:r>
    </w:p>
    <w:p w14:paraId="20C34E15" w14:textId="5CD9E517" w:rsidR="00C34BEC" w:rsidRDefault="00C34BEC" w:rsidP="00C34BEC">
      <w:pPr>
        <w:rPr>
          <w:lang w:val="en-US"/>
        </w:rPr>
      </w:pPr>
      <w:r w:rsidRPr="00C34BEC">
        <w:rPr>
          <w:noProof/>
          <w:lang w:eastAsia="zh-CN"/>
        </w:rPr>
        <w:drawing>
          <wp:inline distT="0" distB="0" distL="0" distR="0" wp14:anchorId="3A920D42" wp14:editId="1013709A">
            <wp:extent cx="5486400" cy="3200400"/>
            <wp:effectExtent l="0" t="0" r="0" b="3810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2DF04363" w14:textId="77777777" w:rsidR="0085122E" w:rsidRPr="00C34BEC" w:rsidRDefault="0085122E" w:rsidP="00D53414">
      <w:pPr>
        <w:pStyle w:val="Figurecaption"/>
      </w:pPr>
      <w:r w:rsidRPr="00C34BEC">
        <w:t xml:space="preserve">Figure </w:t>
      </w:r>
      <w:fldSimple w:instr=" SEQ Figure \* ARABIC ">
        <w:r w:rsidRPr="00C34BEC">
          <w:t>14</w:t>
        </w:r>
      </w:fldSimple>
      <w:r w:rsidRPr="00C34BEC">
        <w:t xml:space="preserve"> - An industry-based CE indicator. CIS: Carbon Intensive Solutions.</w:t>
      </w:r>
    </w:p>
    <w:p w14:paraId="7F97443B" w14:textId="77777777" w:rsidR="00C34BEC" w:rsidRPr="00C34BEC" w:rsidRDefault="00C34BEC" w:rsidP="0034288B">
      <w:pPr>
        <w:pStyle w:val="Heading2"/>
      </w:pPr>
      <w:bookmarkStart w:id="243" w:name="_Toc157759599"/>
      <w:bookmarkStart w:id="244" w:name="_Toc39268488"/>
      <w:r w:rsidRPr="00C34BEC">
        <w:t>Discussion</w:t>
      </w:r>
      <w:bookmarkEnd w:id="243"/>
    </w:p>
    <w:p w14:paraId="69218C02" w14:textId="77777777" w:rsidR="00C34BEC" w:rsidRPr="00C34BEC" w:rsidRDefault="00C34BEC" w:rsidP="00C34BEC">
      <w:r w:rsidRPr="00C34BEC">
        <w:t xml:space="preserve">The objective of the discussion section is to critique what existing DSTs in the context of CSCM are measuring. The first subsection compares the academic and the industrial literature. Then, a critical discussion highlights how DSTs and CE indicators are always affected by reductionism. The advantages and the disadvantages of different approaches to multidimensional decision </w:t>
      </w:r>
      <w:r w:rsidRPr="00C34BEC">
        <w:lastRenderedPageBreak/>
        <w:t xml:space="preserve">making are discussed, together with some research avenues and new research ideas that could be looked at to contribute to future research on DSTs for CSCs. </w:t>
      </w:r>
    </w:p>
    <w:p w14:paraId="47051D3D" w14:textId="77777777" w:rsidR="00C34BEC" w:rsidRPr="00C34BEC" w:rsidRDefault="00C34BEC" w:rsidP="0034288B">
      <w:pPr>
        <w:pStyle w:val="Heading3"/>
      </w:pPr>
      <w:bookmarkStart w:id="245" w:name="_Toc157759600"/>
      <w:r w:rsidRPr="00C34BEC">
        <w:t>Comparing CE indicators in the literature and the practice</w:t>
      </w:r>
      <w:bookmarkEnd w:id="245"/>
    </w:p>
    <w:p w14:paraId="2A3F984F" w14:textId="77777777" w:rsidR="00C34BEC" w:rsidRPr="00C34BEC" w:rsidRDefault="00C34BEC" w:rsidP="00C34BEC">
      <w:pPr>
        <w:rPr>
          <w:lang w:val="en-MY"/>
        </w:rPr>
      </w:pPr>
      <w:r w:rsidRPr="00C34BEC">
        <w:t xml:space="preserve">The first aspect that emerges is that DSTs in the literature and Corporate Sustainability reports place emphasis on different aspects and metrics. </w:t>
      </w:r>
      <w:r w:rsidRPr="00C34BEC">
        <w:rPr>
          <w:lang w:val="en-MY"/>
        </w:rPr>
        <w:t xml:space="preserve">L-CEI, </w:t>
      </w:r>
      <w:r w:rsidRPr="00C34BEC">
        <w:t>which represent the most common metrics selected in DSTs in the literature,</w:t>
      </w:r>
      <w:r w:rsidRPr="00C34BEC">
        <w:rPr>
          <w:lang w:val="en-MY"/>
        </w:rPr>
        <w:t xml:space="preserve"> seems to over-represent measures that depend on the economic cost. </w:t>
      </w:r>
      <w:r w:rsidRPr="00C34BEC">
        <w:t>On the other side practitioners measure more often positive environmental effects of CE practices,</w:t>
      </w:r>
      <w:r w:rsidRPr="00C34BEC">
        <w:rPr>
          <w:lang w:val="en-MY"/>
        </w:rPr>
        <w:t xml:space="preserve"> focusing on the energy consumption of the supply chain, and on its dependence on carbon intensive sources. Also, they integrate more often circularity metrics which make a mass balances between inputs and outputs in the production system </w:t>
      </w:r>
      <w:r w:rsidRPr="00C34BEC">
        <w:rPr>
          <w:lang w:val="en-MY"/>
        </w:rPr>
        <w:fldChar w:fldCharType="begin" w:fldLock="1"/>
      </w:r>
      <w:r w:rsidRPr="00C34BEC">
        <w:rPr>
          <w:lang w:val="en-MY"/>
        </w:rPr>
        <w:instrText>ADDIN CSL_CITATION {"citationItems":[{"id":"ITEM-1","itemData":{"DOI":"10.1016/j.jclepro.2020.125457","ISSN":"09596526","abstract":"Circular economy has become a central concept of sustainable production and consumption since its introduction into the public eye. However, to ensure circular economy actually delivers on its promises regarding sustainability, it is vital to anticipate and assess the impact of circular economy practices in an integrated way. For that purpose, holistic assessments are crucial to enable transparent decision-making, clearly indicating possible trade-offs. While previous literature has mainly focused on product, company or country level, this paper contributes to an improved understanding of sustainability assessments on the inter-firm level. Given the vital role of inter-firm networks in the transition to a circular economy, the authors present a systematic literature review of sustainability assessment approaches applicable within circular inter-firm networks. These networks are primarily represented in two related fields relevant to circular economy: industrial ecology offers sustainability assessment approaches for inter- and intra-sectoral business activities at different scales, whereas circular supply chain management is a promising source for sustainability assessment approaches considering product life cycles. Over 100 academic publications are reviewed and categorised according to assessment type, correspondence to the relevant field, and sustainability dimensions addressed. The results demonstrate that life cycle-based methodologies as well as indicator frameworks, often combined with multi-criteria decision-making methods, are the most common ex-post assessment approaches. Concurrently, the most frequent ex-ante assessments are based on mathematical programming. It is further observed that industrial ecology-related publications present more comprehensive environmental assessments, while circular supply chain management literature includes the social dimension more often, but superficially. Overall, the social dimension is least assessed and least integrated into the sustainability assessment. Based on the findings of the review, an integrated framework of approaches is developed, enabling decision-makers to identify suitable sustainability assessment approaches for circular inter-firm networks.","author":[{"dropping-particle":"","family":"Walker","given":"Anna M.","non-dropping-particle":"","parse-names":false,"suffix":""},{"dropping-particle":"","family":"Vermeulen","given":"Walter J.V.","non-dropping-particle":"","parse-names":false,"suffix":""},{"dropping-particle":"","family":"Simboli","given":"Alberto","non-dropping-particle":"","parse-names":false,"suffix":""},{"dropping-particle":"","family":"Raggi","given":"Andrea","non-dropping-particle":"","parse-names":false,"suffix":""}],"container-title":"Journal of Cleaner Production","id":"ITEM-1","issued":{"date-parts":[["2021"]]},"page":"125457","publisher":"Elsevier Ltd","title":"Sustainability assessment in circular inter-firm networks: An integrated framework of industrial ecology and circular supply chain management approaches","type":"article-journal","volume":"286"},"uris":["http://www.mendeley.com/documents/?uuid=8101a4e7-58f6-4cf5-bb14-5685496ac2ed"]}],"mendeley":{"formattedCitation":"(Walker, Vermeulen, et al., 2021)","plainTextFormattedCitation":"(Walker, Vermeulen, et al., 2021)","previouslyFormattedCitation":"(Walker, Vermeulen, et al., 2021)"},"properties":{"noteIndex":0},"schema":"https://github.com/citation-style-language/schema/raw/master/csl-citation.json"}</w:instrText>
      </w:r>
      <w:r w:rsidRPr="00C34BEC">
        <w:rPr>
          <w:lang w:val="en-MY"/>
        </w:rPr>
        <w:fldChar w:fldCharType="separate"/>
      </w:r>
      <w:r w:rsidRPr="00C34BEC">
        <w:rPr>
          <w:lang w:val="en-MY"/>
        </w:rPr>
        <w:t>(Walker, Vermeulen, et al., 2021)</w:t>
      </w:r>
      <w:r w:rsidRPr="00C34BEC">
        <w:fldChar w:fldCharType="end"/>
      </w:r>
      <w:r w:rsidRPr="00C34BEC">
        <w:rPr>
          <w:lang w:val="en-MY"/>
        </w:rPr>
        <w:t xml:space="preserve">. </w:t>
      </w:r>
    </w:p>
    <w:p w14:paraId="64C2DECC" w14:textId="77777777" w:rsidR="00C34BEC" w:rsidRPr="00C34BEC" w:rsidRDefault="00C34BEC" w:rsidP="00C34BEC">
      <w:r w:rsidRPr="00C34BEC">
        <w:t xml:space="preserve">A possible explanation of these differences might have to do with the different scope of sustainability reporting and DSTs. DSTs most of the times look at the implementation of new CE practices, which require evaluating economic aspects and to define a business case for the organisation and the supply chain. Differently, Corporate Sustainability reports perform a consumptive evaluation of already implemented CE practices (usually referring to the previous financial year). Despite the lack of standard reporting approaches </w:t>
      </w:r>
      <w:r w:rsidRPr="00C34BEC">
        <w:fldChar w:fldCharType="begin" w:fldLock="1"/>
      </w:r>
      <w:r w:rsidRPr="00C34BEC">
        <w:instrText>ADDIN CSL_CITATION {"citationItems":[{"id":"ITEM-1","itemData":{"DOI":"10.1002/bse.2854","ISSN":"0964-4733","abstract":"A growing commitment from companies to implement circular economy (CE) strategies demands the development of guidelines for consistent related external communication. The fields of non-financial reporting and sustainability are well established with numerous available international reporting frameworks and approaches; however, there is still an absence of standardised reporting principles and procedures for publishing progress on circularity. In this context, this article aims to explore how companies could include CE within their corporate sustainability reports, through an academic literature review and content analysis of existent reporting approaches. Results showed a clear disconnection between CE and sustainability reporting literature. Overall, only a few of the revised reporting approaches explicitly mention CE, and the guidance given to companies is very general, inconsistent and places the responsibility of selecting performance assessment approaches on the companies. The analysis contributes to identifying opportunities for transparent external communication of CE issues, as well as exploring the challenges and limitations.","author":[{"dropping-particle":"","family":"Opferkuch","given":"Katelin","non-dropping-particle":"","parse-names":false,"suffix":""},{"dropping-particle":"","family":"Caeiro","given":"Sandra","non-dropping-particle":"","parse-names":false,"suffix":""},{"dropping-particle":"","family":"Salomone","given":"Roberta","non-dropping-particle":"","parse-names":false,"suffix":""},{"dropping-particle":"","family":"Ramos","given":"Tomás B.","non-dropping-particle":"","parse-names":false,"suffix":""}],"container-title":"Business Strategy and the Environment","id":"ITEM-1","issue":"June","issued":{"date-parts":[["2021"]]},"page":"1-22","title":"Circular economy in corporate sustainability reporting: A review of organisational approaches","type":"article-journal"},"uris":["http://www.mendeley.com/documents/?uuid=33e9e721-075f-4a18-94ae-5dfe74fb2d11"]}],"mendeley":{"formattedCitation":"(Opferkuch et al., 2021)","plainTextFormattedCitation":"(Opferkuch et al., 2021)","previouslyFormattedCitation":"(Opferkuch et al., 2021)"},"properties":{"noteIndex":0},"schema":"https://github.com/citation-style-language/schema/raw/master/csl-citation.json"}</w:instrText>
      </w:r>
      <w:r w:rsidRPr="00C34BEC">
        <w:fldChar w:fldCharType="separate"/>
      </w:r>
      <w:r w:rsidRPr="00C34BEC">
        <w:t>(Opferkuch et al., 2021)</w:t>
      </w:r>
      <w:r w:rsidRPr="00C34BEC">
        <w:fldChar w:fldCharType="end"/>
      </w:r>
      <w:r w:rsidRPr="00C34BEC">
        <w:t xml:space="preserve">, CE is considered a framework expected to reduce organisations’ impact on the environment and the stakeholders are requiring this type of evidence in reports </w:t>
      </w:r>
      <w:r w:rsidRPr="00C34BEC">
        <w:fldChar w:fldCharType="begin" w:fldLock="1"/>
      </w:r>
      <w:r w:rsidRPr="00C34BEC">
        <w:instrText>ADDIN CSL_CITATION {"citationItems":[{"id":"ITEM-1","itemData":{"DOI":"10.1080/00207543.2018.1524166","author":[{"dropping-particle":"","family":"Howard","given":"Mickey","non-dropping-particle":"","parse-names":false,"suffix":""},{"dropping-particle":"","family":"Hopkinson","given":"Peter","non-dropping-particle":"","parse-names":false,"suffix":""},{"dropping-particle":"","family":"Miemczyk","given":"Joe","non-dropping-particle":"","parse-names":false,"suffix":""}],"id":"ITEM-1","issued":{"date-parts":[["2019"]]},"publisher":"Taylor &amp; Francis","title":"The regenerative supply chain : a framework for developing circular economy indicators","type":"article-journal","volume":"7543"},"uris":["http://www.mendeley.com/documents/?uuid=7c871cf9-b9e1-451e-a58e-5b7fea86a8e9"]}],"mendeley":{"formattedCitation":"(Howard et al., 2019)","plainTextFormattedCitation":"(Howard et al., 2019)","previouslyFormattedCitation":"(Howard et al., 2019)"},"properties":{"noteIndex":0},"schema":"https://github.com/citation-style-language/schema/raw/master/csl-citation.json"}</w:instrText>
      </w:r>
      <w:r w:rsidRPr="00C34BEC">
        <w:fldChar w:fldCharType="separate"/>
      </w:r>
      <w:r w:rsidRPr="00C34BEC">
        <w:t>(Howard et al., 2019)</w:t>
      </w:r>
      <w:r w:rsidRPr="00C34BEC">
        <w:fldChar w:fldCharType="end"/>
      </w:r>
      <w:r w:rsidRPr="00C34BEC">
        <w:t xml:space="preserve">. </w:t>
      </w:r>
    </w:p>
    <w:p w14:paraId="22EA189E" w14:textId="77777777" w:rsidR="00C34BEC" w:rsidRPr="00C34BEC" w:rsidRDefault="00C34BEC" w:rsidP="00C34BEC">
      <w:r w:rsidRPr="00C34BEC">
        <w:t xml:space="preserve">Both the indexes (L-CEI and I-CEI) show that existing frameworks and selected metrics struggle to fully capture the adherence of supply chains to the CE paradigm. </w:t>
      </w:r>
      <w:r w:rsidRPr="00C34BEC">
        <w:rPr>
          <w:lang w:val="en-MY"/>
        </w:rPr>
        <w:t xml:space="preserve">Materials circularity indicators are included only in rare cases and </w:t>
      </w:r>
      <w:r w:rsidRPr="00C34BEC">
        <w:t xml:space="preserve">environmental </w:t>
      </w:r>
      <w:r w:rsidRPr="00C34BEC">
        <w:rPr>
          <w:lang w:val="en-MY"/>
        </w:rPr>
        <w:t xml:space="preserve">aspects are often restricted to very simplified indicators, usually based on the cumulative carbon emissions of the supply chain. This choice might derive from knowledge that is consolidated in SSCM discipline: </w:t>
      </w:r>
      <w:r w:rsidRPr="00C34BEC">
        <w:t xml:space="preserve">the operationalisation of reverse logistics feedback loops require the activation of facilities (such as processing and disassembling centres, along with remanufacturing plants) and, possibly additional transportation flows </w:t>
      </w:r>
      <w:r w:rsidRPr="00C34BEC">
        <w:fldChar w:fldCharType="begin" w:fldLock="1"/>
      </w:r>
      <w:r w:rsidRPr="00C34BEC">
        <w:instrText>ADDIN CSL_CITATION {"citationItems":[{"id":"ITEM-1","itemData":{"DOI":"10.1111/jiec.12924","ISSN":"15309290","abstract":"Understanding how a circular economy (CE) can reduce environmental pressures from economic activities is crucial for policy and practice. Science provides a range of indicators to monitor and assess CE activities. However, common CE activities, such as recycling and eco-design, are contested in terms of their contribution to environmental sustainability. This article assesses whether and to what extent current approaches to assess CE activities sufficiently capture environmental pressures to monitor progress toward environmental sustainability. Based on a material flow perspective, we show that most indicators do not capture environmental pressures related to the CE activities they address. Many focus on a single CE activity or process, which does not necessarily contribute to increased environmental sustainability overall. Based on these results, we suggest complementing CE management indicators with indicators capturing basic environmental pressures related to the respective CE activity. Given the conceptual linkage between CE activities, resource extraction, and waste flows, we suggest that a resource-based footprint approach accounting for major environmental inputs and outputs is necessary—while not sufficient—to assess the environmental sustainability of CE activities. As footprint approaches can be used across scales, they could aid the challenging process of developing indicators for monitoring progress toward an environmentally sustainable CE at the European, national, and company levels.","author":[{"dropping-particle":"","family":"Helander","given":"Hanna","non-dropping-particle":"","parse-names":false,"suffix":""},{"dropping-particle":"","family":"Petit-Boix","given":"Anna","non-dropping-particle":"","parse-names":false,"suffix":""},{"dropping-particle":"","family":"Leipold","given":"Sina","non-dropping-particle":"","parse-names":false,"suffix":""},{"dropping-particle":"","family":"Bringezu","given":"Stefan","non-dropping-particle":"","parse-names":false,"suffix":""}],"container-title":"Journal of Industrial Ecology","id":"ITEM-1","issue":"5","issued":{"date-parts":[["2019"]]},"page":"1278-1291","title":"How to monitor environmental pressures of a circular economy: An assessment of indicators","type":"article-journal","volume":"23"},"uris":["http://www.mendeley.com/documents/?uuid=3053412c-0d2d-4b00-9db9-6e3b5fa6f149"]}],"mendeley":{"formattedCitation":"(Helander et al., 2019)","plainTextFormattedCitation":"(Helander et al., 2019)","previouslyFormattedCitation":"(Helander et al., 2019)"},"properties":{"noteIndex":0},"schema":"https://github.com/citation-style-language/schema/raw/master/csl-citation.json"}</w:instrText>
      </w:r>
      <w:r w:rsidRPr="00C34BEC">
        <w:fldChar w:fldCharType="separate"/>
      </w:r>
      <w:r w:rsidRPr="00C34BEC">
        <w:t>(Helander et al., 2019)</w:t>
      </w:r>
      <w:r w:rsidRPr="00C34BEC">
        <w:fldChar w:fldCharType="end"/>
      </w:r>
      <w:r w:rsidRPr="00C34BEC">
        <w:t xml:space="preserve">. All these activities employ resources, energy, and cause emissions in the environment and could give rise to rebound effects (promoting, overall, higher resources consumption rates) </w:t>
      </w:r>
      <w:r w:rsidRPr="00C34BEC">
        <w:fldChar w:fldCharType="begin" w:fldLock="1"/>
      </w:r>
      <w:r w:rsidRPr="00C34BEC">
        <w:instrText>ADDIN CSL_CITATION {"citationItems":[{"id":"ITEM-1","itemData":{"DOI":"10.1111/jiec.12545","ISSN":"15309290","abstract":"The so-called circular economy—the concept of closing material loops to preserve products, parts, and materials in the industrial system and extract their maximum utility—has recently started gaining momentum. The idea of substituting lower-impact secondary production for environmentally intensive primary production gives the circular economy a strong intuitive environmental appeal. However, proponents of the circular economy have tended to look at the world purely as an engineering system and have overlooked the economic part of the circular economy. Recent research has started to question the core of the circular economy—namely, whether closing material and product loops does, in fact, prevent primary production. In this article, we argue that circular economy activities can increase overall production, which can partially or fully offset their benefits. Because there is a strong parallel in this respect to energy efficiency rebound, we have termed this effect “circular economy rebound.” Circular economy rebound occurs when circular economy activities, which have lower per-unit-production impacts, also cause increased levels of production, reducing their benefit. We describe the mechanisms that cause circular economy rebound, which include the limited ability of secondary products to substitute for primary products, and price effects. We then offer some potential strategies for avoiding circular economy rebound. However, these strategies are unlikely to be attractive to for-profit firms, so we caution that simply encouraging private firms to find profitable opportunities in the circular economy is likely to cause rebound and lower or eliminate the potential environmental benefits.","author":[{"dropping-particle":"","family":"Zink","given":"Trevor","non-dropping-particle":"","parse-names":false,"suffix":""},{"dropping-particle":"","family":"Geyer","given":"Roland","non-dropping-particle":"","parse-names":false,"suffix":""}],"container-title":"Journal of Industrial Ecology","id":"ITEM-1","issue":"3","issued":{"date-parts":[["2017"]]},"page":"593-602","title":"Circular Economy Rebound","type":"article-journal","volume":"21"},"uris":["http://www.mendeley.com/documents/?uuid=e322df32-603a-4876-bc06-f19f87f0db63"]}],"mendeley":{"formattedCitation":"(Zink &amp; Geyer, 2017)","plainTextFormattedCitation":"(Zink &amp; Geyer, 2017)","previouslyFormattedCitation":"(Zink &amp; Geyer, 2017)"},"properties":{"noteIndex":0},"schema":"https://github.com/citation-style-language/schema/raw/master/csl-citation.json"}</w:instrText>
      </w:r>
      <w:r w:rsidRPr="00C34BEC">
        <w:fldChar w:fldCharType="separate"/>
      </w:r>
      <w:r w:rsidRPr="00C34BEC">
        <w:t>(Zink &amp; Geyer, 2017)</w:t>
      </w:r>
      <w:r w:rsidRPr="00C34BEC">
        <w:fldChar w:fldCharType="end"/>
      </w:r>
      <w:r w:rsidRPr="00C34BEC">
        <w:t xml:space="preserve">. </w:t>
      </w:r>
      <w:r w:rsidRPr="00C34BEC">
        <w:rPr>
          <w:lang w:val="en-MY"/>
        </w:rPr>
        <w:t xml:space="preserve">However, </w:t>
      </w:r>
      <w:r w:rsidRPr="00C34BEC">
        <w:t xml:space="preserve">in a CE, supply chains should work in a radically different way and try to consider alternative strategies to reduce waste streams. </w:t>
      </w:r>
    </w:p>
    <w:p w14:paraId="09BF3D71" w14:textId="74CBB349" w:rsidR="00C34BEC" w:rsidRPr="00C34BEC" w:rsidRDefault="00C34BEC" w:rsidP="00C34BEC">
      <w:r w:rsidRPr="00C34BEC">
        <w:rPr>
          <w:lang w:val="en-MY"/>
        </w:rPr>
        <w:t>I-CEI economic metrics are mainly representative of revenue flows related to ‘circular’ products. This can be explained as, at the moment</w:t>
      </w:r>
      <w:r w:rsidR="005306C0">
        <w:rPr>
          <w:lang w:val="en-MY"/>
        </w:rPr>
        <w:t>,</w:t>
      </w:r>
      <w:r w:rsidRPr="00C34BEC">
        <w:rPr>
          <w:lang w:val="en-MY"/>
        </w:rPr>
        <w:t xml:space="preserve"> Industrial Organisations are not adopting CE practices across the whole supply chain, but just in some niches. As such, the current indicators are not </w:t>
      </w:r>
      <w:r w:rsidRPr="00C34BEC">
        <w:rPr>
          <w:lang w:val="en-MY"/>
        </w:rPr>
        <w:lastRenderedPageBreak/>
        <w:t>designed to measure the performance of a whole CSC, but just some parts of it. Some</w:t>
      </w:r>
      <w:r w:rsidRPr="00C34BEC">
        <w:t xml:space="preserve"> of the possible metabolisms, where products and materials are used multiple times, are not measured. Rather, DSTs concentrate on a few metabolisms related to recycling, where the products and the waste of linear productions consumption systems are recovered and down-cycled. Measuring multiple feedback loops and metabolisms would tell something more about how much methods of production are self-sustaining and less dependent on primary materials, as well as how much primary production has been displaced with the adoption of CE-related practices. </w:t>
      </w:r>
    </w:p>
    <w:p w14:paraId="08A4DBF1" w14:textId="77777777" w:rsidR="00C34BEC" w:rsidRPr="00C34BEC" w:rsidRDefault="00C34BEC" w:rsidP="00C34BEC">
      <w:r w:rsidRPr="00C34BEC">
        <w:t xml:space="preserve">Both the indexes similarly have a low consideration of social indicators, which confirms previous literature claims </w:t>
      </w:r>
      <w:r w:rsidRPr="00C34BEC">
        <w:fldChar w:fldCharType="begin" w:fldLock="1"/>
      </w:r>
      <w:r w:rsidRPr="00C34BEC">
        <w:instrText>ADDIN CSL_CITATION {"citationItems":[{"id":"ITEM-1","itemData":{"DOI":"10.1016/j.spc.2021.01.030","ISSN":"23525509","abstract":"Despite the frequent association of circular economy (CE) with sustainability, most CE practices have yet to prove they actually contribute to achieving the sustainable development goals (SDGs), and social aspects in particular. To attain the consensually established targets in the SDG framework, it is vital to assess the impact of CE practices. As most of these practices are carried out in a network of actors, sustainability assessment approaches from the fields of industrial ecology and supply chain management are particularly suitable. However, both fields are known for their limited inclusion of the social dimension. While scholars have already started to explore the assessment of social sustainability within the context of CE practices, little is known about the perspectives and experiences concerning social assessment of businesses actively engaged with CE. Thus, the authors conducted 43 semi-structured interviews with frontrunner companies engaged with CE in Italy and the Netherlands to obtain a better picture on (1) how these firms view the importance of the social dimension as part of the assessment of CE practices, (2) what the barriers to conducting social assessment are, and (3) whether they have experience with assessing social sustainability aspects within their companies and supply chains. Through a thematic analysis, it was found that most companies deem the social dimension to be relevant to CE assessment and either consider it an integral part of CE or of sustainability. However, a majority of the companies did not conduct any type of social assessment. Most companies which implemented assessments did so in a qualitative manner or used industry-based sustainability indicator frameworks. Notwithstanding the prevalence of social life cycle assessment in the academic realm, almost all interviewees mentioned barriers to its application related to its complexity and the lack of a standardised approach.","author":[{"dropping-particle":"","family":"Walker","given":"Anna M.","non-dropping-particle":"","parse-names":false,"suffix":""},{"dropping-particle":"","family":"Opferkuch","given":"Katelin","non-dropping-particle":"","parse-names":false,"suffix":""},{"dropping-particle":"","family":"Lindgreen","given":"Erik Roos","non-dropping-particle":"","parse-names":false,"suffix":""},{"dropping-particle":"","family":"Simboli","given":"Alberto","non-dropping-particle":"","parse-names":false,"suffix":""},{"dropping-particle":"","family":"Vermeulen","given":"Walter J.V.","non-dropping-particle":"","parse-names":false,"suffix":""},{"dropping-particle":"","family":"Raggi","given":"Andrea","non-dropping-particle":"","parse-names":false,"suffix":""}],"container-title":"Sustainable Production and Consumption","id":"ITEM-1","issued":{"date-parts":[["2021"]]},"page":"831-844","publisher":"Elsevier B.V.","title":"Assessing the social sustainability of circular economy practices: industry perspectives from Italy and the Netherlands","type":"article-journal","volume":"27"},"uris":["http://www.mendeley.com/documents/?uuid=cfe6eb08-f5f4-409e-ae1a-1c48b0160791"]}],"mendeley":{"formattedCitation":"(Walker, Opferkuch, et al., 2021)","manualFormatting":"(Walker et al., 2021b)","plainTextFormattedCitation":"(Walker, Opferkuch, et al., 2021)","previouslyFormattedCitation":"(Walker, Opferkuch, et al., 2021)"},"properties":{"noteIndex":0},"schema":"https://github.com/citation-style-language/schema/raw/master/csl-citation.json"}</w:instrText>
      </w:r>
      <w:r w:rsidRPr="00C34BEC">
        <w:fldChar w:fldCharType="separate"/>
      </w:r>
      <w:r w:rsidRPr="00C34BEC">
        <w:t>(Walker et al., 2021b)</w:t>
      </w:r>
      <w:r w:rsidRPr="00C34BEC">
        <w:fldChar w:fldCharType="end"/>
      </w:r>
      <w:r w:rsidRPr="00C34BEC">
        <w:t xml:space="preserve">. </w:t>
      </w:r>
    </w:p>
    <w:p w14:paraId="37964F65" w14:textId="77777777" w:rsidR="00C34BEC" w:rsidRPr="00C34BEC" w:rsidRDefault="00C34BEC" w:rsidP="0034288B">
      <w:pPr>
        <w:pStyle w:val="Heading3"/>
      </w:pPr>
      <w:bookmarkStart w:id="246" w:name="_Toc157759601"/>
      <w:r w:rsidRPr="00C34BEC">
        <w:t>Reductionism in Decision Support Tools for Circular Supply Chains</w:t>
      </w:r>
      <w:bookmarkEnd w:id="246"/>
      <w:r w:rsidRPr="00C34BEC">
        <w:t xml:space="preserve"> </w:t>
      </w:r>
    </w:p>
    <w:p w14:paraId="1C709AED" w14:textId="77777777" w:rsidR="00C34BEC" w:rsidRPr="00C34BEC" w:rsidRDefault="00C34BEC" w:rsidP="00C34BEC">
      <w:r w:rsidRPr="00C34BEC">
        <w:t xml:space="preserve">The results section 4.3 shows that DSTs systematically select some metrics and ignore others. These choices are not just technical, but also constitute an important decision, in terms of value perception and worldview assumptions. </w:t>
      </w:r>
    </w:p>
    <w:p w14:paraId="26F449A5" w14:textId="77777777" w:rsidR="00C34BEC" w:rsidRPr="00C34BEC" w:rsidRDefault="00C34BEC" w:rsidP="00C34BEC">
      <w:r w:rsidRPr="00C34BEC">
        <w:t xml:space="preserve">DSTs in the CSCM domain need to be simple and easy to use, as decision makers need to understand and support the resulting decisions to design and transform existing supply chains. Simplification concerns many aspects that have already been mentioned (selection of metrics, and their aggregation) and some others, like the temporal horizon, considered the type and number of objectives or actors included in the decision. A single indicator is often chosen as a proxy of all environmental (or social) impacts. As a consequence, DSTs have a reductionist interpretation of what to measure to support decisions, and as a consequence of what sustainability is and on what a CSC should be. </w:t>
      </w:r>
    </w:p>
    <w:p w14:paraId="04BA06BA" w14:textId="5EF73A30" w:rsidR="00C34BEC" w:rsidRPr="00C34BEC" w:rsidRDefault="00C34BEC" w:rsidP="00C34BEC">
      <w:r w:rsidRPr="00C34BEC">
        <w:t xml:space="preserve">A second aspect of reductionism in the academic literature of CE indicators concerns how DSTs deal with trade-offs among different variables. Most of the time, models accept some increase of negative impacts if that allows some type of benefit. This is quite a strong assumption, as variables belonging to different sustainability dimensions have complex relations and dependencies, which cannot be easily described by some linear parameters. </w:t>
      </w:r>
      <w:r w:rsidRPr="00C34BEC">
        <w:rPr>
          <w:i/>
          <w:iCs/>
        </w:rPr>
        <w:t>Composite indicators</w:t>
      </w:r>
      <w:r w:rsidRPr="00C34BEC">
        <w:t xml:space="preserve"> represent an extreme case aggregating metrics from different dimensions into a single unit-less number. </w:t>
      </w:r>
      <w:r w:rsidRPr="00C34BEC">
        <w:rPr>
          <w:i/>
          <w:iCs/>
        </w:rPr>
        <w:t>Monetary tools</w:t>
      </w:r>
      <w:r w:rsidRPr="00C34BEC">
        <w:t xml:space="preserve"> transform many variables in to monetary terms, even natural or social ones. Also </w:t>
      </w:r>
      <w:r w:rsidRPr="00C34BEC">
        <w:rPr>
          <w:i/>
          <w:iCs/>
        </w:rPr>
        <w:t>Biophysical tools</w:t>
      </w:r>
      <w:r w:rsidRPr="00C34BEC">
        <w:t xml:space="preserve"> are not exempt from doing some approximations: CO</w:t>
      </w:r>
      <w:r w:rsidRPr="00C34BEC">
        <w:rPr>
          <w:vertAlign w:val="subscript"/>
        </w:rPr>
        <w:t>2</w:t>
      </w:r>
      <w:r w:rsidRPr="00C34BEC">
        <w:t xml:space="preserve">-eq., which is the most commonly used indicator, is a linear combination of different greenhouse gases. </w:t>
      </w:r>
      <w:r w:rsidRPr="00C34BEC">
        <w:rPr>
          <w:i/>
          <w:iCs/>
        </w:rPr>
        <w:t>Multi-criteria indicators</w:t>
      </w:r>
      <w:r w:rsidRPr="00C34BEC">
        <w:t xml:space="preserve"> approaches are emerging and can provide a solution to this. </w:t>
      </w:r>
      <w:r w:rsidRPr="00C34BEC">
        <w:rPr>
          <w:lang w:val="en-US"/>
        </w:rPr>
        <w:t>Their main advantage is that by keeping separate more than one profile, they are less affected by reductionism</w:t>
      </w:r>
      <w:r w:rsidRPr="00C34BEC">
        <w:t xml:space="preserve">. However, they also make reductionist </w:t>
      </w:r>
      <w:r w:rsidRPr="00C34BEC">
        <w:lastRenderedPageBreak/>
        <w:t>choices: sometimes a single indicator is used as a proxy of all the possible indicators within one sustainability dimension; in other cases composite indicators are created for each sustainability dimension as linear combinations of some selected metrics</w:t>
      </w:r>
      <w:r w:rsidR="00215533">
        <w:rPr>
          <w:rStyle w:val="FootnoteReference"/>
        </w:rPr>
        <w:footnoteReference w:id="20"/>
      </w:r>
      <w:r w:rsidRPr="00C34BEC">
        <w:t>. This could lead to the same problems highlighted for composite indicators (e.g.</w:t>
      </w:r>
      <w:r w:rsidR="00F07293">
        <w:t>,</w:t>
      </w:r>
      <w:r w:rsidRPr="00C34BEC">
        <w:t xml:space="preserve"> loss of meaning) as the metrics considered might have a complex relationship (</w:t>
      </w:r>
      <w:r w:rsidR="00F07293" w:rsidRPr="00C34BEC">
        <w:t>e.g.,</w:t>
      </w:r>
      <w:r w:rsidRPr="00C34BEC">
        <w:t xml:space="preserve"> CO</w:t>
      </w:r>
      <w:r w:rsidRPr="00C34BEC">
        <w:rPr>
          <w:vertAlign w:val="subscript"/>
        </w:rPr>
        <w:t>2</w:t>
      </w:r>
      <w:r w:rsidRPr="00C34BEC">
        <w:t xml:space="preserve">-eq and land use). </w:t>
      </w:r>
    </w:p>
    <w:p w14:paraId="6FA0C17E" w14:textId="77777777" w:rsidR="00C34BEC" w:rsidRPr="00C34BEC" w:rsidRDefault="00C34BEC" w:rsidP="0034288B">
      <w:pPr>
        <w:pStyle w:val="Heading3"/>
      </w:pPr>
      <w:bookmarkStart w:id="247" w:name="_Toc157759602"/>
      <w:r w:rsidRPr="00C34BEC">
        <w:t>Different paths towards CE measurement in supply chains</w:t>
      </w:r>
      <w:bookmarkEnd w:id="247"/>
    </w:p>
    <w:p w14:paraId="052BFA42" w14:textId="3DA12A99" w:rsidR="00C34BEC" w:rsidRPr="00C34BEC" w:rsidRDefault="00C34BEC" w:rsidP="00C34BEC">
      <w:r w:rsidRPr="00C34BEC">
        <w:t>DSTs are not always transparent and open on value assumptions behind the models. Both the conceptual choices (</w:t>
      </w:r>
      <w:r w:rsidR="00F07293" w:rsidRPr="00C34BEC">
        <w:t>e.g.,</w:t>
      </w:r>
      <w:r w:rsidRPr="00C34BEC">
        <w:t xml:space="preserve"> what metric to select and what to ignore) and the methodological ones (whether to aggregate or normalise or not and with what weights) behind each DST are never neutral or objective. They are inspired by embedded worldviews, which are linked to a certain idea of value. These underlying value assumption have an impact on guiding decisions towards different paths of adoption of the CE in supply chains. The recent debate on the CE acknowledges different circular futures are possible (planned circularity, circular modernism, bottom-up sufficiency, peer-to-peer circularity) </w:t>
      </w:r>
      <w:r w:rsidRPr="00C34BEC">
        <w:fldChar w:fldCharType="begin" w:fldLock="1"/>
      </w:r>
      <w:r w:rsidRPr="00C34BEC">
        <w:instrText>ADDIN CSL_CITATION {"citationItems":[{"id":"ITEM-1","itemData":{"DOI":"10.1016/j.ecolecon.2020.106703","ISSN":"09218009","abstract":"The circular economy is argued to hold great promise for achieving sustainability. Yet, there is a dearth of research about what a circular future may look like. To address this gap, this paper proposes different plausible scenarios for a circular future, using a 2 × 2 scenario matrix method developed through a thought experiment and a focus group. Key drivers of change in this matrix are the nature of technologies deployed – high-tech or low-tech innovations – and the configuration of the governance regime – centralized or decentralized. From this, our paper builds four scenario narratives for the future of a circular economy: “planned circularity”, “bottom-up sufficiency”, “circular modernism”, and “peer-to-peer circularity”. It delineates the core characteristics and the upsides and downsides of each scenario. It shows that a circular economy can be organized in very contrasting ways. By generating insights about alternative circular futures, these scenarios may provide a clearer directionality to policy-makers and businesses, helping them both anticipate and understand the consequences of a paradigm shift towards a circular economy and shape policies and strategies, especially in the context of so-called mission-oriented innovation policies. They may also provide a sound basis for quantitatively modelling the impacts of a circular economy.","author":[{"dropping-particle":"","family":"Bauwens","given":"Thomas","non-dropping-particle":"","parse-names":false,"suffix":""},{"dropping-particle":"","family":"Hekkert","given":"Marko","non-dropping-particle":"","parse-names":false,"suffix":""},{"dropping-particle":"","family":"Kirchherr","given":"Julian","non-dropping-particle":"","parse-names":false,"suffix":""}],"container-title":"Ecological Economics","id":"ITEM-1","issue":"April","issued":{"date-parts":[["2020"]]},"page":"106703","publisher":"Elsevier","title":"Circular futures: What Will They Look Like?","type":"article-journal","volume":"175"},"uris":["http://www.mendeley.com/documents/?uuid=309d4a36-871c-4d34-9642-9027ee87daa6"]}],"mendeley":{"formattedCitation":"(Bauwens et al., 2020)","plainTextFormattedCitation":"(Bauwens et al., 2020)","previouslyFormattedCitation":"(Bauwens et al., 2020)"},"properties":{"noteIndex":0},"schema":"https://github.com/citation-style-language/schema/raw/master/csl-citation.json"}</w:instrText>
      </w:r>
      <w:r w:rsidRPr="00C34BEC">
        <w:fldChar w:fldCharType="separate"/>
      </w:r>
      <w:r w:rsidRPr="00C34BEC">
        <w:t>(Bauwens et al., 2020)</w:t>
      </w:r>
      <w:r w:rsidRPr="00C34BEC">
        <w:fldChar w:fldCharType="end"/>
      </w:r>
      <w:r w:rsidRPr="00C34BEC">
        <w:t xml:space="preserve">. The way the transition towards the CE is measured will impact the type of future and the type of supply chains. In fact, indicators act as value-articulating institutions, enforcing a very specific worldview and set of values, which should at least be acknowledged </w:t>
      </w:r>
      <w:r w:rsidRPr="00C34BEC">
        <w:fldChar w:fldCharType="begin" w:fldLock="1"/>
      </w:r>
      <w:r w:rsidRPr="00C34BEC">
        <w:instrText>ADDIN CSL_CITATION {"citationItems":[{"id":"ITEM-1","itemData":{"DOI":"10.1016/j.ecolecon.2012.05.005","ISSN":"09218009","author":[{"dropping-particle":"","family":"Gasparatos","given":"Alexandros","non-dropping-particle":"","parse-names":false,"suffix":""},{"dropping-particle":"","family":"Scolobig","given":"A.","non-dropping-particle":"","parse-names":false,"suffix":""}],"container-title":"Ecological Economics","id":"ITEM-1","issued":{"date-parts":[["2012"]]},"page":"1-7","publisher":"Elsevier B.V.","title":"Choosing the most appropriate sustainability assessment tool","type":"article-journal","volume":"80"},"uris":["http://www.mendeley.com/documents/?uuid=3d5266fb-0242-4fb1-a9f8-466690825895"]}],"mendeley":{"formattedCitation":"(Gasparatos &amp; Scolobig, 2012)","plainTextFormattedCitation":"(Gasparatos &amp; Scolobig, 2012)","previouslyFormattedCitation":"(Gasparatos &amp; Scolobig, 2012)"},"properties":{"noteIndex":0},"schema":"https://github.com/citation-style-language/schema/raw/master/csl-citation.json"}</w:instrText>
      </w:r>
      <w:r w:rsidRPr="00C34BEC">
        <w:fldChar w:fldCharType="separate"/>
      </w:r>
      <w:r w:rsidRPr="00C34BEC">
        <w:t>(Gasparatos &amp; Scolobig, 2012)</w:t>
      </w:r>
      <w:r w:rsidRPr="00C34BEC">
        <w:fldChar w:fldCharType="end"/>
      </w:r>
      <w:r w:rsidRPr="00C34BEC">
        <w:t xml:space="preserve">. </w:t>
      </w:r>
    </w:p>
    <w:p w14:paraId="032C76A5" w14:textId="77777777" w:rsidR="00C34BEC" w:rsidRPr="00C34BEC" w:rsidRDefault="00C34BEC" w:rsidP="00C34BEC">
      <w:r w:rsidRPr="00C34BEC">
        <w:t xml:space="preserve">The classification according to Gasparatos’ framework (Section 4.1.4) groups DSTs according to similar value assumptions. The following paragraphs explore these differences, along with the advantages, the disadvantages of each class of tools (Table 10). Different paths towards CE measurement in supply chains are recognised, according to what desired outcome of change can be measured by the tools. </w:t>
      </w:r>
    </w:p>
    <w:p w14:paraId="5BD0420D" w14:textId="77777777" w:rsidR="00C34BEC" w:rsidRPr="00C34BEC" w:rsidRDefault="00C34BEC" w:rsidP="00C34BEC">
      <w:r w:rsidRPr="00C34BEC">
        <w:rPr>
          <w:i/>
          <w:iCs/>
        </w:rPr>
        <w:t>Monetary DSTs</w:t>
      </w:r>
      <w:r w:rsidRPr="00C34BEC">
        <w:t xml:space="preserve"> for CSCs adopt a neoclassical perspective of value and do not challenge the assumptions and the “rules of the game” in today’s free market economies (even without mentioning it openly). In free market economies actors are driven by economic benefits and companies are profit </w:t>
      </w:r>
      <w:proofErr w:type="spellStart"/>
      <w:r w:rsidRPr="00C34BEC">
        <w:t>maximisers</w:t>
      </w:r>
      <w:proofErr w:type="spellEnd"/>
      <w:r w:rsidRPr="00C34BEC">
        <w:t xml:space="preserve"> </w:t>
      </w:r>
      <w:r w:rsidRPr="00C34BEC">
        <w:fldChar w:fldCharType="begin" w:fldLock="1"/>
      </w:r>
      <w:r w:rsidRPr="00C34BEC">
        <w:instrText>ADDIN CSL_CITATION {"citationItems":[{"id":"ITEM-1","itemData":{"author":[{"dropping-particle":"","family":"Martinez-alier","given":"Joan","non-dropping-particle":"","parse-names":false,"suffix":""},{"dropping-particle":"","family":"Munda","given":"Giuseppe","non-dropping-particle":"","parse-names":false,"suffix":""},{"dropping-particle":"","family":"Neill","given":"John O","non-dropping-particle":"","parse-names":false,"suffix":""}],"id":"ITEM-1","issued":{"date-parts":[["1998"]]},"page":"277-286","title":"Weak comparability of values as a foundation for ecological economics","type":"article-journal","volume":"26"},"uris":["http://www.mendeley.com/documents/?uuid=28266670-fa81-47ef-85b9-f1685ed34e65"]}],"mendeley":{"formattedCitation":"(Martinez-alier et al., 1998)","plainTextFormattedCitation":"(Martinez-alier et al., 1998)","previouslyFormattedCitation":"(Martinez-alier et al., 1998)"},"properties":{"noteIndex":0},"schema":"https://github.com/citation-style-language/schema/raw/master/csl-citation.json"}</w:instrText>
      </w:r>
      <w:r w:rsidRPr="00C34BEC">
        <w:fldChar w:fldCharType="separate"/>
      </w:r>
      <w:r w:rsidRPr="00C34BEC">
        <w:t>(Martinez-Alier et al., 1998)</w:t>
      </w:r>
      <w:r w:rsidRPr="00C34BEC">
        <w:fldChar w:fldCharType="end"/>
      </w:r>
      <w:r w:rsidRPr="00C34BEC">
        <w:t>. What is right or wrong is decided by subjective preferences and an anthropocentric valuation system that focus on utility functions and consumer preferences in a market setting (Martinez-</w:t>
      </w:r>
      <w:proofErr w:type="spellStart"/>
      <w:r w:rsidRPr="00C34BEC">
        <w:t>Alier</w:t>
      </w:r>
      <w:proofErr w:type="spellEnd"/>
      <w:r w:rsidRPr="00C34BEC">
        <w:t xml:space="preserve"> et al., 1998). Also, Nature or </w:t>
      </w:r>
      <w:r w:rsidRPr="00C34BEC">
        <w:lastRenderedPageBreak/>
        <w:t xml:space="preserve">environmental impacts are monetised and included in market transactions. Markets have a key role in guiding the transition towards CSCs. </w:t>
      </w:r>
    </w:p>
    <w:p w14:paraId="5F82C9B6" w14:textId="77777777" w:rsidR="00C34BEC" w:rsidRPr="00C34BEC" w:rsidRDefault="00C34BEC" w:rsidP="00C34BEC">
      <w:r w:rsidRPr="00C34BEC">
        <w:t xml:space="preserve">These DSTs usually provide whole-supply chain visibility of the processes and materials involved in the manufacturing process, as well as different actors’ preferences and utility functions. As such they are able to present the different economic incentives for each CSC actor involved in the value creation process. These models estimate how much it costs to set up reverse channels to recover end of life products and how much additional revenues (or avoided investments) different CE practices can help to generate. Modelling CE benefits and negative impacts across more dimensions and more supply chain stages could show under which condition establishing a CSC is profitable. </w:t>
      </w:r>
    </w:p>
    <w:p w14:paraId="3781258E" w14:textId="2E10D185" w:rsidR="00C34BEC" w:rsidRPr="00C34BEC" w:rsidRDefault="00C34BEC" w:rsidP="00C34BEC">
      <w:r w:rsidRPr="00C34BEC">
        <w:t xml:space="preserve">As such successful CSCs are systems that use recycling and other CE strategies to increase the </w:t>
      </w:r>
      <w:r w:rsidR="00F07293" w:rsidRPr="00C34BEC">
        <w:t>efficiency,</w:t>
      </w:r>
      <w:r w:rsidRPr="00C34BEC">
        <w:t xml:space="preserve"> they have in using materials, are able to create economic value for their customers through the adoption of some CE practice, are able to use reverse logistics to recover “linear” products at the end of their life, and thus consume less resources and produce less waste. As these DSTs come mainly from an engineering background, they consider a CSC as a system that should work efficiently, without considering the socioeconomic context in which they operate </w:t>
      </w:r>
      <w:r w:rsidRPr="00C34BEC">
        <w:fldChar w:fldCharType="begin" w:fldLock="1"/>
      </w:r>
      <w:r w:rsidRPr="00C34BEC">
        <w:instrText>ADDIN CSL_CITATION {"citationItems":[{"id":"ITEM-1","itemData":{"DOI":"10.1111/jiec.12545","ISSN":"15309290","abstract":"The so-called circular economy—the concept of closing material loops to preserve products, parts, and materials in the industrial system and extract their maximum utility—has recently started gaining momentum. The idea of substituting lower-impact secondary production for environmentally intensive primary production gives the circular economy a strong intuitive environmental appeal. However, proponents of the circular economy have tended to look at the world purely as an engineering system and have overlooked the economic part of the circular economy. Recent research has started to question the core of the circular economy—namely, whether closing material and product loops does, in fact, prevent primary production. In this article, we argue that circular economy activities can increase overall production, which can partially or fully offset their benefits. Because there is a strong parallel in this respect to energy efficiency rebound, we have termed this effect “circular economy rebound.” Circular economy rebound occurs when circular economy activities, which have lower per-unit-production impacts, also cause increased levels of production, reducing their benefit. We describe the mechanisms that cause circular economy rebound, which include the limited ability of secondary products to substitute for primary products, and price effects. We then offer some potential strategies for avoiding circular economy rebound. However, these strategies are unlikely to be attractive to for-profit firms, so we caution that simply encouraging private firms to find profitable opportunities in the circular economy is likely to cause rebound and lower or eliminate the potential environmental benefits.","author":[{"dropping-particle":"","family":"Zink","given":"Trevor","non-dropping-particle":"","parse-names":false,"suffix":""},{"dropping-particle":"","family":"Geyer","given":"Roland","non-dropping-particle":"","parse-names":false,"suffix":""}],"container-title":"Journal of Industrial Ecology","id":"ITEM-1","issue":"3","issued":{"date-parts":[["2017"]]},"page":"593-602","title":"Circular Economy Rebound","type":"article-journal","volume":"21"},"uris":["http://www.mendeley.com/documents/?uuid=e322df32-603a-4876-bc06-f19f87f0db63"]}],"mendeley":{"formattedCitation":"(Zink &amp; Geyer, 2017)","plainTextFormattedCitation":"(Zink &amp; Geyer, 2017)","previouslyFormattedCitation":"(Zink &amp; Geyer, 2017)"},"properties":{"noteIndex":0},"schema":"https://github.com/citation-style-language/schema/raw/master/csl-citation.json"}</w:instrText>
      </w:r>
      <w:r w:rsidRPr="00C34BEC">
        <w:fldChar w:fldCharType="separate"/>
      </w:r>
      <w:r w:rsidRPr="00C34BEC">
        <w:t>(Zink &amp; Geyer, 2017)</w:t>
      </w:r>
      <w:r w:rsidRPr="00C34BEC">
        <w:fldChar w:fldCharType="end"/>
      </w:r>
      <w:r w:rsidRPr="00C34BEC">
        <w:t xml:space="preserve">. This view usually implies reductionist views of sustainability and of the CE. These supply chains might use materials more efficiently or not (this is not often measured). The risk of a rebound effect and of market barriers to the operationalisation of CE practices is usually not part of the models. Desirable CSCs do not necessarily produce less products, but more products with less inputs per product. </w:t>
      </w:r>
    </w:p>
    <w:p w14:paraId="708A9BA3" w14:textId="77777777" w:rsidR="00C34BEC" w:rsidRPr="00C34BEC" w:rsidRDefault="00C34BEC" w:rsidP="00C34BEC">
      <w:r w:rsidRPr="00C34BEC">
        <w:rPr>
          <w:i/>
          <w:iCs/>
        </w:rPr>
        <w:t>Biophysical DSTs</w:t>
      </w:r>
      <w:r w:rsidRPr="00C34BEC">
        <w:t xml:space="preserve"> incorporate an </w:t>
      </w:r>
      <w:r w:rsidRPr="00C34BEC">
        <w:rPr>
          <w:i/>
          <w:iCs/>
        </w:rPr>
        <w:t>eco-centric</w:t>
      </w:r>
      <w:r w:rsidRPr="00C34BEC">
        <w:t xml:space="preserve"> perspective of value. Monetary incentives and supply chain actors’ preferences and utility functions are usually not part of these models. What is right or wrong to produce is decided by the cost and the impact of production. Production and consumption systems are considered in close relationship with Nature, as an active and integrative part of it. They measure the flows between economic systems and natural ones and look at how much resources are consumed, how much waste is created, how much emissions and environmental impacts are caused. </w:t>
      </w:r>
    </w:p>
    <w:p w14:paraId="1081C15E" w14:textId="77777777" w:rsidR="00C34BEC" w:rsidRPr="00C34BEC" w:rsidRDefault="00C34BEC" w:rsidP="00C34BEC">
      <w:r w:rsidRPr="00C34BEC">
        <w:t xml:space="preserve">These tools are able to compare different products and configurations of reverse supply chain along with value retention strategies. Alternatives are compared according to the environmental cost of their production and to how heavily they depend on Nature. As such, the amount of primary resources a CSC uses for the production of goods should be minimised. Successful CSCs are systems that are able to decouple production from consumption of resources in absolute terms. </w:t>
      </w:r>
      <w:r w:rsidRPr="00C34BEC">
        <w:lastRenderedPageBreak/>
        <w:t xml:space="preserve">Biophysical tools can provide an accurate estimation of environmental impacts thanks to a life-cycle perspective. This can help CSC decision-making processes to move away from the mainstream perspective of accounting just for the economic cost of production of goods and services. But they can also provide insights on how to measure and visualise the CE potential related to regenerative and restorative flows of resources in supply chains, in order to re-use material flows and waste as a resource according to an Industrial Ecology view.  </w:t>
      </w:r>
    </w:p>
    <w:p w14:paraId="5CE3DE15" w14:textId="77777777" w:rsidR="00C34BEC" w:rsidRPr="00C34BEC" w:rsidRDefault="00C34BEC" w:rsidP="00C34BEC">
      <w:r w:rsidRPr="00C34BEC">
        <w:rPr>
          <w:i/>
        </w:rPr>
        <w:t xml:space="preserve">Composite and multicriteria indicators </w:t>
      </w:r>
      <w:r w:rsidRPr="00C34BEC">
        <w:rPr>
          <w:iCs/>
        </w:rPr>
        <w:t xml:space="preserve">have not a pre-defined conception of value. It depends on the weights chosen. It can be more eco-centric or more anthropocentric. </w:t>
      </w:r>
      <w:r w:rsidRPr="00C34BEC">
        <w:t xml:space="preserve">Also, in SCM environments, composite indicators are rather common, both among researchers and practitioners. CSCs provide an ideal theoretical and practical context in which these methods could support decision-making. In this complex context, a wide range of stakeholders inside and outside the supply chain may be interested in evaluating the performance of the CSC using an established and standard model. </w:t>
      </w:r>
      <w:r w:rsidRPr="00C34BEC">
        <w:rPr>
          <w:i/>
        </w:rPr>
        <w:t xml:space="preserve">Composite indicators </w:t>
      </w:r>
      <w:r w:rsidRPr="00C34BEC">
        <w:rPr>
          <w:iCs/>
        </w:rPr>
        <w:t>approaches</w:t>
      </w:r>
      <w:r w:rsidRPr="00C34BEC">
        <w:rPr>
          <w:i/>
        </w:rPr>
        <w:t xml:space="preserve"> </w:t>
      </w:r>
      <w:r w:rsidRPr="00C34BEC">
        <w:t xml:space="preserve">can combine strengths from the previous approaches. The main advantage provided by composite indicators is the ability to summarise complex, multi-dimensional realities for supporting decision-makers. Such methods are particularly effective in contexts in which multiple stakeholders are involved. However, normalisation and aggregation might cause loss of details and meaning </w:t>
      </w:r>
      <w:r w:rsidRPr="00C34BEC">
        <w:fldChar w:fldCharType="begin" w:fldLock="1"/>
      </w:r>
      <w:r w:rsidRPr="00C34BEC">
        <w:instrText>ADDIN CSL_CITATION {"citationItems":[{"id":"ITEM-1","itemData":{"author":[{"dropping-particle":"","family":"Martinez-Alier","given":"Joan","non-dropping-particle":"","parse-names":false,"suffix":""},{"dropping-particle":"","family":"Munda","given":"Giuseppe","non-dropping-particle":"","parse-names":false,"suffix":""},{"dropping-particle":"","family":"Neill","given":"John O","non-dropping-particle":"","parse-names":false,"suffix":""}],"id":"ITEM-1","issued":{"date-parts":[["1998"]]},"page":"277-286","title":"Weak comparability of values as a foundation for ecological economics","type":"article-journal","volume":"26"},"uris":["http://www.mendeley.com/documents/?uuid=28266670-fa81-47ef-85b9-f1685ed34e65"]}],"mendeley":{"formattedCitation":"(Martinez-alier et al., 1998)","manualFormatting":"(Martinez-Alier et al., 1998)","plainTextFormattedCitation":"(Martinez-alier et al., 1998)"},"properties":{"noteIndex":0},"schema":"https://github.com/citation-style-language/schema/raw/master/csl-citation.json"}</w:instrText>
      </w:r>
      <w:r w:rsidRPr="00C34BEC">
        <w:fldChar w:fldCharType="separate"/>
      </w:r>
      <w:r w:rsidRPr="00C34BEC">
        <w:t>(Martinez-Alier et al., 1998)</w:t>
      </w:r>
      <w:r w:rsidRPr="00C34BEC">
        <w:fldChar w:fldCharType="end"/>
      </w:r>
      <w:r w:rsidRPr="00C34BEC">
        <w:t>.</w:t>
      </w:r>
    </w:p>
    <w:p w14:paraId="2CCBA88B" w14:textId="77777777" w:rsidR="00C34BEC" w:rsidRPr="00C34BEC" w:rsidRDefault="00C34BEC" w:rsidP="0085122E">
      <w:pPr>
        <w:pStyle w:val="Figurecaption"/>
      </w:pPr>
      <w:r w:rsidRPr="00C34BEC">
        <w:t xml:space="preserve">Table </w:t>
      </w:r>
      <w:fldSimple w:instr=" SEQ Table \* ARABIC ">
        <w:r w:rsidRPr="00C34BEC">
          <w:t>10</w:t>
        </w:r>
      </w:fldSimple>
      <w:r w:rsidRPr="00C34BEC">
        <w:t xml:space="preserve"> - Advantages and Disadvantages of different classes of articles in the literature</w:t>
      </w:r>
    </w:p>
    <w:tbl>
      <w:tblPr>
        <w:tblStyle w:val="TableGrid2"/>
        <w:tblW w:w="0" w:type="auto"/>
        <w:tblLook w:val="04A0" w:firstRow="1" w:lastRow="0" w:firstColumn="1" w:lastColumn="0" w:noHBand="0" w:noVBand="1"/>
      </w:tblPr>
      <w:tblGrid>
        <w:gridCol w:w="2264"/>
        <w:gridCol w:w="2265"/>
        <w:gridCol w:w="2266"/>
        <w:gridCol w:w="2265"/>
      </w:tblGrid>
      <w:tr w:rsidR="00C34BEC" w:rsidRPr="00C34BEC" w14:paraId="6B58FC43" w14:textId="77777777" w:rsidTr="0085122E">
        <w:tc>
          <w:tcPr>
            <w:tcW w:w="2265" w:type="dxa"/>
          </w:tcPr>
          <w:p w14:paraId="1C0D98F7" w14:textId="77777777" w:rsidR="00C34BEC" w:rsidRPr="00C34BEC" w:rsidRDefault="00C34BEC" w:rsidP="0085122E">
            <w:pPr>
              <w:pStyle w:val="Tabletext"/>
            </w:pPr>
            <w:r w:rsidRPr="00C34BEC">
              <w:t>Type of tools</w:t>
            </w:r>
          </w:p>
        </w:tc>
        <w:tc>
          <w:tcPr>
            <w:tcW w:w="2265" w:type="dxa"/>
          </w:tcPr>
          <w:p w14:paraId="50B2059C" w14:textId="77777777" w:rsidR="00C34BEC" w:rsidRPr="00C34BEC" w:rsidRDefault="00C34BEC" w:rsidP="0085122E">
            <w:pPr>
              <w:pStyle w:val="Tabletext"/>
            </w:pPr>
            <w:r w:rsidRPr="00C34BEC">
              <w:t>Advantages</w:t>
            </w:r>
          </w:p>
        </w:tc>
        <w:tc>
          <w:tcPr>
            <w:tcW w:w="2266" w:type="dxa"/>
          </w:tcPr>
          <w:p w14:paraId="588E0F42" w14:textId="77777777" w:rsidR="00C34BEC" w:rsidRPr="00C34BEC" w:rsidRDefault="00C34BEC" w:rsidP="0085122E">
            <w:pPr>
              <w:pStyle w:val="Tabletext"/>
            </w:pPr>
            <w:r w:rsidRPr="00C34BEC">
              <w:t>Disadvantages</w:t>
            </w:r>
          </w:p>
        </w:tc>
        <w:tc>
          <w:tcPr>
            <w:tcW w:w="2266" w:type="dxa"/>
          </w:tcPr>
          <w:p w14:paraId="5CEC2BCB" w14:textId="77777777" w:rsidR="00C34BEC" w:rsidRPr="00C34BEC" w:rsidRDefault="00C34BEC" w:rsidP="0085122E">
            <w:pPr>
              <w:pStyle w:val="Tabletext"/>
            </w:pPr>
            <w:r w:rsidRPr="00C34BEC">
              <w:t>CSC desired evolution</w:t>
            </w:r>
          </w:p>
        </w:tc>
      </w:tr>
      <w:tr w:rsidR="00C34BEC" w:rsidRPr="00C34BEC" w14:paraId="5F4CF2B6" w14:textId="77777777" w:rsidTr="0085122E">
        <w:tc>
          <w:tcPr>
            <w:tcW w:w="2265" w:type="dxa"/>
          </w:tcPr>
          <w:p w14:paraId="4FD2774C" w14:textId="77777777" w:rsidR="00C34BEC" w:rsidRPr="00C34BEC" w:rsidRDefault="00C34BEC" w:rsidP="0085122E">
            <w:pPr>
              <w:pStyle w:val="Tabletext"/>
            </w:pPr>
            <w:r w:rsidRPr="00C34BEC">
              <w:t>CSC Monetary tools</w:t>
            </w:r>
          </w:p>
        </w:tc>
        <w:tc>
          <w:tcPr>
            <w:tcW w:w="2265" w:type="dxa"/>
          </w:tcPr>
          <w:p w14:paraId="58377A3F" w14:textId="77777777" w:rsidR="00C34BEC" w:rsidRPr="00C34BEC" w:rsidRDefault="00C34BEC" w:rsidP="0085122E">
            <w:pPr>
              <w:pStyle w:val="Tabletext"/>
            </w:pPr>
            <w:r w:rsidRPr="00C34BEC">
              <w:t xml:space="preserve">Detailed evaluation of: </w:t>
            </w:r>
            <w:r w:rsidRPr="00C34BEC">
              <w:br/>
              <w:t xml:space="preserve">flows among SC stages; </w:t>
            </w:r>
            <w:r w:rsidRPr="00C34BEC">
              <w:br/>
              <w:t>actors’ utility functions</w:t>
            </w:r>
          </w:p>
        </w:tc>
        <w:tc>
          <w:tcPr>
            <w:tcW w:w="2266" w:type="dxa"/>
          </w:tcPr>
          <w:p w14:paraId="6359A258" w14:textId="77777777" w:rsidR="00C34BEC" w:rsidRPr="00C34BEC" w:rsidRDefault="00C34BEC" w:rsidP="0085122E">
            <w:pPr>
              <w:pStyle w:val="Tabletext"/>
            </w:pPr>
            <w:r w:rsidRPr="00C34BEC">
              <w:t>Unable to highlight the systemic impacts of CSC on the environment and society</w:t>
            </w:r>
          </w:p>
        </w:tc>
        <w:tc>
          <w:tcPr>
            <w:tcW w:w="2266" w:type="dxa"/>
          </w:tcPr>
          <w:p w14:paraId="00B5F38C" w14:textId="77777777" w:rsidR="00C34BEC" w:rsidRPr="00C34BEC" w:rsidRDefault="00C34BEC" w:rsidP="0085122E">
            <w:pPr>
              <w:pStyle w:val="Tabletext"/>
            </w:pPr>
            <w:r w:rsidRPr="00C34BEC">
              <w:t>CSC are able to close the loop; focus on efficiency</w:t>
            </w:r>
          </w:p>
        </w:tc>
      </w:tr>
      <w:tr w:rsidR="00C34BEC" w:rsidRPr="00C34BEC" w14:paraId="5DEF2FD6" w14:textId="77777777" w:rsidTr="0085122E">
        <w:tc>
          <w:tcPr>
            <w:tcW w:w="2265" w:type="dxa"/>
          </w:tcPr>
          <w:p w14:paraId="26081A72" w14:textId="77777777" w:rsidR="00C34BEC" w:rsidRPr="00C34BEC" w:rsidRDefault="00C34BEC" w:rsidP="0085122E">
            <w:pPr>
              <w:pStyle w:val="Tabletext"/>
            </w:pPr>
            <w:r w:rsidRPr="00C34BEC">
              <w:t>CSC Biophysical tools</w:t>
            </w:r>
          </w:p>
        </w:tc>
        <w:tc>
          <w:tcPr>
            <w:tcW w:w="2265" w:type="dxa"/>
          </w:tcPr>
          <w:p w14:paraId="1FEB3CB1" w14:textId="77777777" w:rsidR="00C34BEC" w:rsidRPr="00C34BEC" w:rsidRDefault="00C34BEC" w:rsidP="0085122E">
            <w:pPr>
              <w:pStyle w:val="Tabletext"/>
            </w:pPr>
            <w:r w:rsidRPr="00C34BEC">
              <w:t>can determine with precision the negative environmental impact of the CSC</w:t>
            </w:r>
          </w:p>
          <w:p w14:paraId="1E840B66" w14:textId="77777777" w:rsidR="00C34BEC" w:rsidRPr="00C34BEC" w:rsidRDefault="00C34BEC" w:rsidP="0085122E">
            <w:pPr>
              <w:pStyle w:val="Tabletext"/>
            </w:pPr>
            <w:r w:rsidRPr="00C34BEC">
              <w:t>Can measure the CE potential related to regenerative flows of resources</w:t>
            </w:r>
          </w:p>
        </w:tc>
        <w:tc>
          <w:tcPr>
            <w:tcW w:w="2266" w:type="dxa"/>
          </w:tcPr>
          <w:p w14:paraId="4AB60B44" w14:textId="77777777" w:rsidR="00C34BEC" w:rsidRPr="00C34BEC" w:rsidRDefault="00C34BEC" w:rsidP="0085122E">
            <w:pPr>
              <w:pStyle w:val="Tabletext"/>
            </w:pPr>
            <w:r w:rsidRPr="00C34BEC">
              <w:t xml:space="preserve">Unable to measure and visualise the CE potential related to regenerative flows of resources; </w:t>
            </w:r>
          </w:p>
          <w:p w14:paraId="44DB06EB" w14:textId="77777777" w:rsidR="00C34BEC" w:rsidRPr="00C34BEC" w:rsidRDefault="00C34BEC" w:rsidP="0085122E">
            <w:pPr>
              <w:pStyle w:val="Tabletext"/>
            </w:pPr>
            <w:r w:rsidRPr="00C34BEC">
              <w:t>Not always able to take into account the environmental impact associated with circular flows</w:t>
            </w:r>
          </w:p>
        </w:tc>
        <w:tc>
          <w:tcPr>
            <w:tcW w:w="2266" w:type="dxa"/>
          </w:tcPr>
          <w:p w14:paraId="21A54FB2" w14:textId="77777777" w:rsidR="00C34BEC" w:rsidRPr="00C34BEC" w:rsidRDefault="00C34BEC" w:rsidP="0085122E">
            <w:pPr>
              <w:pStyle w:val="Tabletext"/>
            </w:pPr>
            <w:r w:rsidRPr="00C34BEC">
              <w:t>CSC that consume less resources and work in symbiosis with the Nature</w:t>
            </w:r>
          </w:p>
        </w:tc>
      </w:tr>
      <w:tr w:rsidR="00C34BEC" w:rsidRPr="00C34BEC" w14:paraId="5D353680" w14:textId="77777777" w:rsidTr="0085122E">
        <w:tc>
          <w:tcPr>
            <w:tcW w:w="2265" w:type="dxa"/>
          </w:tcPr>
          <w:p w14:paraId="3C0B0C38" w14:textId="77777777" w:rsidR="00C34BEC" w:rsidRPr="00C34BEC" w:rsidRDefault="00C34BEC" w:rsidP="0085122E">
            <w:pPr>
              <w:pStyle w:val="Tabletext"/>
            </w:pPr>
            <w:r w:rsidRPr="00C34BEC">
              <w:t>CSC Composite and multicriteria indicators</w:t>
            </w:r>
          </w:p>
        </w:tc>
        <w:tc>
          <w:tcPr>
            <w:tcW w:w="2265" w:type="dxa"/>
          </w:tcPr>
          <w:p w14:paraId="0EE09444" w14:textId="77777777" w:rsidR="00C34BEC" w:rsidRPr="00C34BEC" w:rsidRDefault="00C34BEC" w:rsidP="0085122E">
            <w:pPr>
              <w:pStyle w:val="Tabletext"/>
            </w:pPr>
            <w:r w:rsidRPr="00C34BEC">
              <w:t>useful to consider and integrate multiple stakeholders’ perspective</w:t>
            </w:r>
          </w:p>
        </w:tc>
        <w:tc>
          <w:tcPr>
            <w:tcW w:w="2266" w:type="dxa"/>
          </w:tcPr>
          <w:p w14:paraId="58A4B8F6" w14:textId="77777777" w:rsidR="00C34BEC" w:rsidRPr="00C34BEC" w:rsidRDefault="00C34BEC" w:rsidP="0085122E">
            <w:pPr>
              <w:pStyle w:val="Tabletext"/>
            </w:pPr>
            <w:r w:rsidRPr="00C34BEC">
              <w:t>the outcome of the analysis might depend exclusively on technical decisions (weights)</w:t>
            </w:r>
          </w:p>
        </w:tc>
        <w:tc>
          <w:tcPr>
            <w:tcW w:w="2266" w:type="dxa"/>
          </w:tcPr>
          <w:p w14:paraId="4258A16A" w14:textId="77777777" w:rsidR="00C34BEC" w:rsidRPr="00C34BEC" w:rsidRDefault="00C34BEC" w:rsidP="0085122E">
            <w:pPr>
              <w:pStyle w:val="Tabletext"/>
            </w:pPr>
            <w:r w:rsidRPr="00C34BEC">
              <w:t>Flexible; it depends on involved decision-makers, weighting and normalising procedures</w:t>
            </w:r>
          </w:p>
        </w:tc>
      </w:tr>
    </w:tbl>
    <w:p w14:paraId="5D78A1EB" w14:textId="77777777" w:rsidR="00C34BEC" w:rsidRPr="00C34BEC" w:rsidRDefault="00C34BEC" w:rsidP="00C34BEC"/>
    <w:p w14:paraId="77E890E8" w14:textId="77777777" w:rsidR="00C34BEC" w:rsidRPr="00C34BEC" w:rsidRDefault="00C34BEC" w:rsidP="00C34BEC">
      <w:r w:rsidRPr="00C34BEC">
        <w:lastRenderedPageBreak/>
        <w:t xml:space="preserve">In general, the main worldviews in supply chain management might have a role in influencing the type of transition towards the CE </w:t>
      </w:r>
      <w:r w:rsidRPr="00C34BEC">
        <w:fldChar w:fldCharType="begin" w:fldLock="1"/>
      </w:r>
      <w:r w:rsidRPr="00C34BEC">
        <w:instrText>ADDIN CSL_CITATION {"citationItems":[{"id":"ITEM-1","itemData":{"DOI":"10.1007/978-3-030-15066-2_2","ISBN":"9783030150662","abstract":"It could be argued that for many years sustainable supply chain management (SSCM) has been working in splendid isolation; making reference more to the SCM literature than to the steadily advancing literature in sustainable business or sustainability in general, e.g. the growing literature on the Anthropocene. Yet, recently there have been signs of greater synergies between these two fields and some publications now suggest that the SSCM literature is beginning to link with current thinking in sustainability and business (Matthews L, Power D, Touboulic A, Marques L, J Supply Chain Manag 52(1):82--94, 2016; Montabon F, Pagell M, Wu Z, J Supply Chain Manag 52:11--27, 2016). This contribution attempts to build on this by linking SSCM thinking with the newly emerging literature of business resilience based more on ecological principles.","author":[{"dropping-particle":"","family":"Nieuwenhuis","given":"Paul","non-dropping-particle":"","parse-names":false,"suffix":""},{"dropping-particle":"","family":"Touboulic","given":"Anne","non-dropping-particle":"","parse-names":false,"suffix":""},{"dropping-particle":"","family":"Matthews","given":"Lee","non-dropping-particle":"","parse-names":false,"suffix":""}],"id":"ITEM-1","issue":"May","issued":{"date-parts":[["2019"]]},"page":"13-30","title":"Is Sustainable Supply Chain Management Sustainable?","type":"article-journal"},"uris":["http://www.mendeley.com/documents/?uuid=600b190c-2c30-4efe-8a89-b512c7653fee"]}],"mendeley":{"formattedCitation":"(Nieuwenhuis et al., 2019)","plainTextFormattedCitation":"(Nieuwenhuis et al., 2019)","previouslyFormattedCitation":"(Nieuwenhuis et al., 2019)"},"properties":{"noteIndex":0},"schema":"https://github.com/citation-style-language/schema/raw/master/csl-citation.json"}</w:instrText>
      </w:r>
      <w:r w:rsidRPr="00C34BEC">
        <w:fldChar w:fldCharType="separate"/>
      </w:r>
      <w:r w:rsidRPr="00C34BEC">
        <w:t>(Nieuwenhuis et al., 2019)</w:t>
      </w:r>
      <w:r w:rsidRPr="00C34BEC">
        <w:fldChar w:fldCharType="end"/>
      </w:r>
      <w:r w:rsidRPr="00C34BEC">
        <w:t xml:space="preserve">. Values assumptions affect how the tools are designed and as a consequence also the prescription of the analysis </w:t>
      </w:r>
      <w:r w:rsidRPr="00C34BEC">
        <w:fldChar w:fldCharType="begin" w:fldLock="1"/>
      </w:r>
      <w:r w:rsidRPr="00C34BEC">
        <w:instrText>ADDIN CSL_CITATION {"citationItems":[{"id":"ITEM-1","itemData":{"DOI":"10.1016/j.envsci.2020.01.008","ISSN":"18736416","abstract":"How to tackle uncertainties and ensure quality in integrated assessment for sustainability? To what extent does the choice of the methodology condition the narrative produced by the analysis? The present work argues that the two questions are tightly coupled. The technique is never neutral. If we are the tools of our tools, as suggested by Thoreau, then it can also be said that language is not only a vehicle for communication, it is the driver as well. For this reason, in sustainability assessment it is not unusual to discern a close relationship between arguments made and methods adopted. In the present work a set of six reflexive analytical tools – we call them lenses – is suggested which could be pooled to the effect to appraise and improve the quality of integrated assessment and the resulting sustainability narratives, and to alleviate the constraints of the method-argument dependency. None of the lenses is new and each has been used before. Never have they been used together. The lenses are (i) Post-normal science (PNS), (ii) Controversy studies, (iii) Sensitivity auditing, (iv) Bioeconomics, (v) Ethics of science for governance, and (vi) Non-Ricardian economics. The six lenses are illustrated together with a set of case/narratives/arguments. The lenses allow some narratives – or methodologies – to be shown as either implausible or inadequate, and new narratives to be developed to tackle pressing sustainability issues, which expand the horizon of possible strategies for a solution.","author":[{"dropping-particle":"","family":"Saltelli","given":"Andrea","non-dropping-particle":"","parse-names":false,"suffix":""},{"dropping-particle":"","family":"Benini","given":"Lorenzo","non-dropping-particle":"","parse-names":false,"suffix":""},{"dropping-particle":"","family":"Funtowicz","given":"Silvio","non-dropping-particle":"","parse-names":false,"suffix":""},{"dropping-particle":"","family":"Giampietro","given":"Mario","non-dropping-particle":"","parse-names":false,"suffix":""},{"dropping-particle":"","family":"Kaiser","given":"Matthias","non-dropping-particle":"","parse-names":false,"suffix":""},{"dropping-particle":"","family":"Reinert","given":"Erik","non-dropping-particle":"","parse-names":false,"suffix":""},{"dropping-particle":"","family":"Sluijs","given":"Jeroen P.","non-dropping-particle":"van der","parse-names":false,"suffix":""}],"container-title":"Environmental Science and Policy","id":"ITEM-1","issue":"January","issued":{"date-parts":[["2020"]]},"page":"87-98","publisher":"Elsevier","title":"The technique is never neutral. How methodological choices condition the generation of narratives for sustainability","type":"article-journal","volume":"106"},"uris":["http://www.mendeley.com/documents/?uuid=bdc18fc2-f6d9-4df1-8cf5-7ad726f09fea"]}],"mendeley":{"formattedCitation":"(Saltelli et al., 2020)","plainTextFormattedCitation":"(Saltelli et al., 2020)","previouslyFormattedCitation":"(Saltelli et al., 2020)"},"properties":{"noteIndex":0},"schema":"https://github.com/citation-style-language/schema/raw/master/csl-citation.json"}</w:instrText>
      </w:r>
      <w:r w:rsidRPr="00C34BEC">
        <w:fldChar w:fldCharType="separate"/>
      </w:r>
      <w:r w:rsidRPr="00C34BEC">
        <w:t>(Saltelli et al., 2020)</w:t>
      </w:r>
      <w:r w:rsidRPr="00C34BEC">
        <w:fldChar w:fldCharType="end"/>
      </w:r>
      <w:r w:rsidRPr="00C34BEC">
        <w:t xml:space="preserve">. The majority of the DSTs for CSCs (even without stating it openly) adopt a neoclassical perspective of value and do not challenge the assumptions and the rules of the game in today’s free market economies </w:t>
      </w:r>
      <w:r w:rsidRPr="00C34BEC">
        <w:fldChar w:fldCharType="begin" w:fldLock="1"/>
      </w:r>
      <w:r w:rsidRPr="00C34BEC">
        <w:instrText>ADDIN CSL_CITATION {"citationItems":[{"id":"ITEM-1","itemData":{"DOI":"10.1016/j.jclepro.2017.12.111","ISSN":"09596526","abstract":"The Circular Economy (CE) is currently a popular notion within the policy and business advocacy groups. Despite being visionary and provocative in its message, the research on the CE concept is emerging. The two intertwined objectives of the paper are; first to identify, discuss and develop the various definitions provided by the emerging literature. Secondly, to suggest an initial research approach with which research on CE can be conducted. Our analysis shows that the existing CE work is mainly done on the practical and technical levels of the actual physical flows of materials and energy in production-consumption systems. The focus of the extant literature is on concrete metrics, tools, instruments and computations. Therefore, the basic assumptions concerning the values, societal structures, cultures, underlying world-views and the paradigmatic potential of CE remain largely unexplored. We argue that CE has already become what Gallie (1955) more than six decades ago termed as an “essentially contested concept” (ECC). The paper further suggests a model for CE research that helps in the categorization, classification and organization of research and investigation on CE. The model can help in limiting the observed unbalance and enhance the contribution of the CE approach to a more sustainable global society.","author":[{"dropping-particle":"","family":"Korhonen","given":"Jouni","non-dropping-particle":"","parse-names":false,"suffix":""},{"dropping-particle":"","family":"Nuur","given":"Cali","non-dropping-particle":"","parse-names":false,"suffix":""},{"dropping-particle":"","family":"Feldmann","given":"Andreas","non-dropping-particle":"","parse-names":false,"suffix":""},{"dropping-particle":"","family":"Birkie","given":"Seyoum Eshetu","non-dropping-particle":"","parse-names":false,"suffix":""}],"container-title":"Journal of Cleaner Production","id":"ITEM-1","issued":{"date-parts":[["2018"]]},"page":"544-552","publisher":"Elsevier Ltd","title":"Circular economy as an essentially contested concept","type":"article-journal","volume":"175"},"uris":["http://www.mendeley.com/documents/?uuid=3e9a13ee-95df-4eb4-8018-1c996496fbfa"]}],"mendeley":{"formattedCitation":"(Korhonen, Nuur, et al., 2018)","plainTextFormattedCitation":"(Korhonen, Nuur, et al., 2018)","previouslyFormattedCitation":"(Korhonen, Nuur, et al., 2018)"},"properties":{"noteIndex":0},"schema":"https://github.com/citation-style-language/schema/raw/master/csl-citation.json"}</w:instrText>
      </w:r>
      <w:r w:rsidRPr="00C34BEC">
        <w:fldChar w:fldCharType="separate"/>
      </w:r>
      <w:r w:rsidRPr="00C34BEC">
        <w:t>(Korhonen, Nuur, et al., 2018)</w:t>
      </w:r>
      <w:r w:rsidRPr="00C34BEC">
        <w:fldChar w:fldCharType="end"/>
      </w:r>
      <w:r w:rsidRPr="00C34BEC">
        <w:t xml:space="preserve">. By doing so models enforce and promote this worldview. This is a key point: they might be measuring the wrong things and be supporting an evolution of our production and consumption systems that is not the one required by Science and International Agreements. For example, not all the types of CE practice are part of the models, with a clear prevalence of end of life recycling over more innovative supply chain configurations that include radical changes in the use phase, ownership of products. The outcome could be production systems that are circular, make use of a lot of recycled materials flows, but consume a lot of resources and energy to produce the wrong products in the wrong quantities. </w:t>
      </w:r>
    </w:p>
    <w:p w14:paraId="300BFAA2" w14:textId="77777777" w:rsidR="00C34BEC" w:rsidRPr="00C34BEC" w:rsidRDefault="00C34BEC" w:rsidP="00C34BEC">
      <w:r w:rsidRPr="00C34BEC">
        <w:t xml:space="preserve">For these reasons, it is important to discuss what value there is in a CE. Incorporating other worldviews means making a reflection on consumerism, on the desirability of the growth paradigm and on the effectiveness of free market settings for some goods. This discussion is part of a wider political discussion, which includes the need to update GDP as a measure, integrating it with some other metrics and perspective. It includes a reflection on the role of firms and of other institutions to deliver more sustainable production and consumption systems. </w:t>
      </w:r>
    </w:p>
    <w:p w14:paraId="569AF77C" w14:textId="77777777" w:rsidR="00C34BEC" w:rsidRPr="00C34BEC" w:rsidRDefault="00C34BEC" w:rsidP="0034288B">
      <w:pPr>
        <w:pStyle w:val="Heading3"/>
      </w:pPr>
      <w:bookmarkStart w:id="248" w:name="_Toc157759603"/>
      <w:bookmarkEnd w:id="244"/>
      <w:r w:rsidRPr="00C34BEC">
        <w:t>Contribution to theory and practice</w:t>
      </w:r>
      <w:bookmarkEnd w:id="248"/>
    </w:p>
    <w:p w14:paraId="121539B3" w14:textId="77777777" w:rsidR="00C34BEC" w:rsidRPr="00C34BEC" w:rsidRDefault="00C34BEC" w:rsidP="00C34BEC">
      <w:r w:rsidRPr="00C34BEC">
        <w:t xml:space="preserve">This study contributes to theory by reviewing already developed CE indicators at the supply chain level, which were not reviewed until very recently </w:t>
      </w:r>
      <w:r w:rsidRPr="00C34BEC">
        <w:fldChar w:fldCharType="begin" w:fldLock="1"/>
      </w:r>
      <w:r w:rsidRPr="00C34BEC">
        <w:instrText>ADDIN CSL_CITATION {"citationItems":[{"id":"ITEM-1","itemData":{"DOI":"10.1016/j.jclepro.2020.125457","ISSN":"09596526","abstract":"Circular economy has become a central concept of sustainable production and consumption since its introduction into the public eye. However, to ensure circular economy actually delivers on its promises regarding sustainability, it is vital to anticipate and assess the impact of circular economy practices in an integrated way. For that purpose, holistic assessments are crucial to enable transparent decision-making, clearly indicating possible trade-offs. While previous literature has mainly focused on product, company or country level, this paper contributes to an improved understanding of sustainability assessments on the inter-firm level. Given the vital role of inter-firm networks in the transition to a circular economy, the authors present a systematic literature review of sustainability assessment approaches applicable within circular inter-firm networks. These networks are primarily represented in two related fields relevant to circular economy: industrial ecology offers sustainability assessment approaches for inter- and intra-sectoral business activities at different scales, whereas circular supply chain management is a promising source for sustainability assessment approaches considering product life cycles. Over 100 academic publications are reviewed and categorised according to assessment type, correspondence to the relevant field, and sustainability dimensions addressed. The results demonstrate that life cycle-based methodologies as well as indicator frameworks, often combined with multi-criteria decision-making methods, are the most common ex-post assessment approaches. Concurrently, the most frequent ex-ante assessments are based on mathematical programming. It is further observed that industrial ecology-related publications present more comprehensive environmental assessments, while circular supply chain management literature includes the social dimension more often, but superficially. Overall, the social dimension is least assessed and least integrated into the sustainability assessment. Based on the findings of the review, an integrated framework of approaches is developed, enabling decision-makers to identify suitable sustainability assessment approaches for circular inter-firm networks.","author":[{"dropping-particle":"","family":"Walker","given":"Anna M.","non-dropping-particle":"","parse-names":false,"suffix":""},{"dropping-particle":"","family":"Vermeulen","given":"Walter J.V.","non-dropping-particle":"","parse-names":false,"suffix":""},{"dropping-particle":"","family":"Simboli","given":"Alberto","non-dropping-particle":"","parse-names":false,"suffix":""},{"dropping-particle":"","family":"Raggi","given":"Andrea","non-dropping-particle":"","parse-names":false,"suffix":""}],"container-title":"Journal of Cleaner Production","id":"ITEM-1","issued":{"date-parts":[["2021"]]},"page":"125457","publisher":"Elsevier Ltd","title":"Sustainability assessment in circular inter-firm networks: An integrated framework of industrial ecology and circular supply chain management approaches","type":"article-journal","volume":"286"},"uris":["http://www.mendeley.com/documents/?uuid=8101a4e7-58f6-4cf5-bb14-5685496ac2ed"]}],"mendeley":{"formattedCitation":"(Walker, Vermeulen, et al., 2021)","manualFormatting":"(Walker et al., 2021)","plainTextFormattedCitation":"(Walker, Vermeulen, et al., 2021)","previouslyFormattedCitation":"(Walker, Vermeulen, et al., 2021)"},"properties":{"noteIndex":0},"schema":"https://github.com/citation-style-language/schema/raw/master/csl-citation.json"}</w:instrText>
      </w:r>
      <w:r w:rsidRPr="00C34BEC">
        <w:fldChar w:fldCharType="separate"/>
      </w:r>
      <w:r w:rsidRPr="00C34BEC">
        <w:t>(Walker et al., 2021)</w:t>
      </w:r>
      <w:r w:rsidRPr="00C34BEC">
        <w:fldChar w:fldCharType="end"/>
      </w:r>
      <w:r w:rsidRPr="00C34BEC">
        <w:t xml:space="preserve">. Previously CE indicators and metrics were reviewed only at the single firm level of analysis and no SLR had focused on CE indicators at the supply chain level. This review confirms some of the results and considers many papers that were not included in previous literature reviews </w:t>
      </w:r>
      <w:r w:rsidRPr="00C34BEC">
        <w:fldChar w:fldCharType="begin" w:fldLock="1"/>
      </w:r>
      <w:r w:rsidRPr="00C34BEC">
        <w:instrText>ADDIN CSL_CITATION {"citationItems":[{"id":"ITEM-1","itemData":{"DOI":"10.1016/j.jclepro.2019.05.019","ISSN":"09596526","abstract":"The depletion of resources and the downgrading of the environment, driven by globalization and consumerism phenomena, is worldwide pushing the interest on the Circular Economy (CE)concept. Supposed to substitute the end-of-life notion with restoration and closed-loop product lifecycles, CE wants to eliminate wastes, retain the value embedded into products and materials, foster the use of renewable energies and eliminate toxic chemicals. However, the measurement and assessment of circularity performances are not yet a common practice in companies. To this aim, the paper wants to detect, through a systematic literature review, which are the existing CE performance assessment methods proposed in literature and, based on key findings, develop a positioning framework for measuring and assessing the circularity degree of a company.","author":[{"dropping-particle":"","family":"Sassanelli","given":"Claudio","non-dropping-particle":"","parse-names":false,"suffix":""},{"dropping-particle":"","family":"Rosa","given":"Paolo","non-dropping-particle":"","parse-names":false,"suffix":""},{"dropping-particle":"","family":"Rocca","given":"Roberto","non-dropping-particle":"","parse-names":false,"suffix":""},{"dropping-particle":"","family":"Terzi","given":"Sergio","non-dropping-particle":"","parse-names":false,"suffix":""}],"container-title":"Journal of Cleaner Production","id":"ITEM-1","issued":{"date-parts":[["2019"]]},"page":"440-453","publisher":"Elsevier Ltd","title":"Circular economy performance assessment methods: A systematic literature review","type":"article-journal","volume":"229"},"uris":["http://www.mendeley.com/documents/?uuid=5273591e-185a-4bbe-ab72-78cdc197cdf7"]},{"id":"ITEM-2","itemData":{"DOI":"10.1016/j.jclepro.2020.125090","ISSN":"09596526","abstract":"With reference to assessing Circular Economy (CE) at the firm level, available literature reviews do not clarify what and how has to be actually assessed, while many assessment methods do not take into account the latest developments in the field. Furthermore, CE indicators are not explicitly linked to the firm's organizational functions involved in CE assessment. In order to address these issues and to favor practice-oriented CE assessments at the firm level, the present paper collects and analyses CE assessment indicators at their finest level of granularity, i.e. the CE metrics. By means of a systematic literature review, the work gathers insights from 130 documents belonging to scientific and practitioners’ literature, reviews existing CE metrics, and organizes them according to a new circular Value Chain framework. More in details, 365 different firm-level metrics have been identified and classified through said circular Value Chain framework, articulated into 23 categories. The vast majority of CE metrics are sufficiently general and applicable in assessment procedures irrespective of the firm size, the geographic location, the industrial domain and the selling strategy of the company. This aspect facilitates the fine-tuning of comprehensive CE assessment methods, which, as a result, can largely neglect contingency factors of the investigated firms. The framework and its categories help match CE metrics and organizational functions, thus facilitating the individuation of firms’ players involved in CE assessment. As the review highlights a remarkable fragmentation of current CE assessment models and diverging interpretations of CE's scopes, further implications on research and practice are discussed.","author":[{"dropping-particle":"","family":"Vinante","given":"Christian","non-dropping-particle":"","parse-names":false,"suffix":""},{"dropping-particle":"","family":"Sacco","given":"Pasqualina","non-dropping-particle":"","parse-names":false,"suffix":""},{"dropping-particle":"","family":"Orzes","given":"Guido","non-dropping-particle":"","parse-names":false,"suffix":""},{"dropping-particle":"","family":"Borgianni","given":"Yuri","non-dropping-particle":"","parse-names":false,"suffix":""}],"container-title":"Journal of Cleaner Production","id":"ITEM-2","issued":{"date-parts":[["2021"]]},"note":"Chen et al., highlight that most of the main sustainability reporting frameworks do not integrate the concept of the CE. disconnected\nalso Vinante et al. agree. uncertainty what to report\nno standardised approaches","page":"125090","publisher":"Elsevier Ltd","title":"Circular economy metrics: Literature review and company-level classification framework","type":"article-journal","volume":"288"},"uris":["http://www.mendeley.com/documents/?uuid=5b20dff5-2c8b-4680-9d5a-f69f918c49a9"]}],"mendeley":{"formattedCitation":"(Sassanelli, Rosa, et al., 2019; Vinante et al., 2021)","manualFormatting":"(Sassanelli, et al., 2019; Vinante et al., 2021)","plainTextFormattedCitation":"(Sassanelli, Rosa, et al., 2019; Vinante et al., 2021)","previouslyFormattedCitation":"(Sassanelli, Rosa, et al., 2019; Vinante et al., 2021)"},"properties":{"noteIndex":0},"schema":"https://github.com/citation-style-language/schema/raw/master/csl-citation.json"}</w:instrText>
      </w:r>
      <w:r w:rsidRPr="00C34BEC">
        <w:fldChar w:fldCharType="separate"/>
      </w:r>
      <w:r w:rsidRPr="00C34BEC">
        <w:t>(Sassanelli, et al., 2019; Vinante et al., 2021)</w:t>
      </w:r>
      <w:r w:rsidRPr="00C34BEC">
        <w:fldChar w:fldCharType="end"/>
      </w:r>
      <w:r w:rsidRPr="00C34BEC">
        <w:t xml:space="preserve">. By identifying indicators and extracting metrics from decision support tools this paper connects streams of literature (or topics) that seems to be disconnected, e.g. SCM literature focusing on CLSCs, and CE literature. </w:t>
      </w:r>
    </w:p>
    <w:p w14:paraId="53533FD9" w14:textId="08D80056" w:rsidR="00C34BEC" w:rsidRPr="00C34BEC" w:rsidRDefault="00C34BEC" w:rsidP="00C34BEC">
      <w:r w:rsidRPr="00C34BEC">
        <w:t xml:space="preserve">A second theoretical contribution of this paper consists </w:t>
      </w:r>
      <w:r w:rsidR="00F07293" w:rsidRPr="00C34BEC">
        <w:t>of</w:t>
      </w:r>
      <w:r w:rsidRPr="00C34BEC">
        <w:t xml:space="preserve"> reflecting critically on the choices behind tools definition and indicators selection. This literature identifies the value assumptions behind the choices that characterise the creation of tools and indicators, as suggested in sustainability science literature </w:t>
      </w:r>
      <w:r w:rsidRPr="00C34BEC">
        <w:fldChar w:fldCharType="begin" w:fldLock="1"/>
      </w:r>
      <w:r w:rsidRPr="00C34BEC">
        <w:instrText>ADDIN CSL_CITATION {"citationItems":[{"id":"ITEM-1","itemData":{"DOI":"10.1016/j.ecolecon.2012.05.005","ISSN":"09218009","author":[{"dropping-particle":"","family":"Gasparatos","given":"Alexandros","non-dropping-particle":"","parse-names":false,"suffix":""},{"dropping-particle":"","family":"Scolobig","given":"A.","non-dropping-particle":"","parse-names":false,"suffix":""}],"container-title":"Ecological Economics","id":"ITEM-1","issued":{"date-parts":[["2012"]]},"page":"1-7","publisher":"Elsevier B.V.","title":"Choosing the most appropriate sustainability assessment tool","type":"article-journal","volume":"80"},"uris":["http://www.mendeley.com/documents/?uuid=3d5266fb-0242-4fb1-a9f8-466690825895"]}],"mendeley":{"formattedCitation":"(Gasparatos &amp; Scolobig, 2012)","plainTextFormattedCitation":"(Gasparatos &amp; Scolobig, 2012)","previouslyFormattedCitation":"(Gasparatos &amp; Scolobig, 2012)"},"properties":{"noteIndex":0},"schema":"https://github.com/citation-style-language/schema/raw/master/csl-citation.json"}</w:instrText>
      </w:r>
      <w:r w:rsidRPr="00C34BEC">
        <w:fldChar w:fldCharType="separate"/>
      </w:r>
      <w:r w:rsidRPr="00C34BEC">
        <w:t>(Gasparatos &amp; Scolobig, 2012)</w:t>
      </w:r>
      <w:r w:rsidRPr="00C34BEC">
        <w:fldChar w:fldCharType="end"/>
      </w:r>
      <w:r w:rsidRPr="00C34BEC">
        <w:t xml:space="preserve">. DSTs supporting CSC decision making will determine </w:t>
      </w:r>
      <w:r w:rsidRPr="00C34BEC">
        <w:lastRenderedPageBreak/>
        <w:t xml:space="preserve">how the transition towards the CE in production and consumption systems will happen and define the type of CE economy our societies will achieve. By recognising the different paths of evolution of supply chains from a linear configuration to a circular one, this paper aims to contribute to this discussion. </w:t>
      </w:r>
    </w:p>
    <w:p w14:paraId="3BC54E09" w14:textId="77777777" w:rsidR="00C34BEC" w:rsidRPr="00C34BEC" w:rsidRDefault="00C34BEC" w:rsidP="00C34BEC">
      <w:r w:rsidRPr="00C34BEC">
        <w:t xml:space="preserve">This paper contributes to practice by putting together all the CE indicators that have been developed and included in existing DSTs for supply chains. Two first prototypes are proposed to summarise existing knowledge for practitioners. </w:t>
      </w:r>
    </w:p>
    <w:p w14:paraId="1B4F7FD2" w14:textId="77777777" w:rsidR="00C34BEC" w:rsidRPr="00C34BEC" w:rsidRDefault="00C34BEC" w:rsidP="0034288B">
      <w:pPr>
        <w:pStyle w:val="Heading2"/>
      </w:pPr>
      <w:bookmarkStart w:id="249" w:name="_Toc39268495"/>
      <w:bookmarkStart w:id="250" w:name="_Toc157759604"/>
      <w:r w:rsidRPr="00C34BEC">
        <w:t>Conclusions</w:t>
      </w:r>
      <w:bookmarkEnd w:id="249"/>
      <w:bookmarkEnd w:id="250"/>
      <w:r w:rsidRPr="00C34BEC">
        <w:t xml:space="preserve"> </w:t>
      </w:r>
    </w:p>
    <w:p w14:paraId="53E758E1" w14:textId="77777777" w:rsidR="00C34BEC" w:rsidRPr="00C34BEC" w:rsidRDefault="00C34BEC" w:rsidP="00C34BEC">
      <w:r w:rsidRPr="00C34BEC">
        <w:t xml:space="preserve">This paper aims to investigate CE indicators in the context of CSCM literature as well as those found in company Corporate Sustainability reports and represents a first step towards the development of decision support tools for designing and evaluating CSCs. Two CE indicators prototypes are proposed with the objective of summarising the most frequent choices in current models in the academic and practitioners’ literature. </w:t>
      </w:r>
    </w:p>
    <w:p w14:paraId="6D49956A" w14:textId="77777777" w:rsidR="00C34BEC" w:rsidRPr="00C34BEC" w:rsidRDefault="00C34BEC" w:rsidP="00C34BEC">
      <w:r w:rsidRPr="00C34BEC">
        <w:t xml:space="preserve">The analysis reveals that current indicators in the literature focus mostly on measuring the negative environmental impacts of CSCs and not incorporate almost any metrics to evaluate the economic and environmental potential behind the circulation of resources. The most frequently employed metrics are carbon emissions, the use of energy and economic cost. DSTs in the literature evaluate economic aspects more frequently than Corporate Sustainability reports, which measure more often environmental aspects. Both the literature and the industrial practice show a simplified and superficial consideration of social implications in measuring the transition towards the CE in supply chains. </w:t>
      </w:r>
    </w:p>
    <w:p w14:paraId="3AF5F001" w14:textId="77777777" w:rsidR="00C34BEC" w:rsidRPr="00C34BEC" w:rsidRDefault="00C34BEC" w:rsidP="00C34BEC">
      <w:r w:rsidRPr="00C34BEC">
        <w:t>The paper also argues that the approaches in the CSCM literature have a reductionist interpretation of sustainability aspects. Single metrics are selected to represent whole sustainability dimensions, arbitrary weights are chosen, strong assumptions are made, such as that environmental and social impacts can be converted into monetary terms. The 3 different classes of tools identified reflect very different assumptions and worldviews and as such can drive different pathways of evolution of supply chains from a linear configuration to a circular one. CSC Monetary tools focus on improving the economic efficiency of production and consumption networks through the adoption of CE practices; CSC Biophysical tools aims at developing CSC that consume less resources and work in symbiosis with the Nature; CSC composite indicators path is uncertain and depends on involved decision-makers, weighting and normalising procedures.</w:t>
      </w:r>
    </w:p>
    <w:p w14:paraId="080530CE" w14:textId="77777777" w:rsidR="00C34BEC" w:rsidRPr="00C34BEC" w:rsidRDefault="00C34BEC" w:rsidP="00C34BEC">
      <w:r w:rsidRPr="00C34BEC">
        <w:lastRenderedPageBreak/>
        <w:t xml:space="preserve">Future research in SCM should clearly state value assumptions of the models and challenge the prevalent configurations and beliefs to explore how the CE can deeply transform production and consumption systems. </w:t>
      </w:r>
    </w:p>
    <w:p w14:paraId="4A2E0B87" w14:textId="77777777" w:rsidR="00C34BEC" w:rsidRPr="00C34BEC" w:rsidRDefault="00C34BEC" w:rsidP="0034288B">
      <w:pPr>
        <w:pStyle w:val="Heading3"/>
      </w:pPr>
      <w:bookmarkStart w:id="251" w:name="_Toc39268494"/>
      <w:bookmarkStart w:id="252" w:name="_Toc157759605"/>
      <w:r w:rsidRPr="00C34BEC">
        <w:t>Limitations and future directions</w:t>
      </w:r>
      <w:bookmarkEnd w:id="251"/>
      <w:bookmarkEnd w:id="252"/>
    </w:p>
    <w:p w14:paraId="637D18D3" w14:textId="77777777" w:rsidR="00C34BEC" w:rsidRPr="00C34BEC" w:rsidRDefault="00C34BEC" w:rsidP="00C34BEC">
      <w:r w:rsidRPr="00C34BEC">
        <w:t xml:space="preserve">A first limitation could arise from the different scope of practitioners’ and academic literatures, which might make it problematic the comparison. The former deals with reporting consumptive results for stakeholders; the latter with the creation of tools that most of the times are used both to support decisions in the design phase and to evaluate existing production and consumption networks. For this reason, more research is needed to confirm these findings. </w:t>
      </w:r>
    </w:p>
    <w:p w14:paraId="512E4E3D" w14:textId="77777777" w:rsidR="00C34BEC" w:rsidRPr="00C34BEC" w:rsidRDefault="00C34BEC" w:rsidP="00C34BEC">
      <w:r w:rsidRPr="00C34BEC">
        <w:t xml:space="preserve">A better CE indicator could be built through a more comprehensive and structured application of MCDM methods and involvement of stakeholders and experts from a variety of backgrounds (academia, industry, NGOs, national and local government). These actors could rigorously choose a subset of representative indicators as well as the relative weights. Selected CE Indicators might also be kept separate in order to avoid the disadvantages of composite indicators. The use of Principal Component Analysis (PCA) could also help to identify a subset of indicators that are independent of one another and develop a more robust and effective index. Secondary datasets could be utilised for this purpose, such as </w:t>
      </w:r>
      <w:proofErr w:type="spellStart"/>
      <w:r w:rsidRPr="00C34BEC">
        <w:t>Ecoinvent</w:t>
      </w:r>
      <w:proofErr w:type="spellEnd"/>
      <w:r w:rsidRPr="00C34BEC">
        <w:t xml:space="preserve"> (2018)</w:t>
      </w:r>
      <w:r w:rsidRPr="00C34BEC">
        <w:rPr>
          <w:vertAlign w:val="superscript"/>
        </w:rPr>
        <w:footnoteReference w:id="21"/>
      </w:r>
      <w:r w:rsidRPr="00C34BEC">
        <w:t>, a life cycle inventory database that associates detailed environmental impact indicators across all the phases of the life of a product; essentially, such database provides a big repository of Bill of Materials for specific products and processes, along with associated environmental impacts and estimates of resource consumptions.</w:t>
      </w:r>
    </w:p>
    <w:p w14:paraId="5419DC65" w14:textId="77777777" w:rsidR="00C34BEC" w:rsidRPr="00C34BEC" w:rsidRDefault="00C34BEC" w:rsidP="00C34BEC">
      <w:pPr>
        <w:rPr>
          <w:b/>
          <w:bCs/>
          <w:iCs/>
        </w:rPr>
      </w:pPr>
      <w:r w:rsidRPr="00C34BEC">
        <w:rPr>
          <w:b/>
          <w:bCs/>
          <w:iCs/>
        </w:rPr>
        <w:t>Declaration of interests</w:t>
      </w:r>
    </w:p>
    <w:p w14:paraId="7F28FEB5" w14:textId="77777777" w:rsidR="00C34BEC" w:rsidRPr="00C34BEC" w:rsidRDefault="00C34BEC" w:rsidP="00C34BEC">
      <w:r w:rsidRPr="00C34BEC">
        <w:t>The authors declare that they have no known competing financial interests or personal relationships that could have appeared to influence the work reported in this paper.</w:t>
      </w:r>
    </w:p>
    <w:p w14:paraId="62C054CC" w14:textId="77777777" w:rsidR="00C34BEC" w:rsidRPr="00C34BEC" w:rsidRDefault="00C34BEC" w:rsidP="00C34BEC">
      <w:r w:rsidRPr="00C34BEC">
        <w:rPr>
          <w:b/>
        </w:rPr>
        <w:t>Acknowledgments</w:t>
      </w:r>
      <w:r w:rsidRPr="00C34BEC">
        <w:t xml:space="preserve"> </w:t>
      </w:r>
    </w:p>
    <w:p w14:paraId="0781F772" w14:textId="77777777" w:rsidR="00C34BEC" w:rsidRPr="00C34BEC" w:rsidRDefault="00C34BEC" w:rsidP="00C34BEC">
      <w:r w:rsidRPr="00C34BEC">
        <w:t>This research has received funding from the European Union’s Horizon 2020 research and innovation programme under the Marie Skłodowska-Curie Innovative Training Networks (H2020-MSCA-ITN-2018) scheme, grant agreement number 814247 (ReTraCE project).</w:t>
      </w:r>
    </w:p>
    <w:p w14:paraId="1FFE8205" w14:textId="77777777" w:rsidR="00C34BEC" w:rsidRPr="00C34BEC" w:rsidRDefault="00C34BEC" w:rsidP="00C34BEC"/>
    <w:p w14:paraId="01CEB6BD" w14:textId="77777777" w:rsidR="00C34BEC" w:rsidRPr="00C34BEC" w:rsidRDefault="00C34BEC" w:rsidP="00C34BEC"/>
    <w:p w14:paraId="7245179F" w14:textId="77777777" w:rsidR="00C34BEC" w:rsidRPr="00C34BEC" w:rsidRDefault="00C34BEC" w:rsidP="00C34BEC">
      <w:pPr>
        <w:rPr>
          <w:b/>
        </w:rPr>
      </w:pPr>
      <w:bookmarkStart w:id="253" w:name="_Toc39268496"/>
      <w:r w:rsidRPr="00C34BEC">
        <w:br w:type="page"/>
      </w:r>
    </w:p>
    <w:p w14:paraId="5FA819FC" w14:textId="77777777" w:rsidR="00C34BEC" w:rsidRPr="00C34BEC" w:rsidRDefault="00C34BEC" w:rsidP="005A1E34">
      <w:pPr>
        <w:pStyle w:val="Heading2"/>
        <w:numPr>
          <w:ilvl w:val="0"/>
          <w:numId w:val="0"/>
        </w:numPr>
        <w:ind w:left="357" w:hanging="357"/>
      </w:pPr>
      <w:bookmarkStart w:id="254" w:name="_Toc157759606"/>
      <w:r w:rsidRPr="00C34BEC">
        <w:lastRenderedPageBreak/>
        <w:t>References</w:t>
      </w:r>
      <w:bookmarkEnd w:id="253"/>
      <w:bookmarkEnd w:id="254"/>
    </w:p>
    <w:p w14:paraId="4EF9C69E" w14:textId="77777777" w:rsidR="00C34BEC" w:rsidRPr="00C34BEC" w:rsidRDefault="00C34BEC" w:rsidP="00C34BEC">
      <w:r w:rsidRPr="00C34BEC">
        <w:fldChar w:fldCharType="begin" w:fldLock="1"/>
      </w:r>
      <w:r w:rsidRPr="00C34BEC">
        <w:instrText xml:space="preserve">ADDIN Mendeley Bibliography CSL_BIBLIOGRAPHY </w:instrText>
      </w:r>
      <w:r w:rsidRPr="00C34BEC">
        <w:fldChar w:fldCharType="separate"/>
      </w:r>
      <w:r w:rsidRPr="00C34BEC">
        <w:t xml:space="preserve">Abdi, A., Abdi, A., Fathollahi-Fard, A. M., &amp; Hajiaghaei-Keshteli, M. (2019). A set of calibrated metaheuristics to address a closed-loop supply chain network design problem under uncertainty. </w:t>
      </w:r>
      <w:r w:rsidRPr="00C34BEC">
        <w:rPr>
          <w:i/>
          <w:iCs/>
        </w:rPr>
        <w:t>International Journal of Systems Science: Operations and Logistics</w:t>
      </w:r>
      <w:r w:rsidRPr="00C34BEC">
        <w:t>. https://doi.org/10.1080/23302674.2019.1610197</w:t>
      </w:r>
    </w:p>
    <w:p w14:paraId="5F456EB8" w14:textId="77777777" w:rsidR="00C34BEC" w:rsidRPr="00C34BEC" w:rsidRDefault="00C34BEC" w:rsidP="00C34BEC">
      <w:r w:rsidRPr="00C34BEC">
        <w:rPr>
          <w:lang w:val="it-IT"/>
        </w:rPr>
        <w:t xml:space="preserve">Acerbi, F., Sassanelli, C., Terzi, S., &amp; Taisch, M. (2021). </w:t>
      </w:r>
      <w:r w:rsidRPr="00C34BEC">
        <w:t xml:space="preserve">A systematic literature review on data and information required for circular manufacturing strategies adoption. </w:t>
      </w:r>
      <w:r w:rsidRPr="00C34BEC">
        <w:rPr>
          <w:i/>
          <w:iCs/>
        </w:rPr>
        <w:t>Sustainability (Switzerland)</w:t>
      </w:r>
      <w:r w:rsidRPr="00C34BEC">
        <w:t xml:space="preserve">, </w:t>
      </w:r>
      <w:r w:rsidRPr="00C34BEC">
        <w:rPr>
          <w:i/>
          <w:iCs/>
        </w:rPr>
        <w:t>13</w:t>
      </w:r>
      <w:r w:rsidRPr="00C34BEC">
        <w:t>(4), 1–27. https://doi.org/10.3390/su13042047</w:t>
      </w:r>
    </w:p>
    <w:p w14:paraId="05B56216" w14:textId="77777777" w:rsidR="00C34BEC" w:rsidRPr="00C34BEC" w:rsidRDefault="00C34BEC" w:rsidP="00C34BEC">
      <w:r w:rsidRPr="00C34BEC">
        <w:t xml:space="preserve">Acerbi, F., &amp; Taisch, M. (2020). A literature review on circular economy adoption in the manufacturing sector. </w:t>
      </w:r>
      <w:r w:rsidRPr="00C34BEC">
        <w:rPr>
          <w:i/>
          <w:iCs/>
        </w:rPr>
        <w:t>Journal of Cleaner Production</w:t>
      </w:r>
      <w:r w:rsidRPr="00C34BEC">
        <w:t xml:space="preserve">, </w:t>
      </w:r>
      <w:r w:rsidRPr="00C34BEC">
        <w:rPr>
          <w:i/>
          <w:iCs/>
        </w:rPr>
        <w:t>273</w:t>
      </w:r>
      <w:r w:rsidRPr="00C34BEC">
        <w:t>, 123086. https://doi.org/10.1016/j.jclepro.2020.123086</w:t>
      </w:r>
    </w:p>
    <w:p w14:paraId="1A80A649" w14:textId="77777777" w:rsidR="00C34BEC" w:rsidRPr="00C34BEC" w:rsidRDefault="00C34BEC" w:rsidP="00C34BEC">
      <w:r w:rsidRPr="00C34BEC">
        <w:t xml:space="preserve">Acquaye, A., Feng, K., Oppon, E., Salhi, S., Ibn-Mohammed, T., Genovese, A., &amp; Hubacek, K. (2017). Measuring the environmental sustainability performance of global supply chains: A multi-regional input-output analysis for carbon, sulphur oxide and water footprints. </w:t>
      </w:r>
      <w:r w:rsidRPr="00C34BEC">
        <w:rPr>
          <w:i/>
          <w:iCs/>
        </w:rPr>
        <w:t>Journal of Environmental Management</w:t>
      </w:r>
      <w:r w:rsidRPr="00C34BEC">
        <w:t xml:space="preserve">, </w:t>
      </w:r>
      <w:r w:rsidRPr="00C34BEC">
        <w:rPr>
          <w:i/>
          <w:iCs/>
        </w:rPr>
        <w:t>187</w:t>
      </w:r>
      <w:r w:rsidRPr="00C34BEC">
        <w:t>, 571–585. https://doi.org/10.1016/j.jenvman.2016.10.059</w:t>
      </w:r>
    </w:p>
    <w:p w14:paraId="5477EC26" w14:textId="77777777" w:rsidR="00C34BEC" w:rsidRPr="00C34BEC" w:rsidRDefault="00C34BEC" w:rsidP="00C34BEC">
      <w:r w:rsidRPr="00C34BEC">
        <w:t xml:space="preserve">Al-Aomar, R., &amp; Alshraideh, H. (2019). A service-oriented material management model with green options. </w:t>
      </w:r>
      <w:r w:rsidRPr="00C34BEC">
        <w:rPr>
          <w:i/>
          <w:iCs/>
        </w:rPr>
        <w:t>Journal of Cleaner Production</w:t>
      </w:r>
      <w:r w:rsidRPr="00C34BEC">
        <w:t xml:space="preserve">, </w:t>
      </w:r>
      <w:r w:rsidRPr="00C34BEC">
        <w:rPr>
          <w:i/>
          <w:iCs/>
        </w:rPr>
        <w:t>236</w:t>
      </w:r>
      <w:r w:rsidRPr="00C34BEC">
        <w:t>, 117557. https://doi.org/10.1016/j.jclepro.2019.07.032</w:t>
      </w:r>
    </w:p>
    <w:p w14:paraId="17AB5F66" w14:textId="77777777" w:rsidR="00C34BEC" w:rsidRPr="00C34BEC" w:rsidRDefault="00C34BEC" w:rsidP="00C34BEC">
      <w:r w:rsidRPr="00C34BEC">
        <w:t xml:space="preserve">Baptista, S., Barbosa-Póvoa, A. P., Escudero, L. F., Gomes, M. I., &amp; Pizarro, C. (2019). On risk management of a two-stage stochastic mixed 0–1 model for the closed-loop supply chain design problem. </w:t>
      </w:r>
      <w:r w:rsidRPr="00C34BEC">
        <w:rPr>
          <w:i/>
          <w:iCs/>
        </w:rPr>
        <w:t>European Journal of Operational Research</w:t>
      </w:r>
      <w:r w:rsidRPr="00C34BEC">
        <w:t xml:space="preserve">, </w:t>
      </w:r>
      <w:r w:rsidRPr="00C34BEC">
        <w:rPr>
          <w:i/>
          <w:iCs/>
        </w:rPr>
        <w:t>274</w:t>
      </w:r>
      <w:r w:rsidRPr="00C34BEC">
        <w:t>(1), 91–107. https://doi.org/10.1016/j.ejor.2018.09.041</w:t>
      </w:r>
    </w:p>
    <w:p w14:paraId="24778D9E" w14:textId="77777777" w:rsidR="00C34BEC" w:rsidRPr="00C34BEC" w:rsidRDefault="00C34BEC" w:rsidP="00C34BEC">
      <w:r w:rsidRPr="00C34BEC">
        <w:rPr>
          <w:lang w:val="sv-SE"/>
        </w:rPr>
        <w:t xml:space="preserve">Batista, L., Bourlakis, M., Smart, P., &amp; Maull, R. (2018). </w:t>
      </w:r>
      <w:r w:rsidRPr="00C34BEC">
        <w:t xml:space="preserve">In search of a circular supply chain archetype–a content-analysis-based literature review. </w:t>
      </w:r>
      <w:r w:rsidRPr="00C34BEC">
        <w:rPr>
          <w:i/>
          <w:iCs/>
        </w:rPr>
        <w:t>Production Planning and Control</w:t>
      </w:r>
      <w:r w:rsidRPr="00C34BEC">
        <w:t xml:space="preserve">, </w:t>
      </w:r>
      <w:r w:rsidRPr="00C34BEC">
        <w:rPr>
          <w:i/>
          <w:iCs/>
        </w:rPr>
        <w:t>29</w:t>
      </w:r>
      <w:r w:rsidRPr="00C34BEC">
        <w:t>(6), 438–451. https://doi.org/10.1080/09537287.2017.1343502</w:t>
      </w:r>
    </w:p>
    <w:p w14:paraId="1980BDC4" w14:textId="77777777" w:rsidR="00C34BEC" w:rsidRPr="00C34BEC" w:rsidRDefault="00C34BEC" w:rsidP="00C34BEC">
      <w:r w:rsidRPr="00C34BEC">
        <w:t xml:space="preserve">Bauwens, T., Hekkert, M., &amp; Kirchherr, J. (2020). Circular futures: What Will They Look Like? </w:t>
      </w:r>
      <w:r w:rsidRPr="00C34BEC">
        <w:rPr>
          <w:i/>
          <w:iCs/>
        </w:rPr>
        <w:t>Ecological Economics</w:t>
      </w:r>
      <w:r w:rsidRPr="00C34BEC">
        <w:t xml:space="preserve">, </w:t>
      </w:r>
      <w:r w:rsidRPr="00C34BEC">
        <w:rPr>
          <w:i/>
          <w:iCs/>
        </w:rPr>
        <w:t>175</w:t>
      </w:r>
      <w:r w:rsidRPr="00C34BEC">
        <w:t>(April), 106703. https://doi.org/10.1016/j.ecolecon.2020.106703</w:t>
      </w:r>
    </w:p>
    <w:p w14:paraId="7AFCDA19" w14:textId="77777777" w:rsidR="00C34BEC" w:rsidRPr="00C34BEC" w:rsidRDefault="00C34BEC" w:rsidP="00C34BEC">
      <w:r w:rsidRPr="00C34BEC">
        <w:t xml:space="preserve">Bloemhof-Ruwaard, J. M. (2015). </w:t>
      </w:r>
      <w:r w:rsidRPr="00C34BEC">
        <w:rPr>
          <w:i/>
          <w:iCs/>
        </w:rPr>
        <w:t>Sustainable Logistics Management: from castle on the cloud to cathedral</w:t>
      </w:r>
      <w:r w:rsidRPr="00C34BEC">
        <w:t xml:space="preserve">. </w:t>
      </w:r>
      <w:r w:rsidRPr="00C34BEC">
        <w:rPr>
          <w:i/>
          <w:iCs/>
        </w:rPr>
        <w:t>January</w:t>
      </w:r>
      <w:r w:rsidRPr="00C34BEC">
        <w:t>.</w:t>
      </w:r>
    </w:p>
    <w:p w14:paraId="5147DF60" w14:textId="77777777" w:rsidR="00C34BEC" w:rsidRPr="00C34BEC" w:rsidRDefault="00C34BEC" w:rsidP="00C34BEC">
      <w:pPr>
        <w:rPr>
          <w:lang w:val="nl-NL"/>
        </w:rPr>
      </w:pPr>
      <w:r w:rsidRPr="00C34BEC">
        <w:lastRenderedPageBreak/>
        <w:t xml:space="preserve">Bocken, N. M. P., Short, S., Rana, P., &amp; Evans, S. (2013). A value mapping tool for sustainable business modelling. </w:t>
      </w:r>
      <w:r w:rsidRPr="00C34BEC">
        <w:rPr>
          <w:i/>
          <w:iCs/>
          <w:lang w:val="nl-NL"/>
        </w:rPr>
        <w:t>Corporate Governance</w:t>
      </w:r>
      <w:r w:rsidRPr="00C34BEC">
        <w:rPr>
          <w:lang w:val="nl-NL"/>
        </w:rPr>
        <w:t xml:space="preserve">, </w:t>
      </w:r>
      <w:r w:rsidRPr="00C34BEC">
        <w:rPr>
          <w:i/>
          <w:iCs/>
          <w:lang w:val="nl-NL"/>
        </w:rPr>
        <w:t>13</w:t>
      </w:r>
      <w:r w:rsidRPr="00C34BEC">
        <w:rPr>
          <w:lang w:val="nl-NL"/>
        </w:rPr>
        <w:t>(5), 482–497. https://doi.org/https://doi.org/10.1108/CG-06-2013-0078</w:t>
      </w:r>
    </w:p>
    <w:p w14:paraId="4D514E1A" w14:textId="77777777" w:rsidR="00C34BEC" w:rsidRPr="00C34BEC" w:rsidRDefault="00C34BEC" w:rsidP="00C34BEC">
      <w:r w:rsidRPr="00C34BEC">
        <w:rPr>
          <w:lang w:val="nl-NL"/>
        </w:rPr>
        <w:t xml:space="preserve">Bocken, Nancy M.P., de Pauw, I., Bakker, C., &amp; van der Grinten, B. (2016). </w:t>
      </w:r>
      <w:r w:rsidRPr="00C34BEC">
        <w:t xml:space="preserve">Product design and business model strategies for a circular economy. </w:t>
      </w:r>
      <w:r w:rsidRPr="00C34BEC">
        <w:rPr>
          <w:i/>
          <w:iCs/>
        </w:rPr>
        <w:t>Journal of Industrial and Production Engineering</w:t>
      </w:r>
      <w:r w:rsidRPr="00C34BEC">
        <w:t xml:space="preserve">, </w:t>
      </w:r>
      <w:r w:rsidRPr="00C34BEC">
        <w:rPr>
          <w:i/>
          <w:iCs/>
        </w:rPr>
        <w:t>33</w:t>
      </w:r>
      <w:r w:rsidRPr="00C34BEC">
        <w:t>(5), 308–320. https://doi.org/10.1080/21681015.2016.1172124</w:t>
      </w:r>
    </w:p>
    <w:p w14:paraId="432E0852" w14:textId="77777777" w:rsidR="00C34BEC" w:rsidRPr="00C34BEC" w:rsidRDefault="00C34BEC" w:rsidP="00C34BEC">
      <w:r w:rsidRPr="00C34BEC">
        <w:t xml:space="preserve">Bocken, Nancy M.P., Miller, K., Weissbrod, I., Holgado, M., &amp; Evans, S. (2017). Business model experimentation for circularity: Driving sustainability in a large international clothing retailer. </w:t>
      </w:r>
      <w:r w:rsidRPr="00C34BEC">
        <w:rPr>
          <w:i/>
          <w:iCs/>
        </w:rPr>
        <w:t>Economics and Policy of Energy and the Environment</w:t>
      </w:r>
      <w:r w:rsidRPr="00C34BEC">
        <w:t xml:space="preserve">, </w:t>
      </w:r>
      <w:r w:rsidRPr="00C34BEC">
        <w:rPr>
          <w:i/>
          <w:iCs/>
        </w:rPr>
        <w:t>2017</w:t>
      </w:r>
      <w:r w:rsidRPr="00C34BEC">
        <w:t>(1), 85–122. https://doi.org/10.3280/EFE2017-001006</w:t>
      </w:r>
    </w:p>
    <w:p w14:paraId="58021990" w14:textId="77777777" w:rsidR="00C34BEC" w:rsidRPr="00C34BEC" w:rsidRDefault="00C34BEC" w:rsidP="00C34BEC">
      <w:r w:rsidRPr="00C34BEC">
        <w:rPr>
          <w:lang w:val="fr-FR"/>
        </w:rPr>
        <w:t xml:space="preserve">Bovea, M. D., &amp; Pérez-Belis, V. (2018). </w:t>
      </w:r>
      <w:r w:rsidRPr="00C34BEC">
        <w:t xml:space="preserve">Identifying design guidelines to meet the circular economy principles: A case study on electric and electronic equipment. </w:t>
      </w:r>
      <w:r w:rsidRPr="00C34BEC">
        <w:rPr>
          <w:i/>
          <w:iCs/>
        </w:rPr>
        <w:t>Journal of Environmental Management</w:t>
      </w:r>
      <w:r w:rsidRPr="00C34BEC">
        <w:t xml:space="preserve">, </w:t>
      </w:r>
      <w:r w:rsidRPr="00C34BEC">
        <w:rPr>
          <w:i/>
          <w:iCs/>
        </w:rPr>
        <w:t>228</w:t>
      </w:r>
      <w:r w:rsidRPr="00C34BEC">
        <w:t>(August), 483–494. https://doi.org/10.1016/j.jenvman.2018.08.014</w:t>
      </w:r>
    </w:p>
    <w:p w14:paraId="639B991B" w14:textId="77777777" w:rsidR="00C34BEC" w:rsidRPr="00C34BEC" w:rsidRDefault="00C34BEC" w:rsidP="00C34BEC">
      <w:r w:rsidRPr="00C34BEC">
        <w:t xml:space="preserve">Brandenburg, M., Govindan, K., Sarkis, J., &amp; Seuring, S. (2014). Quantitative models for sustainable supply chain management: Developments and directions. </w:t>
      </w:r>
      <w:r w:rsidRPr="00C34BEC">
        <w:rPr>
          <w:i/>
          <w:iCs/>
        </w:rPr>
        <w:t>European Journal of Operational Research</w:t>
      </w:r>
      <w:r w:rsidRPr="00C34BEC">
        <w:t xml:space="preserve">, </w:t>
      </w:r>
      <w:r w:rsidRPr="00C34BEC">
        <w:rPr>
          <w:i/>
          <w:iCs/>
        </w:rPr>
        <w:t>233</w:t>
      </w:r>
      <w:r w:rsidRPr="00C34BEC">
        <w:t>(2), 299–312. https://doi.org/10.1016/j.ejor.2013.09.032</w:t>
      </w:r>
    </w:p>
    <w:p w14:paraId="634D7AF2" w14:textId="77777777" w:rsidR="00C34BEC" w:rsidRPr="00C34BEC" w:rsidRDefault="00C34BEC" w:rsidP="00C34BEC">
      <w:r w:rsidRPr="00C34BEC">
        <w:rPr>
          <w:lang w:val="it-IT"/>
        </w:rPr>
        <w:t xml:space="preserve">Bressanelli, G., Perona, M., &amp; Saccani, N. (2019). </w:t>
      </w:r>
      <w:r w:rsidRPr="00C34BEC">
        <w:t xml:space="preserve">Challenges in supply chain redesign for the Circular Economy: a literature review and a multiple case study. </w:t>
      </w:r>
      <w:r w:rsidRPr="00C34BEC">
        <w:rPr>
          <w:i/>
          <w:iCs/>
        </w:rPr>
        <w:t>International Journal of Production Research</w:t>
      </w:r>
      <w:r w:rsidRPr="00C34BEC">
        <w:t xml:space="preserve">, </w:t>
      </w:r>
      <w:r w:rsidRPr="00C34BEC">
        <w:rPr>
          <w:i/>
          <w:iCs/>
        </w:rPr>
        <w:t>57</w:t>
      </w:r>
      <w:r w:rsidRPr="00C34BEC">
        <w:t>(23), 7395–7422. https://doi.org/10.1080/00207543.2018.1542176</w:t>
      </w:r>
    </w:p>
    <w:p w14:paraId="2E728376" w14:textId="77777777" w:rsidR="00C34BEC" w:rsidRPr="00C34BEC" w:rsidRDefault="00C34BEC" w:rsidP="00C34BEC">
      <w:r w:rsidRPr="00C34BEC">
        <w:t xml:space="preserve">Brown, M. T. (2018). </w:t>
      </w:r>
      <w:r w:rsidRPr="00C34BEC">
        <w:rPr>
          <w:i/>
          <w:iCs/>
        </w:rPr>
        <w:t>ICEAM - 9 EMERGY and Environmental Accounting</w:t>
      </w:r>
      <w:r w:rsidRPr="00C34BEC">
        <w:t>.</w:t>
      </w:r>
    </w:p>
    <w:p w14:paraId="7A2A0EC5" w14:textId="77777777" w:rsidR="00C34BEC" w:rsidRPr="00C34BEC" w:rsidRDefault="00C34BEC" w:rsidP="00C34BEC">
      <w:r w:rsidRPr="00C34BEC">
        <w:rPr>
          <w:lang w:val="it-IT"/>
        </w:rPr>
        <w:t xml:space="preserve">Centobelli, P., Cerchione, R., Chiaroni, D., Del Vecchio, P., &amp; Urbinati, A. (2020). </w:t>
      </w:r>
      <w:r w:rsidRPr="00C34BEC">
        <w:t xml:space="preserve">Designing business models in circular economy: A systematic literature review and research agenda. </w:t>
      </w:r>
      <w:r w:rsidRPr="00C34BEC">
        <w:rPr>
          <w:i/>
          <w:iCs/>
        </w:rPr>
        <w:t>Business Strategy and the Environment</w:t>
      </w:r>
      <w:r w:rsidRPr="00C34BEC">
        <w:t xml:space="preserve">, </w:t>
      </w:r>
      <w:r w:rsidRPr="00C34BEC">
        <w:rPr>
          <w:i/>
          <w:iCs/>
        </w:rPr>
        <w:t>29</w:t>
      </w:r>
      <w:r w:rsidRPr="00C34BEC">
        <w:t>(4), 1734–1749. https://doi.org/10.1002/bse.2466</w:t>
      </w:r>
    </w:p>
    <w:p w14:paraId="3A8591A7" w14:textId="77777777" w:rsidR="00C34BEC" w:rsidRPr="00C34BEC" w:rsidRDefault="00C34BEC" w:rsidP="00C34BEC">
      <w:r w:rsidRPr="00C34BEC">
        <w:t xml:space="preserve">Chavez, R., &amp; Sharma, M. (2018). Profitability and environmental friendliness of a closed-loop supply chain for PET components: A case study of the Mexican automobile market. </w:t>
      </w:r>
      <w:r w:rsidRPr="00C34BEC">
        <w:rPr>
          <w:i/>
          <w:iCs/>
        </w:rPr>
        <w:t>Resources, Conservation and Recycling</w:t>
      </w:r>
      <w:r w:rsidRPr="00C34BEC">
        <w:t xml:space="preserve">, </w:t>
      </w:r>
      <w:r w:rsidRPr="00C34BEC">
        <w:rPr>
          <w:i/>
          <w:iCs/>
        </w:rPr>
        <w:t>135</w:t>
      </w:r>
      <w:r w:rsidRPr="00C34BEC">
        <w:t>(December 2016), 172–189. https://doi.org/10.1016/j.resconrec.2017.10.038</w:t>
      </w:r>
    </w:p>
    <w:p w14:paraId="313197B3" w14:textId="114815A9" w:rsidR="00C34BEC" w:rsidRPr="00C34BEC" w:rsidRDefault="00C34BEC" w:rsidP="00C34BEC">
      <w:r w:rsidRPr="00C34BEC">
        <w:t xml:space="preserve">Chiappetta Jabbour, C. J., De Camargo Fiorini, P., Oly Ndubisi, N., Queiroz, M. M., &amp; Luiz Piato, É. (2020). Digitally-enabled sustainable supply chains in the 21st </w:t>
      </w:r>
      <w:r w:rsidR="00F07293" w:rsidRPr="00C34BEC">
        <w:t>century</w:t>
      </w:r>
      <w:r w:rsidR="00F07293" w:rsidRPr="00C34BEC">
        <w:rPr>
          <w:rFonts w:ascii="Times New Roman" w:hAnsi="Times New Roman" w:cs="Times New Roman"/>
        </w:rPr>
        <w:t>:</w:t>
      </w:r>
      <w:r w:rsidRPr="00C34BEC">
        <w:t xml:space="preserve"> A review and a research </w:t>
      </w:r>
      <w:r w:rsidRPr="00C34BEC">
        <w:lastRenderedPageBreak/>
        <w:t xml:space="preserve">agenda. </w:t>
      </w:r>
      <w:r w:rsidRPr="00C34BEC">
        <w:rPr>
          <w:i/>
          <w:iCs/>
        </w:rPr>
        <w:t>Science of the Total Environment</w:t>
      </w:r>
      <w:r w:rsidRPr="00C34BEC">
        <w:t xml:space="preserve">, </w:t>
      </w:r>
      <w:r w:rsidRPr="00C34BEC">
        <w:rPr>
          <w:i/>
          <w:iCs/>
        </w:rPr>
        <w:t>725</w:t>
      </w:r>
      <w:r w:rsidRPr="00C34BEC">
        <w:t>, 138177. https://doi.org/10.1016/j.scitotenv.2020.138177</w:t>
      </w:r>
    </w:p>
    <w:p w14:paraId="5695744F" w14:textId="77777777" w:rsidR="00C34BEC" w:rsidRPr="00C34BEC" w:rsidRDefault="00C34BEC" w:rsidP="00C34BEC">
      <w:r w:rsidRPr="00C34BEC">
        <w:t xml:space="preserve">Chiappetta Jabbour, C. J., Sarkis, J., Lopes de Sousa Jabbour, A. B., Scott Renwick, D. W., Singh, S. K., Grebinevych, O., Kruglianskas, I., &amp; Filho, M. G. (2019). Who is in charge? A review and a research agenda on the ‘human side’ of the circular economy. </w:t>
      </w:r>
      <w:r w:rsidRPr="00C34BEC">
        <w:rPr>
          <w:i/>
          <w:iCs/>
        </w:rPr>
        <w:t>Journal of Cleaner Production</w:t>
      </w:r>
      <w:r w:rsidRPr="00C34BEC">
        <w:t xml:space="preserve">, </w:t>
      </w:r>
      <w:r w:rsidRPr="00C34BEC">
        <w:rPr>
          <w:i/>
          <w:iCs/>
        </w:rPr>
        <w:t>222</w:t>
      </w:r>
      <w:r w:rsidRPr="00C34BEC">
        <w:t>, 793–801. https://doi.org/10.1016/j.jclepro.2019.03.038</w:t>
      </w:r>
    </w:p>
    <w:p w14:paraId="3E9BE313" w14:textId="77777777" w:rsidR="00C34BEC" w:rsidRPr="00C34BEC" w:rsidRDefault="00C34BEC" w:rsidP="00C34BEC">
      <w:pPr>
        <w:rPr>
          <w:lang w:val="fr-FR"/>
        </w:rPr>
      </w:pPr>
      <w:r w:rsidRPr="00C34BEC">
        <w:t xml:space="preserve">Cricelli, L., Greco, M., &amp; Grimaldi, M. (2021). An investigation on the effect of inter-organizational collaboration on reverse logistics. </w:t>
      </w:r>
      <w:r w:rsidRPr="00C34BEC">
        <w:rPr>
          <w:i/>
          <w:iCs/>
          <w:lang w:val="fr-FR"/>
        </w:rPr>
        <w:t>International Journal of Production Economics</w:t>
      </w:r>
      <w:r w:rsidRPr="00C34BEC">
        <w:rPr>
          <w:lang w:val="fr-FR"/>
        </w:rPr>
        <w:t xml:space="preserve">, </w:t>
      </w:r>
      <w:r w:rsidRPr="00C34BEC">
        <w:rPr>
          <w:i/>
          <w:iCs/>
          <w:lang w:val="fr-FR"/>
        </w:rPr>
        <w:t>240</w:t>
      </w:r>
      <w:r w:rsidRPr="00C34BEC">
        <w:rPr>
          <w:lang w:val="fr-FR"/>
        </w:rPr>
        <w:t>(June), 108216. https://doi.org/10.1016/j.ijpe.2021.108216</w:t>
      </w:r>
    </w:p>
    <w:p w14:paraId="7D632AB6" w14:textId="77777777" w:rsidR="00C34BEC" w:rsidRPr="00C34BEC" w:rsidRDefault="00C34BEC" w:rsidP="00C34BEC">
      <w:r w:rsidRPr="00C34BEC">
        <w:rPr>
          <w:lang w:val="fr-FR"/>
        </w:rPr>
        <w:t xml:space="preserve">Daaboul, J., Le Duigou, J., Penciuc, D., &amp; Eynard, B. (2016). </w:t>
      </w:r>
      <w:r w:rsidRPr="00C34BEC">
        <w:t xml:space="preserve">An integrated closed-loop product lifecycle management approach for reverse logistics design. </w:t>
      </w:r>
      <w:r w:rsidRPr="00C34BEC">
        <w:rPr>
          <w:i/>
          <w:iCs/>
        </w:rPr>
        <w:t>Production Planning and Control</w:t>
      </w:r>
      <w:r w:rsidRPr="00C34BEC">
        <w:t xml:space="preserve">, </w:t>
      </w:r>
      <w:r w:rsidRPr="00C34BEC">
        <w:rPr>
          <w:i/>
          <w:iCs/>
        </w:rPr>
        <w:t>27</w:t>
      </w:r>
      <w:r w:rsidRPr="00C34BEC">
        <w:t>(13), 1062–1077. https://doi.org/10.1080/09537287.2016.1177234</w:t>
      </w:r>
    </w:p>
    <w:p w14:paraId="606A8E03" w14:textId="77777777" w:rsidR="00C34BEC" w:rsidRPr="00C34BEC" w:rsidRDefault="00C34BEC" w:rsidP="00C34BEC">
      <w:r w:rsidRPr="00C34BEC">
        <w:t xml:space="preserve">Daly, H. E., &amp; Farley, J. (2011). </w:t>
      </w:r>
      <w:r w:rsidRPr="00C34BEC">
        <w:rPr>
          <w:i/>
          <w:iCs/>
        </w:rPr>
        <w:t>Ecological economics: principles and applications.</w:t>
      </w:r>
      <w:r w:rsidRPr="00C34BEC">
        <w:t xml:space="preserve"> Island press.</w:t>
      </w:r>
    </w:p>
    <w:p w14:paraId="72D6F9B4" w14:textId="77777777" w:rsidR="00C34BEC" w:rsidRPr="00C34BEC" w:rsidRDefault="00C34BEC" w:rsidP="00C34BEC">
      <w:r w:rsidRPr="00C34BEC">
        <w:rPr>
          <w:lang w:val="sv-SE"/>
        </w:rPr>
        <w:t xml:space="preserve">Darbari, J. D., Kannan, D., Agarwal, V., &amp; Jha, P. C. (2019). </w:t>
      </w:r>
      <w:r w:rsidRPr="00C34BEC">
        <w:t xml:space="preserve">Fuzzy criteria programming approach for optimising the TBL performance of closed loop supply chain network design problem. </w:t>
      </w:r>
      <w:r w:rsidRPr="00C34BEC">
        <w:rPr>
          <w:i/>
          <w:iCs/>
        </w:rPr>
        <w:t>Annals of Operations Research</w:t>
      </w:r>
      <w:r w:rsidRPr="00C34BEC">
        <w:t xml:space="preserve">, </w:t>
      </w:r>
      <w:r w:rsidRPr="00C34BEC">
        <w:rPr>
          <w:i/>
          <w:iCs/>
        </w:rPr>
        <w:t>273</w:t>
      </w:r>
      <w:r w:rsidRPr="00C34BEC">
        <w:t>(1–2), 693–738. https://doi.org/10.1007/s10479-017-2701-2</w:t>
      </w:r>
    </w:p>
    <w:p w14:paraId="3C366ED1" w14:textId="485CAE5B" w:rsidR="00C34BEC" w:rsidRPr="00C34BEC" w:rsidRDefault="00C34BEC" w:rsidP="00C34BEC">
      <w:r w:rsidRPr="00C34BEC">
        <w:t xml:space="preserve">De Angelis, R., Howard, M., &amp; Miemczyk, J. (2018). Supply chain management and the circular </w:t>
      </w:r>
      <w:r w:rsidR="00F07293" w:rsidRPr="00C34BEC">
        <w:t>economy</w:t>
      </w:r>
      <w:r w:rsidR="00F07293" w:rsidRPr="00C34BEC">
        <w:rPr>
          <w:rFonts w:ascii="Times New Roman" w:hAnsi="Times New Roman" w:cs="Times New Roman"/>
        </w:rPr>
        <w:t>:</w:t>
      </w:r>
      <w:r w:rsidRPr="00C34BEC">
        <w:t xml:space="preserve"> towards the circular supply chain. </w:t>
      </w:r>
      <w:r w:rsidRPr="00C34BEC">
        <w:rPr>
          <w:i/>
          <w:iCs/>
        </w:rPr>
        <w:t>Production Planning &amp; Control</w:t>
      </w:r>
      <w:r w:rsidRPr="00C34BEC">
        <w:t xml:space="preserve">, </w:t>
      </w:r>
      <w:r w:rsidRPr="00C34BEC">
        <w:rPr>
          <w:i/>
          <w:iCs/>
        </w:rPr>
        <w:t>7287</w:t>
      </w:r>
      <w:r w:rsidRPr="00C34BEC">
        <w:t>, 1–13. https://doi.org/10.1080/09537287.2018.1449244</w:t>
      </w:r>
    </w:p>
    <w:p w14:paraId="0F462EA8" w14:textId="77777777" w:rsidR="00C34BEC" w:rsidRPr="00C34BEC" w:rsidRDefault="00C34BEC" w:rsidP="00C34BEC">
      <w:r w:rsidRPr="00C34BEC">
        <w:t xml:space="preserve">den Hollander, M. C., Bakker, C. A., &amp; Hultink, E. J. (2017). Product Design in a Circular Economy: Development of a Typology of Key Concepts and Terms. </w:t>
      </w:r>
      <w:r w:rsidRPr="00C34BEC">
        <w:rPr>
          <w:i/>
          <w:iCs/>
        </w:rPr>
        <w:t>Journal of Industrial Ecology</w:t>
      </w:r>
      <w:r w:rsidRPr="00C34BEC">
        <w:t xml:space="preserve">, </w:t>
      </w:r>
      <w:r w:rsidRPr="00C34BEC">
        <w:rPr>
          <w:i/>
          <w:iCs/>
        </w:rPr>
        <w:t>21</w:t>
      </w:r>
      <w:r w:rsidRPr="00C34BEC">
        <w:t>(3), 517–525. https://doi.org/10.1111/jiec.12610</w:t>
      </w:r>
    </w:p>
    <w:p w14:paraId="127897A2" w14:textId="77777777" w:rsidR="00C34BEC" w:rsidRPr="00C34BEC" w:rsidRDefault="00C34BEC" w:rsidP="00C34BEC">
      <w:r w:rsidRPr="00C34BEC">
        <w:t xml:space="preserve">Denyer, D., &amp; Tranfield, D. (2009). Producing a systematic review. In </w:t>
      </w:r>
      <w:r w:rsidRPr="00C34BEC">
        <w:rPr>
          <w:i/>
          <w:iCs/>
        </w:rPr>
        <w:t>The Sage handbook of organizational research methods</w:t>
      </w:r>
      <w:r w:rsidRPr="00C34BEC">
        <w:t xml:space="preserve"> (D. A. Buch). Sage Publications Ltd.</w:t>
      </w:r>
    </w:p>
    <w:p w14:paraId="375DE8F6" w14:textId="77777777" w:rsidR="00C34BEC" w:rsidRPr="00C34BEC" w:rsidRDefault="00C34BEC" w:rsidP="00C34BEC">
      <w:pPr>
        <w:rPr>
          <w:lang w:val="it-IT"/>
        </w:rPr>
      </w:pPr>
      <w:r w:rsidRPr="00C34BEC">
        <w:t xml:space="preserve">Ebikake, O. E., Sassanelli, C., &amp; Terzi, S. (2018). PSS design through Design for Supply Chain: State of the art review. </w:t>
      </w:r>
      <w:r w:rsidRPr="00C34BEC">
        <w:rPr>
          <w:i/>
          <w:iCs/>
          <w:lang w:val="it-IT"/>
        </w:rPr>
        <w:t>Procedia CIRP</w:t>
      </w:r>
      <w:r w:rsidRPr="00C34BEC">
        <w:rPr>
          <w:lang w:val="it-IT"/>
        </w:rPr>
        <w:t xml:space="preserve">, </w:t>
      </w:r>
      <w:r w:rsidRPr="00C34BEC">
        <w:rPr>
          <w:i/>
          <w:iCs/>
          <w:lang w:val="it-IT"/>
        </w:rPr>
        <w:t>70</w:t>
      </w:r>
      <w:r w:rsidRPr="00C34BEC">
        <w:rPr>
          <w:lang w:val="it-IT"/>
        </w:rPr>
        <w:t>, 198–203. https://doi.org/10.1016/j.procir.2018.03.279</w:t>
      </w:r>
    </w:p>
    <w:p w14:paraId="28BEE74E" w14:textId="77777777" w:rsidR="00C34BEC" w:rsidRPr="00C34BEC" w:rsidRDefault="00C34BEC" w:rsidP="00C34BEC">
      <w:r w:rsidRPr="00C34BEC">
        <w:rPr>
          <w:lang w:val="it-IT"/>
        </w:rPr>
        <w:t xml:space="preserve">Elia, V., Gnoni, M. G., &amp; Tornese, F. (2017). </w:t>
      </w:r>
      <w:r w:rsidRPr="00C34BEC">
        <w:t xml:space="preserve">Measuring circular economy strategies through index methods: A critical analysis. </w:t>
      </w:r>
      <w:r w:rsidRPr="00C34BEC">
        <w:rPr>
          <w:i/>
          <w:iCs/>
        </w:rPr>
        <w:t>Journal of Cleaner Production</w:t>
      </w:r>
      <w:r w:rsidRPr="00C34BEC">
        <w:t xml:space="preserve">, </w:t>
      </w:r>
      <w:r w:rsidRPr="00C34BEC">
        <w:rPr>
          <w:i/>
          <w:iCs/>
        </w:rPr>
        <w:t>142</w:t>
      </w:r>
      <w:r w:rsidRPr="00C34BEC">
        <w:t>, 2741–2751. https://doi.org/10.1016/j.jclepro.2016.10.196</w:t>
      </w:r>
    </w:p>
    <w:p w14:paraId="3EBC6F2E" w14:textId="77777777" w:rsidR="00C34BEC" w:rsidRPr="00C34BEC" w:rsidRDefault="00C34BEC" w:rsidP="00C34BEC">
      <w:r w:rsidRPr="00C34BEC">
        <w:lastRenderedPageBreak/>
        <w:t xml:space="preserve">Elia, V., Gnoni, M. G., &amp; Tornese, F. (2020). Evaluating the adoption of circular economy practices in industrial supply chains: An empirical analysis. </w:t>
      </w:r>
      <w:r w:rsidRPr="00C34BEC">
        <w:rPr>
          <w:i/>
          <w:iCs/>
        </w:rPr>
        <w:t>Journal of Cleaner Production</w:t>
      </w:r>
      <w:r w:rsidRPr="00C34BEC">
        <w:t xml:space="preserve">, </w:t>
      </w:r>
      <w:r w:rsidRPr="00C34BEC">
        <w:rPr>
          <w:i/>
          <w:iCs/>
        </w:rPr>
        <w:t>273</w:t>
      </w:r>
      <w:r w:rsidRPr="00C34BEC">
        <w:t>, 122966. https://doi.org/10.1016/j.jclepro.2020.122966</w:t>
      </w:r>
    </w:p>
    <w:p w14:paraId="5E021B5D" w14:textId="77777777" w:rsidR="00C34BEC" w:rsidRPr="00C34BEC" w:rsidRDefault="00C34BEC" w:rsidP="00C34BEC">
      <w:r w:rsidRPr="00C34BEC">
        <w:t xml:space="preserve">EMAF. (2015). Growth within: a circular economy vision for a competitive europe. </w:t>
      </w:r>
      <w:r w:rsidRPr="00C34BEC">
        <w:rPr>
          <w:i/>
          <w:iCs/>
        </w:rPr>
        <w:t>Ellen MacArthur Foundation</w:t>
      </w:r>
      <w:r w:rsidRPr="00C34BEC">
        <w:t>, 100. https://doi.org/Article</w:t>
      </w:r>
    </w:p>
    <w:p w14:paraId="11E0AEF5" w14:textId="77777777" w:rsidR="00C34BEC" w:rsidRPr="00C34BEC" w:rsidRDefault="00C34BEC" w:rsidP="00C34BEC">
      <w:r w:rsidRPr="00C34BEC">
        <w:t xml:space="preserve">European Commission. (2020). </w:t>
      </w:r>
      <w:r w:rsidRPr="00C34BEC">
        <w:rPr>
          <w:i/>
          <w:iCs/>
        </w:rPr>
        <w:t>A new Circular Economy Action Plan For a cleaner and more competitive Europe. Available online at: https://eur-lex.europa.eu/legal-content/EN/TXT/?qid=1583933814386&amp;uri=COM:2020:98:FIN. Last accessed: 11/06/2020</w:t>
      </w:r>
      <w:r w:rsidRPr="00C34BEC">
        <w:t>.</w:t>
      </w:r>
    </w:p>
    <w:p w14:paraId="73A49D41" w14:textId="77777777" w:rsidR="00C34BEC" w:rsidRPr="00C34BEC" w:rsidRDefault="00C34BEC" w:rsidP="00C34BEC">
      <w:r w:rsidRPr="00C34BEC">
        <w:t xml:space="preserve">Farooque, M., Zhang, A., Thürer, M., Qu, T., &amp; Huisingh, D. (2019). Circular supply chain management: A definition and structured literature review. </w:t>
      </w:r>
      <w:r w:rsidRPr="00C34BEC">
        <w:rPr>
          <w:i/>
          <w:iCs/>
        </w:rPr>
        <w:t>Journal of Cleaner Production</w:t>
      </w:r>
      <w:r w:rsidRPr="00C34BEC">
        <w:t xml:space="preserve">, </w:t>
      </w:r>
      <w:r w:rsidRPr="00C34BEC">
        <w:rPr>
          <w:i/>
          <w:iCs/>
        </w:rPr>
        <w:t>228</w:t>
      </w:r>
      <w:r w:rsidRPr="00C34BEC">
        <w:t>, 882–900. https://doi.org/10.1016/j.jclepro.2019.04.303</w:t>
      </w:r>
    </w:p>
    <w:p w14:paraId="0D31C5EB" w14:textId="77777777" w:rsidR="00C34BEC" w:rsidRPr="00C34BEC" w:rsidRDefault="00C34BEC" w:rsidP="00C34BEC">
      <w:r w:rsidRPr="00C34BEC">
        <w:t xml:space="preserve">Fischer, A., &amp; Pascucci, S. (2017). Institutional incentives in circular economy transition: The case of material use in the Dutch textile industry. </w:t>
      </w:r>
      <w:r w:rsidRPr="00C34BEC">
        <w:rPr>
          <w:i/>
          <w:iCs/>
        </w:rPr>
        <w:t>Journal of Cleaner Production</w:t>
      </w:r>
      <w:r w:rsidRPr="00C34BEC">
        <w:t xml:space="preserve">, </w:t>
      </w:r>
      <w:r w:rsidRPr="00C34BEC">
        <w:rPr>
          <w:i/>
          <w:iCs/>
        </w:rPr>
        <w:t>155</w:t>
      </w:r>
      <w:r w:rsidRPr="00C34BEC">
        <w:t>, 17–32. https://doi.org/10.1016/j.jclepro.2016.12.038</w:t>
      </w:r>
    </w:p>
    <w:p w14:paraId="49829339" w14:textId="77777777" w:rsidR="00C34BEC" w:rsidRPr="00C34BEC" w:rsidRDefault="00C34BEC" w:rsidP="00C34BEC">
      <w:r w:rsidRPr="00C34BEC">
        <w:t xml:space="preserve">Fitch-Roy, O., Benson, D., &amp; Monciardini, D. (2020). Going around in circles? Conceptual recycling, patching and policy layering in the EU circular economy package. </w:t>
      </w:r>
      <w:r w:rsidRPr="00C34BEC">
        <w:rPr>
          <w:i/>
          <w:iCs/>
        </w:rPr>
        <w:t>Environmental Politics</w:t>
      </w:r>
      <w:r w:rsidRPr="00C34BEC">
        <w:t xml:space="preserve">, </w:t>
      </w:r>
      <w:r w:rsidRPr="00C34BEC">
        <w:rPr>
          <w:i/>
          <w:iCs/>
        </w:rPr>
        <w:t>29</w:t>
      </w:r>
      <w:r w:rsidRPr="00C34BEC">
        <w:t>(6), 983–1003. https://doi.org/10.1080/09644016.2019.1673996</w:t>
      </w:r>
    </w:p>
    <w:p w14:paraId="3156DD28" w14:textId="77777777" w:rsidR="00C34BEC" w:rsidRPr="00C34BEC" w:rsidRDefault="00C34BEC" w:rsidP="00C34BEC">
      <w:r w:rsidRPr="00C34BEC">
        <w:t xml:space="preserve">Gasparatos, A. (2010). Embedded value systems in sustainability assessment tools and their implications. </w:t>
      </w:r>
      <w:r w:rsidRPr="00C34BEC">
        <w:rPr>
          <w:i/>
          <w:iCs/>
        </w:rPr>
        <w:t>Journal of Environmental Management</w:t>
      </w:r>
      <w:r w:rsidRPr="00C34BEC">
        <w:t xml:space="preserve">, </w:t>
      </w:r>
      <w:r w:rsidRPr="00C34BEC">
        <w:rPr>
          <w:i/>
          <w:iCs/>
        </w:rPr>
        <w:t>91</w:t>
      </w:r>
      <w:r w:rsidRPr="00C34BEC">
        <w:t>(8), 1613–1622. https://doi.org/10.1016/j.jenvman.2010.03.014</w:t>
      </w:r>
    </w:p>
    <w:p w14:paraId="6C6F0D23" w14:textId="77777777" w:rsidR="00C34BEC" w:rsidRPr="00C34BEC" w:rsidRDefault="00C34BEC" w:rsidP="00C34BEC">
      <w:r w:rsidRPr="00C34BEC">
        <w:t xml:space="preserve">Gasparatos, A., El-Haram, M., &amp; Horner, M. (2008). A critical review of reductionist approaches for assessing the progress towards sustainability. </w:t>
      </w:r>
      <w:r w:rsidRPr="00C34BEC">
        <w:rPr>
          <w:i/>
          <w:iCs/>
        </w:rPr>
        <w:t>Environmental Impact Assessment Review</w:t>
      </w:r>
      <w:r w:rsidRPr="00C34BEC">
        <w:t xml:space="preserve">, </w:t>
      </w:r>
      <w:r w:rsidRPr="00C34BEC">
        <w:rPr>
          <w:i/>
          <w:iCs/>
        </w:rPr>
        <w:t>28</w:t>
      </w:r>
      <w:r w:rsidRPr="00C34BEC">
        <w:t>(4–5), 286–311. https://doi.org/10.1016/j.eiar.2007.09.002</w:t>
      </w:r>
    </w:p>
    <w:p w14:paraId="7B57EE19" w14:textId="77777777" w:rsidR="00C34BEC" w:rsidRPr="00C34BEC" w:rsidRDefault="00C34BEC" w:rsidP="00C34BEC">
      <w:r w:rsidRPr="00C34BEC">
        <w:t xml:space="preserve">Gasparatos, A., &amp; Scolobig, A. (2012). Choosing the most appropriate sustainability assessment tool. </w:t>
      </w:r>
      <w:r w:rsidRPr="00C34BEC">
        <w:rPr>
          <w:i/>
          <w:iCs/>
        </w:rPr>
        <w:t>Ecological Economics</w:t>
      </w:r>
      <w:r w:rsidRPr="00C34BEC">
        <w:t xml:space="preserve">, </w:t>
      </w:r>
      <w:r w:rsidRPr="00C34BEC">
        <w:rPr>
          <w:i/>
          <w:iCs/>
        </w:rPr>
        <w:t>80</w:t>
      </w:r>
      <w:r w:rsidRPr="00C34BEC">
        <w:t>, 1–7. https://doi.org/10.1016/j.ecolecon.2012.05.005</w:t>
      </w:r>
    </w:p>
    <w:p w14:paraId="775634FB" w14:textId="77777777" w:rsidR="00C34BEC" w:rsidRPr="00C34BEC" w:rsidRDefault="00C34BEC" w:rsidP="00C34BEC">
      <w:r w:rsidRPr="00C34BEC">
        <w:t xml:space="preserve">Genovese, A., Acquaye, A. A., Figueroa, A., &amp; Koh, S. C. L. (2017). Sustainable supply chain management and the transition towards a circular economy: Evidence and some applications. </w:t>
      </w:r>
      <w:r w:rsidRPr="00C34BEC">
        <w:rPr>
          <w:i/>
          <w:iCs/>
        </w:rPr>
        <w:t>Omega (United Kingdom)</w:t>
      </w:r>
      <w:r w:rsidRPr="00C34BEC">
        <w:t xml:space="preserve">, </w:t>
      </w:r>
      <w:r w:rsidRPr="00C34BEC">
        <w:rPr>
          <w:i/>
          <w:iCs/>
        </w:rPr>
        <w:t>66</w:t>
      </w:r>
      <w:r w:rsidRPr="00C34BEC">
        <w:t>, 344–357. https://doi.org/10.1016/j.omega.2015.05.015</w:t>
      </w:r>
    </w:p>
    <w:p w14:paraId="413B83C9" w14:textId="77777777" w:rsidR="00C34BEC" w:rsidRPr="00C34BEC" w:rsidRDefault="00C34BEC" w:rsidP="00C34BEC">
      <w:r w:rsidRPr="00C34BEC">
        <w:lastRenderedPageBreak/>
        <w:t xml:space="preserve">Genovese, A., Morris, J., Piccolo, C., &amp; Koh, S. C. L. (2017). Assessing redundancies in environmental performance measures for supply chains. In </w:t>
      </w:r>
      <w:r w:rsidRPr="00C34BEC">
        <w:rPr>
          <w:i/>
          <w:iCs/>
        </w:rPr>
        <w:t>Journal of Cleaner Production</w:t>
      </w:r>
      <w:r w:rsidRPr="00C34BEC">
        <w:t xml:space="preserve"> (Vol. 167). https://doi.org/10.1016/j.jclepro.2017.05.186</w:t>
      </w:r>
    </w:p>
    <w:p w14:paraId="233B8093" w14:textId="77777777" w:rsidR="00C34BEC" w:rsidRPr="00C34BEC" w:rsidRDefault="00C34BEC" w:rsidP="00C34BEC">
      <w:r w:rsidRPr="00C34BEC">
        <w:rPr>
          <w:lang w:val="it-IT"/>
        </w:rPr>
        <w:t xml:space="preserve">Ghisellini, P., Cialani, C., &amp; Ulgiati, S. (2016). </w:t>
      </w:r>
      <w:r w:rsidRPr="00C34BEC">
        <w:t xml:space="preserve">A review on circular economy: The expected transition to a balanced interplay of environmental and economic systems. </w:t>
      </w:r>
      <w:r w:rsidRPr="00C34BEC">
        <w:rPr>
          <w:i/>
          <w:iCs/>
        </w:rPr>
        <w:t>Journal of Cleaner Production</w:t>
      </w:r>
      <w:r w:rsidRPr="00C34BEC">
        <w:t xml:space="preserve">, </w:t>
      </w:r>
      <w:r w:rsidRPr="00C34BEC">
        <w:rPr>
          <w:i/>
          <w:iCs/>
        </w:rPr>
        <w:t>114</w:t>
      </w:r>
      <w:r w:rsidRPr="00C34BEC">
        <w:t>, 11–32. https://doi.org/10.1016/j.jclepro.2015.09.007</w:t>
      </w:r>
    </w:p>
    <w:p w14:paraId="3CC056FA" w14:textId="77777777" w:rsidR="00C34BEC" w:rsidRPr="00C34BEC" w:rsidRDefault="00C34BEC" w:rsidP="00C34BEC">
      <w:r w:rsidRPr="00C34BEC">
        <w:t xml:space="preserve">Gilbert, P., Wilson, P., Walsh, C., &amp; Hodgson, P. (2017). The role of material efficiency to reduce CO2 emissions during ship manufacture: A life cycle approach. </w:t>
      </w:r>
      <w:r w:rsidRPr="00C34BEC">
        <w:rPr>
          <w:i/>
          <w:iCs/>
        </w:rPr>
        <w:t>Marine Policy</w:t>
      </w:r>
      <w:r w:rsidRPr="00C34BEC">
        <w:t xml:space="preserve">, </w:t>
      </w:r>
      <w:r w:rsidRPr="00C34BEC">
        <w:rPr>
          <w:i/>
          <w:iCs/>
        </w:rPr>
        <w:t>75</w:t>
      </w:r>
      <w:r w:rsidRPr="00C34BEC">
        <w:t>, 227–237. https://doi.org/10.1016/j.marpol.2016.04.003</w:t>
      </w:r>
    </w:p>
    <w:p w14:paraId="39D58AEA" w14:textId="77777777" w:rsidR="00C34BEC" w:rsidRPr="00C34BEC" w:rsidRDefault="00C34BEC" w:rsidP="00C34BEC">
      <w:r w:rsidRPr="00C34BEC">
        <w:t xml:space="preserve">Go, T. F., Wahab, D. A., &amp; Hishamuddin, H. (2015). Multiple generation life-cycles for product sustainability: The way forward. </w:t>
      </w:r>
      <w:r w:rsidRPr="00C34BEC">
        <w:rPr>
          <w:i/>
          <w:iCs/>
        </w:rPr>
        <w:t>Journal of Cleaner Production</w:t>
      </w:r>
      <w:r w:rsidRPr="00C34BEC">
        <w:t xml:space="preserve">, </w:t>
      </w:r>
      <w:r w:rsidRPr="00C34BEC">
        <w:rPr>
          <w:i/>
          <w:iCs/>
        </w:rPr>
        <w:t>95</w:t>
      </w:r>
      <w:r w:rsidRPr="00C34BEC">
        <w:t>, 16–29. https://doi.org/10.1016/j.jclepro.2015.02.065</w:t>
      </w:r>
    </w:p>
    <w:p w14:paraId="503F0188" w14:textId="77777777" w:rsidR="00C34BEC" w:rsidRPr="00C34BEC" w:rsidRDefault="00C34BEC" w:rsidP="00C34BEC">
      <w:r w:rsidRPr="00C34BEC">
        <w:t xml:space="preserve">Govindan, K., &amp; Bouzon, M. (2018). From a literature review to a multi-perspective framework for reverse logistics barriers and drivers. </w:t>
      </w:r>
      <w:r w:rsidRPr="00C34BEC">
        <w:rPr>
          <w:i/>
          <w:iCs/>
        </w:rPr>
        <w:t>Journal of Cleaner Production</w:t>
      </w:r>
      <w:r w:rsidRPr="00C34BEC">
        <w:t xml:space="preserve">, </w:t>
      </w:r>
      <w:r w:rsidRPr="00C34BEC">
        <w:rPr>
          <w:i/>
          <w:iCs/>
        </w:rPr>
        <w:t>187</w:t>
      </w:r>
      <w:r w:rsidRPr="00C34BEC">
        <w:t>, 318–337. https://doi.org/10.1016/j.jclepro.2018.03.040</w:t>
      </w:r>
    </w:p>
    <w:p w14:paraId="1C2AA609" w14:textId="77777777" w:rsidR="00C34BEC" w:rsidRPr="00C34BEC" w:rsidRDefault="00C34BEC" w:rsidP="00C34BEC">
      <w:pPr>
        <w:rPr>
          <w:lang w:val="it-IT"/>
        </w:rPr>
      </w:pPr>
      <w:r w:rsidRPr="00C34BEC">
        <w:t xml:space="preserve">Govindan, K., Garg, K., Gupta, S., &amp; Jha, P. C. (2016). Effect of product recovery and sustainability enhancing indicators on the location selection of manufacturing facility. </w:t>
      </w:r>
      <w:r w:rsidRPr="00C34BEC">
        <w:rPr>
          <w:i/>
          <w:iCs/>
          <w:lang w:val="it-IT"/>
        </w:rPr>
        <w:t>Ecological Indicators</w:t>
      </w:r>
      <w:r w:rsidRPr="00C34BEC">
        <w:rPr>
          <w:lang w:val="it-IT"/>
        </w:rPr>
        <w:t xml:space="preserve">, </w:t>
      </w:r>
      <w:r w:rsidRPr="00C34BEC">
        <w:rPr>
          <w:i/>
          <w:iCs/>
          <w:lang w:val="it-IT"/>
        </w:rPr>
        <w:t>67</w:t>
      </w:r>
      <w:r w:rsidRPr="00C34BEC">
        <w:rPr>
          <w:lang w:val="it-IT"/>
        </w:rPr>
        <w:t>, 517–532. https://doi.org/10.1016/j.ecolind.2016.01.035</w:t>
      </w:r>
    </w:p>
    <w:p w14:paraId="2B3062C4" w14:textId="77777777" w:rsidR="00C34BEC" w:rsidRPr="00C34BEC" w:rsidRDefault="00C34BEC" w:rsidP="00C34BEC">
      <w:r w:rsidRPr="00C34BEC">
        <w:rPr>
          <w:lang w:val="it-IT"/>
        </w:rPr>
        <w:t xml:space="preserve">Gusmerotti, N. M., Corsini, F., Borghini, A., &amp; Frey, M. (2019). </w:t>
      </w:r>
      <w:r w:rsidRPr="00C34BEC">
        <w:t xml:space="preserve">Assessing the role of preparation for reuse in waste-prevention strategies by analytical hierarchical process: suggestions for an optimal implementation in waste management supply chain. </w:t>
      </w:r>
      <w:r w:rsidRPr="00C34BEC">
        <w:rPr>
          <w:i/>
          <w:iCs/>
        </w:rPr>
        <w:t>Environment, Development and Sustainability</w:t>
      </w:r>
      <w:r w:rsidRPr="00C34BEC">
        <w:t xml:space="preserve">, </w:t>
      </w:r>
      <w:r w:rsidRPr="00C34BEC">
        <w:rPr>
          <w:i/>
          <w:iCs/>
        </w:rPr>
        <w:t>21</w:t>
      </w:r>
      <w:r w:rsidRPr="00C34BEC">
        <w:t>(6), 2773–2792. https://doi.org/10.1007/s10668-018-0160-9</w:t>
      </w:r>
    </w:p>
    <w:p w14:paraId="7A49B538" w14:textId="77777777" w:rsidR="00C34BEC" w:rsidRPr="00C34BEC" w:rsidRDefault="00C34BEC" w:rsidP="00C34BEC">
      <w:r w:rsidRPr="00C34BEC">
        <w:t xml:space="preserve">Hajiaghaei-Keshteli, M., &amp; Fathollahi Fard, A. M. (2019). Sustainable closed-loop supply chain network design with discount supposition. In </w:t>
      </w:r>
      <w:r w:rsidRPr="00C34BEC">
        <w:rPr>
          <w:i/>
          <w:iCs/>
        </w:rPr>
        <w:t>Neural Computing and Applications</w:t>
      </w:r>
      <w:r w:rsidRPr="00C34BEC">
        <w:t xml:space="preserve"> (Vol. 31, Issue 9). Springer London. https://doi.org/10.1007/s00521-018-3369-5</w:t>
      </w:r>
    </w:p>
    <w:p w14:paraId="78BA1223" w14:textId="77777777" w:rsidR="00C34BEC" w:rsidRPr="00C34BEC" w:rsidRDefault="00C34BEC" w:rsidP="00C34BEC">
      <w:r w:rsidRPr="00C34BEC">
        <w:rPr>
          <w:lang w:val="de-DE"/>
        </w:rPr>
        <w:t xml:space="preserve">Hazen, B. T., Mollenkopf, D. A., &amp; Wang, Y. (2017). </w:t>
      </w:r>
      <w:r w:rsidRPr="00C34BEC">
        <w:t xml:space="preserve">Remanufacturing for the Circular Economy: An Examination of Consumer Switching Behavior. </w:t>
      </w:r>
      <w:r w:rsidRPr="00C34BEC">
        <w:rPr>
          <w:i/>
          <w:iCs/>
        </w:rPr>
        <w:t>Business Strategy and the Environment</w:t>
      </w:r>
      <w:r w:rsidRPr="00C34BEC">
        <w:t xml:space="preserve">, </w:t>
      </w:r>
      <w:r w:rsidRPr="00C34BEC">
        <w:rPr>
          <w:i/>
          <w:iCs/>
        </w:rPr>
        <w:t>26</w:t>
      </w:r>
      <w:r w:rsidRPr="00C34BEC">
        <w:t>(4), 451–464. https://doi.org/10.1002/bse.1929</w:t>
      </w:r>
    </w:p>
    <w:p w14:paraId="1556BF08" w14:textId="77777777" w:rsidR="00C34BEC" w:rsidRPr="00C34BEC" w:rsidRDefault="00C34BEC" w:rsidP="00C34BEC">
      <w:r w:rsidRPr="00C34BEC">
        <w:lastRenderedPageBreak/>
        <w:t xml:space="preserve">Helander, H., Petit-Boix, A., Leipold, S., &amp; Bringezu, S. (2019). How to monitor environmental pressures of a circular economy: An assessment of indicators. </w:t>
      </w:r>
      <w:r w:rsidRPr="00C34BEC">
        <w:rPr>
          <w:i/>
          <w:iCs/>
        </w:rPr>
        <w:t>Journal of Industrial Ecology</w:t>
      </w:r>
      <w:r w:rsidRPr="00C34BEC">
        <w:t xml:space="preserve">, </w:t>
      </w:r>
      <w:r w:rsidRPr="00C34BEC">
        <w:rPr>
          <w:i/>
          <w:iCs/>
        </w:rPr>
        <w:t>23</w:t>
      </w:r>
      <w:r w:rsidRPr="00C34BEC">
        <w:t>(5), 1278–1291. https://doi.org/10.1111/jiec.12924</w:t>
      </w:r>
    </w:p>
    <w:p w14:paraId="3BEB4230" w14:textId="77777777" w:rsidR="00C34BEC" w:rsidRPr="00C34BEC" w:rsidRDefault="00C34BEC" w:rsidP="00C34BEC">
      <w:r w:rsidRPr="00C34BEC">
        <w:t xml:space="preserve">Herczeg, G., Akkerman, R., &amp; Hauschild, M. Z. (2018). Supply chain collaboration in industrial symbiosis networks. </w:t>
      </w:r>
      <w:r w:rsidRPr="00C34BEC">
        <w:rPr>
          <w:i/>
          <w:iCs/>
        </w:rPr>
        <w:t>Journal of Cleaner Production</w:t>
      </w:r>
      <w:r w:rsidRPr="00C34BEC">
        <w:t xml:space="preserve">, </w:t>
      </w:r>
      <w:r w:rsidRPr="00C34BEC">
        <w:rPr>
          <w:i/>
          <w:iCs/>
        </w:rPr>
        <w:t>171</w:t>
      </w:r>
      <w:r w:rsidRPr="00C34BEC">
        <w:t>, 1058–1067. https://doi.org/10.1016/j.jclepro.2017.10.046</w:t>
      </w:r>
    </w:p>
    <w:p w14:paraId="4B5712B0" w14:textId="77777777" w:rsidR="00C34BEC" w:rsidRPr="00C34BEC" w:rsidRDefault="00C34BEC" w:rsidP="00C34BEC">
      <w:r w:rsidRPr="00C34BEC">
        <w:t xml:space="preserve">Hoehn, D., Margallo, M., Laso, J., García-Herrero, I., Bala, A., Fullana-i-Palmer, P., Irabien, A., &amp; Aldaco, R. (2019). Energy embedded in food loss management and in the production of uneaten food: Seeking a sustainable pathway. </w:t>
      </w:r>
      <w:r w:rsidRPr="00C34BEC">
        <w:rPr>
          <w:i/>
          <w:iCs/>
        </w:rPr>
        <w:t>Energies</w:t>
      </w:r>
      <w:r w:rsidRPr="00C34BEC">
        <w:t xml:space="preserve">, </w:t>
      </w:r>
      <w:r w:rsidRPr="00C34BEC">
        <w:rPr>
          <w:i/>
          <w:iCs/>
        </w:rPr>
        <w:t>12</w:t>
      </w:r>
      <w:r w:rsidRPr="00C34BEC">
        <w:t>(4), 1–19. https://doi.org/10.3390/en12040767</w:t>
      </w:r>
    </w:p>
    <w:p w14:paraId="6674CF50" w14:textId="7D7C3998" w:rsidR="00C34BEC" w:rsidRPr="00C34BEC" w:rsidRDefault="00C34BEC" w:rsidP="00C34BEC">
      <w:r w:rsidRPr="00C34BEC">
        <w:t xml:space="preserve">Howard, M., Hopkinson, P., &amp; Miemczyk, J. (2019). </w:t>
      </w:r>
      <w:r w:rsidRPr="00C34BEC">
        <w:rPr>
          <w:i/>
          <w:iCs/>
        </w:rPr>
        <w:t xml:space="preserve">The regenerative supply </w:t>
      </w:r>
      <w:r w:rsidR="00F07293" w:rsidRPr="00C34BEC">
        <w:rPr>
          <w:i/>
          <w:iCs/>
        </w:rPr>
        <w:t>chain</w:t>
      </w:r>
      <w:r w:rsidR="00F07293" w:rsidRPr="00C34BEC">
        <w:rPr>
          <w:rFonts w:ascii="Times New Roman" w:hAnsi="Times New Roman" w:cs="Times New Roman"/>
          <w:i/>
          <w:iCs/>
        </w:rPr>
        <w:t>:</w:t>
      </w:r>
      <w:r w:rsidRPr="00C34BEC">
        <w:rPr>
          <w:i/>
          <w:iCs/>
        </w:rPr>
        <w:t xml:space="preserve"> a framework for developing circular economy indicators</w:t>
      </w:r>
      <w:r w:rsidRPr="00C34BEC">
        <w:t xml:space="preserve">. </w:t>
      </w:r>
      <w:r w:rsidRPr="00C34BEC">
        <w:rPr>
          <w:i/>
          <w:iCs/>
        </w:rPr>
        <w:t>7543</w:t>
      </w:r>
      <w:r w:rsidRPr="00C34BEC">
        <w:t>. https://doi.org/10.1080/00207543.2018.1524166</w:t>
      </w:r>
    </w:p>
    <w:p w14:paraId="2A42270D" w14:textId="77777777" w:rsidR="00C34BEC" w:rsidRPr="00C34BEC" w:rsidRDefault="00C34BEC" w:rsidP="00C34BEC">
      <w:r w:rsidRPr="00C34BEC">
        <w:t xml:space="preserve">Jayant, A., Gupta, P., &amp; Garg, S. K. (2014). Reverse logistics network design for spent batteries: A simulation study. </w:t>
      </w:r>
      <w:r w:rsidRPr="00C34BEC">
        <w:rPr>
          <w:i/>
          <w:iCs/>
        </w:rPr>
        <w:t>International Journal of Logistics Systems and Management</w:t>
      </w:r>
      <w:r w:rsidRPr="00C34BEC">
        <w:t xml:space="preserve">, </w:t>
      </w:r>
      <w:r w:rsidRPr="00C34BEC">
        <w:rPr>
          <w:i/>
          <w:iCs/>
        </w:rPr>
        <w:t>18</w:t>
      </w:r>
      <w:r w:rsidRPr="00C34BEC">
        <w:t>(3), 343–365. https://doi.org/10.1504/IJLSM.2014.062820</w:t>
      </w:r>
    </w:p>
    <w:p w14:paraId="46E0E248" w14:textId="77777777" w:rsidR="00C34BEC" w:rsidRPr="00C34BEC" w:rsidRDefault="00C34BEC" w:rsidP="00C34BEC">
      <w:r w:rsidRPr="00C34BEC">
        <w:rPr>
          <w:lang w:val="pl-PL"/>
        </w:rPr>
        <w:t xml:space="preserve">Jeihoonian, M., Kazemi Zanjani, M., &amp; Gendreau, M. (2017). </w:t>
      </w:r>
      <w:r w:rsidRPr="00C34BEC">
        <w:t xml:space="preserve">Closed-loop supply chain network design under uncertain quality status: Case of durable products. </w:t>
      </w:r>
      <w:r w:rsidRPr="00C34BEC">
        <w:rPr>
          <w:i/>
          <w:iCs/>
        </w:rPr>
        <w:t>International Journal of Production Economics</w:t>
      </w:r>
      <w:r w:rsidRPr="00C34BEC">
        <w:t xml:space="preserve">, </w:t>
      </w:r>
      <w:r w:rsidRPr="00C34BEC">
        <w:rPr>
          <w:i/>
          <w:iCs/>
        </w:rPr>
        <w:t>183</w:t>
      </w:r>
      <w:r w:rsidRPr="00C34BEC">
        <w:t>, 470–486. https://doi.org/10.1016/j.ijpe.2016.07.023</w:t>
      </w:r>
    </w:p>
    <w:p w14:paraId="3C55C5B7" w14:textId="77777777" w:rsidR="00C34BEC" w:rsidRPr="00C34BEC" w:rsidRDefault="00C34BEC" w:rsidP="00C34BEC">
      <w:r w:rsidRPr="00C34BEC">
        <w:t xml:space="preserve">Jin, H., Song, B. D., Yih, Y., &amp; Sutherland, J. W. (2019). A bi-objective network design for value recovery of neodymium-iron-boron magnets: A case study of the United States. </w:t>
      </w:r>
      <w:r w:rsidRPr="00C34BEC">
        <w:rPr>
          <w:i/>
          <w:iCs/>
        </w:rPr>
        <w:t>Journal of Cleaner Production</w:t>
      </w:r>
      <w:r w:rsidRPr="00C34BEC">
        <w:t xml:space="preserve">, </w:t>
      </w:r>
      <w:r w:rsidRPr="00C34BEC">
        <w:rPr>
          <w:i/>
          <w:iCs/>
        </w:rPr>
        <w:t>211</w:t>
      </w:r>
      <w:r w:rsidRPr="00C34BEC">
        <w:t>, 257–269. https://doi.org/10.1016/j.jclepro.2018.11.101</w:t>
      </w:r>
    </w:p>
    <w:p w14:paraId="418EC3FD" w14:textId="77777777" w:rsidR="00C34BEC" w:rsidRPr="00C34BEC" w:rsidRDefault="00C34BEC" w:rsidP="00C34BEC">
      <w:r w:rsidRPr="00C34BEC">
        <w:t xml:space="preserve">Kazancoglu, Y., Kazancoglu, I., &amp; Sagnak, M. (2018). A new holistic conceptual framework for green supply chain management performance assessment based on circular economy. </w:t>
      </w:r>
      <w:r w:rsidRPr="00C34BEC">
        <w:rPr>
          <w:i/>
          <w:iCs/>
        </w:rPr>
        <w:t>Journal of Cleaner Production</w:t>
      </w:r>
      <w:r w:rsidRPr="00C34BEC">
        <w:t xml:space="preserve">, </w:t>
      </w:r>
      <w:r w:rsidRPr="00C34BEC">
        <w:rPr>
          <w:i/>
          <w:iCs/>
        </w:rPr>
        <w:t>195</w:t>
      </w:r>
      <w:r w:rsidRPr="00C34BEC">
        <w:t>, 1282–1299. https://doi.org/10.1016/j.jclepro.2018.06.015</w:t>
      </w:r>
    </w:p>
    <w:p w14:paraId="1D0197D4" w14:textId="77777777" w:rsidR="00C34BEC" w:rsidRPr="00C34BEC" w:rsidRDefault="00C34BEC" w:rsidP="00C34BEC">
      <w:r w:rsidRPr="00C34BEC">
        <w:t xml:space="preserve">Kazemi, N., Modak, N. M., &amp; Govindan, K. (2019). A review of reverse logistics and closed loop supply chain management studies published in IJPR: a bibliometric and content analysis. </w:t>
      </w:r>
      <w:r w:rsidRPr="00C34BEC">
        <w:rPr>
          <w:i/>
          <w:iCs/>
        </w:rPr>
        <w:t>International Journal of Production Research</w:t>
      </w:r>
      <w:r w:rsidRPr="00C34BEC">
        <w:t xml:space="preserve">, </w:t>
      </w:r>
      <w:r w:rsidRPr="00C34BEC">
        <w:rPr>
          <w:i/>
          <w:iCs/>
        </w:rPr>
        <w:t>57</w:t>
      </w:r>
      <w:r w:rsidRPr="00C34BEC">
        <w:t>(15–16), 4937–4960. https://doi.org/10.1080/00207543.2018.1471244</w:t>
      </w:r>
    </w:p>
    <w:p w14:paraId="612A6E77" w14:textId="77777777" w:rsidR="00C34BEC" w:rsidRPr="00C34BEC" w:rsidRDefault="00C34BEC" w:rsidP="00C34BEC">
      <w:r w:rsidRPr="00C34BEC">
        <w:t xml:space="preserve">King, N., &amp; Brooks, J. M. (2018). Doing Template Analysis: A Guide to the Main Components and Procedures. </w:t>
      </w:r>
      <w:r w:rsidRPr="00C34BEC">
        <w:rPr>
          <w:i/>
          <w:iCs/>
        </w:rPr>
        <w:t>Template Analysis for Business and Management Students</w:t>
      </w:r>
      <w:r w:rsidRPr="00C34BEC">
        <w:t>, 25–46. https://doi.org/10.4135/9781473983304.n3</w:t>
      </w:r>
    </w:p>
    <w:p w14:paraId="33DCABE4" w14:textId="77777777" w:rsidR="00C34BEC" w:rsidRPr="00C34BEC" w:rsidRDefault="00C34BEC" w:rsidP="00C34BEC">
      <w:r w:rsidRPr="00C34BEC">
        <w:rPr>
          <w:lang w:val="de-DE"/>
        </w:rPr>
        <w:lastRenderedPageBreak/>
        <w:t xml:space="preserve">Kirchherr, J., Reike, D., &amp; Hekkert, M. (2017). </w:t>
      </w:r>
      <w:r w:rsidRPr="00C34BEC">
        <w:t xml:space="preserve">Conceptualizing the circular economy: An analysis of 114 definitions. </w:t>
      </w:r>
      <w:r w:rsidRPr="00C34BEC">
        <w:rPr>
          <w:i/>
          <w:iCs/>
        </w:rPr>
        <w:t>Resources, Conservation and Recycling</w:t>
      </w:r>
      <w:r w:rsidRPr="00C34BEC">
        <w:t xml:space="preserve">, </w:t>
      </w:r>
      <w:r w:rsidRPr="00C34BEC">
        <w:rPr>
          <w:i/>
          <w:iCs/>
        </w:rPr>
        <w:t>127</w:t>
      </w:r>
      <w:r w:rsidRPr="00C34BEC">
        <w:t>(April), 221–232. https://doi.org/10.1016/j.resconrec.2017.09.005</w:t>
      </w:r>
    </w:p>
    <w:p w14:paraId="33BB0971" w14:textId="77777777" w:rsidR="00C34BEC" w:rsidRPr="00C34BEC" w:rsidRDefault="00C34BEC" w:rsidP="00C34BEC">
      <w:r w:rsidRPr="00C34BEC">
        <w:rPr>
          <w:lang w:val="de-DE"/>
        </w:rPr>
        <w:t xml:space="preserve">Kirchherr, J., &amp; van Santen, R. (2019). </w:t>
      </w:r>
      <w:r w:rsidRPr="00C34BEC">
        <w:t xml:space="preserve">Research on the circular economy: A critique of the field. </w:t>
      </w:r>
      <w:r w:rsidRPr="00C34BEC">
        <w:rPr>
          <w:i/>
          <w:iCs/>
        </w:rPr>
        <w:t>Resources, Conservation and Recycling</w:t>
      </w:r>
      <w:r w:rsidRPr="00C34BEC">
        <w:t xml:space="preserve">, </w:t>
      </w:r>
      <w:r w:rsidRPr="00C34BEC">
        <w:rPr>
          <w:i/>
          <w:iCs/>
        </w:rPr>
        <w:t>151</w:t>
      </w:r>
      <w:r w:rsidRPr="00C34BEC">
        <w:t>(September), 4–5. https://doi.org/10.1016/j.resconrec.2019.104480</w:t>
      </w:r>
    </w:p>
    <w:p w14:paraId="2966160F" w14:textId="77777777" w:rsidR="00C34BEC" w:rsidRPr="00C34BEC" w:rsidRDefault="00C34BEC" w:rsidP="00C34BEC">
      <w:r w:rsidRPr="00C34BEC">
        <w:rPr>
          <w:lang w:val="sv-SE"/>
        </w:rPr>
        <w:t xml:space="preserve">Korhonen, J., Honkasalo, A., &amp; Seppälä, J. (2018). </w:t>
      </w:r>
      <w:r w:rsidRPr="00C34BEC">
        <w:t xml:space="preserve">Circular Economy: The Concept and its Limitations. </w:t>
      </w:r>
      <w:r w:rsidRPr="00C34BEC">
        <w:rPr>
          <w:i/>
          <w:iCs/>
        </w:rPr>
        <w:t>Ecological Economics</w:t>
      </w:r>
      <w:r w:rsidRPr="00C34BEC">
        <w:t xml:space="preserve">, </w:t>
      </w:r>
      <w:r w:rsidRPr="00C34BEC">
        <w:rPr>
          <w:i/>
          <w:iCs/>
        </w:rPr>
        <w:t>143</w:t>
      </w:r>
      <w:r w:rsidRPr="00C34BEC">
        <w:t>(January), 37–46. https://doi.org/10.1016/j.ecolecon.2017.06.041</w:t>
      </w:r>
    </w:p>
    <w:p w14:paraId="4C690767" w14:textId="77777777" w:rsidR="00C34BEC" w:rsidRPr="00C34BEC" w:rsidRDefault="00C34BEC" w:rsidP="00C34BEC">
      <w:r w:rsidRPr="00C34BEC">
        <w:t xml:space="preserve">Korhonen, J., Nuur, C., Feldmann, A., &amp; Birkie, S. E. (2018). Circular economy as an essentially contested concept. </w:t>
      </w:r>
      <w:r w:rsidRPr="00C34BEC">
        <w:rPr>
          <w:i/>
          <w:iCs/>
        </w:rPr>
        <w:t>Journal of Cleaner Production</w:t>
      </w:r>
      <w:r w:rsidRPr="00C34BEC">
        <w:t xml:space="preserve">, </w:t>
      </w:r>
      <w:r w:rsidRPr="00C34BEC">
        <w:rPr>
          <w:i/>
          <w:iCs/>
        </w:rPr>
        <w:t>175</w:t>
      </w:r>
      <w:r w:rsidRPr="00C34BEC">
        <w:t>, 544–552. https://doi.org/10.1016/j.jclepro.2017.12.111</w:t>
      </w:r>
    </w:p>
    <w:p w14:paraId="744DDEF8" w14:textId="77777777" w:rsidR="00C34BEC" w:rsidRPr="00C34BEC" w:rsidRDefault="00C34BEC" w:rsidP="00C34BEC">
      <w:r w:rsidRPr="00C34BEC">
        <w:t xml:space="preserve">Lahane, S., Kant, R., &amp; Shankar, R. (2020). Circular supply chain management: A state-of-art review and future opportunities. </w:t>
      </w:r>
      <w:r w:rsidRPr="00C34BEC">
        <w:rPr>
          <w:i/>
          <w:iCs/>
        </w:rPr>
        <w:t>Journal of Cleaner Production</w:t>
      </w:r>
      <w:r w:rsidRPr="00C34BEC">
        <w:t xml:space="preserve">, </w:t>
      </w:r>
      <w:r w:rsidRPr="00C34BEC">
        <w:rPr>
          <w:i/>
          <w:iCs/>
        </w:rPr>
        <w:t>258</w:t>
      </w:r>
      <w:r w:rsidRPr="00C34BEC">
        <w:t>, 120859. https://doi.org/10.1016/j.jclepro.2020.120859</w:t>
      </w:r>
    </w:p>
    <w:p w14:paraId="6A6FC727" w14:textId="77777777" w:rsidR="00C34BEC" w:rsidRPr="00C34BEC" w:rsidRDefault="00C34BEC" w:rsidP="00C34BEC">
      <w:r w:rsidRPr="00C34BEC">
        <w:t xml:space="preserve">Larsen, S. B., Masi, D., Jacobsen, P., &amp; Godsell, J. (2018). How the reverse supply chain contributes to a firm’s competitive strategy: a strategic alignment perspective. </w:t>
      </w:r>
      <w:r w:rsidRPr="00C34BEC">
        <w:rPr>
          <w:i/>
          <w:iCs/>
        </w:rPr>
        <w:t>Production Planning and Control</w:t>
      </w:r>
      <w:r w:rsidRPr="00C34BEC">
        <w:t xml:space="preserve">, </w:t>
      </w:r>
      <w:r w:rsidRPr="00C34BEC">
        <w:rPr>
          <w:i/>
          <w:iCs/>
        </w:rPr>
        <w:t>29</w:t>
      </w:r>
      <w:r w:rsidRPr="00C34BEC">
        <w:t>(6), 452–463. https://doi.org/10.1080/09537287.2017.1390178</w:t>
      </w:r>
    </w:p>
    <w:p w14:paraId="5D381522" w14:textId="77777777" w:rsidR="00C34BEC" w:rsidRPr="00C34BEC" w:rsidRDefault="00C34BEC" w:rsidP="00C34BEC">
      <w:r w:rsidRPr="00C34BEC">
        <w:t xml:space="preserve">Li, Q., Liu, K., &amp; Zhang, Z. H. (2019). Robust design of a strategic network planning for photovoltaic module recycling considering reclaimed resource price uncertainty. </w:t>
      </w:r>
      <w:r w:rsidRPr="00C34BEC">
        <w:rPr>
          <w:i/>
          <w:iCs/>
        </w:rPr>
        <w:t>IISE Transactions</w:t>
      </w:r>
      <w:r w:rsidRPr="00C34BEC">
        <w:t xml:space="preserve">, </w:t>
      </w:r>
      <w:r w:rsidRPr="00C34BEC">
        <w:rPr>
          <w:i/>
          <w:iCs/>
        </w:rPr>
        <w:t>51</w:t>
      </w:r>
      <w:r w:rsidRPr="00C34BEC">
        <w:t>(7), 691–708. https://doi.org/10.1080/24725854.2018.1501169</w:t>
      </w:r>
    </w:p>
    <w:p w14:paraId="4B8F9DC1" w14:textId="77777777" w:rsidR="00C34BEC" w:rsidRPr="00C34BEC" w:rsidRDefault="00C34BEC" w:rsidP="00C34BEC">
      <w:r w:rsidRPr="00C34BEC">
        <w:t xml:space="preserve">Liao, H., Shen, N., &amp; Wang, Y. (2020). Design and realisation of an efficient environmental assessment method for 3R systems: a case study on engine remanufacturing. </w:t>
      </w:r>
      <w:r w:rsidRPr="00C34BEC">
        <w:rPr>
          <w:i/>
          <w:iCs/>
        </w:rPr>
        <w:t>International Journal of Production Research</w:t>
      </w:r>
      <w:r w:rsidRPr="00C34BEC">
        <w:t xml:space="preserve">, </w:t>
      </w:r>
      <w:r w:rsidRPr="00C34BEC">
        <w:rPr>
          <w:i/>
          <w:iCs/>
        </w:rPr>
        <w:t>58</w:t>
      </w:r>
      <w:r w:rsidRPr="00C34BEC">
        <w:t>(19), 5980–6003. https://doi.org/10.1080/00207543.2019.1662132</w:t>
      </w:r>
    </w:p>
    <w:p w14:paraId="5FA3DE3C" w14:textId="77777777" w:rsidR="00C34BEC" w:rsidRPr="00C34BEC" w:rsidRDefault="00C34BEC" w:rsidP="00C34BEC">
      <w:r w:rsidRPr="00C34BEC">
        <w:t xml:space="preserve">Liu, B., Chen, D., Zhou, W., Nasr, N., Wang, T., Hu, S., &amp; Zhu, B. (2018). The effect of remanufacturing and direct reuse on resource productivity of China’s automotive production. </w:t>
      </w:r>
      <w:r w:rsidRPr="00C34BEC">
        <w:rPr>
          <w:i/>
          <w:iCs/>
        </w:rPr>
        <w:t>Journal of Cleaner Production</w:t>
      </w:r>
      <w:r w:rsidRPr="00C34BEC">
        <w:t xml:space="preserve">, </w:t>
      </w:r>
      <w:r w:rsidRPr="00C34BEC">
        <w:rPr>
          <w:i/>
          <w:iCs/>
        </w:rPr>
        <w:t>194</w:t>
      </w:r>
      <w:r w:rsidRPr="00C34BEC">
        <w:t>, 309–317. https://doi.org/10.1016/j.jclepro.2018.05.119</w:t>
      </w:r>
    </w:p>
    <w:p w14:paraId="2C919DEE" w14:textId="77777777" w:rsidR="00C34BEC" w:rsidRPr="00C34BEC" w:rsidRDefault="00C34BEC" w:rsidP="00C34BEC">
      <w:r w:rsidRPr="00C34BEC">
        <w:t xml:space="preserve">Liu, J., Feng, Y., Zhu, Q., &amp; Sarkis, J. (2018). Green supply chain management and the circular economy: Reviewing theory for advancement of both fields. </w:t>
      </w:r>
      <w:r w:rsidRPr="00C34BEC">
        <w:rPr>
          <w:i/>
          <w:iCs/>
        </w:rPr>
        <w:t xml:space="preserve">International Journal of Physical </w:t>
      </w:r>
      <w:r w:rsidRPr="00C34BEC">
        <w:rPr>
          <w:i/>
          <w:iCs/>
        </w:rPr>
        <w:lastRenderedPageBreak/>
        <w:t>Distribution and Logistics Management</w:t>
      </w:r>
      <w:r w:rsidRPr="00C34BEC">
        <w:t xml:space="preserve">, </w:t>
      </w:r>
      <w:r w:rsidRPr="00C34BEC">
        <w:rPr>
          <w:i/>
          <w:iCs/>
        </w:rPr>
        <w:t>48</w:t>
      </w:r>
      <w:r w:rsidRPr="00C34BEC">
        <w:t>(8), 794–817. https://doi.org/10.1108/IJPDLM-01-2017-0049</w:t>
      </w:r>
    </w:p>
    <w:p w14:paraId="69649025" w14:textId="77777777" w:rsidR="00C34BEC" w:rsidRPr="00C34BEC" w:rsidRDefault="00C34BEC" w:rsidP="00C34BEC">
      <w:r w:rsidRPr="00C34BEC">
        <w:rPr>
          <w:lang w:val="sv-SE"/>
        </w:rPr>
        <w:t xml:space="preserve">Low, J. S. C., Tjandra, T. B., Lu, W. F., &amp; Lee, H. M. (2016). </w:t>
      </w:r>
      <w:r w:rsidRPr="00C34BEC">
        <w:t xml:space="preserve">Adaptation of the Product Structure-based Integrated Life cycle Analysis (PSILA) technique for carbon footprint modelling and analysis of closed-loop production systems. </w:t>
      </w:r>
      <w:r w:rsidRPr="00C34BEC">
        <w:rPr>
          <w:i/>
          <w:iCs/>
        </w:rPr>
        <w:t>Journal of Cleaner Production</w:t>
      </w:r>
      <w:r w:rsidRPr="00C34BEC">
        <w:t xml:space="preserve">, </w:t>
      </w:r>
      <w:r w:rsidRPr="00C34BEC">
        <w:rPr>
          <w:i/>
          <w:iCs/>
        </w:rPr>
        <w:t>120</w:t>
      </w:r>
      <w:r w:rsidRPr="00C34BEC">
        <w:t>, 105–123. https://doi.org/10.1016/j.jclepro.2015.09.095</w:t>
      </w:r>
    </w:p>
    <w:p w14:paraId="51FACFBB" w14:textId="77777777" w:rsidR="00C34BEC" w:rsidRPr="00C34BEC" w:rsidRDefault="00C34BEC" w:rsidP="00C34BEC">
      <w:r w:rsidRPr="00C34BEC">
        <w:t xml:space="preserve">Lüdeke-Freund, F., Gold, S., &amp; Bocken, N. M. P. (2019). A Review and Typology of Circular Economy Business Model Patterns. </w:t>
      </w:r>
      <w:r w:rsidRPr="00C34BEC">
        <w:rPr>
          <w:i/>
          <w:iCs/>
        </w:rPr>
        <w:t>Journal of Industrial Ecology</w:t>
      </w:r>
      <w:r w:rsidRPr="00C34BEC">
        <w:t xml:space="preserve">, </w:t>
      </w:r>
      <w:r w:rsidRPr="00C34BEC">
        <w:rPr>
          <w:i/>
          <w:iCs/>
        </w:rPr>
        <w:t>23</w:t>
      </w:r>
      <w:r w:rsidRPr="00C34BEC">
        <w:t>(1), 36–61. https://doi.org/10.1111/jiec.12763</w:t>
      </w:r>
    </w:p>
    <w:p w14:paraId="1E000F2E" w14:textId="77777777" w:rsidR="00C34BEC" w:rsidRPr="00C34BEC" w:rsidRDefault="00C34BEC" w:rsidP="00C34BEC">
      <w:r w:rsidRPr="00C34BEC">
        <w:t xml:space="preserve">Maestrini, V., Luzzini, D., Maccarrone, P., &amp; Caniato, F. (2017). Supply chain performance measurement systems: A systematic review and research agenda. </w:t>
      </w:r>
      <w:r w:rsidRPr="00C34BEC">
        <w:rPr>
          <w:i/>
          <w:iCs/>
        </w:rPr>
        <w:t>International Journal of Production Economics</w:t>
      </w:r>
      <w:r w:rsidRPr="00C34BEC">
        <w:t xml:space="preserve">, </w:t>
      </w:r>
      <w:r w:rsidRPr="00C34BEC">
        <w:rPr>
          <w:i/>
          <w:iCs/>
        </w:rPr>
        <w:t>183</w:t>
      </w:r>
      <w:r w:rsidRPr="00C34BEC">
        <w:t>(November 2016), 299–315. https://doi.org/10.1016/j.ijpe.2016.11.005</w:t>
      </w:r>
    </w:p>
    <w:p w14:paraId="03530DD0" w14:textId="77777777" w:rsidR="00C34BEC" w:rsidRPr="00C34BEC" w:rsidRDefault="00C34BEC" w:rsidP="00C34BEC">
      <w:r w:rsidRPr="00C34BEC">
        <w:t xml:space="preserve">Martinez-alier, J., Munda, G., &amp; Neill, J. O. (1998). </w:t>
      </w:r>
      <w:r w:rsidRPr="00C34BEC">
        <w:rPr>
          <w:i/>
          <w:iCs/>
        </w:rPr>
        <w:t>Weak comparability of values as a foundation for ecological economics</w:t>
      </w:r>
      <w:r w:rsidRPr="00C34BEC">
        <w:t xml:space="preserve">. </w:t>
      </w:r>
      <w:r w:rsidRPr="00C34BEC">
        <w:rPr>
          <w:i/>
          <w:iCs/>
        </w:rPr>
        <w:t>26</w:t>
      </w:r>
      <w:r w:rsidRPr="00C34BEC">
        <w:t>, 277–286.</w:t>
      </w:r>
    </w:p>
    <w:p w14:paraId="24459D96" w14:textId="77777777" w:rsidR="00C34BEC" w:rsidRPr="00C34BEC" w:rsidRDefault="00C34BEC" w:rsidP="00C34BEC">
      <w:r w:rsidRPr="00C34BEC">
        <w:t xml:space="preserve">Masi, D., Day, S., &amp; Godsell, J. (2017). Supply chain configurations in the circular economy: A systematic literature review. </w:t>
      </w:r>
      <w:r w:rsidRPr="00C34BEC">
        <w:rPr>
          <w:i/>
          <w:iCs/>
        </w:rPr>
        <w:t>Sustainability (Switzerland)</w:t>
      </w:r>
      <w:r w:rsidRPr="00C34BEC">
        <w:t xml:space="preserve">, </w:t>
      </w:r>
      <w:r w:rsidRPr="00C34BEC">
        <w:rPr>
          <w:i/>
          <w:iCs/>
        </w:rPr>
        <w:t>9</w:t>
      </w:r>
      <w:r w:rsidRPr="00C34BEC">
        <w:t>(9). https://doi.org/10.3390/su9091602</w:t>
      </w:r>
    </w:p>
    <w:p w14:paraId="1DBB3FBD" w14:textId="77777777" w:rsidR="00C34BEC" w:rsidRPr="00C34BEC" w:rsidRDefault="00C34BEC" w:rsidP="00C34BEC">
      <w:r w:rsidRPr="00C34BEC">
        <w:t xml:space="preserve">Morseletto, P. (2020). Targets for a circular economy. </w:t>
      </w:r>
      <w:r w:rsidRPr="00C34BEC">
        <w:rPr>
          <w:i/>
          <w:iCs/>
        </w:rPr>
        <w:t>Resources, Conservation and Recycling</w:t>
      </w:r>
      <w:r w:rsidRPr="00C34BEC">
        <w:t xml:space="preserve">, </w:t>
      </w:r>
      <w:r w:rsidRPr="00C34BEC">
        <w:rPr>
          <w:i/>
          <w:iCs/>
        </w:rPr>
        <w:t>153</w:t>
      </w:r>
      <w:r w:rsidRPr="00C34BEC">
        <w:t>(October 2019), 104553. https://doi.org/10.1016/j.resconrec.2019.104553</w:t>
      </w:r>
    </w:p>
    <w:p w14:paraId="338901A3" w14:textId="77777777" w:rsidR="00C34BEC" w:rsidRPr="00C34BEC" w:rsidRDefault="00C34BEC" w:rsidP="00C34BEC">
      <w:r w:rsidRPr="00C34BEC">
        <w:t xml:space="preserve">Murray, A., Skene, K., &amp; Haynes, K. (2017). The Circular Economy: An Interdisciplinary Exploration of the Concept and Application in a Global Context. </w:t>
      </w:r>
      <w:r w:rsidRPr="00C34BEC">
        <w:rPr>
          <w:i/>
          <w:iCs/>
        </w:rPr>
        <w:t>Journal of Business Ethics</w:t>
      </w:r>
      <w:r w:rsidRPr="00C34BEC">
        <w:t xml:space="preserve">, </w:t>
      </w:r>
      <w:r w:rsidRPr="00C34BEC">
        <w:rPr>
          <w:i/>
          <w:iCs/>
        </w:rPr>
        <w:t>140</w:t>
      </w:r>
      <w:r w:rsidRPr="00C34BEC">
        <w:t>(3), 369–380. https://doi.org/10.1007/s10551-015-2693-2</w:t>
      </w:r>
    </w:p>
    <w:p w14:paraId="2A10AB19" w14:textId="24362A5A" w:rsidR="00C34BEC" w:rsidRPr="00C34BEC" w:rsidRDefault="00C34BEC" w:rsidP="00C34BEC">
      <w:r w:rsidRPr="00C34BEC">
        <w:t xml:space="preserve">Nieuwenhuis, P., Touboulic, A., &amp; Matthews, L. (2019). </w:t>
      </w:r>
      <w:r w:rsidRPr="00C34BEC">
        <w:rPr>
          <w:i/>
          <w:iCs/>
        </w:rPr>
        <w:t>Is Sustainable Supply Chain Management Sustainable?</w:t>
      </w:r>
      <w:r w:rsidRPr="00C34BEC">
        <w:t xml:space="preserve"> </w:t>
      </w:r>
      <w:r w:rsidR="00F07293" w:rsidRPr="00C34BEC">
        <w:rPr>
          <w:i/>
          <w:iCs/>
        </w:rPr>
        <w:t>May</w:t>
      </w:r>
      <w:r w:rsidRPr="00C34BEC">
        <w:t xml:space="preserve"> 13–30. https://doi.org/10.1007/978-3-030-15066-2_2</w:t>
      </w:r>
    </w:p>
    <w:p w14:paraId="5C80B29A" w14:textId="77777777" w:rsidR="00C34BEC" w:rsidRPr="00C34BEC" w:rsidRDefault="00C34BEC" w:rsidP="00C34BEC">
      <w:r w:rsidRPr="00C34BEC">
        <w:t xml:space="preserve">Odum, H. T. (1996). Environmental accounting. Emergy and Environmental Decision Making. </w:t>
      </w:r>
      <w:r w:rsidRPr="00C34BEC">
        <w:rPr>
          <w:i/>
          <w:iCs/>
        </w:rPr>
        <w:t>John Wiley &amp; Sons, INC</w:t>
      </w:r>
      <w:r w:rsidRPr="00C34BEC">
        <w:t>, 370. https://doi.org/10.1017/CBO9781107415324.004</w:t>
      </w:r>
    </w:p>
    <w:p w14:paraId="50509396" w14:textId="6F18AE6A" w:rsidR="00C34BEC" w:rsidRPr="00C34BEC" w:rsidRDefault="00C34BEC" w:rsidP="00C34BEC">
      <w:r w:rsidRPr="00C34BEC">
        <w:t xml:space="preserve">Opferkuch, K., Caeiro, S., Salomone, R., &amp; Ramos, T. B. (2021). Circular economy in corporate sustainability reporting: A review of organisational approaches. </w:t>
      </w:r>
      <w:r w:rsidRPr="00C34BEC">
        <w:rPr>
          <w:i/>
          <w:iCs/>
        </w:rPr>
        <w:t>Business Strategy and the Environment</w:t>
      </w:r>
      <w:r w:rsidRPr="00C34BEC">
        <w:t xml:space="preserve">, </w:t>
      </w:r>
      <w:r w:rsidR="00F07293" w:rsidRPr="00C34BEC">
        <w:rPr>
          <w:i/>
          <w:iCs/>
        </w:rPr>
        <w:t>June</w:t>
      </w:r>
      <w:r w:rsidRPr="00C34BEC">
        <w:t xml:space="preserve"> 1–22. https://doi.org/10.1002/bse.2854</w:t>
      </w:r>
    </w:p>
    <w:p w14:paraId="3E3AD2EF" w14:textId="77777777" w:rsidR="00C34BEC" w:rsidRPr="00C34BEC" w:rsidRDefault="00C34BEC" w:rsidP="00C34BEC">
      <w:r w:rsidRPr="00C34BEC">
        <w:lastRenderedPageBreak/>
        <w:t xml:space="preserve">Özceylan, E., &amp; Paksoy, T. (2013). Reverse supply chain optimisation with disassembly line balancing. </w:t>
      </w:r>
      <w:r w:rsidRPr="00C34BEC">
        <w:rPr>
          <w:i/>
          <w:iCs/>
        </w:rPr>
        <w:t>International Journal of Production Research</w:t>
      </w:r>
      <w:r w:rsidRPr="00C34BEC">
        <w:t xml:space="preserve">, </w:t>
      </w:r>
      <w:r w:rsidRPr="00C34BEC">
        <w:rPr>
          <w:i/>
          <w:iCs/>
        </w:rPr>
        <w:t>51</w:t>
      </w:r>
      <w:r w:rsidRPr="00C34BEC">
        <w:t>(20), 5985–6001. https://doi.org/10.1080/00207543.2013.784405</w:t>
      </w:r>
    </w:p>
    <w:p w14:paraId="71BAF4CF" w14:textId="77777777" w:rsidR="00C34BEC" w:rsidRPr="00C34BEC" w:rsidRDefault="00C34BEC" w:rsidP="00C34BEC">
      <w:r w:rsidRPr="00C34BEC">
        <w:t xml:space="preserve">Pigosso, D., &amp; McAloone, T. (2017). How can design science contribute to a circular economy? </w:t>
      </w:r>
      <w:r w:rsidRPr="00C34BEC">
        <w:rPr>
          <w:i/>
          <w:iCs/>
        </w:rPr>
        <w:t>International Conference on Engineering Design, ICED</w:t>
      </w:r>
      <w:r w:rsidRPr="00C34BEC">
        <w:t xml:space="preserve">, </w:t>
      </w:r>
      <w:r w:rsidRPr="00C34BEC">
        <w:rPr>
          <w:i/>
          <w:iCs/>
        </w:rPr>
        <w:t>5</w:t>
      </w:r>
      <w:r w:rsidRPr="00C34BEC">
        <w:t>(DS87-5), 299–307.</w:t>
      </w:r>
    </w:p>
    <w:p w14:paraId="2C4EAF2C" w14:textId="77777777" w:rsidR="00C34BEC" w:rsidRPr="00C34BEC" w:rsidRDefault="00C34BEC" w:rsidP="00C34BEC">
      <w:pPr>
        <w:rPr>
          <w:lang w:val="sv-SE"/>
        </w:rPr>
      </w:pPr>
      <w:r w:rsidRPr="00C34BEC">
        <w:t xml:space="preserve">Polo, A., Peña, N., Muñoz, D., Cañón, A., &amp; Escobar, J. W. (2019). Robust design of a closed-loop supply chain under uncertainty conditions integrating financial criteria. </w:t>
      </w:r>
      <w:r w:rsidRPr="00C34BEC">
        <w:rPr>
          <w:i/>
          <w:iCs/>
          <w:lang w:val="sv-SE"/>
        </w:rPr>
        <w:t>Omega (United Kingdom)</w:t>
      </w:r>
      <w:r w:rsidRPr="00C34BEC">
        <w:rPr>
          <w:lang w:val="sv-SE"/>
        </w:rPr>
        <w:t xml:space="preserve">, </w:t>
      </w:r>
      <w:r w:rsidRPr="00C34BEC">
        <w:rPr>
          <w:i/>
          <w:iCs/>
          <w:lang w:val="sv-SE"/>
        </w:rPr>
        <w:t>88</w:t>
      </w:r>
      <w:r w:rsidRPr="00C34BEC">
        <w:rPr>
          <w:lang w:val="sv-SE"/>
        </w:rPr>
        <w:t>, 110–132. https://doi.org/10.1016/j.omega.2018.09.003</w:t>
      </w:r>
    </w:p>
    <w:p w14:paraId="61A2FC21" w14:textId="77777777" w:rsidR="00C34BEC" w:rsidRPr="00C34BEC" w:rsidRDefault="00C34BEC" w:rsidP="00C34BEC">
      <w:r w:rsidRPr="00C34BEC">
        <w:rPr>
          <w:lang w:val="sv-SE"/>
        </w:rPr>
        <w:t xml:space="preserve">Ponte, B., Naim, M. M., &amp; Syntetos, A. A. (2020). </w:t>
      </w:r>
      <w:r w:rsidRPr="00C34BEC">
        <w:t xml:space="preserve">The effect of returns volume uncertainty on the dynamic performance of closed-loop supply chains. </w:t>
      </w:r>
      <w:r w:rsidRPr="00C34BEC">
        <w:rPr>
          <w:i/>
          <w:iCs/>
        </w:rPr>
        <w:t>Journal of Remanufacturing</w:t>
      </w:r>
      <w:r w:rsidRPr="00C34BEC">
        <w:t xml:space="preserve">, </w:t>
      </w:r>
      <w:r w:rsidRPr="00C34BEC">
        <w:rPr>
          <w:i/>
          <w:iCs/>
        </w:rPr>
        <w:t>10</w:t>
      </w:r>
      <w:r w:rsidRPr="00C34BEC">
        <w:t>(1), 1–14. https://doi.org/10.1007/s13243-019-00070-x</w:t>
      </w:r>
    </w:p>
    <w:p w14:paraId="44AF7353" w14:textId="77777777" w:rsidR="00C34BEC" w:rsidRPr="00C34BEC" w:rsidRDefault="00C34BEC" w:rsidP="00C34BEC">
      <w:r w:rsidRPr="00C34BEC">
        <w:t xml:space="preserve">Prendeville, S., &amp; Bocken, N. (2017). Sustainable Business Models through Service Design. </w:t>
      </w:r>
      <w:r w:rsidRPr="00C34BEC">
        <w:rPr>
          <w:i/>
          <w:iCs/>
        </w:rPr>
        <w:t>Procedia Manufacturing</w:t>
      </w:r>
      <w:r w:rsidRPr="00C34BEC">
        <w:t xml:space="preserve">, </w:t>
      </w:r>
      <w:r w:rsidRPr="00C34BEC">
        <w:rPr>
          <w:i/>
          <w:iCs/>
        </w:rPr>
        <w:t>8</w:t>
      </w:r>
      <w:r w:rsidRPr="00C34BEC">
        <w:t>(October 2016), 292–299. https://doi.org/10.1016/j.promfg.2017.02.037</w:t>
      </w:r>
    </w:p>
    <w:p w14:paraId="19E8223A" w14:textId="77777777" w:rsidR="00C34BEC" w:rsidRPr="00C34BEC" w:rsidRDefault="00C34BEC" w:rsidP="00C34BEC">
      <w:r w:rsidRPr="00C34BEC">
        <w:t xml:space="preserve">Prosman, E. J., &amp; Sacchi, R. (2016). New environmental supplier selection criteria for circular supply chains: Lessons from a consequential LCA study on waste recovery. </w:t>
      </w:r>
      <w:r w:rsidRPr="00C34BEC">
        <w:rPr>
          <w:i/>
          <w:iCs/>
        </w:rPr>
        <w:t>Journal of Cleaner Production</w:t>
      </w:r>
      <w:r w:rsidRPr="00C34BEC">
        <w:t xml:space="preserve">, </w:t>
      </w:r>
      <w:r w:rsidRPr="00C34BEC">
        <w:rPr>
          <w:i/>
          <w:iCs/>
        </w:rPr>
        <w:t>172</w:t>
      </w:r>
      <w:r w:rsidRPr="00C34BEC">
        <w:t>, 2782–2792. https://doi.org/10.1016/j.jclepro.2017.11.134</w:t>
      </w:r>
    </w:p>
    <w:p w14:paraId="7975D432" w14:textId="77777777" w:rsidR="00C34BEC" w:rsidRPr="00C34BEC" w:rsidRDefault="00C34BEC" w:rsidP="00C34BEC">
      <w:r w:rsidRPr="00C34BEC">
        <w:t xml:space="preserve">Rachaniotis, N. P., Pappis, C. P., Tsoulfas, G. T., &amp; Dasaklis, T. (2010). A multi-objective re-assembling policy model and its implementation in the case of a network of personal computers. </w:t>
      </w:r>
      <w:r w:rsidRPr="00C34BEC">
        <w:rPr>
          <w:i/>
          <w:iCs/>
        </w:rPr>
        <w:t>Computers and Mathematics with Applications</w:t>
      </w:r>
      <w:r w:rsidRPr="00C34BEC">
        <w:t xml:space="preserve">, </w:t>
      </w:r>
      <w:r w:rsidRPr="00C34BEC">
        <w:rPr>
          <w:i/>
          <w:iCs/>
        </w:rPr>
        <w:t>59</w:t>
      </w:r>
      <w:r w:rsidRPr="00C34BEC">
        <w:t>(1), 391–398. https://doi.org/10.1016/j.camwa.2009.07.004</w:t>
      </w:r>
    </w:p>
    <w:p w14:paraId="385A8D28" w14:textId="77777777" w:rsidR="00C34BEC" w:rsidRPr="00C34BEC" w:rsidRDefault="00C34BEC" w:rsidP="00C34BEC">
      <w:r w:rsidRPr="00C34BEC">
        <w:t xml:space="preserve">Rahimi, M., &amp; Ghezavati, V. (2018). Sustainable multi-period reverse logistics network design and planning under uncertainty utilizing conditional value at risk (CVaR) for recycling construction and demolition waste. </w:t>
      </w:r>
      <w:r w:rsidRPr="00C34BEC">
        <w:rPr>
          <w:i/>
          <w:iCs/>
        </w:rPr>
        <w:t>Journal of Cleaner Production</w:t>
      </w:r>
      <w:r w:rsidRPr="00C34BEC">
        <w:t xml:space="preserve">, </w:t>
      </w:r>
      <w:r w:rsidRPr="00C34BEC">
        <w:rPr>
          <w:i/>
          <w:iCs/>
        </w:rPr>
        <w:t>172</w:t>
      </w:r>
      <w:r w:rsidRPr="00C34BEC">
        <w:t>, 1567–1581. https://doi.org/10.1016/j.jclepro.2017.10.240</w:t>
      </w:r>
    </w:p>
    <w:p w14:paraId="04E60F47" w14:textId="77777777" w:rsidR="00C34BEC" w:rsidRPr="00C34BEC" w:rsidRDefault="00C34BEC" w:rsidP="00C34BEC">
      <w:r w:rsidRPr="00C34BEC">
        <w:t xml:space="preserve">Rao, P. H. (2014). Measuring Environmental Performance across a Green Supply Chain: A Managerial Overview of Environmental Indicators. </w:t>
      </w:r>
      <w:r w:rsidRPr="00C34BEC">
        <w:rPr>
          <w:i/>
          <w:iCs/>
        </w:rPr>
        <w:t>Vikalpa</w:t>
      </w:r>
      <w:r w:rsidRPr="00C34BEC">
        <w:t xml:space="preserve">, </w:t>
      </w:r>
      <w:r w:rsidRPr="00C34BEC">
        <w:rPr>
          <w:i/>
          <w:iCs/>
        </w:rPr>
        <w:t>39</w:t>
      </w:r>
      <w:r w:rsidRPr="00C34BEC">
        <w:t>(1), 57–74. https://doi.org/10.1177/0256090920140104</w:t>
      </w:r>
    </w:p>
    <w:p w14:paraId="08E4BECF" w14:textId="77777777" w:rsidR="00C34BEC" w:rsidRPr="00C34BEC" w:rsidRDefault="00C34BEC" w:rsidP="00C34BEC">
      <w:r w:rsidRPr="00C34BEC">
        <w:t xml:space="preserve">Rezaei, N., Sierra-Altamiranda, A., Diaz-Elsayed, N., Charkhgard, H., &amp; Zhang, Q. (2019). A multi-objective optimization model for decision support in water reclamation system planning. </w:t>
      </w:r>
      <w:r w:rsidRPr="00C34BEC">
        <w:rPr>
          <w:i/>
          <w:iCs/>
        </w:rPr>
        <w:t>Journal of Cleaner Production</w:t>
      </w:r>
      <w:r w:rsidRPr="00C34BEC">
        <w:t xml:space="preserve">, </w:t>
      </w:r>
      <w:r w:rsidRPr="00C34BEC">
        <w:rPr>
          <w:i/>
          <w:iCs/>
        </w:rPr>
        <w:t>240</w:t>
      </w:r>
      <w:r w:rsidRPr="00C34BEC">
        <w:t>, 118227. https://doi.org/10.1016/j.jclepro.2019.118227</w:t>
      </w:r>
    </w:p>
    <w:p w14:paraId="4A78BE86" w14:textId="77777777" w:rsidR="00C34BEC" w:rsidRPr="00C34BEC" w:rsidRDefault="00C34BEC" w:rsidP="00C34BEC">
      <w:r w:rsidRPr="00C34BEC">
        <w:lastRenderedPageBreak/>
        <w:t xml:space="preserve">Rocca, R., Sassanelli, C., Rosa, P., &amp; Terzi, S. (2021). </w:t>
      </w:r>
      <w:r w:rsidRPr="00C34BEC">
        <w:rPr>
          <w:i/>
          <w:iCs/>
        </w:rPr>
        <w:t>New Business Models for the Reuse of Secondary Resources from WEEEs - The FENIX Project</w:t>
      </w:r>
      <w:r w:rsidRPr="00C34BEC">
        <w:t>. Springer International Publishing. https://doi.org/.=https://doi.org/10.1007/978-3-030-74886-9</w:t>
      </w:r>
    </w:p>
    <w:p w14:paraId="153204C8" w14:textId="77777777" w:rsidR="00C34BEC" w:rsidRPr="00C34BEC" w:rsidRDefault="00C34BEC" w:rsidP="00C34BEC">
      <w:r w:rsidRPr="00C34BEC">
        <w:t xml:space="preserve">Rockström, J., Steffen, W., Noone, K., Persson, Å., Chapin, F. S., Lambin, E., Lenton, T. M., Scheffer, M., Folke, C., Schellnhuber, H. J., Nykvist, B., de Wit, C. A., Hughes, T., van der Leeuw, S., Rodhe, H., Sörlin, S., Snyder, P. K., Costanza, R., Svedin, U., … Foley, J. (2009). Planetary boundaries: Exploring the safe operating space for humanity. </w:t>
      </w:r>
      <w:r w:rsidRPr="00C34BEC">
        <w:rPr>
          <w:i/>
          <w:iCs/>
        </w:rPr>
        <w:t>Ecology and Society</w:t>
      </w:r>
      <w:r w:rsidRPr="00C34BEC">
        <w:t xml:space="preserve">, </w:t>
      </w:r>
      <w:r w:rsidRPr="00C34BEC">
        <w:rPr>
          <w:i/>
          <w:iCs/>
        </w:rPr>
        <w:t>14</w:t>
      </w:r>
      <w:r w:rsidRPr="00C34BEC">
        <w:t>(2). https://doi.org/10.5751/ES-03180-140232</w:t>
      </w:r>
    </w:p>
    <w:p w14:paraId="3AEE27ED" w14:textId="77777777" w:rsidR="00C34BEC" w:rsidRPr="00C34BEC" w:rsidRDefault="00C34BEC" w:rsidP="00C34BEC">
      <w:r w:rsidRPr="00C34BEC">
        <w:t xml:space="preserve">Rosa, P., Sassanelli, C., &amp; Terzi, S. (2019). Circular Business Models versus circular benefits: An assessment in the waste from Electrical and Electronic Equipments sector. </w:t>
      </w:r>
      <w:r w:rsidRPr="00C34BEC">
        <w:rPr>
          <w:i/>
          <w:iCs/>
        </w:rPr>
        <w:t>Journal of Cleaner Production</w:t>
      </w:r>
      <w:r w:rsidRPr="00C34BEC">
        <w:t xml:space="preserve">, </w:t>
      </w:r>
      <w:r w:rsidRPr="00C34BEC">
        <w:rPr>
          <w:i/>
          <w:iCs/>
        </w:rPr>
        <w:t>231</w:t>
      </w:r>
      <w:r w:rsidRPr="00C34BEC">
        <w:t>, 940–952. https://doi.org/10.1016/j.jclepro.2019.05.310</w:t>
      </w:r>
    </w:p>
    <w:p w14:paraId="5D7E7C92" w14:textId="77777777" w:rsidR="00C34BEC" w:rsidRPr="00C34BEC" w:rsidRDefault="00C34BEC" w:rsidP="00C34BEC">
      <w:r w:rsidRPr="00C34BEC">
        <w:t xml:space="preserve">Rubio, S., Chamorro, A., &amp; Miranda, F. J. (2008). Characteristics of the research on reverse logistics (1995-2005). </w:t>
      </w:r>
      <w:r w:rsidRPr="00C34BEC">
        <w:rPr>
          <w:i/>
          <w:iCs/>
        </w:rPr>
        <w:t>International Journal of Production Research</w:t>
      </w:r>
      <w:r w:rsidRPr="00C34BEC">
        <w:t xml:space="preserve">, </w:t>
      </w:r>
      <w:r w:rsidRPr="00C34BEC">
        <w:rPr>
          <w:i/>
          <w:iCs/>
        </w:rPr>
        <w:t>46</w:t>
      </w:r>
      <w:r w:rsidRPr="00C34BEC">
        <w:t>(4), 1099–1120. https://doi.org/10.1080/00207540600943977</w:t>
      </w:r>
    </w:p>
    <w:p w14:paraId="587DE632" w14:textId="77777777" w:rsidR="00C34BEC" w:rsidRPr="00C34BEC" w:rsidRDefault="00C34BEC" w:rsidP="00C34BEC">
      <w:r w:rsidRPr="00C34BEC">
        <w:t xml:space="preserve">Saidani, M., Yannou, B., Leroy, Y., Cluzel, F., &amp; Kendall, A. (2019). A taxonomy of circular economy indicators. In </w:t>
      </w:r>
      <w:r w:rsidRPr="00C34BEC">
        <w:rPr>
          <w:i/>
          <w:iCs/>
        </w:rPr>
        <w:t>Journal of Cleaner Production</w:t>
      </w:r>
      <w:r w:rsidRPr="00C34BEC">
        <w:t>. https://doi.org/10.1016/j.jclepro.2018.10.014</w:t>
      </w:r>
    </w:p>
    <w:p w14:paraId="70F50159" w14:textId="77777777" w:rsidR="00C34BEC" w:rsidRPr="00C34BEC" w:rsidRDefault="00C34BEC" w:rsidP="00C34BEC">
      <w:r w:rsidRPr="00C34BEC">
        <w:t xml:space="preserve">Saltelli, A., Benini, L., Funtowicz, S., Giampietro, M., Kaiser, M., Reinert, E., &amp; van der Sluijs, J. P. (2020). The technique is never neutral. How methodological choices condition the generation of narratives for sustainability. </w:t>
      </w:r>
      <w:r w:rsidRPr="00C34BEC">
        <w:rPr>
          <w:i/>
          <w:iCs/>
        </w:rPr>
        <w:t>Environmental Science and Policy</w:t>
      </w:r>
      <w:r w:rsidRPr="00C34BEC">
        <w:t xml:space="preserve">, </w:t>
      </w:r>
      <w:r w:rsidRPr="00C34BEC">
        <w:rPr>
          <w:i/>
          <w:iCs/>
        </w:rPr>
        <w:t>106</w:t>
      </w:r>
      <w:r w:rsidRPr="00C34BEC">
        <w:t>(January), 87–98. https://doi.org/10.1016/j.envsci.2020.01.008</w:t>
      </w:r>
    </w:p>
    <w:p w14:paraId="0241B6D6" w14:textId="77777777" w:rsidR="00C34BEC" w:rsidRPr="00C34BEC" w:rsidRDefault="00C34BEC" w:rsidP="00C34BEC">
      <w:r w:rsidRPr="00C34BEC">
        <w:rPr>
          <w:lang w:val="it-IT"/>
        </w:rPr>
        <w:t xml:space="preserve">Sassanelli, C., Rosa, P., Rocca, R., &amp; Terzi, S. (2019). </w:t>
      </w:r>
      <w:r w:rsidRPr="00C34BEC">
        <w:t xml:space="preserve">Circular economy performance assessment methods: A systematic literature review. </w:t>
      </w:r>
      <w:r w:rsidRPr="00C34BEC">
        <w:rPr>
          <w:i/>
          <w:iCs/>
        </w:rPr>
        <w:t>Journal of Cleaner Production</w:t>
      </w:r>
      <w:r w:rsidRPr="00C34BEC">
        <w:t xml:space="preserve">, </w:t>
      </w:r>
      <w:r w:rsidRPr="00C34BEC">
        <w:rPr>
          <w:i/>
          <w:iCs/>
        </w:rPr>
        <w:t>229</w:t>
      </w:r>
      <w:r w:rsidRPr="00C34BEC">
        <w:t>, 440–453. https://doi.org/10.1016/j.jclepro.2019.05.019</w:t>
      </w:r>
    </w:p>
    <w:p w14:paraId="2E0FDAD4" w14:textId="722846DF" w:rsidR="00C34BEC" w:rsidRPr="00C34BEC" w:rsidRDefault="00C34BEC" w:rsidP="00C34BEC">
      <w:r w:rsidRPr="00C34BEC">
        <w:t xml:space="preserve">Sassanelli, C., Rossi, M., Pezzotta, G., Pacheco, D. A. D. J., &amp; Terzi, S. (2019). Defining lean product service systems features and research trends through a systematic literature </w:t>
      </w:r>
      <w:r w:rsidR="00F07293" w:rsidRPr="00C34BEC">
        <w:t>review.</w:t>
      </w:r>
      <w:r w:rsidRPr="00C34BEC">
        <w:t xml:space="preserve"> </w:t>
      </w:r>
      <w:r w:rsidRPr="00C34BEC">
        <w:rPr>
          <w:i/>
          <w:iCs/>
        </w:rPr>
        <w:t>International Journal of Product Lifecycle Management</w:t>
      </w:r>
      <w:r w:rsidRPr="00C34BEC">
        <w:t xml:space="preserve">, </w:t>
      </w:r>
      <w:r w:rsidRPr="00C34BEC">
        <w:rPr>
          <w:i/>
          <w:iCs/>
        </w:rPr>
        <w:t>12</w:t>
      </w:r>
      <w:r w:rsidRPr="00C34BEC">
        <w:t>(1), 37–61.</w:t>
      </w:r>
    </w:p>
    <w:p w14:paraId="314ABB81" w14:textId="77777777" w:rsidR="00C34BEC" w:rsidRPr="00C34BEC" w:rsidRDefault="00C34BEC" w:rsidP="00C34BEC">
      <w:r w:rsidRPr="00C34BEC">
        <w:t xml:space="preserve">Sassanelli, C., Urbinati, A., Rosa, P., Chiaroni, D., &amp; Terzi, S. (2020). Addressing circular economy through design for X approaches: A systematic literature review. </w:t>
      </w:r>
      <w:r w:rsidRPr="00C34BEC">
        <w:rPr>
          <w:i/>
          <w:iCs/>
        </w:rPr>
        <w:t>Computers in Industry</w:t>
      </w:r>
      <w:r w:rsidRPr="00C34BEC">
        <w:t xml:space="preserve">, </w:t>
      </w:r>
      <w:r w:rsidRPr="00C34BEC">
        <w:rPr>
          <w:i/>
          <w:iCs/>
        </w:rPr>
        <w:t>120</w:t>
      </w:r>
      <w:r w:rsidRPr="00C34BEC">
        <w:t>, 103245. https://doi.org/10.1016/j.compind.2020.103245</w:t>
      </w:r>
    </w:p>
    <w:p w14:paraId="1B080F18" w14:textId="77777777" w:rsidR="00C34BEC" w:rsidRPr="00C34BEC" w:rsidRDefault="00C34BEC" w:rsidP="00C34BEC">
      <w:r w:rsidRPr="00C34BEC">
        <w:lastRenderedPageBreak/>
        <w:t xml:space="preserve">Sehnem, S., Vazquez-Brust, D., Pereira, S. C. F., &amp; Campos, L. M. S. (2019). Circular economy: benefits, impacts and overlapping. </w:t>
      </w:r>
      <w:r w:rsidRPr="00C34BEC">
        <w:rPr>
          <w:i/>
          <w:iCs/>
        </w:rPr>
        <w:t>Supply Chain Management</w:t>
      </w:r>
      <w:r w:rsidRPr="00C34BEC">
        <w:t xml:space="preserve">, </w:t>
      </w:r>
      <w:r w:rsidRPr="00C34BEC">
        <w:rPr>
          <w:i/>
          <w:iCs/>
        </w:rPr>
        <w:t>24</w:t>
      </w:r>
      <w:r w:rsidRPr="00C34BEC">
        <w:t>(6), 784–804. https://doi.org/10.1108/SCM-06-2018-0213</w:t>
      </w:r>
    </w:p>
    <w:p w14:paraId="1F37CD49" w14:textId="77777777" w:rsidR="00C34BEC" w:rsidRPr="00C34BEC" w:rsidRDefault="00C34BEC" w:rsidP="00C34BEC">
      <w:r w:rsidRPr="00C34BEC">
        <w:t xml:space="preserve">Sgarbossa, F., &amp; Russo, I. (2017). A proactive model in sustainable food supply chain: Insight from a case study. </w:t>
      </w:r>
      <w:r w:rsidRPr="00C34BEC">
        <w:rPr>
          <w:i/>
          <w:iCs/>
        </w:rPr>
        <w:t>International Journal of Production Economics</w:t>
      </w:r>
      <w:r w:rsidRPr="00C34BEC">
        <w:t xml:space="preserve">, </w:t>
      </w:r>
      <w:r w:rsidRPr="00C34BEC">
        <w:rPr>
          <w:i/>
          <w:iCs/>
        </w:rPr>
        <w:t>183</w:t>
      </w:r>
      <w:r w:rsidRPr="00C34BEC">
        <w:t>(2017), 596–606. https://doi.org/10.1016/j.ijpe.2016.07.022</w:t>
      </w:r>
    </w:p>
    <w:p w14:paraId="3ACB1A86" w14:textId="77777777" w:rsidR="00C34BEC" w:rsidRPr="00C34BEC" w:rsidRDefault="00C34BEC" w:rsidP="00C34BEC">
      <w:r w:rsidRPr="00C34BEC">
        <w:t xml:space="preserve">Shankar, R., Bhattacharyya, S., &amp; Choudhary, A. (2018). A decision model for a strategic closed-loop supply chain to reclaim End-of-Life Vehicles. </w:t>
      </w:r>
      <w:r w:rsidRPr="00C34BEC">
        <w:rPr>
          <w:i/>
          <w:iCs/>
        </w:rPr>
        <w:t>International Journal of Production Economics</w:t>
      </w:r>
      <w:r w:rsidRPr="00C34BEC">
        <w:t xml:space="preserve">, </w:t>
      </w:r>
      <w:r w:rsidRPr="00C34BEC">
        <w:rPr>
          <w:i/>
          <w:iCs/>
        </w:rPr>
        <w:t>195</w:t>
      </w:r>
      <w:r w:rsidRPr="00C34BEC">
        <w:t>(October 2017), 273–286. https://doi.org/10.1016/j.ijpe.2017.10.005</w:t>
      </w:r>
    </w:p>
    <w:p w14:paraId="1CC55894" w14:textId="77777777" w:rsidR="00C34BEC" w:rsidRPr="00C34BEC" w:rsidRDefault="00C34BEC" w:rsidP="00C34BEC">
      <w:r w:rsidRPr="00C34BEC">
        <w:t xml:space="preserve">Stewart, R., &amp; Niero, M. (2018). Circular economy in corporate sustainability strategies: A review of corporate sustainability reports in the fast-moving consumer goods sector. </w:t>
      </w:r>
      <w:r w:rsidRPr="00C34BEC">
        <w:rPr>
          <w:i/>
          <w:iCs/>
        </w:rPr>
        <w:t>Business Strategy and the Environment</w:t>
      </w:r>
      <w:r w:rsidRPr="00C34BEC">
        <w:t xml:space="preserve">, </w:t>
      </w:r>
      <w:r w:rsidRPr="00C34BEC">
        <w:rPr>
          <w:i/>
          <w:iCs/>
        </w:rPr>
        <w:t>27</w:t>
      </w:r>
      <w:r w:rsidRPr="00C34BEC">
        <w:t>(7), 1005–1022. https://doi.org/10.1002/bse.2048</w:t>
      </w:r>
    </w:p>
    <w:p w14:paraId="59E3EDB2" w14:textId="77777777" w:rsidR="00C34BEC" w:rsidRPr="00C34BEC" w:rsidRDefault="00C34BEC" w:rsidP="00C34BEC">
      <w:r w:rsidRPr="00C34BEC">
        <w:t xml:space="preserve">Taleizadeh, A. A., Haghighi, F., &amp; Niaki, S. T. A. (2019). Modeling and solving a sustainable closed loop supply chain problem with pricing decisions and discounts on returned products. </w:t>
      </w:r>
      <w:r w:rsidRPr="00C34BEC">
        <w:rPr>
          <w:i/>
          <w:iCs/>
        </w:rPr>
        <w:t>Journal of Cleaner Production</w:t>
      </w:r>
      <w:r w:rsidRPr="00C34BEC">
        <w:t xml:space="preserve">, </w:t>
      </w:r>
      <w:r w:rsidRPr="00C34BEC">
        <w:rPr>
          <w:i/>
          <w:iCs/>
        </w:rPr>
        <w:t>207</w:t>
      </w:r>
      <w:r w:rsidRPr="00C34BEC">
        <w:t>, 163–181. https://doi.org/10.1016/j.jclepro.2018.09.198</w:t>
      </w:r>
    </w:p>
    <w:p w14:paraId="1822ADE4" w14:textId="77777777" w:rsidR="00C34BEC" w:rsidRPr="00C34BEC" w:rsidRDefault="00C34BEC" w:rsidP="00C34BEC">
      <w:r w:rsidRPr="00C34BEC">
        <w:t xml:space="preserve">Tsoulfas, G. T., Pappis, C. P., &amp; Minner, S. (2002). An environmental analysis of the reverse supply chain of SLI batteries. </w:t>
      </w:r>
      <w:r w:rsidRPr="00C34BEC">
        <w:rPr>
          <w:i/>
          <w:iCs/>
        </w:rPr>
        <w:t>Resources, Conservation and Recycling</w:t>
      </w:r>
      <w:r w:rsidRPr="00C34BEC">
        <w:t xml:space="preserve">, </w:t>
      </w:r>
      <w:r w:rsidRPr="00C34BEC">
        <w:rPr>
          <w:i/>
          <w:iCs/>
        </w:rPr>
        <w:t>36</w:t>
      </w:r>
      <w:r w:rsidRPr="00C34BEC">
        <w:t>(2), 135–154. https://doi.org/10.1016/S0921-3449(02)00016-2</w:t>
      </w:r>
    </w:p>
    <w:p w14:paraId="0575D0B5" w14:textId="77777777" w:rsidR="00C34BEC" w:rsidRPr="00C34BEC" w:rsidRDefault="00C34BEC" w:rsidP="00C34BEC">
      <w:r w:rsidRPr="00C34BEC">
        <w:t xml:space="preserve">Tukker, A. (2015). Product services for a resource-efficient and circular economy - A review. </w:t>
      </w:r>
      <w:r w:rsidRPr="00C34BEC">
        <w:rPr>
          <w:i/>
          <w:iCs/>
        </w:rPr>
        <w:t>Journal of Cleaner Production</w:t>
      </w:r>
      <w:r w:rsidRPr="00C34BEC">
        <w:t xml:space="preserve">, </w:t>
      </w:r>
      <w:r w:rsidRPr="00C34BEC">
        <w:rPr>
          <w:i/>
          <w:iCs/>
        </w:rPr>
        <w:t>97</w:t>
      </w:r>
      <w:r w:rsidRPr="00C34BEC">
        <w:t>, 76–91. https://doi.org/10.1016/j.jclepro.2013.11.049</w:t>
      </w:r>
    </w:p>
    <w:p w14:paraId="13D4712B" w14:textId="77777777" w:rsidR="00C34BEC" w:rsidRPr="00C34BEC" w:rsidRDefault="00C34BEC" w:rsidP="00C34BEC">
      <w:r w:rsidRPr="00C34BEC">
        <w:t xml:space="preserve">Vinante, C., Sacco, P., Orzes, G., &amp; Borgianni, Y. (2021). Circular economy metrics: Literature review and company-level classification framework. </w:t>
      </w:r>
      <w:r w:rsidRPr="00C34BEC">
        <w:rPr>
          <w:i/>
          <w:iCs/>
        </w:rPr>
        <w:t>Journal of Cleaner Production</w:t>
      </w:r>
      <w:r w:rsidRPr="00C34BEC">
        <w:t xml:space="preserve">, </w:t>
      </w:r>
      <w:r w:rsidRPr="00C34BEC">
        <w:rPr>
          <w:i/>
          <w:iCs/>
        </w:rPr>
        <w:t>288</w:t>
      </w:r>
      <w:r w:rsidRPr="00C34BEC">
        <w:t>, 125090. https://doi.org/10.1016/j.jclepro.2020.125090</w:t>
      </w:r>
    </w:p>
    <w:p w14:paraId="5806480D" w14:textId="77777777" w:rsidR="00C34BEC" w:rsidRPr="00C34BEC" w:rsidRDefault="00C34BEC" w:rsidP="00C34BEC">
      <w:r w:rsidRPr="00C34BEC">
        <w:t xml:space="preserve">Wahab, D. A., Blanco-Davis, E., Ariffin, A. K., &amp; Wang, J. (2018). A review on the applicability of remanufacturing in extending the life cycle of marine or offshore components and structures. </w:t>
      </w:r>
      <w:r w:rsidRPr="00C34BEC">
        <w:rPr>
          <w:i/>
          <w:iCs/>
        </w:rPr>
        <w:t>Ocean Engineering</w:t>
      </w:r>
      <w:r w:rsidRPr="00C34BEC">
        <w:t xml:space="preserve">, </w:t>
      </w:r>
      <w:r w:rsidRPr="00C34BEC">
        <w:rPr>
          <w:i/>
          <w:iCs/>
        </w:rPr>
        <w:t>169</w:t>
      </w:r>
      <w:r w:rsidRPr="00C34BEC">
        <w:t>(March), 125–133. https://doi.org/10.1016/j.oceaneng.2018.08.046</w:t>
      </w:r>
    </w:p>
    <w:p w14:paraId="0406F4DE" w14:textId="77777777" w:rsidR="00C34BEC" w:rsidRPr="00C34BEC" w:rsidRDefault="00C34BEC" w:rsidP="00C34BEC">
      <w:r w:rsidRPr="00C34BEC">
        <w:t xml:space="preserve">Walker, A. M., Opferkuch, K., Lindgreen, E. R., Simboli, A., Vermeulen, W. J. V., &amp; Raggi, A. (2021). Assessing the social sustainability of circular economy practices: industry perspectives from Italy and the Netherlands. </w:t>
      </w:r>
      <w:r w:rsidRPr="00C34BEC">
        <w:rPr>
          <w:i/>
          <w:iCs/>
        </w:rPr>
        <w:t>Sustainable Production and Consumption</w:t>
      </w:r>
      <w:r w:rsidRPr="00C34BEC">
        <w:t xml:space="preserve">, </w:t>
      </w:r>
      <w:r w:rsidRPr="00C34BEC">
        <w:rPr>
          <w:i/>
          <w:iCs/>
        </w:rPr>
        <w:t>27</w:t>
      </w:r>
      <w:r w:rsidRPr="00C34BEC">
        <w:t>, 831–844. https://doi.org/10.1016/j.spc.2021.01.030</w:t>
      </w:r>
    </w:p>
    <w:p w14:paraId="19EC8978" w14:textId="77777777" w:rsidR="00C34BEC" w:rsidRPr="00C34BEC" w:rsidRDefault="00C34BEC" w:rsidP="00C34BEC">
      <w:r w:rsidRPr="00F00FB8">
        <w:lastRenderedPageBreak/>
        <w:t xml:space="preserve">Walker, A. M., Vermeulen, W. J. V., Simboli, A., &amp; Raggi, A. (2021). </w:t>
      </w:r>
      <w:r w:rsidRPr="00C34BEC">
        <w:t xml:space="preserve">Sustainability assessment in circular inter-firm networks: An integrated framework of industrial ecology and circular supply chain management approaches. </w:t>
      </w:r>
      <w:r w:rsidRPr="00C34BEC">
        <w:rPr>
          <w:i/>
          <w:iCs/>
        </w:rPr>
        <w:t>Journal of Cleaner Production</w:t>
      </w:r>
      <w:r w:rsidRPr="00C34BEC">
        <w:t xml:space="preserve">, </w:t>
      </w:r>
      <w:r w:rsidRPr="00C34BEC">
        <w:rPr>
          <w:i/>
          <w:iCs/>
        </w:rPr>
        <w:t>286</w:t>
      </w:r>
      <w:r w:rsidRPr="00C34BEC">
        <w:t>, 125457. https://doi.org/10.1016/j.jclepro.2020.125457</w:t>
      </w:r>
    </w:p>
    <w:p w14:paraId="22628980" w14:textId="77777777" w:rsidR="00C34BEC" w:rsidRPr="00C34BEC" w:rsidRDefault="00C34BEC" w:rsidP="00C34BEC">
      <w:r w:rsidRPr="00C34BEC">
        <w:t xml:space="preserve">WBCSD. (2019). </w:t>
      </w:r>
      <w:r w:rsidRPr="00C34BEC">
        <w:rPr>
          <w:i/>
          <w:iCs/>
        </w:rPr>
        <w:t>Circular Transition Indicators</w:t>
      </w:r>
      <w:r w:rsidRPr="00C34BEC">
        <w:t xml:space="preserve">. </w:t>
      </w:r>
      <w:r w:rsidRPr="00C34BEC">
        <w:rPr>
          <w:i/>
          <w:iCs/>
        </w:rPr>
        <w:t>July</w:t>
      </w:r>
      <w:r w:rsidRPr="00C34BEC">
        <w:t>, 40. https://www.wbcsd.org/Programs/Circular-Economy/Factor-10/Resources/Circular-Transition-Indicators</w:t>
      </w:r>
    </w:p>
    <w:p w14:paraId="3941C339" w14:textId="77777777" w:rsidR="00C34BEC" w:rsidRPr="00C34BEC" w:rsidRDefault="00C34BEC" w:rsidP="00C34BEC">
      <w:r w:rsidRPr="00C34BEC">
        <w:t xml:space="preserve">Webster, K. (2017). </w:t>
      </w:r>
      <w:r w:rsidRPr="00C34BEC">
        <w:rPr>
          <w:i/>
          <w:iCs/>
        </w:rPr>
        <w:t>The circular economy: A wealth of flows</w:t>
      </w:r>
      <w:r w:rsidRPr="00C34BEC">
        <w:t xml:space="preserve"> (E. M. F. Publishing (ed.)).</w:t>
      </w:r>
    </w:p>
    <w:p w14:paraId="2AEB45BD" w14:textId="77777777" w:rsidR="00C34BEC" w:rsidRPr="00C34BEC" w:rsidRDefault="00C34BEC" w:rsidP="00C34BEC">
      <w:r w:rsidRPr="00C34BEC">
        <w:rPr>
          <w:lang w:val="it-IT"/>
        </w:rPr>
        <w:t xml:space="preserve">Wei, F., Liu, S., Yin, L., Li, W., &amp; Yu, Z. (2014). </w:t>
      </w:r>
      <w:r w:rsidRPr="00C34BEC">
        <w:t xml:space="preserve">Research on performance evaluation system for green supply chain management based on the context of recycled economy - Taking Guangxi’s manufacturing industry as example. </w:t>
      </w:r>
      <w:r w:rsidRPr="00C34BEC">
        <w:rPr>
          <w:i/>
          <w:iCs/>
        </w:rPr>
        <w:t>Journal of Grey System</w:t>
      </w:r>
      <w:r w:rsidRPr="00C34BEC">
        <w:t xml:space="preserve">, </w:t>
      </w:r>
      <w:r w:rsidRPr="00C34BEC">
        <w:rPr>
          <w:i/>
          <w:iCs/>
        </w:rPr>
        <w:t>26</w:t>
      </w:r>
      <w:r w:rsidRPr="00C34BEC">
        <w:t>(2), 177–187.</w:t>
      </w:r>
    </w:p>
    <w:p w14:paraId="1EDF29F2" w14:textId="77777777" w:rsidR="00C34BEC" w:rsidRPr="00C34BEC" w:rsidRDefault="00C34BEC" w:rsidP="00C34BEC">
      <w:r w:rsidRPr="00C34BEC">
        <w:t xml:space="preserve">Zhu, Q., Geng, Y., &amp; Lai, K. hung. (2011). Environmental supply chain cooperation and its effect on the circular economy practice-performance relationship among Chinese manufacturers. </w:t>
      </w:r>
      <w:r w:rsidRPr="00C34BEC">
        <w:rPr>
          <w:i/>
          <w:iCs/>
        </w:rPr>
        <w:t>Journal of Industrial Ecology</w:t>
      </w:r>
      <w:r w:rsidRPr="00C34BEC">
        <w:t xml:space="preserve">, </w:t>
      </w:r>
      <w:r w:rsidRPr="00C34BEC">
        <w:rPr>
          <w:i/>
          <w:iCs/>
        </w:rPr>
        <w:t>15</w:t>
      </w:r>
      <w:r w:rsidRPr="00C34BEC">
        <w:t>(3), 405–419. https://doi.org/10.1111/j.1530-9290.2011.00329.x</w:t>
      </w:r>
    </w:p>
    <w:p w14:paraId="7258EAEC" w14:textId="77777777" w:rsidR="00C34BEC" w:rsidRPr="00C34BEC" w:rsidRDefault="00C34BEC" w:rsidP="00C34BEC">
      <w:r w:rsidRPr="00C34BEC">
        <w:t xml:space="preserve">Zink, T., &amp; Geyer, R. (2017). Circular Economy Rebound. </w:t>
      </w:r>
      <w:r w:rsidRPr="00C34BEC">
        <w:rPr>
          <w:i/>
          <w:iCs/>
        </w:rPr>
        <w:t>Journal of Industrial Ecology</w:t>
      </w:r>
      <w:r w:rsidRPr="00C34BEC">
        <w:t xml:space="preserve">, </w:t>
      </w:r>
      <w:r w:rsidRPr="00C34BEC">
        <w:rPr>
          <w:i/>
          <w:iCs/>
        </w:rPr>
        <w:t>21</w:t>
      </w:r>
      <w:r w:rsidRPr="00C34BEC">
        <w:t>(3), 593–602. https://doi.org/10.1111/jiec.12545</w:t>
      </w:r>
    </w:p>
    <w:p w14:paraId="583960E9" w14:textId="77777777" w:rsidR="00C34BEC" w:rsidRPr="00C34BEC" w:rsidRDefault="00C34BEC" w:rsidP="00C34BEC">
      <w:r w:rsidRPr="00C34BEC">
        <w:fldChar w:fldCharType="end"/>
      </w:r>
    </w:p>
    <w:p w14:paraId="17FBADF0" w14:textId="77777777" w:rsidR="00C34BEC" w:rsidRPr="00C34BEC" w:rsidRDefault="00C34BEC" w:rsidP="00C34BEC"/>
    <w:sectPr w:rsidR="00C34BEC" w:rsidRPr="00C34BEC" w:rsidSect="00DB1C55">
      <w:pgSz w:w="11906" w:h="16838"/>
      <w:pgMar w:top="1418" w:right="1418" w:bottom="1372"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1C86A" w14:textId="77777777" w:rsidR="007A1A80" w:rsidRDefault="007A1A80" w:rsidP="002F7336">
      <w:r>
        <w:separator/>
      </w:r>
    </w:p>
  </w:endnote>
  <w:endnote w:type="continuationSeparator" w:id="0">
    <w:p w14:paraId="6843E48E" w14:textId="77777777" w:rsidR="007A1A80" w:rsidRDefault="007A1A80" w:rsidP="002F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1053026"/>
      <w:docPartObj>
        <w:docPartGallery w:val="Page Numbers (Bottom of Page)"/>
        <w:docPartUnique/>
      </w:docPartObj>
    </w:sdtPr>
    <w:sdtEndPr>
      <w:rPr>
        <w:noProof/>
      </w:rPr>
    </w:sdtEndPr>
    <w:sdtContent>
      <w:p w14:paraId="630F2F95" w14:textId="5566AD78" w:rsidR="00C80BFD" w:rsidRDefault="00C80BFD">
        <w:pPr>
          <w:pStyle w:val="Footer"/>
          <w:jc w:val="center"/>
        </w:pPr>
        <w:r>
          <w:fldChar w:fldCharType="begin"/>
        </w:r>
        <w:r>
          <w:instrText xml:space="preserve"> PAGE   \* MERGEFORMAT </w:instrText>
        </w:r>
        <w:r>
          <w:fldChar w:fldCharType="separate"/>
        </w:r>
        <w:r w:rsidR="007C6B10">
          <w:rPr>
            <w:noProof/>
          </w:rPr>
          <w:t>180</w:t>
        </w:r>
        <w:r>
          <w:rPr>
            <w:noProof/>
          </w:rPr>
          <w:fldChar w:fldCharType="end"/>
        </w:r>
      </w:p>
    </w:sdtContent>
  </w:sdt>
  <w:p w14:paraId="7F985CED" w14:textId="77777777" w:rsidR="00C80BFD" w:rsidRDefault="00C80BF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2696642"/>
      <w:docPartObj>
        <w:docPartGallery w:val="Page Numbers (Bottom of Page)"/>
        <w:docPartUnique/>
      </w:docPartObj>
    </w:sdtPr>
    <w:sdtEndPr>
      <w:rPr>
        <w:noProof/>
      </w:rPr>
    </w:sdtEndPr>
    <w:sdtContent>
      <w:p w14:paraId="646DFDE0" w14:textId="3F4501D4" w:rsidR="00C80BFD" w:rsidRDefault="00C80BFD">
        <w:pPr>
          <w:pStyle w:val="Footer"/>
          <w:jc w:val="center"/>
        </w:pPr>
        <w:r>
          <w:fldChar w:fldCharType="begin"/>
        </w:r>
        <w:r>
          <w:instrText xml:space="preserve"> PAGE   \* MERGEFORMAT </w:instrText>
        </w:r>
        <w:r>
          <w:fldChar w:fldCharType="separate"/>
        </w:r>
        <w:r w:rsidR="007C6B10">
          <w:rPr>
            <w:noProof/>
          </w:rPr>
          <w:t>149</w:t>
        </w:r>
        <w:r>
          <w:rPr>
            <w:noProof/>
          </w:rPr>
          <w:fldChar w:fldCharType="end"/>
        </w:r>
      </w:p>
    </w:sdtContent>
  </w:sdt>
  <w:p w14:paraId="5F3DE458" w14:textId="77777777" w:rsidR="00C80BFD" w:rsidRDefault="00C80BFD" w:rsidP="002F733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12238"/>
      <w:docPartObj>
        <w:docPartGallery w:val="Page Numbers (Bottom of Page)"/>
        <w:docPartUnique/>
      </w:docPartObj>
    </w:sdtPr>
    <w:sdtEndPr>
      <w:rPr>
        <w:noProof/>
      </w:rPr>
    </w:sdtEndPr>
    <w:sdtContent>
      <w:p w14:paraId="389E5AEF" w14:textId="0364D583" w:rsidR="00C80BFD" w:rsidRDefault="00C80BFD" w:rsidP="001668D7">
        <w:pPr>
          <w:pStyle w:val="Footer"/>
          <w:jc w:val="center"/>
        </w:pPr>
        <w:r>
          <w:fldChar w:fldCharType="begin"/>
        </w:r>
        <w:r>
          <w:instrText xml:space="preserve"> PAGE   \* MERGEFORMAT </w:instrText>
        </w:r>
        <w:r>
          <w:fldChar w:fldCharType="separate"/>
        </w:r>
        <w:r w:rsidR="007C6B10">
          <w:rPr>
            <w:noProof/>
          </w:rPr>
          <w:t>181</w:t>
        </w:r>
        <w:r>
          <w:rPr>
            <w:noProof/>
          </w:rPr>
          <w:fldChar w:fldCharType="end"/>
        </w:r>
      </w:p>
    </w:sdtContent>
  </w:sdt>
  <w:p w14:paraId="2E1354B9" w14:textId="77777777" w:rsidR="00C80BFD" w:rsidRDefault="00C80B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642298"/>
      <w:docPartObj>
        <w:docPartGallery w:val="Page Numbers (Bottom of Page)"/>
        <w:docPartUnique/>
      </w:docPartObj>
    </w:sdtPr>
    <w:sdtEndPr>
      <w:rPr>
        <w:noProof/>
      </w:rPr>
    </w:sdtEndPr>
    <w:sdtContent>
      <w:p w14:paraId="6066AF32" w14:textId="2A694C48" w:rsidR="00C80BFD" w:rsidRDefault="00C80BFD">
        <w:pPr>
          <w:pStyle w:val="Footer"/>
          <w:jc w:val="center"/>
        </w:pPr>
        <w:r>
          <w:fldChar w:fldCharType="begin"/>
        </w:r>
        <w:r>
          <w:instrText xml:space="preserve"> PAGE   \* MERGEFORMAT </w:instrText>
        </w:r>
        <w:r>
          <w:fldChar w:fldCharType="separate"/>
        </w:r>
        <w:r w:rsidR="007C6B10">
          <w:rPr>
            <w:noProof/>
          </w:rPr>
          <w:t>iii</w:t>
        </w:r>
        <w:r>
          <w:rPr>
            <w:noProof/>
          </w:rPr>
          <w:fldChar w:fldCharType="end"/>
        </w:r>
      </w:p>
    </w:sdtContent>
  </w:sdt>
  <w:p w14:paraId="3CA3F923" w14:textId="77777777" w:rsidR="00C80BFD" w:rsidRDefault="00C80B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477335"/>
      <w:docPartObj>
        <w:docPartGallery w:val="Page Numbers (Bottom of Page)"/>
        <w:docPartUnique/>
      </w:docPartObj>
    </w:sdtPr>
    <w:sdtEndPr>
      <w:rPr>
        <w:noProof/>
      </w:rPr>
    </w:sdtEndPr>
    <w:sdtContent>
      <w:p w14:paraId="326DC4F8" w14:textId="0704357C" w:rsidR="00C80BFD" w:rsidRDefault="00C80BFD">
        <w:pPr>
          <w:pStyle w:val="Footer"/>
          <w:jc w:val="center"/>
        </w:pPr>
        <w:r>
          <w:fldChar w:fldCharType="begin"/>
        </w:r>
        <w:r>
          <w:instrText xml:space="preserve"> PAGE   \* MERGEFORMAT </w:instrText>
        </w:r>
        <w:r>
          <w:fldChar w:fldCharType="separate"/>
        </w:r>
        <w:r w:rsidR="007C6B10">
          <w:rPr>
            <w:noProof/>
          </w:rPr>
          <w:t>5</w:t>
        </w:r>
        <w:r>
          <w:rPr>
            <w:noProof/>
          </w:rPr>
          <w:fldChar w:fldCharType="end"/>
        </w:r>
      </w:p>
    </w:sdtContent>
  </w:sdt>
  <w:p w14:paraId="13B264D7" w14:textId="77777777" w:rsidR="00C80BFD" w:rsidRDefault="00C80BFD" w:rsidP="002F73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579615"/>
      <w:docPartObj>
        <w:docPartGallery w:val="Page Numbers (Bottom of Page)"/>
        <w:docPartUnique/>
      </w:docPartObj>
    </w:sdtPr>
    <w:sdtEndPr>
      <w:rPr>
        <w:noProof/>
      </w:rPr>
    </w:sdtEndPr>
    <w:sdtContent>
      <w:p w14:paraId="1295EBDC" w14:textId="2D3FDE71" w:rsidR="00C80BFD" w:rsidRDefault="00C80BFD">
        <w:pPr>
          <w:pStyle w:val="Footer"/>
          <w:jc w:val="center"/>
        </w:pPr>
        <w:r>
          <w:fldChar w:fldCharType="begin"/>
        </w:r>
        <w:r>
          <w:instrText xml:space="preserve"> PAGE   \* MERGEFORMAT </w:instrText>
        </w:r>
        <w:r>
          <w:fldChar w:fldCharType="separate"/>
        </w:r>
        <w:r w:rsidR="007C6B10">
          <w:rPr>
            <w:noProof/>
          </w:rPr>
          <w:t>vi</w:t>
        </w:r>
        <w:r>
          <w:rPr>
            <w:noProof/>
          </w:rPr>
          <w:fldChar w:fldCharType="end"/>
        </w:r>
      </w:p>
    </w:sdtContent>
  </w:sdt>
  <w:p w14:paraId="3F2E72AB" w14:textId="77777777" w:rsidR="00C80BFD" w:rsidRDefault="00C80B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651513"/>
      <w:docPartObj>
        <w:docPartGallery w:val="Page Numbers (Bottom of Page)"/>
        <w:docPartUnique/>
      </w:docPartObj>
    </w:sdtPr>
    <w:sdtEndPr>
      <w:rPr>
        <w:noProof/>
      </w:rPr>
    </w:sdtEndPr>
    <w:sdtContent>
      <w:p w14:paraId="60EBA15D" w14:textId="496C5B57" w:rsidR="00C80BFD" w:rsidRDefault="00C80BFD">
        <w:pPr>
          <w:pStyle w:val="Footer"/>
          <w:jc w:val="center"/>
        </w:pPr>
        <w:r>
          <w:fldChar w:fldCharType="begin"/>
        </w:r>
        <w:r>
          <w:instrText xml:space="preserve"> PAGE   \* MERGEFORMAT </w:instrText>
        </w:r>
        <w:r>
          <w:fldChar w:fldCharType="separate"/>
        </w:r>
        <w:r w:rsidR="007C6B10">
          <w:rPr>
            <w:noProof/>
          </w:rPr>
          <w:t>1</w:t>
        </w:r>
        <w:r>
          <w:rPr>
            <w:noProof/>
          </w:rPr>
          <w:fldChar w:fldCharType="end"/>
        </w:r>
      </w:p>
    </w:sdtContent>
  </w:sdt>
  <w:p w14:paraId="4A9A4A98" w14:textId="77777777" w:rsidR="00C80BFD" w:rsidRDefault="00C80B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884919"/>
      <w:docPartObj>
        <w:docPartGallery w:val="Page Numbers (Bottom of Page)"/>
        <w:docPartUnique/>
      </w:docPartObj>
    </w:sdtPr>
    <w:sdtEndPr>
      <w:rPr>
        <w:noProof/>
      </w:rPr>
    </w:sdtEndPr>
    <w:sdtContent>
      <w:p w14:paraId="09B12A63" w14:textId="197EAD79" w:rsidR="00C80BFD" w:rsidRDefault="00C80BFD">
        <w:pPr>
          <w:pStyle w:val="Footer"/>
          <w:jc w:val="center"/>
        </w:pPr>
        <w:r>
          <w:fldChar w:fldCharType="begin"/>
        </w:r>
        <w:r>
          <w:instrText xml:space="preserve"> PAGE   \* MERGEFORMAT </w:instrText>
        </w:r>
        <w:r>
          <w:fldChar w:fldCharType="separate"/>
        </w:r>
        <w:r w:rsidR="007C6B10">
          <w:rPr>
            <w:noProof/>
          </w:rPr>
          <w:t>21</w:t>
        </w:r>
        <w:r>
          <w:rPr>
            <w:noProof/>
          </w:rPr>
          <w:fldChar w:fldCharType="end"/>
        </w:r>
      </w:p>
    </w:sdtContent>
  </w:sdt>
  <w:p w14:paraId="6ADF3872" w14:textId="77777777" w:rsidR="00C80BFD" w:rsidRDefault="00C80BFD" w:rsidP="002F733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08087"/>
      <w:docPartObj>
        <w:docPartGallery w:val="Page Numbers (Bottom of Page)"/>
        <w:docPartUnique/>
      </w:docPartObj>
    </w:sdtPr>
    <w:sdtEndPr>
      <w:rPr>
        <w:noProof/>
      </w:rPr>
    </w:sdtEndPr>
    <w:sdtContent>
      <w:p w14:paraId="2C165D62" w14:textId="2A8CE756" w:rsidR="00C80BFD" w:rsidRDefault="00C80BFD">
        <w:pPr>
          <w:pStyle w:val="Footer"/>
          <w:jc w:val="center"/>
        </w:pPr>
        <w:r>
          <w:fldChar w:fldCharType="begin"/>
        </w:r>
        <w:r>
          <w:instrText xml:space="preserve"> PAGE   \* MERGEFORMAT </w:instrText>
        </w:r>
        <w:r>
          <w:fldChar w:fldCharType="separate"/>
        </w:r>
        <w:r w:rsidR="007C6B10">
          <w:rPr>
            <w:noProof/>
          </w:rPr>
          <w:t>19</w:t>
        </w:r>
        <w:r>
          <w:rPr>
            <w:noProof/>
          </w:rPr>
          <w:fldChar w:fldCharType="end"/>
        </w:r>
      </w:p>
    </w:sdtContent>
  </w:sdt>
  <w:p w14:paraId="67E2E80E" w14:textId="77777777" w:rsidR="00C80BFD" w:rsidRDefault="00C80B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473227"/>
      <w:docPartObj>
        <w:docPartGallery w:val="Page Numbers (Bottom of Page)"/>
        <w:docPartUnique/>
      </w:docPartObj>
    </w:sdtPr>
    <w:sdtEndPr>
      <w:rPr>
        <w:noProof/>
      </w:rPr>
    </w:sdtEndPr>
    <w:sdtContent>
      <w:p w14:paraId="02CCBAC3" w14:textId="54A128EE" w:rsidR="00C80BFD" w:rsidRDefault="00C80BFD">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14:paraId="6333DA46" w14:textId="77777777" w:rsidR="00C80BFD" w:rsidRDefault="00C80BFD" w:rsidP="002F733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49457"/>
      <w:docPartObj>
        <w:docPartGallery w:val="Page Numbers (Bottom of Page)"/>
        <w:docPartUnique/>
      </w:docPartObj>
    </w:sdtPr>
    <w:sdtEndPr>
      <w:rPr>
        <w:noProof/>
      </w:rPr>
    </w:sdtEndPr>
    <w:sdtContent>
      <w:p w14:paraId="5E1B2EE8" w14:textId="1D9B0F78" w:rsidR="00C80BFD" w:rsidRDefault="00C80BFD">
        <w:pPr>
          <w:pStyle w:val="Footer"/>
          <w:jc w:val="center"/>
        </w:pPr>
        <w:r>
          <w:fldChar w:fldCharType="begin"/>
        </w:r>
        <w:r>
          <w:instrText xml:space="preserve"> PAGE   \* MERGEFORMAT </w:instrText>
        </w:r>
        <w:r>
          <w:fldChar w:fldCharType="separate"/>
        </w:r>
        <w:r w:rsidR="00393D5D">
          <w:rPr>
            <w:noProof/>
          </w:rPr>
          <w:t>27</w:t>
        </w:r>
        <w:r>
          <w:rPr>
            <w:noProof/>
          </w:rPr>
          <w:fldChar w:fldCharType="end"/>
        </w:r>
      </w:p>
    </w:sdtContent>
  </w:sdt>
  <w:p w14:paraId="53E35AA3" w14:textId="77777777" w:rsidR="00C80BFD" w:rsidRDefault="00C80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DC367" w14:textId="77777777" w:rsidR="007A1A80" w:rsidRDefault="007A1A80" w:rsidP="002F7336">
      <w:r>
        <w:separator/>
      </w:r>
    </w:p>
  </w:footnote>
  <w:footnote w:type="continuationSeparator" w:id="0">
    <w:p w14:paraId="457602B6" w14:textId="77777777" w:rsidR="007A1A80" w:rsidRDefault="007A1A80" w:rsidP="002F7336">
      <w:r>
        <w:continuationSeparator/>
      </w:r>
    </w:p>
  </w:footnote>
  <w:footnote w:id="1">
    <w:p w14:paraId="5E530179" w14:textId="77777777" w:rsidR="00C80BFD" w:rsidRPr="00DB00A3" w:rsidRDefault="00C80BFD" w:rsidP="002F7336">
      <w:pPr>
        <w:pStyle w:val="FootnoteText"/>
      </w:pPr>
      <w:r w:rsidRPr="00DB00A3">
        <w:rPr>
          <w:rStyle w:val="FootnoteReference"/>
          <w:vertAlign w:val="baseline"/>
        </w:rPr>
        <w:footnoteRef/>
      </w:r>
      <w:r w:rsidRPr="00DB00A3">
        <w:t xml:space="preserve"> The Global Fortune 500 list (2019 edition) collects the Top-500 international corporations in terms of turnover generated during the 2018 year. It is prepared by the American business journal Fortune.</w:t>
      </w:r>
    </w:p>
  </w:footnote>
  <w:footnote w:id="2">
    <w:p w14:paraId="316C7079" w14:textId="77777777" w:rsidR="00C80BFD" w:rsidRDefault="00C80BFD" w:rsidP="002F7336">
      <w:pPr>
        <w:pStyle w:val="FootnoteText"/>
      </w:pPr>
      <w:r>
        <w:rPr>
          <w:rStyle w:val="FootnoteReference"/>
        </w:rPr>
        <w:footnoteRef/>
      </w:r>
      <w:r>
        <w:t xml:space="preserve"> Ellen MacArthur CE 100 is a global network of companies that lead the transition towards the systemic change of the circular economy (</w:t>
      </w:r>
      <w:r w:rsidRPr="00635E99">
        <w:t>https://www.ellenmacarthurfoundation.org/our-story/our-network</w:t>
      </w:r>
      <w:r>
        <w:t>)</w:t>
      </w:r>
    </w:p>
  </w:footnote>
  <w:footnote w:id="3">
    <w:p w14:paraId="2823B2EB" w14:textId="77777777" w:rsidR="00C80BFD" w:rsidRDefault="00C80BFD" w:rsidP="002F7336">
      <w:pPr>
        <w:pStyle w:val="FootnoteText"/>
      </w:pPr>
      <w:r>
        <w:rPr>
          <w:rStyle w:val="FootnoteReference"/>
        </w:rPr>
        <w:footnoteRef/>
      </w:r>
      <w:r>
        <w:t xml:space="preserve"> CONAI is a private consortium of Italian enterprises that either produce or use packaging. The consortium aims at improving Italian waste management systems, supporting alternative strategies to landfilling, in line with policy directives. </w:t>
      </w:r>
    </w:p>
  </w:footnote>
  <w:footnote w:id="4">
    <w:p w14:paraId="7C93967E" w14:textId="77777777" w:rsidR="00C80BFD" w:rsidRDefault="00C80BFD" w:rsidP="002F7336">
      <w:pPr>
        <w:pStyle w:val="FootnoteText"/>
      </w:pPr>
      <w:r w:rsidRPr="00B074C4">
        <w:rPr>
          <w:rStyle w:val="FootnoteReference"/>
        </w:rPr>
        <w:footnoteRef/>
      </w:r>
      <w:r>
        <w:t xml:space="preserve"> </w:t>
      </w:r>
      <w:r w:rsidRPr="00206919">
        <w:t>https://www.globalreporting.org/standards/</w:t>
      </w:r>
    </w:p>
  </w:footnote>
  <w:footnote w:id="5">
    <w:p w14:paraId="450157A9" w14:textId="77777777" w:rsidR="00C80BFD" w:rsidRDefault="00C80BFD" w:rsidP="002F7336">
      <w:pPr>
        <w:pStyle w:val="FootnoteText"/>
      </w:pPr>
      <w:r w:rsidRPr="00B074C4">
        <w:rPr>
          <w:rStyle w:val="FootnoteReference"/>
        </w:rPr>
        <w:footnoteRef/>
      </w:r>
      <w:r>
        <w:t xml:space="preserve"> The Global Fortune 500 list </w:t>
      </w:r>
      <w:r w:rsidRPr="00811FA4">
        <w:t>(2019 edition)</w:t>
      </w:r>
      <w:r>
        <w:t xml:space="preserve"> </w:t>
      </w:r>
      <w:r w:rsidRPr="00811FA4">
        <w:t>collects the Top-500 international corporations in terms of turnover generated during the 2018 year.</w:t>
      </w:r>
      <w:r>
        <w:t xml:space="preserve"> It is prepared by the American business journal Fortune. </w:t>
      </w:r>
    </w:p>
  </w:footnote>
  <w:footnote w:id="6">
    <w:p w14:paraId="5F8CB9D9" w14:textId="3E13669C" w:rsidR="00C80BFD" w:rsidRDefault="00C80BFD" w:rsidP="002F7336">
      <w:pPr>
        <w:pStyle w:val="FootnoteText"/>
      </w:pPr>
      <w:r w:rsidRPr="00B074C4">
        <w:rPr>
          <w:rStyle w:val="FootnoteReference"/>
        </w:rPr>
        <w:footnoteRef/>
      </w:r>
      <w:r>
        <w:t xml:space="preserve"> </w:t>
      </w:r>
      <w:r w:rsidRPr="00C0388B">
        <w:t>EEA includes EU countries and Iceland, Liechtenstein, and Norway. The list of</w:t>
      </w:r>
      <w:r>
        <w:t xml:space="preserve"> companies was compiled on the 1</w:t>
      </w:r>
      <w:r w:rsidRPr="00C0388B">
        <w:rPr>
          <w:vertAlign w:val="superscript"/>
        </w:rPr>
        <w:t>st</w:t>
      </w:r>
      <w:r>
        <w:t xml:space="preserve"> </w:t>
      </w:r>
      <w:r w:rsidRPr="00C0388B">
        <w:t>of January 2019; it reflects, then, EU membership at that date.</w:t>
      </w:r>
    </w:p>
  </w:footnote>
  <w:footnote w:id="7">
    <w:p w14:paraId="34C2904D" w14:textId="77777777" w:rsidR="00C80BFD" w:rsidRDefault="00C80BFD" w:rsidP="002F7336">
      <w:pPr>
        <w:pStyle w:val="FootnoteText"/>
      </w:pPr>
      <w:r>
        <w:rPr>
          <w:rStyle w:val="FootnoteReference"/>
        </w:rPr>
        <w:footnoteRef/>
      </w:r>
      <w:r>
        <w:t xml:space="preserve"> </w:t>
      </w:r>
      <w:r w:rsidRPr="00745DCF">
        <w:t>All the waves of coding were performed independently by all the authors; a kappa-type measure was employed in order to keep track of disagreements. The few cases of disagreements were dealt with through a collective discussion for reaching consensus.</w:t>
      </w:r>
    </w:p>
  </w:footnote>
  <w:footnote w:id="8">
    <w:p w14:paraId="2726A4FA" w14:textId="77777777" w:rsidR="00C80BFD" w:rsidRDefault="00C80BFD" w:rsidP="002F7336">
      <w:pPr>
        <w:pStyle w:val="FootnoteText"/>
      </w:pPr>
      <w:r w:rsidRPr="00B074C4">
        <w:rPr>
          <w:rStyle w:val="FootnoteReference"/>
        </w:rPr>
        <w:footnoteRef/>
      </w:r>
      <w:r>
        <w:t xml:space="preserve"> </w:t>
      </w:r>
      <w:r w:rsidRPr="00297C58">
        <w:t>https://www.ing.com/Newsroom/News/ING-talks-climate-in-Katowice-at-COP24.htm</w:t>
      </w:r>
    </w:p>
  </w:footnote>
  <w:footnote w:id="9">
    <w:p w14:paraId="6AD4E9F2" w14:textId="702970E8" w:rsidR="00C80BFD" w:rsidRDefault="00C80BFD" w:rsidP="007B56C3">
      <w:pPr>
        <w:pStyle w:val="FootnoteText"/>
      </w:pPr>
      <w:r>
        <w:rPr>
          <w:rStyle w:val="FootnoteReference"/>
        </w:rPr>
        <w:footnoteRef/>
      </w:r>
      <w:r>
        <w:t xml:space="preserve"> C</w:t>
      </w:r>
      <w:r w:rsidRPr="00461CB5">
        <w:t xml:space="preserve">ompanies with medium integration have a higher number of internal CE practices than </w:t>
      </w:r>
      <w:r>
        <w:t xml:space="preserve">companies with high integration. This seems to suggest that companies with some supply chain integration adopt more “easier to implement” </w:t>
      </w:r>
      <w:r w:rsidRPr="00461CB5">
        <w:t>internal CE practices</w:t>
      </w:r>
      <w:r>
        <w:t xml:space="preserve">, and that companies with very high levels of supply chain integration adopt less of those practices and focus on more ambitious CSCs practices. </w:t>
      </w:r>
    </w:p>
  </w:footnote>
  <w:footnote w:id="10">
    <w:p w14:paraId="5242FE46" w14:textId="10056131" w:rsidR="00C80BFD" w:rsidRDefault="00C80BFD" w:rsidP="00EF6017">
      <w:pPr>
        <w:pStyle w:val="FootnoteText"/>
      </w:pPr>
      <w:r>
        <w:rPr>
          <w:rStyle w:val="FootnoteReference"/>
        </w:rPr>
        <w:footnoteRef/>
      </w:r>
      <w:r>
        <w:t xml:space="preserve"> T</w:t>
      </w:r>
      <w:r w:rsidRPr="00EF6017">
        <w:t>he circular economy rebound effect occurs when the impact of secondary production does not replace primary production in the same proportion, and its environmental impacts are increased, not reduced</w:t>
      </w:r>
      <w:r>
        <w:t>.</w:t>
      </w:r>
    </w:p>
  </w:footnote>
  <w:footnote w:id="11">
    <w:p w14:paraId="1093DDD8" w14:textId="77777777" w:rsidR="00C80BFD" w:rsidRDefault="00C80BFD" w:rsidP="002F7336">
      <w:pPr>
        <w:pStyle w:val="FootnoteText"/>
      </w:pPr>
      <w:r>
        <w:rPr>
          <w:rStyle w:val="FootnoteReference"/>
        </w:rPr>
        <w:footnoteRef/>
      </w:r>
      <w:r>
        <w:t xml:space="preserve"> </w:t>
      </w:r>
      <w:r w:rsidRPr="001D6CFF">
        <w:t>https://www.theguardian.com/science/2019/sep/08/producers-keep-sustainable-practices-secret</w:t>
      </w:r>
    </w:p>
  </w:footnote>
  <w:footnote w:id="12">
    <w:p w14:paraId="383F9FCA" w14:textId="77777777" w:rsidR="00C80BFD" w:rsidRPr="00842802" w:rsidRDefault="00C80BFD" w:rsidP="002F7336">
      <w:pPr>
        <w:pStyle w:val="FootnoteText"/>
      </w:pPr>
      <w:r w:rsidRPr="00842802">
        <w:rPr>
          <w:rStyle w:val="Emphasis"/>
          <w:rFonts w:asciiTheme="majorBidi" w:hAnsiTheme="majorBidi"/>
          <w:sz w:val="20"/>
          <w:szCs w:val="20"/>
          <w:vertAlign w:val="baseline"/>
        </w:rPr>
        <w:footnoteRef/>
      </w:r>
      <w:r w:rsidRPr="00842802">
        <w:rPr>
          <w:rStyle w:val="Emphasis"/>
          <w:rFonts w:asciiTheme="majorBidi" w:hAnsiTheme="majorBidi"/>
          <w:sz w:val="20"/>
          <w:szCs w:val="20"/>
          <w:vertAlign w:val="baseline"/>
        </w:rPr>
        <w:t xml:space="preserve"> Four different regressions were run to build the full mediation model by specifying one independent variable at the time.</w:t>
      </w:r>
    </w:p>
  </w:footnote>
  <w:footnote w:id="13">
    <w:p w14:paraId="6236096E" w14:textId="77777777" w:rsidR="00C80BFD" w:rsidRDefault="00C80BFD" w:rsidP="002F7336">
      <w:pPr>
        <w:pStyle w:val="FootnoteText"/>
      </w:pPr>
      <w:r>
        <w:rPr>
          <w:rStyle w:val="FootnoteReference"/>
        </w:rPr>
        <w:footnoteRef/>
      </w:r>
      <w:r>
        <w:t xml:space="preserve"> CE100 is a programme from the Ellen </w:t>
      </w:r>
      <w:proofErr w:type="gramStart"/>
      <w:r>
        <w:t>Macarthur</w:t>
      </w:r>
      <w:proofErr w:type="gramEnd"/>
      <w:r>
        <w:t xml:space="preserve"> Foundation that involves a large number of large multi-national enterprises with an interest in Circular Economy.</w:t>
      </w:r>
    </w:p>
  </w:footnote>
  <w:footnote w:id="14">
    <w:p w14:paraId="1C3CE401" w14:textId="037EA9AD" w:rsidR="00C80BFD" w:rsidRDefault="00C80BFD" w:rsidP="005A51BA">
      <w:pPr>
        <w:pStyle w:val="FootnoteText"/>
      </w:pPr>
      <w:r>
        <w:rPr>
          <w:rStyle w:val="FootnoteReference"/>
        </w:rPr>
        <w:footnoteRef/>
      </w:r>
      <w:r w:rsidRPr="005A51BA">
        <w:t>Mediating and moderating effects are concepts commonly used in statistical research analysis to understand the connections between variables and the underlying mechanisms that drive those connections (Hayes, 2013). The concept of mediating effect involves how one variable (known as the mediator) explains the relationship between two other variables (the independent variable and the dependent variable). The independent variable has a direct impact on the mediator, which then influences the dependent variable. On the other hand, the moderating effect refers to the influence of a third variable (moderator) on the strength or the direction of the relationship between an independent and a dependent variable.</w:t>
      </w:r>
    </w:p>
  </w:footnote>
  <w:footnote w:id="15">
    <w:p w14:paraId="58044AF3" w14:textId="77777777" w:rsidR="00C80BFD" w:rsidRDefault="00C80BFD" w:rsidP="00D53414">
      <w:pPr>
        <w:pStyle w:val="FootnoteText"/>
      </w:pPr>
      <w:r>
        <w:rPr>
          <w:rStyle w:val="FootnoteReference"/>
        </w:rPr>
        <w:footnoteRef/>
      </w:r>
      <w:r>
        <w:t xml:space="preserve"> </w:t>
      </w:r>
      <w:r w:rsidRPr="00161A44">
        <w:t>https://www.globalreporting.org/</w:t>
      </w:r>
    </w:p>
  </w:footnote>
  <w:footnote w:id="16">
    <w:p w14:paraId="37BC3F11" w14:textId="77777777" w:rsidR="00C80BFD" w:rsidRDefault="00C80BFD" w:rsidP="00D53414">
      <w:pPr>
        <w:pStyle w:val="FootnoteText"/>
      </w:pPr>
      <w:r>
        <w:rPr>
          <w:rStyle w:val="FootnoteReference"/>
        </w:rPr>
        <w:footnoteRef/>
      </w:r>
      <w:r>
        <w:t xml:space="preserve"> </w:t>
      </w:r>
      <w:r w:rsidRPr="002E52A0">
        <w:t>https://fortune.com/global500/</w:t>
      </w:r>
    </w:p>
  </w:footnote>
  <w:footnote w:id="17">
    <w:p w14:paraId="4BCC5381" w14:textId="77777777" w:rsidR="00C80BFD" w:rsidRDefault="00C80BFD" w:rsidP="00D53414">
      <w:pPr>
        <w:pStyle w:val="FootnoteText"/>
      </w:pPr>
      <w:r>
        <w:rPr>
          <w:rStyle w:val="FootnoteReference"/>
        </w:rPr>
        <w:footnoteRef/>
      </w:r>
      <w:r>
        <w:t xml:space="preserve"> </w:t>
      </w:r>
      <w:r w:rsidRPr="00F70B92">
        <w:t>EEA includes EU countries and Iceland, Liechtenstein, and Norway. The list of companies was compiled on the 1st of January 2019; it reflects, then, EU membership at that date.</w:t>
      </w:r>
    </w:p>
  </w:footnote>
  <w:footnote w:id="18">
    <w:p w14:paraId="498092B3" w14:textId="77777777" w:rsidR="00C80BFD" w:rsidRDefault="00C80BFD" w:rsidP="00C34BEC">
      <w:pPr>
        <w:pStyle w:val="FootnoteText"/>
      </w:pPr>
      <w:r>
        <w:rPr>
          <w:rStyle w:val="FootnoteReference"/>
        </w:rPr>
        <w:footnoteRef/>
      </w:r>
      <w:r>
        <w:t xml:space="preserve"> </w:t>
      </w:r>
      <w:r w:rsidRPr="00412FB2">
        <w:t>The following results refer to the analysis of the C</w:t>
      </w:r>
      <w:r>
        <w:t xml:space="preserve">orporate </w:t>
      </w:r>
      <w:r w:rsidRPr="00412FB2">
        <w:t>S</w:t>
      </w:r>
      <w:r>
        <w:t>ustainability</w:t>
      </w:r>
      <w:r w:rsidRPr="00412FB2">
        <w:t xml:space="preserve"> reports of the Top-50 companies from the European Economic Area (EEA), according to the Global Fortune 500 list (2019 edition).</w:t>
      </w:r>
    </w:p>
  </w:footnote>
  <w:footnote w:id="19">
    <w:p w14:paraId="6488BF42" w14:textId="77777777" w:rsidR="00C80BFD" w:rsidRDefault="00C80BFD" w:rsidP="00C34BEC">
      <w:pPr>
        <w:pStyle w:val="FootnoteText"/>
      </w:pPr>
      <w:r>
        <w:rPr>
          <w:rStyle w:val="FootnoteReference"/>
        </w:rPr>
        <w:footnoteRef/>
      </w:r>
      <w:r>
        <w:t xml:space="preserve"> </w:t>
      </w:r>
      <w:r w:rsidRPr="00580097">
        <w:t>Enel X Circular Economy Score</w:t>
      </w:r>
    </w:p>
  </w:footnote>
  <w:footnote w:id="20">
    <w:p w14:paraId="4D8034E1" w14:textId="2FF69B6B" w:rsidR="00C80BFD" w:rsidRDefault="00C80BFD" w:rsidP="00215533">
      <w:pPr>
        <w:pStyle w:val="FootnoteText"/>
      </w:pPr>
      <w:r>
        <w:rPr>
          <w:rStyle w:val="FootnoteReference"/>
        </w:rPr>
        <w:footnoteRef/>
      </w:r>
      <w:r>
        <w:t xml:space="preserve"> </w:t>
      </w:r>
      <w:r w:rsidRPr="00215533">
        <w:t>Pareto-optimality could have a role in reducing some of the problems of CE indicator</w:t>
      </w:r>
      <w:r>
        <w:t xml:space="preserve">s, but not others. Reductionism </w:t>
      </w:r>
      <w:r w:rsidRPr="00215533">
        <w:t xml:space="preserve">affects both technical aspects of selection, weighting and normalisation, but also some epistemological ones. This includes for example political issues (who selects indicators and why). </w:t>
      </w:r>
    </w:p>
  </w:footnote>
  <w:footnote w:id="21">
    <w:p w14:paraId="6D1E25D5" w14:textId="77777777" w:rsidR="00C80BFD" w:rsidRDefault="00C80BFD" w:rsidP="00C34BEC">
      <w:pPr>
        <w:pStyle w:val="FootnoteText"/>
      </w:pPr>
      <w:r w:rsidRPr="00587792">
        <w:rPr>
          <w:rStyle w:val="FootnoteReference"/>
        </w:rPr>
        <w:footnoteRef/>
      </w:r>
      <w:r>
        <w:t xml:space="preserve"> </w:t>
      </w:r>
      <w:proofErr w:type="spellStart"/>
      <w:r>
        <w:t>Ecoinvent</w:t>
      </w:r>
      <w:proofErr w:type="spellEnd"/>
      <w:r>
        <w:t xml:space="preserve"> is</w:t>
      </w:r>
      <w:r w:rsidRPr="00034D25">
        <w:t xml:space="preserve"> </w:t>
      </w:r>
      <w:r>
        <w:t xml:space="preserve">one of the world’s leading </w:t>
      </w:r>
      <w:r w:rsidRPr="00034D25">
        <w:t>life cycle inventory database</w:t>
      </w:r>
      <w:r>
        <w:t xml:space="preserve">. Available at: </w:t>
      </w:r>
      <w:r w:rsidRPr="00034D25">
        <w:t>https//www.ecoinvent.org/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E304" w14:textId="183971CA" w:rsidR="00C80BFD" w:rsidRPr="00B87DDB" w:rsidRDefault="00C80BFD" w:rsidP="00B87DDB">
    <w:pPr>
      <w:pStyle w:val="Header"/>
      <w:jc w:val="cent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F922E" w14:textId="2ED7FFDB" w:rsidR="00C80BFD" w:rsidRPr="000E275C" w:rsidRDefault="00C80BFD" w:rsidP="000E27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E8802" w14:textId="441AFA27" w:rsidR="00C80BFD" w:rsidRPr="00B87DDB" w:rsidRDefault="00C80BFD" w:rsidP="00B87DDB">
    <w:pPr>
      <w:pStyle w:val="Header"/>
      <w:jc w:val="center"/>
      <w:rPr>
        <w:sz w:val="22"/>
        <w:szCs w:val="22"/>
      </w:rPr>
    </w:pPr>
    <w:r w:rsidRPr="00355E73">
      <w:rPr>
        <w:sz w:val="22"/>
        <w:szCs w:val="22"/>
      </w:rPr>
      <w:fldChar w:fldCharType="begin"/>
    </w:r>
    <w:r w:rsidRPr="00355E73">
      <w:rPr>
        <w:sz w:val="22"/>
        <w:szCs w:val="22"/>
      </w:rPr>
      <w:instrText xml:space="preserve"> STYLEREF  "Heading 1"  \* MERGEFORMAT </w:instrText>
    </w:r>
    <w:r w:rsidRPr="00355E73">
      <w:rPr>
        <w:sz w:val="22"/>
        <w:szCs w:val="22"/>
      </w:rPr>
      <w:fldChar w:fldCharType="separate"/>
    </w:r>
    <w:r w:rsidR="007C6B10">
      <w:rPr>
        <w:noProof/>
        <w:sz w:val="22"/>
        <w:szCs w:val="22"/>
      </w:rPr>
      <w:t>Introduction</w:t>
    </w:r>
    <w:r w:rsidRPr="00355E73">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9FEF" w14:textId="3BB2BA47" w:rsidR="00C80BFD" w:rsidRPr="00355E73" w:rsidRDefault="00C80BFD" w:rsidP="008C1593">
    <w:pPr>
      <w:pStyle w:val="Header"/>
      <w:jc w:val="center"/>
      <w:rPr>
        <w:sz w:val="22"/>
        <w:szCs w:val="22"/>
      </w:rPr>
    </w:pPr>
    <w:r w:rsidRPr="00355E73">
      <w:rPr>
        <w:sz w:val="22"/>
        <w:szCs w:val="22"/>
      </w:rPr>
      <w:fldChar w:fldCharType="begin"/>
    </w:r>
    <w:r w:rsidRPr="00355E73">
      <w:rPr>
        <w:sz w:val="22"/>
        <w:szCs w:val="22"/>
      </w:rPr>
      <w:instrText xml:space="preserve"> STYLEREF  "Heading 1"  \* MERGEFORMAT </w:instrText>
    </w:r>
    <w:r w:rsidRPr="00355E73">
      <w:rPr>
        <w:sz w:val="22"/>
        <w:szCs w:val="22"/>
      </w:rPr>
      <w:fldChar w:fldCharType="separate"/>
    </w:r>
    <w:r w:rsidR="007C6B10">
      <w:rPr>
        <w:noProof/>
        <w:sz w:val="22"/>
        <w:szCs w:val="22"/>
      </w:rPr>
      <w:t>Introduction</w:t>
    </w:r>
    <w:r w:rsidRPr="00355E73">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CCC4B" w14:textId="263AA250" w:rsidR="00C80BFD" w:rsidRPr="00C9762E" w:rsidRDefault="00C80BFD" w:rsidP="00C9762E">
    <w:pPr>
      <w:pStyle w:val="Header"/>
      <w:jc w:val="center"/>
      <w:rPr>
        <w:sz w:val="22"/>
        <w:szCs w:val="22"/>
      </w:rPr>
    </w:pPr>
    <w:r w:rsidRPr="00355E73">
      <w:rPr>
        <w:sz w:val="22"/>
        <w:szCs w:val="22"/>
      </w:rPr>
      <w:fldChar w:fldCharType="begin"/>
    </w:r>
    <w:r w:rsidRPr="00355E73">
      <w:rPr>
        <w:sz w:val="22"/>
        <w:szCs w:val="22"/>
      </w:rPr>
      <w:instrText xml:space="preserve"> STYLEREF  "Heading 1"  \* MERGEFORMAT </w:instrText>
    </w:r>
    <w:r w:rsidR="00393D5D">
      <w:rPr>
        <w:sz w:val="22"/>
        <w:szCs w:val="22"/>
      </w:rPr>
      <w:fldChar w:fldCharType="separate"/>
    </w:r>
    <w:r w:rsidR="007C6B10">
      <w:rPr>
        <w:noProof/>
        <w:sz w:val="22"/>
        <w:szCs w:val="22"/>
      </w:rPr>
      <w:t>Introduction</w:t>
    </w:r>
    <w:r w:rsidRPr="00355E73">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3CCFE" w14:textId="77777777" w:rsidR="00C80BFD" w:rsidRDefault="00C80B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9B4D" w14:textId="0C8D436A" w:rsidR="00C80BFD" w:rsidRPr="00E87923" w:rsidRDefault="00C80BFD" w:rsidP="00E87923">
    <w:pPr>
      <w:spacing w:line="276" w:lineRule="auto"/>
      <w:jc w:val="center"/>
      <w:rPr>
        <w:sz w:val="22"/>
        <w:szCs w:val="22"/>
      </w:rPr>
    </w:pPr>
    <w:r w:rsidRPr="00355E73">
      <w:rPr>
        <w:sz w:val="22"/>
        <w:szCs w:val="22"/>
      </w:rPr>
      <w:fldChar w:fldCharType="begin"/>
    </w:r>
    <w:r w:rsidRPr="00355E73">
      <w:rPr>
        <w:sz w:val="22"/>
        <w:szCs w:val="22"/>
      </w:rPr>
      <w:instrText xml:space="preserve"> STYLEREF  "Heading 1"  \* MERGEFORMAT </w:instrText>
    </w:r>
    <w:r w:rsidR="007C6B10">
      <w:rPr>
        <w:sz w:val="22"/>
        <w:szCs w:val="22"/>
      </w:rPr>
      <w:fldChar w:fldCharType="separate"/>
    </w:r>
    <w:r w:rsidR="007C6B10">
      <w:rPr>
        <w:noProof/>
        <w:sz w:val="22"/>
        <w:szCs w:val="22"/>
      </w:rPr>
      <w:t>An Investigation into the Relationship among Institutional Pressures, Supply Chain Integration and the Adoption of Circular Economy Practices</w:t>
    </w:r>
    <w:r w:rsidRPr="00355E73">
      <w:rPr>
        <w:sz w:val="22"/>
        <w:szCs w:val="22"/>
      </w:rPr>
      <w:fldChar w:fldCharType="end"/>
    </w:r>
  </w:p>
  <w:p w14:paraId="441B810F" w14:textId="77777777" w:rsidR="00C80BFD" w:rsidRDefault="00C80BFD" w:rsidP="002F733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4DAC9" w14:textId="0FA2F5D4" w:rsidR="00C80BFD" w:rsidRPr="00355E73" w:rsidRDefault="00C80BFD" w:rsidP="00E87923">
    <w:pPr>
      <w:spacing w:line="276" w:lineRule="auto"/>
      <w:jc w:val="center"/>
      <w:rPr>
        <w:sz w:val="22"/>
        <w:szCs w:val="22"/>
      </w:rPr>
    </w:pPr>
    <w:r w:rsidRPr="00355E73">
      <w:rPr>
        <w:sz w:val="22"/>
        <w:szCs w:val="22"/>
      </w:rPr>
      <w:fldChar w:fldCharType="begin"/>
    </w:r>
    <w:r w:rsidRPr="00355E73">
      <w:rPr>
        <w:sz w:val="22"/>
        <w:szCs w:val="22"/>
      </w:rPr>
      <w:instrText xml:space="preserve"> STYLEREF  "Heading 1"  \* MERGEFORMAT </w:instrText>
    </w:r>
    <w:r w:rsidRPr="00355E73">
      <w:rPr>
        <w:sz w:val="22"/>
        <w:szCs w:val="22"/>
      </w:rPr>
      <w:fldChar w:fldCharType="separate"/>
    </w:r>
    <w:r w:rsidR="007C6B10">
      <w:rPr>
        <w:noProof/>
        <w:sz w:val="22"/>
        <w:szCs w:val="22"/>
      </w:rPr>
      <w:t>Understanding the relationship between institutional pressures, supply chain integration and the adoption of circular economy practices</w:t>
    </w:r>
    <w:r w:rsidRPr="00355E73">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5758D" w14:textId="20B6F8DA" w:rsidR="00C80BFD" w:rsidRPr="00355E73" w:rsidRDefault="00C80BFD" w:rsidP="00E87923">
    <w:pPr>
      <w:spacing w:line="276" w:lineRule="auto"/>
      <w:jc w:val="center"/>
      <w:rPr>
        <w:sz w:val="22"/>
        <w:szCs w:val="22"/>
      </w:rPr>
    </w:pPr>
    <w:r w:rsidRPr="00355E73">
      <w:rPr>
        <w:sz w:val="22"/>
        <w:szCs w:val="22"/>
      </w:rPr>
      <w:fldChar w:fldCharType="begin"/>
    </w:r>
    <w:r w:rsidRPr="00355E73">
      <w:rPr>
        <w:sz w:val="22"/>
        <w:szCs w:val="22"/>
      </w:rPr>
      <w:instrText xml:space="preserve"> STYLEREF  "Heading 1"  \* MERGEFORMAT </w:instrText>
    </w:r>
    <w:r w:rsidRPr="00355E73">
      <w:rPr>
        <w:sz w:val="22"/>
        <w:szCs w:val="22"/>
      </w:rPr>
      <w:fldChar w:fldCharType="separate"/>
    </w:r>
    <w:r w:rsidR="007C6B10">
      <w:rPr>
        <w:noProof/>
        <w:sz w:val="22"/>
        <w:szCs w:val="22"/>
      </w:rPr>
      <w:t>An Investigation into the Relationship among Institutional Pressures, Supply Chain Integration and the Adoption of Circular Economy Practices</w:t>
    </w:r>
    <w:r w:rsidRPr="00355E73">
      <w:rPr>
        <w:sz w:val="22"/>
        <w:szCs w:val="22"/>
      </w:rPr>
      <w:fldChar w:fldCharType="end"/>
    </w:r>
  </w:p>
  <w:p w14:paraId="673B6F8C" w14:textId="77777777" w:rsidR="00C80BFD" w:rsidRDefault="00C80BFD" w:rsidP="002F733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CB"/>
    <w:multiLevelType w:val="hybridMultilevel"/>
    <w:tmpl w:val="344E1C5A"/>
    <w:lvl w:ilvl="0" w:tplc="269234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811259"/>
    <w:multiLevelType w:val="hybridMultilevel"/>
    <w:tmpl w:val="0C8247AA"/>
    <w:lvl w:ilvl="0" w:tplc="1D6C3ADE">
      <w:numFmt w:val="bullet"/>
      <w:lvlText w:val="-"/>
      <w:lvlJc w:val="left"/>
      <w:pPr>
        <w:ind w:left="360" w:hanging="360"/>
      </w:pPr>
      <w:rPr>
        <w:rFonts w:ascii="Calibri" w:eastAsia="SimSun" w:hAnsi="Calibri"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F35CCF"/>
    <w:multiLevelType w:val="hybridMultilevel"/>
    <w:tmpl w:val="921837F2"/>
    <w:lvl w:ilvl="0" w:tplc="9340A4A2">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60E75"/>
    <w:multiLevelType w:val="hybridMultilevel"/>
    <w:tmpl w:val="7D0222DA"/>
    <w:lvl w:ilvl="0" w:tplc="8DCEA028">
      <w:start w:val="1"/>
      <w:numFmt w:val="decimal"/>
      <w:lvlText w:val="%1."/>
      <w:lvlJc w:val="left"/>
      <w:pPr>
        <w:ind w:left="720" w:hanging="360"/>
      </w:pPr>
      <w:rPr>
        <w:rFonts w:ascii="Garamond" w:eastAsia="Calibri" w:hAnsi="Garamond"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D1718"/>
    <w:multiLevelType w:val="hybridMultilevel"/>
    <w:tmpl w:val="C49E8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4B2D9C"/>
    <w:multiLevelType w:val="hybridMultilevel"/>
    <w:tmpl w:val="F90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36F95"/>
    <w:multiLevelType w:val="hybridMultilevel"/>
    <w:tmpl w:val="090442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A5479A"/>
    <w:multiLevelType w:val="hybridMultilevel"/>
    <w:tmpl w:val="00D8D6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270A2"/>
    <w:multiLevelType w:val="hybridMultilevel"/>
    <w:tmpl w:val="B45E26AA"/>
    <w:lvl w:ilvl="0" w:tplc="D434526E">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6759C8"/>
    <w:multiLevelType w:val="hybridMultilevel"/>
    <w:tmpl w:val="21806F7C"/>
    <w:lvl w:ilvl="0" w:tplc="4FA60052">
      <w:numFmt w:val="bullet"/>
      <w:lvlText w:val="-"/>
      <w:lvlJc w:val="left"/>
      <w:pPr>
        <w:ind w:left="360" w:hanging="360"/>
      </w:pPr>
      <w:rPr>
        <w:rFonts w:ascii="Garamond" w:eastAsia="Times New Roman" w:hAnsi="Garamond"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B742CE"/>
    <w:multiLevelType w:val="hybridMultilevel"/>
    <w:tmpl w:val="649AF02E"/>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151D51"/>
    <w:multiLevelType w:val="hybridMultilevel"/>
    <w:tmpl w:val="05D4105A"/>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4F4D99"/>
    <w:multiLevelType w:val="multilevel"/>
    <w:tmpl w:val="9AE81B42"/>
    <w:lvl w:ilvl="0">
      <w:start w:val="2"/>
      <w:numFmt w:val="decimal"/>
      <w:pStyle w:val="Heading1"/>
      <w:lvlText w:val="CHAPTER %1 "/>
      <w:lvlJc w:val="left"/>
      <w:pPr>
        <w:ind w:left="357" w:hanging="357"/>
      </w:pPr>
      <w:rPr>
        <w:rFonts w:hint="default"/>
        <w:specVanish w:val="0"/>
      </w:rPr>
    </w:lvl>
    <w:lvl w:ilvl="1">
      <w:start w:val="1"/>
      <w:numFmt w:val="decimal"/>
      <w:pStyle w:val="Heading2"/>
      <w:lvlText w:val="%2"/>
      <w:lvlJc w:val="left"/>
      <w:pPr>
        <w:ind w:left="357" w:hanging="357"/>
      </w:pPr>
      <w:rPr>
        <w:rFonts w:hint="default"/>
        <w:b/>
        <w:bCs/>
        <w:i w:val="0"/>
        <w:iCs/>
      </w:rPr>
    </w:lvl>
    <w:lvl w:ilvl="2">
      <w:start w:val="1"/>
      <w:numFmt w:val="decimal"/>
      <w:pStyle w:val="Heading3"/>
      <w:lvlText w:val="%2.%3"/>
      <w:lvlJc w:val="left"/>
      <w:pPr>
        <w:ind w:left="357" w:hanging="357"/>
      </w:pPr>
      <w:rPr>
        <w:rFonts w:hint="default"/>
      </w:rPr>
    </w:lvl>
    <w:lvl w:ilvl="3">
      <w:start w:val="1"/>
      <w:numFmt w:val="decimal"/>
      <w:lvlText w:val="%4.%2.1"/>
      <w:lvlJc w:val="left"/>
      <w:pPr>
        <w:ind w:left="357" w:hanging="357"/>
      </w:pPr>
      <w:rPr>
        <w:rFonts w:hint="default"/>
      </w:rPr>
    </w:lvl>
    <w:lvl w:ilvl="4">
      <w:start w:val="1"/>
      <w:numFmt w:val="decimal"/>
      <w:lvlText w:val="1.%2.%3.%5"/>
      <w:lvlJc w:val="left"/>
      <w:pPr>
        <w:ind w:left="357" w:hanging="357"/>
      </w:pPr>
      <w:rPr>
        <w:rFonts w:hint="default"/>
      </w:rPr>
    </w:lvl>
    <w:lvl w:ilvl="5">
      <w:start w:val="1"/>
      <w:numFmt w:val="decimal"/>
      <w:lvlText w:val="%6.%4.%3.%2.1"/>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3" w15:restartNumberingAfterBreak="0">
    <w:nsid w:val="2D501957"/>
    <w:multiLevelType w:val="hybridMultilevel"/>
    <w:tmpl w:val="CB9CD068"/>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ED7B3B"/>
    <w:multiLevelType w:val="hybridMultilevel"/>
    <w:tmpl w:val="916C4496"/>
    <w:lvl w:ilvl="0" w:tplc="5FD28CE0">
      <w:start w:val="1"/>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0A10BC"/>
    <w:multiLevelType w:val="multilevel"/>
    <w:tmpl w:val="291804E0"/>
    <w:numStyleLink w:val="ImportedStyle1"/>
  </w:abstractNum>
  <w:abstractNum w:abstractNumId="16" w15:restartNumberingAfterBreak="0">
    <w:nsid w:val="363A1395"/>
    <w:multiLevelType w:val="hybridMultilevel"/>
    <w:tmpl w:val="DBA24E22"/>
    <w:lvl w:ilvl="0" w:tplc="326A98D6">
      <w:start w:val="14"/>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50732"/>
    <w:multiLevelType w:val="hybridMultilevel"/>
    <w:tmpl w:val="6A0CA78A"/>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5F41D6"/>
    <w:multiLevelType w:val="hybridMultilevel"/>
    <w:tmpl w:val="F76C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07826"/>
    <w:multiLevelType w:val="hybridMultilevel"/>
    <w:tmpl w:val="50B47FA6"/>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FE6EFE"/>
    <w:multiLevelType w:val="hybridMultilevel"/>
    <w:tmpl w:val="7D3262AA"/>
    <w:lvl w:ilvl="0" w:tplc="B1E4F186">
      <w:start w:val="2"/>
      <w:numFmt w:val="bullet"/>
      <w:pStyle w:val="ListParagraph"/>
      <w:lvlText w:val="-"/>
      <w:lvlJc w:val="left"/>
      <w:pPr>
        <w:ind w:left="360" w:hanging="360"/>
      </w:pPr>
      <w:rPr>
        <w:rFonts w:ascii="Garamond" w:eastAsia="Calibri" w:hAnsi="Garamond"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D252CB"/>
    <w:multiLevelType w:val="hybridMultilevel"/>
    <w:tmpl w:val="FC84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6C4F69"/>
    <w:multiLevelType w:val="hybridMultilevel"/>
    <w:tmpl w:val="FE081432"/>
    <w:lvl w:ilvl="0" w:tplc="AE28BC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05A5541"/>
    <w:multiLevelType w:val="hybridMultilevel"/>
    <w:tmpl w:val="6CB6F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8770E0"/>
    <w:multiLevelType w:val="hybridMultilevel"/>
    <w:tmpl w:val="2B2A6394"/>
    <w:lvl w:ilvl="0" w:tplc="5FD28CE0">
      <w:start w:val="1"/>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AE135A"/>
    <w:multiLevelType w:val="hybridMultilevel"/>
    <w:tmpl w:val="666A7892"/>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0853D3"/>
    <w:multiLevelType w:val="hybridMultilevel"/>
    <w:tmpl w:val="38127990"/>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0538AD"/>
    <w:multiLevelType w:val="hybridMultilevel"/>
    <w:tmpl w:val="EA90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96BF8"/>
    <w:multiLevelType w:val="hybridMultilevel"/>
    <w:tmpl w:val="20720E6A"/>
    <w:lvl w:ilvl="0" w:tplc="0456C424">
      <w:start w:val="1"/>
      <w:numFmt w:val="bullet"/>
      <w:pStyle w:val="Bulletedlist"/>
      <w:lvlText w:val=""/>
      <w:lvlJc w:val="left"/>
      <w:pPr>
        <w:ind w:left="720" w:hanging="360"/>
      </w:pPr>
      <w:rPr>
        <w:rFonts w:ascii="Symbol" w:hAnsi="Symbol" w:hint="default"/>
      </w:rPr>
    </w:lvl>
    <w:lvl w:ilvl="1" w:tplc="53E62E0A">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7695F"/>
    <w:multiLevelType w:val="hybridMultilevel"/>
    <w:tmpl w:val="7E4483A0"/>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D8697F"/>
    <w:multiLevelType w:val="hybridMultilevel"/>
    <w:tmpl w:val="0AC453BE"/>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6E362FA"/>
    <w:multiLevelType w:val="multilevel"/>
    <w:tmpl w:val="291804E0"/>
    <w:styleLink w:val="ImportedStyle1"/>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875" w:hanging="3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99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5709" w:hanging="3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suff w:val="nothing"/>
      <w:lvlText w:val="%1.%2.%3.%4.%5."/>
      <w:lvlJc w:val="left"/>
      <w:pPr>
        <w:ind w:left="6429" w:hanging="3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suff w:val="nothing"/>
      <w:lvlText w:val="%1.%2.%3.%4.%5.%6."/>
      <w:lvlJc w:val="left"/>
      <w:pPr>
        <w:ind w:left="715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7869" w:hanging="3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suff w:val="nothing"/>
      <w:lvlText w:val="%1.%2.%3.%4.%5.%6.%7.%8."/>
      <w:lvlJc w:val="left"/>
      <w:pPr>
        <w:ind w:left="8589" w:hanging="3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suff w:val="nothing"/>
      <w:lvlText w:val="%1.%2.%3.%4.%5.%6.%7.%8.%9."/>
      <w:lvlJc w:val="left"/>
      <w:pPr>
        <w:ind w:left="9317" w:hanging="2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674D503A"/>
    <w:multiLevelType w:val="hybridMultilevel"/>
    <w:tmpl w:val="4A90EA10"/>
    <w:lvl w:ilvl="0" w:tplc="1D6C3ADE">
      <w:numFmt w:val="bullet"/>
      <w:lvlText w:val="-"/>
      <w:lvlJc w:val="left"/>
      <w:pPr>
        <w:ind w:left="720" w:hanging="360"/>
      </w:pPr>
      <w:rPr>
        <w:rFonts w:ascii="Calibri" w:eastAsia="SimSu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560F9"/>
    <w:multiLevelType w:val="hybridMultilevel"/>
    <w:tmpl w:val="0C04731E"/>
    <w:lvl w:ilvl="0" w:tplc="1D6C3ADE">
      <w:numFmt w:val="bullet"/>
      <w:lvlText w:val="-"/>
      <w:lvlJc w:val="left"/>
      <w:pPr>
        <w:ind w:left="360" w:hanging="360"/>
      </w:pPr>
      <w:rPr>
        <w:rFonts w:ascii="Calibri" w:eastAsia="SimSu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89D255D"/>
    <w:multiLevelType w:val="hybridMultilevel"/>
    <w:tmpl w:val="50007508"/>
    <w:lvl w:ilvl="0" w:tplc="4C5CCF7C">
      <w:start w:val="1"/>
      <w:numFmt w:val="bullet"/>
      <w:lvlText w:val="-"/>
      <w:lvlJc w:val="left"/>
      <w:pPr>
        <w:ind w:left="720" w:hanging="360"/>
      </w:pPr>
      <w:rPr>
        <w:rFonts w:ascii="Garamond" w:eastAsia="Calibri" w:hAnsi="Garamond" w:cs="Times New Roman" w:hint="default"/>
      </w:rPr>
    </w:lvl>
    <w:lvl w:ilvl="1" w:tplc="A09E491C">
      <w:start w:val="1"/>
      <w:numFmt w:val="bullet"/>
      <w:lvlText w:val="o"/>
      <w:lvlJc w:val="left"/>
      <w:pPr>
        <w:ind w:left="1440" w:hanging="360"/>
      </w:pPr>
      <w:rPr>
        <w:rFonts w:ascii="Courier New" w:hAnsi="Courier New" w:hint="default"/>
      </w:rPr>
    </w:lvl>
    <w:lvl w:ilvl="2" w:tplc="4378D014">
      <w:start w:val="1"/>
      <w:numFmt w:val="bullet"/>
      <w:lvlText w:val=""/>
      <w:lvlJc w:val="left"/>
      <w:pPr>
        <w:ind w:left="2160" w:hanging="360"/>
      </w:pPr>
      <w:rPr>
        <w:rFonts w:ascii="Wingdings" w:hAnsi="Wingdings" w:hint="default"/>
      </w:rPr>
    </w:lvl>
    <w:lvl w:ilvl="3" w:tplc="19CE7072">
      <w:start w:val="1"/>
      <w:numFmt w:val="bullet"/>
      <w:lvlText w:val=""/>
      <w:lvlJc w:val="left"/>
      <w:pPr>
        <w:ind w:left="2880" w:hanging="360"/>
      </w:pPr>
      <w:rPr>
        <w:rFonts w:ascii="Symbol" w:hAnsi="Symbol" w:hint="default"/>
      </w:rPr>
    </w:lvl>
    <w:lvl w:ilvl="4" w:tplc="590EDFB4">
      <w:start w:val="1"/>
      <w:numFmt w:val="bullet"/>
      <w:lvlText w:val="o"/>
      <w:lvlJc w:val="left"/>
      <w:pPr>
        <w:ind w:left="3600" w:hanging="360"/>
      </w:pPr>
      <w:rPr>
        <w:rFonts w:ascii="Courier New" w:hAnsi="Courier New" w:hint="default"/>
      </w:rPr>
    </w:lvl>
    <w:lvl w:ilvl="5" w:tplc="A05A0372">
      <w:start w:val="1"/>
      <w:numFmt w:val="bullet"/>
      <w:lvlText w:val=""/>
      <w:lvlJc w:val="left"/>
      <w:pPr>
        <w:ind w:left="4320" w:hanging="360"/>
      </w:pPr>
      <w:rPr>
        <w:rFonts w:ascii="Wingdings" w:hAnsi="Wingdings" w:hint="default"/>
      </w:rPr>
    </w:lvl>
    <w:lvl w:ilvl="6" w:tplc="A19EBA4A">
      <w:start w:val="1"/>
      <w:numFmt w:val="bullet"/>
      <w:lvlText w:val=""/>
      <w:lvlJc w:val="left"/>
      <w:pPr>
        <w:ind w:left="5040" w:hanging="360"/>
      </w:pPr>
      <w:rPr>
        <w:rFonts w:ascii="Symbol" w:hAnsi="Symbol" w:hint="default"/>
      </w:rPr>
    </w:lvl>
    <w:lvl w:ilvl="7" w:tplc="33AA5820">
      <w:start w:val="1"/>
      <w:numFmt w:val="bullet"/>
      <w:lvlText w:val="o"/>
      <w:lvlJc w:val="left"/>
      <w:pPr>
        <w:ind w:left="5760" w:hanging="360"/>
      </w:pPr>
      <w:rPr>
        <w:rFonts w:ascii="Courier New" w:hAnsi="Courier New" w:hint="default"/>
      </w:rPr>
    </w:lvl>
    <w:lvl w:ilvl="8" w:tplc="24041CF8">
      <w:start w:val="1"/>
      <w:numFmt w:val="bullet"/>
      <w:lvlText w:val=""/>
      <w:lvlJc w:val="left"/>
      <w:pPr>
        <w:ind w:left="6480" w:hanging="360"/>
      </w:pPr>
      <w:rPr>
        <w:rFonts w:ascii="Wingdings" w:hAnsi="Wingdings" w:hint="default"/>
      </w:rPr>
    </w:lvl>
  </w:abstractNum>
  <w:abstractNum w:abstractNumId="35" w15:restartNumberingAfterBreak="0">
    <w:nsid w:val="6CCC1E4B"/>
    <w:multiLevelType w:val="hybridMultilevel"/>
    <w:tmpl w:val="A89AA3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C22C78"/>
    <w:multiLevelType w:val="hybridMultilevel"/>
    <w:tmpl w:val="4676847E"/>
    <w:lvl w:ilvl="0" w:tplc="5FD28CE0">
      <w:start w:val="1"/>
      <w:numFmt w:val="bullet"/>
      <w:lvlText w:val="-"/>
      <w:lvlJc w:val="left"/>
      <w:pPr>
        <w:ind w:left="720" w:hanging="360"/>
      </w:pPr>
      <w:rPr>
        <w:rFonts w:ascii="Garamond" w:eastAsia="Calibri"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530D2B"/>
    <w:multiLevelType w:val="hybridMultilevel"/>
    <w:tmpl w:val="C0E0C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22"/>
  </w:num>
  <w:num w:numId="4">
    <w:abstractNumId w:val="9"/>
  </w:num>
  <w:num w:numId="5">
    <w:abstractNumId w:val="16"/>
  </w:num>
  <w:num w:numId="6">
    <w:abstractNumId w:val="23"/>
  </w:num>
  <w:num w:numId="7">
    <w:abstractNumId w:val="0"/>
  </w:num>
  <w:num w:numId="8">
    <w:abstractNumId w:val="14"/>
  </w:num>
  <w:num w:numId="9">
    <w:abstractNumId w:val="2"/>
  </w:num>
  <w:num w:numId="10">
    <w:abstractNumId w:val="28"/>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4"/>
  </w:num>
  <w:num w:numId="15">
    <w:abstractNumId w:val="5"/>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1"/>
  </w:num>
  <w:num w:numId="19">
    <w:abstractNumId w:val="15"/>
    <w:lvlOverride w:ilvl="0">
      <w:lvl w:ilvl="0">
        <w:start w:val="1"/>
        <w:numFmt w:val="decimal"/>
        <w:pStyle w:val="Style1"/>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875"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997" w:hanging="2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57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1.%2.%3.%4.%5."/>
        <w:lvlJc w:val="left"/>
        <w:pPr>
          <w:ind w:left="642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1.%2.%3.%4.%5.%6."/>
        <w:lvlJc w:val="left"/>
        <w:pPr>
          <w:ind w:left="7157" w:hanging="2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786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1.%2.%3.%4.%5.%6.%7.%8."/>
        <w:lvlJc w:val="left"/>
        <w:pPr>
          <w:ind w:left="858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1.%2.%3.%4.%5.%6.%7.%8.%9."/>
        <w:lvlJc w:val="left"/>
        <w:pPr>
          <w:ind w:left="9317" w:hanging="25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34"/>
  </w:num>
  <w:num w:numId="21">
    <w:abstractNumId w:val="3"/>
  </w:num>
  <w:num w:numId="22">
    <w:abstractNumId w:val="6"/>
  </w:num>
  <w:num w:numId="23">
    <w:abstractNumId w:val="37"/>
  </w:num>
  <w:num w:numId="24">
    <w:abstractNumId w:val="7"/>
  </w:num>
  <w:num w:numId="25">
    <w:abstractNumId w:val="13"/>
  </w:num>
  <w:num w:numId="26">
    <w:abstractNumId w:val="1"/>
  </w:num>
  <w:num w:numId="27">
    <w:abstractNumId w:val="32"/>
  </w:num>
  <w:num w:numId="28">
    <w:abstractNumId w:val="19"/>
  </w:num>
  <w:num w:numId="29">
    <w:abstractNumId w:val="33"/>
  </w:num>
  <w:num w:numId="30">
    <w:abstractNumId w:val="10"/>
  </w:num>
  <w:num w:numId="31">
    <w:abstractNumId w:val="26"/>
  </w:num>
  <w:num w:numId="32">
    <w:abstractNumId w:val="30"/>
  </w:num>
  <w:num w:numId="33">
    <w:abstractNumId w:val="17"/>
  </w:num>
  <w:num w:numId="34">
    <w:abstractNumId w:val="29"/>
  </w:num>
  <w:num w:numId="35">
    <w:abstractNumId w:val="25"/>
  </w:num>
  <w:num w:numId="36">
    <w:abstractNumId w:val="11"/>
  </w:num>
  <w:num w:numId="37">
    <w:abstractNumId w:val="35"/>
  </w:num>
  <w:num w:numId="3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6"/>
  </w:num>
  <w:num w:numId="41">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MY"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MY"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en-MY" w:vendorID="64" w:dllVersion="131078" w:nlCheck="1" w:checkStyle="1"/>
  <w:proofState w:spelling="clean" w:grammar="clean"/>
  <w:defaultTabStop w:val="720"/>
  <w:defaultTableStyle w:val="TableGrid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LAwMTEzNDQ2MDI1NDNV0lEKTi0uzszPAykwqQUAlZw5OSwAAAA="/>
  </w:docVars>
  <w:rsids>
    <w:rsidRoot w:val="00E37590"/>
    <w:rsid w:val="00002270"/>
    <w:rsid w:val="00002414"/>
    <w:rsid w:val="00003CC3"/>
    <w:rsid w:val="0000442A"/>
    <w:rsid w:val="000053D3"/>
    <w:rsid w:val="0001016B"/>
    <w:rsid w:val="000116A6"/>
    <w:rsid w:val="00011C4D"/>
    <w:rsid w:val="00016CB2"/>
    <w:rsid w:val="00017E9A"/>
    <w:rsid w:val="000203FA"/>
    <w:rsid w:val="00021785"/>
    <w:rsid w:val="0003472C"/>
    <w:rsid w:val="00036949"/>
    <w:rsid w:val="000403B3"/>
    <w:rsid w:val="00040E6A"/>
    <w:rsid w:val="00043537"/>
    <w:rsid w:val="00052070"/>
    <w:rsid w:val="0005283B"/>
    <w:rsid w:val="00057501"/>
    <w:rsid w:val="00063E10"/>
    <w:rsid w:val="00064898"/>
    <w:rsid w:val="00065347"/>
    <w:rsid w:val="00070263"/>
    <w:rsid w:val="00070634"/>
    <w:rsid w:val="00071099"/>
    <w:rsid w:val="00071641"/>
    <w:rsid w:val="00073151"/>
    <w:rsid w:val="00074AD0"/>
    <w:rsid w:val="00074ADD"/>
    <w:rsid w:val="00087D8B"/>
    <w:rsid w:val="00093B49"/>
    <w:rsid w:val="000961FF"/>
    <w:rsid w:val="000A67AC"/>
    <w:rsid w:val="000A72A9"/>
    <w:rsid w:val="000A7389"/>
    <w:rsid w:val="000A7F62"/>
    <w:rsid w:val="000B2683"/>
    <w:rsid w:val="000B4049"/>
    <w:rsid w:val="000B5E59"/>
    <w:rsid w:val="000B5F4E"/>
    <w:rsid w:val="000B6A23"/>
    <w:rsid w:val="000C07E5"/>
    <w:rsid w:val="000C3163"/>
    <w:rsid w:val="000C5687"/>
    <w:rsid w:val="000C7AF2"/>
    <w:rsid w:val="000D1479"/>
    <w:rsid w:val="000D5736"/>
    <w:rsid w:val="000E275C"/>
    <w:rsid w:val="000E2EAB"/>
    <w:rsid w:val="000E4E92"/>
    <w:rsid w:val="000E6DBB"/>
    <w:rsid w:val="000E6DF3"/>
    <w:rsid w:val="000F0359"/>
    <w:rsid w:val="000F3C10"/>
    <w:rsid w:val="000F3CD8"/>
    <w:rsid w:val="000F5CBD"/>
    <w:rsid w:val="000F7725"/>
    <w:rsid w:val="000F7F8A"/>
    <w:rsid w:val="0010321E"/>
    <w:rsid w:val="00103824"/>
    <w:rsid w:val="00104850"/>
    <w:rsid w:val="00111529"/>
    <w:rsid w:val="00113025"/>
    <w:rsid w:val="0011495C"/>
    <w:rsid w:val="00116B90"/>
    <w:rsid w:val="00116E4E"/>
    <w:rsid w:val="00125A3E"/>
    <w:rsid w:val="00126826"/>
    <w:rsid w:val="0013043F"/>
    <w:rsid w:val="001315FB"/>
    <w:rsid w:val="001318FD"/>
    <w:rsid w:val="001327FB"/>
    <w:rsid w:val="00132828"/>
    <w:rsid w:val="001418C0"/>
    <w:rsid w:val="0014281C"/>
    <w:rsid w:val="00142984"/>
    <w:rsid w:val="00143A06"/>
    <w:rsid w:val="001506FB"/>
    <w:rsid w:val="00153702"/>
    <w:rsid w:val="00154B9E"/>
    <w:rsid w:val="001625C5"/>
    <w:rsid w:val="00164B4A"/>
    <w:rsid w:val="001668D7"/>
    <w:rsid w:val="00170322"/>
    <w:rsid w:val="001713EE"/>
    <w:rsid w:val="001722E6"/>
    <w:rsid w:val="00173551"/>
    <w:rsid w:val="00177378"/>
    <w:rsid w:val="0018403C"/>
    <w:rsid w:val="00184409"/>
    <w:rsid w:val="00185151"/>
    <w:rsid w:val="001853C5"/>
    <w:rsid w:val="00185496"/>
    <w:rsid w:val="001936EC"/>
    <w:rsid w:val="00193BDC"/>
    <w:rsid w:val="00193EF4"/>
    <w:rsid w:val="00194556"/>
    <w:rsid w:val="00196791"/>
    <w:rsid w:val="00197BD9"/>
    <w:rsid w:val="001A7EB8"/>
    <w:rsid w:val="001B1256"/>
    <w:rsid w:val="001B6A35"/>
    <w:rsid w:val="001B6CFB"/>
    <w:rsid w:val="001C542D"/>
    <w:rsid w:val="001C7C92"/>
    <w:rsid w:val="001D2BB8"/>
    <w:rsid w:val="001E04D6"/>
    <w:rsid w:val="001E2A61"/>
    <w:rsid w:val="001E5A97"/>
    <w:rsid w:val="001F4C58"/>
    <w:rsid w:val="001F6934"/>
    <w:rsid w:val="001F732C"/>
    <w:rsid w:val="00201499"/>
    <w:rsid w:val="00202D52"/>
    <w:rsid w:val="002034F2"/>
    <w:rsid w:val="00212407"/>
    <w:rsid w:val="002134A4"/>
    <w:rsid w:val="00215533"/>
    <w:rsid w:val="00215C6D"/>
    <w:rsid w:val="002228F5"/>
    <w:rsid w:val="00223519"/>
    <w:rsid w:val="00226D30"/>
    <w:rsid w:val="002314C5"/>
    <w:rsid w:val="0023608B"/>
    <w:rsid w:val="00236091"/>
    <w:rsid w:val="00236638"/>
    <w:rsid w:val="002370DB"/>
    <w:rsid w:val="00241BC3"/>
    <w:rsid w:val="0025698C"/>
    <w:rsid w:val="002573AB"/>
    <w:rsid w:val="00260702"/>
    <w:rsid w:val="0026104D"/>
    <w:rsid w:val="002628DA"/>
    <w:rsid w:val="00262CA1"/>
    <w:rsid w:val="002651AA"/>
    <w:rsid w:val="00270210"/>
    <w:rsid w:val="00270A4F"/>
    <w:rsid w:val="002754D8"/>
    <w:rsid w:val="00276423"/>
    <w:rsid w:val="00277266"/>
    <w:rsid w:val="00282BF7"/>
    <w:rsid w:val="00282C25"/>
    <w:rsid w:val="00284CF3"/>
    <w:rsid w:val="002858D9"/>
    <w:rsid w:val="00286361"/>
    <w:rsid w:val="00290676"/>
    <w:rsid w:val="00290F28"/>
    <w:rsid w:val="0029170D"/>
    <w:rsid w:val="00292A90"/>
    <w:rsid w:val="00293B9D"/>
    <w:rsid w:val="00293FC1"/>
    <w:rsid w:val="00296F8F"/>
    <w:rsid w:val="002971A4"/>
    <w:rsid w:val="002A059D"/>
    <w:rsid w:val="002A277D"/>
    <w:rsid w:val="002A3E2D"/>
    <w:rsid w:val="002B2C48"/>
    <w:rsid w:val="002B3DBA"/>
    <w:rsid w:val="002B4C21"/>
    <w:rsid w:val="002B6701"/>
    <w:rsid w:val="002B6A3E"/>
    <w:rsid w:val="002B76B7"/>
    <w:rsid w:val="002D092E"/>
    <w:rsid w:val="002D17D3"/>
    <w:rsid w:val="002D1DBD"/>
    <w:rsid w:val="002D3AF8"/>
    <w:rsid w:val="002D63D4"/>
    <w:rsid w:val="002E4532"/>
    <w:rsid w:val="002F1F72"/>
    <w:rsid w:val="002F5461"/>
    <w:rsid w:val="002F5FD8"/>
    <w:rsid w:val="002F6BFD"/>
    <w:rsid w:val="002F7336"/>
    <w:rsid w:val="002F788E"/>
    <w:rsid w:val="0030063F"/>
    <w:rsid w:val="00305786"/>
    <w:rsid w:val="00306EA6"/>
    <w:rsid w:val="00311D09"/>
    <w:rsid w:val="00312C33"/>
    <w:rsid w:val="00315408"/>
    <w:rsid w:val="00316568"/>
    <w:rsid w:val="00317232"/>
    <w:rsid w:val="00317DBF"/>
    <w:rsid w:val="0032175A"/>
    <w:rsid w:val="00321DE7"/>
    <w:rsid w:val="003221B9"/>
    <w:rsid w:val="00325B9F"/>
    <w:rsid w:val="00325C6A"/>
    <w:rsid w:val="00325C99"/>
    <w:rsid w:val="0032628B"/>
    <w:rsid w:val="0032689E"/>
    <w:rsid w:val="00326AA6"/>
    <w:rsid w:val="003304C3"/>
    <w:rsid w:val="00331D9C"/>
    <w:rsid w:val="00336CF0"/>
    <w:rsid w:val="0034288B"/>
    <w:rsid w:val="00346886"/>
    <w:rsid w:val="0034718E"/>
    <w:rsid w:val="003512DF"/>
    <w:rsid w:val="00352618"/>
    <w:rsid w:val="003542D5"/>
    <w:rsid w:val="00355E73"/>
    <w:rsid w:val="00356F0D"/>
    <w:rsid w:val="003575D8"/>
    <w:rsid w:val="0036046C"/>
    <w:rsid w:val="00360DE3"/>
    <w:rsid w:val="00361D3B"/>
    <w:rsid w:val="00364BA8"/>
    <w:rsid w:val="00364EAD"/>
    <w:rsid w:val="00364EF8"/>
    <w:rsid w:val="0036626F"/>
    <w:rsid w:val="00367559"/>
    <w:rsid w:val="00371DDF"/>
    <w:rsid w:val="00373381"/>
    <w:rsid w:val="00374A9F"/>
    <w:rsid w:val="003753F4"/>
    <w:rsid w:val="00381AE4"/>
    <w:rsid w:val="0038201F"/>
    <w:rsid w:val="003820B0"/>
    <w:rsid w:val="00385CD9"/>
    <w:rsid w:val="00386C94"/>
    <w:rsid w:val="003873D0"/>
    <w:rsid w:val="00387F36"/>
    <w:rsid w:val="00390489"/>
    <w:rsid w:val="00390D3A"/>
    <w:rsid w:val="003917ED"/>
    <w:rsid w:val="00392023"/>
    <w:rsid w:val="00393D5D"/>
    <w:rsid w:val="0039476A"/>
    <w:rsid w:val="003961B5"/>
    <w:rsid w:val="00396B03"/>
    <w:rsid w:val="00396C4D"/>
    <w:rsid w:val="003A37C7"/>
    <w:rsid w:val="003A45C0"/>
    <w:rsid w:val="003A56CD"/>
    <w:rsid w:val="003B0C32"/>
    <w:rsid w:val="003B1661"/>
    <w:rsid w:val="003B4A23"/>
    <w:rsid w:val="003C1BBF"/>
    <w:rsid w:val="003C5A93"/>
    <w:rsid w:val="003C626C"/>
    <w:rsid w:val="003D2412"/>
    <w:rsid w:val="003D4C62"/>
    <w:rsid w:val="003D5E8A"/>
    <w:rsid w:val="003D7494"/>
    <w:rsid w:val="003E6A26"/>
    <w:rsid w:val="003F01EA"/>
    <w:rsid w:val="003F23B6"/>
    <w:rsid w:val="003F3699"/>
    <w:rsid w:val="003F435F"/>
    <w:rsid w:val="00400F85"/>
    <w:rsid w:val="00405486"/>
    <w:rsid w:val="004054B8"/>
    <w:rsid w:val="00405763"/>
    <w:rsid w:val="004062BE"/>
    <w:rsid w:val="0040673C"/>
    <w:rsid w:val="00410B31"/>
    <w:rsid w:val="00411AAE"/>
    <w:rsid w:val="00413FC3"/>
    <w:rsid w:val="00414786"/>
    <w:rsid w:val="00415C80"/>
    <w:rsid w:val="00415D0C"/>
    <w:rsid w:val="00416099"/>
    <w:rsid w:val="004164FF"/>
    <w:rsid w:val="004222D4"/>
    <w:rsid w:val="004257B7"/>
    <w:rsid w:val="004270AF"/>
    <w:rsid w:val="004271E6"/>
    <w:rsid w:val="004274EA"/>
    <w:rsid w:val="00427C50"/>
    <w:rsid w:val="00427C52"/>
    <w:rsid w:val="0043269F"/>
    <w:rsid w:val="00432F43"/>
    <w:rsid w:val="00435F02"/>
    <w:rsid w:val="00441BF2"/>
    <w:rsid w:val="004420A1"/>
    <w:rsid w:val="00442990"/>
    <w:rsid w:val="0044325B"/>
    <w:rsid w:val="00444170"/>
    <w:rsid w:val="00444F93"/>
    <w:rsid w:val="00445052"/>
    <w:rsid w:val="00452D78"/>
    <w:rsid w:val="00453A9D"/>
    <w:rsid w:val="00460A0C"/>
    <w:rsid w:val="00461CB5"/>
    <w:rsid w:val="00462BF2"/>
    <w:rsid w:val="00463589"/>
    <w:rsid w:val="004641DE"/>
    <w:rsid w:val="0047164A"/>
    <w:rsid w:val="004724FA"/>
    <w:rsid w:val="00472B22"/>
    <w:rsid w:val="00480304"/>
    <w:rsid w:val="004804C5"/>
    <w:rsid w:val="0048118F"/>
    <w:rsid w:val="004864D0"/>
    <w:rsid w:val="004871BA"/>
    <w:rsid w:val="00492418"/>
    <w:rsid w:val="00492E48"/>
    <w:rsid w:val="004958BE"/>
    <w:rsid w:val="004A03B3"/>
    <w:rsid w:val="004A3756"/>
    <w:rsid w:val="004A5D71"/>
    <w:rsid w:val="004B0C3D"/>
    <w:rsid w:val="004B35C6"/>
    <w:rsid w:val="004B7820"/>
    <w:rsid w:val="004C23BB"/>
    <w:rsid w:val="004C5307"/>
    <w:rsid w:val="004D0F0C"/>
    <w:rsid w:val="004D3837"/>
    <w:rsid w:val="004D3E77"/>
    <w:rsid w:val="004E60D1"/>
    <w:rsid w:val="004F0972"/>
    <w:rsid w:val="004F108A"/>
    <w:rsid w:val="004F13F0"/>
    <w:rsid w:val="004F1B60"/>
    <w:rsid w:val="004F3624"/>
    <w:rsid w:val="004F5C00"/>
    <w:rsid w:val="004F7DE8"/>
    <w:rsid w:val="005007A3"/>
    <w:rsid w:val="005016C3"/>
    <w:rsid w:val="005035B4"/>
    <w:rsid w:val="00504E7F"/>
    <w:rsid w:val="00506823"/>
    <w:rsid w:val="0050765B"/>
    <w:rsid w:val="00511B77"/>
    <w:rsid w:val="00514230"/>
    <w:rsid w:val="00521712"/>
    <w:rsid w:val="00521CAA"/>
    <w:rsid w:val="00522BC4"/>
    <w:rsid w:val="005240F6"/>
    <w:rsid w:val="00525850"/>
    <w:rsid w:val="005278BD"/>
    <w:rsid w:val="00530388"/>
    <w:rsid w:val="005306C0"/>
    <w:rsid w:val="00530F38"/>
    <w:rsid w:val="00532174"/>
    <w:rsid w:val="00532553"/>
    <w:rsid w:val="00534F56"/>
    <w:rsid w:val="005373E9"/>
    <w:rsid w:val="00537C94"/>
    <w:rsid w:val="00540294"/>
    <w:rsid w:val="0054252F"/>
    <w:rsid w:val="00542D76"/>
    <w:rsid w:val="00542E50"/>
    <w:rsid w:val="00550955"/>
    <w:rsid w:val="00551FC1"/>
    <w:rsid w:val="005548CF"/>
    <w:rsid w:val="0055530B"/>
    <w:rsid w:val="00556D3E"/>
    <w:rsid w:val="0056031F"/>
    <w:rsid w:val="00562BF5"/>
    <w:rsid w:val="00566443"/>
    <w:rsid w:val="005702D0"/>
    <w:rsid w:val="005723C9"/>
    <w:rsid w:val="005739E7"/>
    <w:rsid w:val="0058064F"/>
    <w:rsid w:val="005810DA"/>
    <w:rsid w:val="00582FD0"/>
    <w:rsid w:val="00583B5A"/>
    <w:rsid w:val="00583CB8"/>
    <w:rsid w:val="005850E0"/>
    <w:rsid w:val="0059126F"/>
    <w:rsid w:val="00591635"/>
    <w:rsid w:val="00593070"/>
    <w:rsid w:val="005955D1"/>
    <w:rsid w:val="005A0998"/>
    <w:rsid w:val="005A1E34"/>
    <w:rsid w:val="005A233B"/>
    <w:rsid w:val="005A4110"/>
    <w:rsid w:val="005A51BA"/>
    <w:rsid w:val="005B5E4B"/>
    <w:rsid w:val="005C0C95"/>
    <w:rsid w:val="005C320F"/>
    <w:rsid w:val="005C5CF0"/>
    <w:rsid w:val="005D1336"/>
    <w:rsid w:val="005D30F5"/>
    <w:rsid w:val="005D455B"/>
    <w:rsid w:val="005D4BBD"/>
    <w:rsid w:val="005D7F6A"/>
    <w:rsid w:val="005E1F3B"/>
    <w:rsid w:val="005E590B"/>
    <w:rsid w:val="005E64A9"/>
    <w:rsid w:val="005E7631"/>
    <w:rsid w:val="005E77E4"/>
    <w:rsid w:val="005E7E2A"/>
    <w:rsid w:val="005E7FD8"/>
    <w:rsid w:val="00600C69"/>
    <w:rsid w:val="00600E9C"/>
    <w:rsid w:val="0060169B"/>
    <w:rsid w:val="00601817"/>
    <w:rsid w:val="00602B25"/>
    <w:rsid w:val="00605BD6"/>
    <w:rsid w:val="00606410"/>
    <w:rsid w:val="0060676E"/>
    <w:rsid w:val="00610ADB"/>
    <w:rsid w:val="00613ABD"/>
    <w:rsid w:val="00616205"/>
    <w:rsid w:val="006169BB"/>
    <w:rsid w:val="00617F91"/>
    <w:rsid w:val="00617FEB"/>
    <w:rsid w:val="0062477F"/>
    <w:rsid w:val="006302BB"/>
    <w:rsid w:val="00632C39"/>
    <w:rsid w:val="006360A3"/>
    <w:rsid w:val="006379C0"/>
    <w:rsid w:val="00642482"/>
    <w:rsid w:val="00644BE0"/>
    <w:rsid w:val="006452F9"/>
    <w:rsid w:val="006508A1"/>
    <w:rsid w:val="006532FB"/>
    <w:rsid w:val="00653B1B"/>
    <w:rsid w:val="00660427"/>
    <w:rsid w:val="00660B77"/>
    <w:rsid w:val="006651C4"/>
    <w:rsid w:val="00674C1C"/>
    <w:rsid w:val="00675CC6"/>
    <w:rsid w:val="00680814"/>
    <w:rsid w:val="006823F1"/>
    <w:rsid w:val="006903B8"/>
    <w:rsid w:val="00691634"/>
    <w:rsid w:val="006934D7"/>
    <w:rsid w:val="00694802"/>
    <w:rsid w:val="006977E2"/>
    <w:rsid w:val="006A2D31"/>
    <w:rsid w:val="006A7CB3"/>
    <w:rsid w:val="006B0823"/>
    <w:rsid w:val="006B762E"/>
    <w:rsid w:val="006C0C4B"/>
    <w:rsid w:val="006C0C72"/>
    <w:rsid w:val="006D0B8B"/>
    <w:rsid w:val="006D2A57"/>
    <w:rsid w:val="006D62E6"/>
    <w:rsid w:val="006D6C08"/>
    <w:rsid w:val="006E014C"/>
    <w:rsid w:val="006E1A8D"/>
    <w:rsid w:val="006E32B5"/>
    <w:rsid w:val="006E4625"/>
    <w:rsid w:val="006E6436"/>
    <w:rsid w:val="006E688F"/>
    <w:rsid w:val="006E7F7D"/>
    <w:rsid w:val="006F0BB9"/>
    <w:rsid w:val="006F0C42"/>
    <w:rsid w:val="006F24FA"/>
    <w:rsid w:val="006F60A4"/>
    <w:rsid w:val="0070715B"/>
    <w:rsid w:val="0071010C"/>
    <w:rsid w:val="00712E71"/>
    <w:rsid w:val="007152F0"/>
    <w:rsid w:val="0072003B"/>
    <w:rsid w:val="007225BE"/>
    <w:rsid w:val="00731854"/>
    <w:rsid w:val="007330ED"/>
    <w:rsid w:val="00740639"/>
    <w:rsid w:val="00740A59"/>
    <w:rsid w:val="00742E5F"/>
    <w:rsid w:val="007445F5"/>
    <w:rsid w:val="00750638"/>
    <w:rsid w:val="0075304D"/>
    <w:rsid w:val="007542A2"/>
    <w:rsid w:val="00754907"/>
    <w:rsid w:val="00755915"/>
    <w:rsid w:val="00761F62"/>
    <w:rsid w:val="0076202C"/>
    <w:rsid w:val="00762A1A"/>
    <w:rsid w:val="00763897"/>
    <w:rsid w:val="0076422F"/>
    <w:rsid w:val="00766103"/>
    <w:rsid w:val="00767ED3"/>
    <w:rsid w:val="007743D6"/>
    <w:rsid w:val="007765F7"/>
    <w:rsid w:val="00777197"/>
    <w:rsid w:val="00777DEC"/>
    <w:rsid w:val="00780AC0"/>
    <w:rsid w:val="0078767A"/>
    <w:rsid w:val="00793231"/>
    <w:rsid w:val="00793F50"/>
    <w:rsid w:val="007979E7"/>
    <w:rsid w:val="007A1A80"/>
    <w:rsid w:val="007A1F24"/>
    <w:rsid w:val="007A580F"/>
    <w:rsid w:val="007A66E9"/>
    <w:rsid w:val="007A6AFA"/>
    <w:rsid w:val="007A7C57"/>
    <w:rsid w:val="007A7D98"/>
    <w:rsid w:val="007B1B18"/>
    <w:rsid w:val="007B1E5E"/>
    <w:rsid w:val="007B2B15"/>
    <w:rsid w:val="007B3D81"/>
    <w:rsid w:val="007B43F8"/>
    <w:rsid w:val="007B56C3"/>
    <w:rsid w:val="007B5E24"/>
    <w:rsid w:val="007B6D4D"/>
    <w:rsid w:val="007B6F6D"/>
    <w:rsid w:val="007C0582"/>
    <w:rsid w:val="007C19B0"/>
    <w:rsid w:val="007C3CC3"/>
    <w:rsid w:val="007C4B17"/>
    <w:rsid w:val="007C6B10"/>
    <w:rsid w:val="007C70E9"/>
    <w:rsid w:val="007C791B"/>
    <w:rsid w:val="007D1E42"/>
    <w:rsid w:val="007D1EE7"/>
    <w:rsid w:val="007D4D9F"/>
    <w:rsid w:val="007D5237"/>
    <w:rsid w:val="007E06B7"/>
    <w:rsid w:val="007E1F9F"/>
    <w:rsid w:val="007E6C52"/>
    <w:rsid w:val="007E78DF"/>
    <w:rsid w:val="007F51DB"/>
    <w:rsid w:val="007F7266"/>
    <w:rsid w:val="008011EA"/>
    <w:rsid w:val="0080181F"/>
    <w:rsid w:val="008030DC"/>
    <w:rsid w:val="0080450F"/>
    <w:rsid w:val="00804F20"/>
    <w:rsid w:val="008074DC"/>
    <w:rsid w:val="0081080C"/>
    <w:rsid w:val="00810FA9"/>
    <w:rsid w:val="00813A79"/>
    <w:rsid w:val="00814E3E"/>
    <w:rsid w:val="008215AB"/>
    <w:rsid w:val="00821C8F"/>
    <w:rsid w:val="008244AC"/>
    <w:rsid w:val="00827433"/>
    <w:rsid w:val="00836FDF"/>
    <w:rsid w:val="00837229"/>
    <w:rsid w:val="0084141F"/>
    <w:rsid w:val="0084180D"/>
    <w:rsid w:val="00842802"/>
    <w:rsid w:val="008430AC"/>
    <w:rsid w:val="00843872"/>
    <w:rsid w:val="00843B70"/>
    <w:rsid w:val="0085122E"/>
    <w:rsid w:val="0085669A"/>
    <w:rsid w:val="00860D8B"/>
    <w:rsid w:val="00863E3E"/>
    <w:rsid w:val="0086509A"/>
    <w:rsid w:val="0087425A"/>
    <w:rsid w:val="008742C3"/>
    <w:rsid w:val="008743D6"/>
    <w:rsid w:val="00875242"/>
    <w:rsid w:val="00875945"/>
    <w:rsid w:val="00877328"/>
    <w:rsid w:val="008800CE"/>
    <w:rsid w:val="008805E9"/>
    <w:rsid w:val="00880A63"/>
    <w:rsid w:val="0088217B"/>
    <w:rsid w:val="00887CD2"/>
    <w:rsid w:val="008972D5"/>
    <w:rsid w:val="008A79B1"/>
    <w:rsid w:val="008B0647"/>
    <w:rsid w:val="008B0DC5"/>
    <w:rsid w:val="008B4FB3"/>
    <w:rsid w:val="008B58A2"/>
    <w:rsid w:val="008B6789"/>
    <w:rsid w:val="008C1593"/>
    <w:rsid w:val="008C44EC"/>
    <w:rsid w:val="008C757A"/>
    <w:rsid w:val="008D4952"/>
    <w:rsid w:val="008D6E37"/>
    <w:rsid w:val="008D6F1F"/>
    <w:rsid w:val="008E16CD"/>
    <w:rsid w:val="008E618F"/>
    <w:rsid w:val="008F11D9"/>
    <w:rsid w:val="008F250C"/>
    <w:rsid w:val="008F3C37"/>
    <w:rsid w:val="008F458F"/>
    <w:rsid w:val="008F7E31"/>
    <w:rsid w:val="0090228D"/>
    <w:rsid w:val="00902D77"/>
    <w:rsid w:val="00904DA0"/>
    <w:rsid w:val="009051C9"/>
    <w:rsid w:val="009072F2"/>
    <w:rsid w:val="0091199C"/>
    <w:rsid w:val="00913CD3"/>
    <w:rsid w:val="00916E8E"/>
    <w:rsid w:val="00917047"/>
    <w:rsid w:val="00917C20"/>
    <w:rsid w:val="009207DF"/>
    <w:rsid w:val="00926096"/>
    <w:rsid w:val="00930583"/>
    <w:rsid w:val="00931D6C"/>
    <w:rsid w:val="00932A75"/>
    <w:rsid w:val="0093617C"/>
    <w:rsid w:val="0093622C"/>
    <w:rsid w:val="00936565"/>
    <w:rsid w:val="009372D8"/>
    <w:rsid w:val="00941083"/>
    <w:rsid w:val="00947F87"/>
    <w:rsid w:val="00951237"/>
    <w:rsid w:val="00953AAD"/>
    <w:rsid w:val="00954DF9"/>
    <w:rsid w:val="009557C2"/>
    <w:rsid w:val="00956170"/>
    <w:rsid w:val="0096121E"/>
    <w:rsid w:val="009739C3"/>
    <w:rsid w:val="0097689B"/>
    <w:rsid w:val="0098020B"/>
    <w:rsid w:val="009820E6"/>
    <w:rsid w:val="00982CDF"/>
    <w:rsid w:val="009833D6"/>
    <w:rsid w:val="00986619"/>
    <w:rsid w:val="00991843"/>
    <w:rsid w:val="00992B3B"/>
    <w:rsid w:val="00996937"/>
    <w:rsid w:val="00997489"/>
    <w:rsid w:val="009A07AB"/>
    <w:rsid w:val="009A5F8B"/>
    <w:rsid w:val="009A5FED"/>
    <w:rsid w:val="009A69EC"/>
    <w:rsid w:val="009A73E6"/>
    <w:rsid w:val="009B1D45"/>
    <w:rsid w:val="009B4B7B"/>
    <w:rsid w:val="009B5096"/>
    <w:rsid w:val="009B5B29"/>
    <w:rsid w:val="009B5EC4"/>
    <w:rsid w:val="009B79E2"/>
    <w:rsid w:val="009C1A1C"/>
    <w:rsid w:val="009C33EB"/>
    <w:rsid w:val="009C48ED"/>
    <w:rsid w:val="009C70B2"/>
    <w:rsid w:val="009D317C"/>
    <w:rsid w:val="009D3A09"/>
    <w:rsid w:val="009D7A98"/>
    <w:rsid w:val="009E313C"/>
    <w:rsid w:val="009E3CB4"/>
    <w:rsid w:val="009E45A5"/>
    <w:rsid w:val="009E7E50"/>
    <w:rsid w:val="009F1D27"/>
    <w:rsid w:val="009F2CC4"/>
    <w:rsid w:val="009F5184"/>
    <w:rsid w:val="00A02083"/>
    <w:rsid w:val="00A104DD"/>
    <w:rsid w:val="00A12AF9"/>
    <w:rsid w:val="00A17B77"/>
    <w:rsid w:val="00A202F1"/>
    <w:rsid w:val="00A208BC"/>
    <w:rsid w:val="00A23D8B"/>
    <w:rsid w:val="00A24A28"/>
    <w:rsid w:val="00A36EEC"/>
    <w:rsid w:val="00A41A81"/>
    <w:rsid w:val="00A47566"/>
    <w:rsid w:val="00A4783D"/>
    <w:rsid w:val="00A50D23"/>
    <w:rsid w:val="00A540AC"/>
    <w:rsid w:val="00A549C5"/>
    <w:rsid w:val="00A60B31"/>
    <w:rsid w:val="00A638FA"/>
    <w:rsid w:val="00A729CB"/>
    <w:rsid w:val="00A748EA"/>
    <w:rsid w:val="00A75721"/>
    <w:rsid w:val="00A75E8C"/>
    <w:rsid w:val="00A76764"/>
    <w:rsid w:val="00A77110"/>
    <w:rsid w:val="00A774DB"/>
    <w:rsid w:val="00A77761"/>
    <w:rsid w:val="00A837E9"/>
    <w:rsid w:val="00A844F3"/>
    <w:rsid w:val="00A84CF6"/>
    <w:rsid w:val="00A9082C"/>
    <w:rsid w:val="00A92C9F"/>
    <w:rsid w:val="00A934D7"/>
    <w:rsid w:val="00A93A67"/>
    <w:rsid w:val="00A93E5E"/>
    <w:rsid w:val="00A957F8"/>
    <w:rsid w:val="00A9704D"/>
    <w:rsid w:val="00AA3BB1"/>
    <w:rsid w:val="00AB2CBC"/>
    <w:rsid w:val="00AB40A7"/>
    <w:rsid w:val="00AB7EA9"/>
    <w:rsid w:val="00AD4CAA"/>
    <w:rsid w:val="00AD5B13"/>
    <w:rsid w:val="00AD6202"/>
    <w:rsid w:val="00AD62E5"/>
    <w:rsid w:val="00AE0A85"/>
    <w:rsid w:val="00AE10CD"/>
    <w:rsid w:val="00AE3633"/>
    <w:rsid w:val="00AE3C53"/>
    <w:rsid w:val="00AE3D78"/>
    <w:rsid w:val="00AE4D67"/>
    <w:rsid w:val="00AF05F9"/>
    <w:rsid w:val="00AF10C9"/>
    <w:rsid w:val="00AF263D"/>
    <w:rsid w:val="00B0479A"/>
    <w:rsid w:val="00B06BC1"/>
    <w:rsid w:val="00B11B22"/>
    <w:rsid w:val="00B124FE"/>
    <w:rsid w:val="00B15630"/>
    <w:rsid w:val="00B1686D"/>
    <w:rsid w:val="00B252B5"/>
    <w:rsid w:val="00B27724"/>
    <w:rsid w:val="00B34AC6"/>
    <w:rsid w:val="00B36E08"/>
    <w:rsid w:val="00B42D22"/>
    <w:rsid w:val="00B4369B"/>
    <w:rsid w:val="00B47B16"/>
    <w:rsid w:val="00B50B5B"/>
    <w:rsid w:val="00B60DB1"/>
    <w:rsid w:val="00B61F91"/>
    <w:rsid w:val="00B64651"/>
    <w:rsid w:val="00B651D9"/>
    <w:rsid w:val="00B6536A"/>
    <w:rsid w:val="00B71F58"/>
    <w:rsid w:val="00B72629"/>
    <w:rsid w:val="00B76714"/>
    <w:rsid w:val="00B76CD7"/>
    <w:rsid w:val="00B80A6F"/>
    <w:rsid w:val="00B81916"/>
    <w:rsid w:val="00B83BD6"/>
    <w:rsid w:val="00B86803"/>
    <w:rsid w:val="00B86DD7"/>
    <w:rsid w:val="00B87DDB"/>
    <w:rsid w:val="00B87F36"/>
    <w:rsid w:val="00B907CD"/>
    <w:rsid w:val="00B92FC9"/>
    <w:rsid w:val="00BA1A68"/>
    <w:rsid w:val="00BA2106"/>
    <w:rsid w:val="00BA28AC"/>
    <w:rsid w:val="00BA2C91"/>
    <w:rsid w:val="00BA784A"/>
    <w:rsid w:val="00BB0D6F"/>
    <w:rsid w:val="00BB2C8B"/>
    <w:rsid w:val="00BB3475"/>
    <w:rsid w:val="00BB34F5"/>
    <w:rsid w:val="00BB6D48"/>
    <w:rsid w:val="00BC08BF"/>
    <w:rsid w:val="00BC2D03"/>
    <w:rsid w:val="00BC3405"/>
    <w:rsid w:val="00BC629B"/>
    <w:rsid w:val="00BC6330"/>
    <w:rsid w:val="00BC6EB8"/>
    <w:rsid w:val="00BD0461"/>
    <w:rsid w:val="00BD0933"/>
    <w:rsid w:val="00BD0997"/>
    <w:rsid w:val="00BD11BE"/>
    <w:rsid w:val="00BD4929"/>
    <w:rsid w:val="00BD6766"/>
    <w:rsid w:val="00BD7B75"/>
    <w:rsid w:val="00BE15A4"/>
    <w:rsid w:val="00BE171B"/>
    <w:rsid w:val="00BE2186"/>
    <w:rsid w:val="00BE5498"/>
    <w:rsid w:val="00BE7CB0"/>
    <w:rsid w:val="00BF0049"/>
    <w:rsid w:val="00BF5F4D"/>
    <w:rsid w:val="00BF6FD4"/>
    <w:rsid w:val="00BF7B5E"/>
    <w:rsid w:val="00C17D76"/>
    <w:rsid w:val="00C20698"/>
    <w:rsid w:val="00C20E00"/>
    <w:rsid w:val="00C21BD2"/>
    <w:rsid w:val="00C2682B"/>
    <w:rsid w:val="00C3163D"/>
    <w:rsid w:val="00C33B6F"/>
    <w:rsid w:val="00C34BEC"/>
    <w:rsid w:val="00C40240"/>
    <w:rsid w:val="00C41BB6"/>
    <w:rsid w:val="00C41BCB"/>
    <w:rsid w:val="00C41D54"/>
    <w:rsid w:val="00C4251A"/>
    <w:rsid w:val="00C442CB"/>
    <w:rsid w:val="00C45F77"/>
    <w:rsid w:val="00C46420"/>
    <w:rsid w:val="00C46C3E"/>
    <w:rsid w:val="00C502F3"/>
    <w:rsid w:val="00C528D7"/>
    <w:rsid w:val="00C54A34"/>
    <w:rsid w:val="00C55010"/>
    <w:rsid w:val="00C56135"/>
    <w:rsid w:val="00C6052A"/>
    <w:rsid w:val="00C60B75"/>
    <w:rsid w:val="00C719BC"/>
    <w:rsid w:val="00C7220F"/>
    <w:rsid w:val="00C7270F"/>
    <w:rsid w:val="00C747F4"/>
    <w:rsid w:val="00C757CA"/>
    <w:rsid w:val="00C768E2"/>
    <w:rsid w:val="00C77887"/>
    <w:rsid w:val="00C80972"/>
    <w:rsid w:val="00C80BFD"/>
    <w:rsid w:val="00C86B38"/>
    <w:rsid w:val="00C86E84"/>
    <w:rsid w:val="00C9292B"/>
    <w:rsid w:val="00C93125"/>
    <w:rsid w:val="00C94689"/>
    <w:rsid w:val="00C9762E"/>
    <w:rsid w:val="00C9793B"/>
    <w:rsid w:val="00CA1EF4"/>
    <w:rsid w:val="00CA289A"/>
    <w:rsid w:val="00CB5C84"/>
    <w:rsid w:val="00CC2EA4"/>
    <w:rsid w:val="00CC3073"/>
    <w:rsid w:val="00CC5C9C"/>
    <w:rsid w:val="00CD1B08"/>
    <w:rsid w:val="00CD3884"/>
    <w:rsid w:val="00CD6CBE"/>
    <w:rsid w:val="00CE1339"/>
    <w:rsid w:val="00CE2093"/>
    <w:rsid w:val="00CE486D"/>
    <w:rsid w:val="00CF00A3"/>
    <w:rsid w:val="00CF0AF6"/>
    <w:rsid w:val="00CF2C80"/>
    <w:rsid w:val="00CF3BA0"/>
    <w:rsid w:val="00D002F6"/>
    <w:rsid w:val="00D01E6C"/>
    <w:rsid w:val="00D051E8"/>
    <w:rsid w:val="00D06156"/>
    <w:rsid w:val="00D068A1"/>
    <w:rsid w:val="00D1210F"/>
    <w:rsid w:val="00D126E5"/>
    <w:rsid w:val="00D14B56"/>
    <w:rsid w:val="00D152CE"/>
    <w:rsid w:val="00D1664A"/>
    <w:rsid w:val="00D32B3A"/>
    <w:rsid w:val="00D401A9"/>
    <w:rsid w:val="00D42F93"/>
    <w:rsid w:val="00D533BE"/>
    <w:rsid w:val="00D53414"/>
    <w:rsid w:val="00D5452A"/>
    <w:rsid w:val="00D56D44"/>
    <w:rsid w:val="00D63B38"/>
    <w:rsid w:val="00D7108F"/>
    <w:rsid w:val="00D72B68"/>
    <w:rsid w:val="00D7511D"/>
    <w:rsid w:val="00D75862"/>
    <w:rsid w:val="00D802E0"/>
    <w:rsid w:val="00D80B1A"/>
    <w:rsid w:val="00D904FF"/>
    <w:rsid w:val="00D908A3"/>
    <w:rsid w:val="00D939F1"/>
    <w:rsid w:val="00D95008"/>
    <w:rsid w:val="00D9674E"/>
    <w:rsid w:val="00D970EC"/>
    <w:rsid w:val="00D97341"/>
    <w:rsid w:val="00DA263E"/>
    <w:rsid w:val="00DA79DC"/>
    <w:rsid w:val="00DB00A3"/>
    <w:rsid w:val="00DB0C3A"/>
    <w:rsid w:val="00DB1C55"/>
    <w:rsid w:val="00DB313A"/>
    <w:rsid w:val="00DB35FC"/>
    <w:rsid w:val="00DB47D3"/>
    <w:rsid w:val="00DB5B69"/>
    <w:rsid w:val="00DB6C68"/>
    <w:rsid w:val="00DC2073"/>
    <w:rsid w:val="00DC45F9"/>
    <w:rsid w:val="00DC7B55"/>
    <w:rsid w:val="00DD58CC"/>
    <w:rsid w:val="00DD706C"/>
    <w:rsid w:val="00DE1A97"/>
    <w:rsid w:val="00DE4D23"/>
    <w:rsid w:val="00DF13CB"/>
    <w:rsid w:val="00DF419C"/>
    <w:rsid w:val="00E022D8"/>
    <w:rsid w:val="00E02432"/>
    <w:rsid w:val="00E0473F"/>
    <w:rsid w:val="00E04A7D"/>
    <w:rsid w:val="00E12455"/>
    <w:rsid w:val="00E13F78"/>
    <w:rsid w:val="00E167FD"/>
    <w:rsid w:val="00E16A48"/>
    <w:rsid w:val="00E248B2"/>
    <w:rsid w:val="00E25DC3"/>
    <w:rsid w:val="00E3150A"/>
    <w:rsid w:val="00E35123"/>
    <w:rsid w:val="00E351BF"/>
    <w:rsid w:val="00E37590"/>
    <w:rsid w:val="00E40579"/>
    <w:rsid w:val="00E440C4"/>
    <w:rsid w:val="00E441B3"/>
    <w:rsid w:val="00E45F7D"/>
    <w:rsid w:val="00E54DF1"/>
    <w:rsid w:val="00E56C1D"/>
    <w:rsid w:val="00E6037C"/>
    <w:rsid w:val="00E6551B"/>
    <w:rsid w:val="00E666A0"/>
    <w:rsid w:val="00E668BB"/>
    <w:rsid w:val="00E7183B"/>
    <w:rsid w:val="00E71C26"/>
    <w:rsid w:val="00E73C3E"/>
    <w:rsid w:val="00E74497"/>
    <w:rsid w:val="00E75866"/>
    <w:rsid w:val="00E759AA"/>
    <w:rsid w:val="00E77360"/>
    <w:rsid w:val="00E81DB9"/>
    <w:rsid w:val="00E85DE6"/>
    <w:rsid w:val="00E868E3"/>
    <w:rsid w:val="00E87923"/>
    <w:rsid w:val="00E912BD"/>
    <w:rsid w:val="00E91B3A"/>
    <w:rsid w:val="00E931B4"/>
    <w:rsid w:val="00E931F6"/>
    <w:rsid w:val="00E934F3"/>
    <w:rsid w:val="00E9586E"/>
    <w:rsid w:val="00E96584"/>
    <w:rsid w:val="00EA16DC"/>
    <w:rsid w:val="00EA3910"/>
    <w:rsid w:val="00EA4FFB"/>
    <w:rsid w:val="00EA69AD"/>
    <w:rsid w:val="00EA6F7E"/>
    <w:rsid w:val="00EB03A8"/>
    <w:rsid w:val="00EB13E5"/>
    <w:rsid w:val="00EB16B6"/>
    <w:rsid w:val="00EB2DF2"/>
    <w:rsid w:val="00EB311E"/>
    <w:rsid w:val="00EB38D8"/>
    <w:rsid w:val="00EB55DE"/>
    <w:rsid w:val="00EB75DF"/>
    <w:rsid w:val="00EC3446"/>
    <w:rsid w:val="00EC3C29"/>
    <w:rsid w:val="00EC7CA7"/>
    <w:rsid w:val="00ED01B0"/>
    <w:rsid w:val="00ED1759"/>
    <w:rsid w:val="00ED2057"/>
    <w:rsid w:val="00ED2908"/>
    <w:rsid w:val="00ED71BB"/>
    <w:rsid w:val="00ED7477"/>
    <w:rsid w:val="00ED7CDF"/>
    <w:rsid w:val="00EE1ACF"/>
    <w:rsid w:val="00EE269A"/>
    <w:rsid w:val="00EE2F56"/>
    <w:rsid w:val="00EE3C21"/>
    <w:rsid w:val="00EE4E2D"/>
    <w:rsid w:val="00EE618B"/>
    <w:rsid w:val="00EE6254"/>
    <w:rsid w:val="00EE7A7B"/>
    <w:rsid w:val="00EF0055"/>
    <w:rsid w:val="00EF1021"/>
    <w:rsid w:val="00EF1149"/>
    <w:rsid w:val="00EF48DB"/>
    <w:rsid w:val="00EF49D3"/>
    <w:rsid w:val="00EF6017"/>
    <w:rsid w:val="00EF74D8"/>
    <w:rsid w:val="00F00FB8"/>
    <w:rsid w:val="00F01FFA"/>
    <w:rsid w:val="00F04823"/>
    <w:rsid w:val="00F05718"/>
    <w:rsid w:val="00F05CA7"/>
    <w:rsid w:val="00F060E5"/>
    <w:rsid w:val="00F07293"/>
    <w:rsid w:val="00F106BA"/>
    <w:rsid w:val="00F11185"/>
    <w:rsid w:val="00F14E16"/>
    <w:rsid w:val="00F16538"/>
    <w:rsid w:val="00F230EA"/>
    <w:rsid w:val="00F24DBA"/>
    <w:rsid w:val="00F24E4B"/>
    <w:rsid w:val="00F26190"/>
    <w:rsid w:val="00F2727D"/>
    <w:rsid w:val="00F27F44"/>
    <w:rsid w:val="00F32578"/>
    <w:rsid w:val="00F345CF"/>
    <w:rsid w:val="00F34FDB"/>
    <w:rsid w:val="00F409C0"/>
    <w:rsid w:val="00F40A38"/>
    <w:rsid w:val="00F41D07"/>
    <w:rsid w:val="00F45B32"/>
    <w:rsid w:val="00F464B5"/>
    <w:rsid w:val="00F501CA"/>
    <w:rsid w:val="00F5312B"/>
    <w:rsid w:val="00F57376"/>
    <w:rsid w:val="00F61DE3"/>
    <w:rsid w:val="00F62BB3"/>
    <w:rsid w:val="00F64705"/>
    <w:rsid w:val="00F64ECA"/>
    <w:rsid w:val="00F65176"/>
    <w:rsid w:val="00F66CB4"/>
    <w:rsid w:val="00F67388"/>
    <w:rsid w:val="00F67598"/>
    <w:rsid w:val="00F70C6A"/>
    <w:rsid w:val="00F7196A"/>
    <w:rsid w:val="00F74812"/>
    <w:rsid w:val="00F8039F"/>
    <w:rsid w:val="00F80D85"/>
    <w:rsid w:val="00F836EB"/>
    <w:rsid w:val="00F83A91"/>
    <w:rsid w:val="00F9283B"/>
    <w:rsid w:val="00F93608"/>
    <w:rsid w:val="00F946D2"/>
    <w:rsid w:val="00F94A61"/>
    <w:rsid w:val="00F94E05"/>
    <w:rsid w:val="00F95D7E"/>
    <w:rsid w:val="00F96CED"/>
    <w:rsid w:val="00F97766"/>
    <w:rsid w:val="00FA4346"/>
    <w:rsid w:val="00FA5BB4"/>
    <w:rsid w:val="00FB531F"/>
    <w:rsid w:val="00FB7796"/>
    <w:rsid w:val="00FC163F"/>
    <w:rsid w:val="00FC4497"/>
    <w:rsid w:val="00FD54BB"/>
    <w:rsid w:val="00FD724E"/>
    <w:rsid w:val="00FE249F"/>
    <w:rsid w:val="00FE46AB"/>
    <w:rsid w:val="00FE5231"/>
    <w:rsid w:val="00FE7C69"/>
    <w:rsid w:val="00FF57E2"/>
    <w:rsid w:val="00FF69B0"/>
    <w:rsid w:val="00FF79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79FA3"/>
  <w15:chartTrackingRefBased/>
  <w15:docId w15:val="{390E0028-2362-464B-88EC-39EF0D96B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5A4"/>
    <w:pPr>
      <w:spacing w:line="360" w:lineRule="auto"/>
      <w:jc w:val="both"/>
    </w:pPr>
    <w:rPr>
      <w:rFonts w:ascii="Garamond" w:hAnsi="Garamond"/>
      <w:sz w:val="24"/>
      <w:szCs w:val="24"/>
      <w:lang w:eastAsia="en-GB"/>
    </w:rPr>
  </w:style>
  <w:style w:type="paragraph" w:styleId="Heading1">
    <w:name w:val="heading 1"/>
    <w:basedOn w:val="Normal"/>
    <w:next w:val="Normal"/>
    <w:link w:val="Heading1Char"/>
    <w:uiPriority w:val="9"/>
    <w:qFormat/>
    <w:rsid w:val="00C528D7"/>
    <w:pPr>
      <w:numPr>
        <w:numId w:val="11"/>
      </w:numPr>
      <w:spacing w:before="240" w:after="240" w:line="276" w:lineRule="auto"/>
      <w:jc w:val="center"/>
      <w:outlineLvl w:val="0"/>
    </w:pPr>
    <w:rPr>
      <w:rFonts w:eastAsia="Arial" w:cs="Arial"/>
      <w:b/>
      <w:sz w:val="32"/>
      <w:szCs w:val="32"/>
    </w:rPr>
  </w:style>
  <w:style w:type="paragraph" w:styleId="Heading2">
    <w:name w:val="heading 2"/>
    <w:basedOn w:val="Normal"/>
    <w:next w:val="Normal"/>
    <w:link w:val="Heading2Char"/>
    <w:uiPriority w:val="9"/>
    <w:unhideWhenUsed/>
    <w:qFormat/>
    <w:rsid w:val="005035B4"/>
    <w:pPr>
      <w:numPr>
        <w:ilvl w:val="1"/>
        <w:numId w:val="11"/>
      </w:numPr>
      <w:spacing w:before="240" w:after="0"/>
      <w:outlineLvl w:val="1"/>
    </w:pPr>
    <w:rPr>
      <w:rFonts w:eastAsia="Arial" w:cs="Arial"/>
      <w:b/>
      <w:sz w:val="30"/>
      <w:szCs w:val="30"/>
    </w:rPr>
  </w:style>
  <w:style w:type="paragraph" w:styleId="Heading3">
    <w:name w:val="heading 3"/>
    <w:basedOn w:val="Normal"/>
    <w:next w:val="Normal"/>
    <w:link w:val="Heading3Char"/>
    <w:uiPriority w:val="9"/>
    <w:unhideWhenUsed/>
    <w:qFormat/>
    <w:rsid w:val="005035B4"/>
    <w:pPr>
      <w:keepNext/>
      <w:keepLines/>
      <w:numPr>
        <w:ilvl w:val="2"/>
        <w:numId w:val="11"/>
      </w:numPr>
      <w:spacing w:before="40" w:after="0"/>
      <w:outlineLvl w:val="2"/>
    </w:pPr>
    <w:rPr>
      <w:rFonts w:eastAsia="Arial" w:cs="Arial"/>
      <w:b/>
      <w:bCs/>
      <w:sz w:val="26"/>
      <w:szCs w:val="26"/>
    </w:rPr>
  </w:style>
  <w:style w:type="paragraph" w:styleId="Heading4">
    <w:name w:val="heading 4"/>
    <w:aliases w:val="Heading special"/>
    <w:basedOn w:val="Normal"/>
    <w:next w:val="Normal"/>
    <w:link w:val="Heading4Char"/>
    <w:uiPriority w:val="9"/>
    <w:unhideWhenUsed/>
    <w:rsid w:val="00E37590"/>
    <w:pPr>
      <w:keepNext/>
      <w:keepLines/>
      <w:spacing w:before="280" w:after="80" w:line="276" w:lineRule="auto"/>
      <w:outlineLvl w:val="3"/>
    </w:pPr>
    <w:rPr>
      <w:rFonts w:ascii="Arial" w:eastAsia="Arial" w:hAnsi="Arial" w:cs="Arial"/>
      <w:color w:val="666666"/>
    </w:rPr>
  </w:style>
  <w:style w:type="paragraph" w:styleId="Heading5">
    <w:name w:val="heading 5"/>
    <w:aliases w:val="Table1"/>
    <w:basedOn w:val="Normal"/>
    <w:next w:val="Normal"/>
    <w:link w:val="Heading5Char"/>
    <w:uiPriority w:val="9"/>
    <w:unhideWhenUsed/>
    <w:qFormat/>
    <w:rsid w:val="00C86B38"/>
    <w:pPr>
      <w:keepNext/>
      <w:keepLines/>
      <w:spacing w:after="0" w:line="276" w:lineRule="auto"/>
      <w:outlineLvl w:val="4"/>
    </w:pPr>
    <w:rPr>
      <w:rFonts w:eastAsia="Arial" w:cs="Arial"/>
    </w:rPr>
  </w:style>
  <w:style w:type="paragraph" w:styleId="Heading6">
    <w:name w:val="heading 6"/>
    <w:basedOn w:val="Normal"/>
    <w:next w:val="Normal"/>
    <w:link w:val="Heading6Char"/>
    <w:uiPriority w:val="9"/>
    <w:unhideWhenUsed/>
    <w:qFormat/>
    <w:rsid w:val="00E37590"/>
    <w:pPr>
      <w:keepNext/>
      <w:keepLines/>
      <w:spacing w:before="240" w:after="80" w:line="276" w:lineRule="auto"/>
      <w:outlineLvl w:val="5"/>
    </w:pPr>
    <w:rPr>
      <w:rFonts w:ascii="Arial" w:eastAsia="Arial" w:hAnsi="Arial" w:cs="Arial"/>
      <w:i/>
      <w:color w:val="666666"/>
    </w:rPr>
  </w:style>
  <w:style w:type="paragraph" w:styleId="Heading7">
    <w:name w:val="heading 7"/>
    <w:basedOn w:val="Normal"/>
    <w:next w:val="Normal"/>
    <w:link w:val="Heading7Char"/>
    <w:uiPriority w:val="9"/>
    <w:semiHidden/>
    <w:unhideWhenUsed/>
    <w:qFormat/>
    <w:rsid w:val="00E3759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3759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759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8D7"/>
    <w:rPr>
      <w:rFonts w:ascii="Garamond" w:eastAsia="Arial" w:hAnsi="Garamond" w:cs="Arial"/>
      <w:b/>
      <w:sz w:val="32"/>
      <w:szCs w:val="32"/>
      <w:lang w:eastAsia="en-GB"/>
    </w:rPr>
  </w:style>
  <w:style w:type="character" w:customStyle="1" w:styleId="Heading2Char">
    <w:name w:val="Heading 2 Char"/>
    <w:basedOn w:val="DefaultParagraphFont"/>
    <w:link w:val="Heading2"/>
    <w:uiPriority w:val="9"/>
    <w:rsid w:val="005035B4"/>
    <w:rPr>
      <w:rFonts w:ascii="Garamond" w:eastAsia="Arial" w:hAnsi="Garamond" w:cs="Arial"/>
      <w:b/>
      <w:sz w:val="30"/>
      <w:szCs w:val="30"/>
      <w:lang w:eastAsia="en-GB"/>
    </w:rPr>
  </w:style>
  <w:style w:type="character" w:customStyle="1" w:styleId="Heading3Char">
    <w:name w:val="Heading 3 Char"/>
    <w:basedOn w:val="DefaultParagraphFont"/>
    <w:link w:val="Heading3"/>
    <w:uiPriority w:val="9"/>
    <w:rsid w:val="005035B4"/>
    <w:rPr>
      <w:rFonts w:ascii="Garamond" w:eastAsia="Arial" w:hAnsi="Garamond" w:cs="Arial"/>
      <w:b/>
      <w:bCs/>
      <w:sz w:val="26"/>
      <w:szCs w:val="26"/>
      <w:lang w:eastAsia="en-GB"/>
    </w:rPr>
  </w:style>
  <w:style w:type="character" w:customStyle="1" w:styleId="Heading4Char">
    <w:name w:val="Heading 4 Char"/>
    <w:aliases w:val="Heading special Char"/>
    <w:basedOn w:val="DefaultParagraphFont"/>
    <w:link w:val="Heading4"/>
    <w:uiPriority w:val="9"/>
    <w:rsid w:val="00E37590"/>
    <w:rPr>
      <w:rFonts w:ascii="Arial" w:eastAsia="Arial" w:hAnsi="Arial" w:cs="Arial"/>
      <w:color w:val="666666"/>
      <w:sz w:val="24"/>
      <w:szCs w:val="24"/>
      <w:lang w:eastAsia="en-GB"/>
    </w:rPr>
  </w:style>
  <w:style w:type="character" w:customStyle="1" w:styleId="Heading5Char">
    <w:name w:val="Heading 5 Char"/>
    <w:aliases w:val="Table1 Char"/>
    <w:basedOn w:val="DefaultParagraphFont"/>
    <w:link w:val="Heading5"/>
    <w:uiPriority w:val="9"/>
    <w:rsid w:val="00C86B38"/>
    <w:rPr>
      <w:rFonts w:ascii="Garamond" w:eastAsia="Arial" w:hAnsi="Garamond" w:cs="Arial"/>
      <w:lang w:eastAsia="en-GB"/>
    </w:rPr>
  </w:style>
  <w:style w:type="character" w:customStyle="1" w:styleId="Heading6Char">
    <w:name w:val="Heading 6 Char"/>
    <w:basedOn w:val="DefaultParagraphFont"/>
    <w:link w:val="Heading6"/>
    <w:uiPriority w:val="9"/>
    <w:rsid w:val="00E37590"/>
    <w:rPr>
      <w:rFonts w:ascii="Arial" w:eastAsia="Arial" w:hAnsi="Arial" w:cs="Arial"/>
      <w:i/>
      <w:color w:val="666666"/>
      <w:lang w:eastAsia="en-GB"/>
    </w:rPr>
  </w:style>
  <w:style w:type="character" w:styleId="Hyperlink">
    <w:name w:val="Hyperlink"/>
    <w:basedOn w:val="DefaultParagraphFont"/>
    <w:uiPriority w:val="99"/>
    <w:unhideWhenUsed/>
    <w:rsid w:val="00193EF4"/>
    <w:rPr>
      <w:color w:val="0563C1" w:themeColor="hyperlink"/>
      <w:u w:val="single"/>
    </w:rPr>
  </w:style>
  <w:style w:type="paragraph" w:styleId="Subtitle">
    <w:name w:val="Subtitle"/>
    <w:basedOn w:val="Normal"/>
    <w:next w:val="Normal"/>
    <w:link w:val="SubtitleChar"/>
    <w:rsid w:val="00E37590"/>
    <w:pPr>
      <w:keepNext/>
      <w:keepLines/>
      <w:spacing w:after="320" w:line="276" w:lineRule="auto"/>
    </w:pPr>
    <w:rPr>
      <w:rFonts w:ascii="Arial" w:eastAsia="Arial" w:hAnsi="Arial" w:cs="Arial"/>
      <w:color w:val="666666"/>
      <w:sz w:val="30"/>
      <w:szCs w:val="30"/>
    </w:rPr>
  </w:style>
  <w:style w:type="character" w:customStyle="1" w:styleId="SubtitleChar">
    <w:name w:val="Subtitle Char"/>
    <w:basedOn w:val="DefaultParagraphFont"/>
    <w:link w:val="Subtitle"/>
    <w:rsid w:val="00E37590"/>
    <w:rPr>
      <w:rFonts w:ascii="Arial" w:eastAsia="Arial" w:hAnsi="Arial" w:cs="Arial"/>
      <w:color w:val="666666"/>
      <w:sz w:val="30"/>
      <w:szCs w:val="30"/>
      <w:lang w:eastAsia="en-GB"/>
    </w:rPr>
  </w:style>
  <w:style w:type="table" w:styleId="TableGrid">
    <w:name w:val="Table Grid"/>
    <w:basedOn w:val="TableNormal"/>
    <w:uiPriority w:val="39"/>
    <w:rsid w:val="00E3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37590"/>
    <w:pPr>
      <w:tabs>
        <w:tab w:val="center" w:pos="4513"/>
        <w:tab w:val="right" w:pos="9026"/>
      </w:tabs>
      <w:spacing w:after="0" w:line="240" w:lineRule="auto"/>
    </w:pPr>
    <w:rPr>
      <w:rFonts w:ascii="Arial" w:eastAsia="Arial" w:hAnsi="Arial" w:cs="Arial"/>
    </w:rPr>
  </w:style>
  <w:style w:type="character" w:customStyle="1" w:styleId="FooterChar">
    <w:name w:val="Footer Char"/>
    <w:basedOn w:val="DefaultParagraphFont"/>
    <w:link w:val="Footer"/>
    <w:uiPriority w:val="99"/>
    <w:rsid w:val="00E37590"/>
    <w:rPr>
      <w:rFonts w:ascii="Arial" w:eastAsia="Arial" w:hAnsi="Arial" w:cs="Arial"/>
      <w:lang w:eastAsia="en-GB"/>
    </w:rPr>
  </w:style>
  <w:style w:type="paragraph" w:styleId="CommentSubject">
    <w:name w:val="annotation subject"/>
    <w:basedOn w:val="Normal"/>
    <w:next w:val="Normal"/>
    <w:link w:val="CommentSubjectChar"/>
    <w:uiPriority w:val="99"/>
    <w:semiHidden/>
    <w:unhideWhenUsed/>
    <w:rsid w:val="00405763"/>
    <w:pPr>
      <w:spacing w:after="0" w:line="240" w:lineRule="auto"/>
    </w:pPr>
    <w:rPr>
      <w:rFonts w:ascii="Arial" w:eastAsia="Arial" w:hAnsi="Arial" w:cs="Arial"/>
      <w:b/>
      <w:bCs/>
      <w:sz w:val="20"/>
      <w:szCs w:val="20"/>
    </w:rPr>
  </w:style>
  <w:style w:type="character" w:customStyle="1" w:styleId="CommentSubjectChar">
    <w:name w:val="Comment Subject Char"/>
    <w:basedOn w:val="DefaultParagraphFont"/>
    <w:link w:val="CommentSubject"/>
    <w:uiPriority w:val="99"/>
    <w:semiHidden/>
    <w:rsid w:val="00405763"/>
    <w:rPr>
      <w:rFonts w:ascii="Arial" w:eastAsia="Arial" w:hAnsi="Arial" w:cs="Arial"/>
      <w:b/>
      <w:bCs/>
      <w:sz w:val="20"/>
      <w:szCs w:val="20"/>
      <w:lang w:eastAsia="en-GB"/>
    </w:rPr>
  </w:style>
  <w:style w:type="paragraph" w:styleId="FootnoteText">
    <w:name w:val="footnote text"/>
    <w:basedOn w:val="Normal"/>
    <w:link w:val="FootnoteTextChar"/>
    <w:uiPriority w:val="99"/>
    <w:unhideWhenUsed/>
    <w:qFormat/>
    <w:rsid w:val="00DB00A3"/>
    <w:pPr>
      <w:spacing w:after="0" w:line="240" w:lineRule="auto"/>
    </w:pPr>
    <w:rPr>
      <w:rFonts w:asciiTheme="majorBidi" w:eastAsia="Arial" w:hAnsiTheme="majorBidi" w:cstheme="majorBidi"/>
      <w:i/>
      <w:iCs/>
      <w:sz w:val="20"/>
      <w:szCs w:val="20"/>
    </w:rPr>
  </w:style>
  <w:style w:type="character" w:customStyle="1" w:styleId="FootnoteTextChar">
    <w:name w:val="Footnote Text Char"/>
    <w:basedOn w:val="DefaultParagraphFont"/>
    <w:link w:val="FootnoteText"/>
    <w:uiPriority w:val="99"/>
    <w:rsid w:val="00DB00A3"/>
    <w:rPr>
      <w:rFonts w:asciiTheme="majorBidi" w:eastAsia="Arial" w:hAnsiTheme="majorBidi" w:cstheme="majorBidi"/>
      <w:i/>
      <w:iCs/>
      <w:sz w:val="20"/>
      <w:szCs w:val="20"/>
      <w:lang w:eastAsia="en-GB"/>
    </w:rPr>
  </w:style>
  <w:style w:type="character" w:styleId="FootnoteReference">
    <w:name w:val="footnote reference"/>
    <w:basedOn w:val="DefaultParagraphFont"/>
    <w:uiPriority w:val="99"/>
    <w:unhideWhenUsed/>
    <w:rsid w:val="00E37590"/>
    <w:rPr>
      <w:vertAlign w:val="superscript"/>
    </w:rPr>
  </w:style>
  <w:style w:type="paragraph" w:styleId="Revision">
    <w:name w:val="Revision"/>
    <w:hidden/>
    <w:uiPriority w:val="99"/>
    <w:semiHidden/>
    <w:rsid w:val="00E37590"/>
    <w:pPr>
      <w:spacing w:after="0" w:line="240" w:lineRule="auto"/>
    </w:pPr>
    <w:rPr>
      <w:rFonts w:ascii="Arial" w:eastAsia="Arial" w:hAnsi="Arial" w:cs="Arial"/>
      <w:lang w:eastAsia="en-GB"/>
    </w:rPr>
  </w:style>
  <w:style w:type="character" w:styleId="LineNumber">
    <w:name w:val="line number"/>
    <w:basedOn w:val="DefaultParagraphFont"/>
    <w:uiPriority w:val="99"/>
    <w:semiHidden/>
    <w:unhideWhenUsed/>
    <w:rsid w:val="00E37590"/>
  </w:style>
  <w:style w:type="character" w:customStyle="1" w:styleId="Heading7Char">
    <w:name w:val="Heading 7 Char"/>
    <w:basedOn w:val="DefaultParagraphFont"/>
    <w:link w:val="Heading7"/>
    <w:uiPriority w:val="9"/>
    <w:semiHidden/>
    <w:rsid w:val="00E3759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3759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37590"/>
    <w:rPr>
      <w:rFonts w:asciiTheme="majorHAnsi" w:eastAsiaTheme="majorEastAsia" w:hAnsiTheme="majorHAnsi" w:cstheme="majorBidi"/>
      <w:i/>
      <w:iCs/>
      <w:color w:val="272727" w:themeColor="text1" w:themeTint="D8"/>
      <w:sz w:val="21"/>
      <w:szCs w:val="21"/>
    </w:rPr>
  </w:style>
  <w:style w:type="character" w:customStyle="1" w:styleId="v-button-caption">
    <w:name w:val="v-button-caption"/>
    <w:rsid w:val="00E37590"/>
  </w:style>
  <w:style w:type="paragraph" w:styleId="ListParagraph">
    <w:name w:val="List Paragraph"/>
    <w:basedOn w:val="Normal"/>
    <w:uiPriority w:val="34"/>
    <w:qFormat/>
    <w:rsid w:val="00E37590"/>
    <w:pPr>
      <w:numPr>
        <w:numId w:val="2"/>
      </w:numPr>
      <w:spacing w:after="0"/>
    </w:pPr>
    <w:rPr>
      <w:rFonts w:eastAsia="Calibri" w:cs="Times New Roman"/>
    </w:rPr>
  </w:style>
  <w:style w:type="paragraph" w:styleId="NormalWeb">
    <w:name w:val="Normal (Web)"/>
    <w:basedOn w:val="Normal"/>
    <w:uiPriority w:val="99"/>
    <w:unhideWhenUsed/>
    <w:rsid w:val="00E37590"/>
    <w:pPr>
      <w:spacing w:before="100" w:beforeAutospacing="1" w:after="100" w:afterAutospacing="1" w:line="240" w:lineRule="auto"/>
    </w:pPr>
    <w:rPr>
      <w:rFonts w:ascii="Times New Roman" w:eastAsia="Times New Roman" w:hAnsi="Times New Roman" w:cs="Times New Roman"/>
      <w:lang w:eastAsia="zh-CN"/>
    </w:rPr>
  </w:style>
  <w:style w:type="paragraph" w:styleId="TOCHeading">
    <w:name w:val="TOC Heading"/>
    <w:basedOn w:val="Heading1"/>
    <w:next w:val="Normal"/>
    <w:uiPriority w:val="39"/>
    <w:unhideWhenUsed/>
    <w:qFormat/>
    <w:rsid w:val="00C41D54"/>
    <w:pPr>
      <w:numPr>
        <w:numId w:val="0"/>
      </w:numPr>
      <w:spacing w:before="480"/>
      <w:ind w:left="360"/>
      <w:outlineLvl w:val="9"/>
    </w:pPr>
    <w:rPr>
      <w:rFonts w:eastAsia="Times New Roman" w:cs="Times New Roman"/>
      <w:lang w:val="en-US" w:eastAsia="en-US"/>
    </w:rPr>
  </w:style>
  <w:style w:type="paragraph" w:styleId="TOC1">
    <w:name w:val="toc 1"/>
    <w:basedOn w:val="Normal"/>
    <w:next w:val="Normal"/>
    <w:autoRedefine/>
    <w:uiPriority w:val="39"/>
    <w:unhideWhenUsed/>
    <w:rsid w:val="00E37590"/>
    <w:pPr>
      <w:tabs>
        <w:tab w:val="left" w:pos="440"/>
        <w:tab w:val="right" w:leader="dot" w:pos="9062"/>
      </w:tabs>
      <w:spacing w:before="120" w:after="0"/>
    </w:pPr>
    <w:rPr>
      <w:rFonts w:eastAsia="Calibri" w:cstheme="minorHAnsi"/>
      <w:b/>
      <w:bCs/>
      <w:i/>
      <w:iCs/>
    </w:rPr>
  </w:style>
  <w:style w:type="paragraph" w:styleId="TOC2">
    <w:name w:val="toc 2"/>
    <w:basedOn w:val="Normal"/>
    <w:next w:val="Normal"/>
    <w:autoRedefine/>
    <w:uiPriority w:val="39"/>
    <w:unhideWhenUsed/>
    <w:rsid w:val="00E37590"/>
    <w:pPr>
      <w:spacing w:before="120" w:after="0"/>
      <w:ind w:left="220"/>
    </w:pPr>
    <w:rPr>
      <w:rFonts w:eastAsia="Calibri" w:cstheme="minorHAnsi"/>
      <w:b/>
      <w:bCs/>
    </w:rPr>
  </w:style>
  <w:style w:type="paragraph" w:styleId="TOC3">
    <w:name w:val="toc 3"/>
    <w:basedOn w:val="Normal"/>
    <w:next w:val="Normal"/>
    <w:autoRedefine/>
    <w:uiPriority w:val="39"/>
    <w:unhideWhenUsed/>
    <w:rsid w:val="00E37590"/>
    <w:pPr>
      <w:spacing w:after="0"/>
      <w:ind w:left="440"/>
    </w:pPr>
    <w:rPr>
      <w:rFonts w:eastAsia="Calibri" w:cstheme="minorHAnsi"/>
      <w:sz w:val="20"/>
      <w:szCs w:val="20"/>
    </w:rPr>
  </w:style>
  <w:style w:type="paragraph" w:styleId="TOC4">
    <w:name w:val="toc 4"/>
    <w:basedOn w:val="Normal"/>
    <w:next w:val="Normal"/>
    <w:autoRedefine/>
    <w:uiPriority w:val="39"/>
    <w:unhideWhenUsed/>
    <w:rsid w:val="00E37590"/>
    <w:pPr>
      <w:spacing w:after="0"/>
      <w:ind w:left="660"/>
    </w:pPr>
    <w:rPr>
      <w:rFonts w:eastAsia="Calibri" w:cstheme="minorHAnsi"/>
      <w:sz w:val="20"/>
      <w:szCs w:val="20"/>
    </w:rPr>
  </w:style>
  <w:style w:type="paragraph" w:styleId="TOC5">
    <w:name w:val="toc 5"/>
    <w:basedOn w:val="Normal"/>
    <w:next w:val="Normal"/>
    <w:autoRedefine/>
    <w:uiPriority w:val="39"/>
    <w:unhideWhenUsed/>
    <w:rsid w:val="00E37590"/>
    <w:pPr>
      <w:spacing w:after="0"/>
      <w:ind w:left="880"/>
    </w:pPr>
    <w:rPr>
      <w:rFonts w:eastAsia="Calibri" w:cstheme="minorHAnsi"/>
      <w:sz w:val="20"/>
      <w:szCs w:val="20"/>
    </w:rPr>
  </w:style>
  <w:style w:type="paragraph" w:styleId="TOC6">
    <w:name w:val="toc 6"/>
    <w:basedOn w:val="Normal"/>
    <w:next w:val="Normal"/>
    <w:autoRedefine/>
    <w:uiPriority w:val="39"/>
    <w:unhideWhenUsed/>
    <w:rsid w:val="00E37590"/>
    <w:pPr>
      <w:spacing w:after="0"/>
      <w:ind w:left="1100"/>
    </w:pPr>
    <w:rPr>
      <w:rFonts w:eastAsia="Calibri" w:cstheme="minorHAnsi"/>
      <w:sz w:val="20"/>
      <w:szCs w:val="20"/>
    </w:rPr>
  </w:style>
  <w:style w:type="paragraph" w:styleId="TOC7">
    <w:name w:val="toc 7"/>
    <w:basedOn w:val="Normal"/>
    <w:next w:val="Normal"/>
    <w:autoRedefine/>
    <w:uiPriority w:val="39"/>
    <w:unhideWhenUsed/>
    <w:rsid w:val="00E37590"/>
    <w:pPr>
      <w:spacing w:after="0"/>
      <w:ind w:left="1320"/>
    </w:pPr>
    <w:rPr>
      <w:rFonts w:eastAsia="Calibri" w:cstheme="minorHAnsi"/>
      <w:sz w:val="20"/>
      <w:szCs w:val="20"/>
    </w:rPr>
  </w:style>
  <w:style w:type="paragraph" w:styleId="TOC8">
    <w:name w:val="toc 8"/>
    <w:basedOn w:val="Normal"/>
    <w:next w:val="Normal"/>
    <w:autoRedefine/>
    <w:uiPriority w:val="39"/>
    <w:unhideWhenUsed/>
    <w:rsid w:val="00E37590"/>
    <w:pPr>
      <w:spacing w:after="0"/>
      <w:ind w:left="1540"/>
    </w:pPr>
    <w:rPr>
      <w:rFonts w:eastAsia="Calibri" w:cstheme="minorHAnsi"/>
      <w:sz w:val="20"/>
      <w:szCs w:val="20"/>
    </w:rPr>
  </w:style>
  <w:style w:type="paragraph" w:styleId="TOC9">
    <w:name w:val="toc 9"/>
    <w:basedOn w:val="Normal"/>
    <w:next w:val="Normal"/>
    <w:autoRedefine/>
    <w:uiPriority w:val="39"/>
    <w:unhideWhenUsed/>
    <w:rsid w:val="00E37590"/>
    <w:pPr>
      <w:spacing w:after="0"/>
      <w:ind w:left="1760"/>
    </w:pPr>
    <w:rPr>
      <w:rFonts w:eastAsia="Calibri" w:cstheme="minorHAnsi"/>
      <w:sz w:val="20"/>
      <w:szCs w:val="20"/>
    </w:rPr>
  </w:style>
  <w:style w:type="paragraph" w:styleId="Caption">
    <w:name w:val="caption"/>
    <w:aliases w:val="Table Caption"/>
    <w:basedOn w:val="Normal"/>
    <w:next w:val="Normal"/>
    <w:uiPriority w:val="35"/>
    <w:unhideWhenUsed/>
    <w:qFormat/>
    <w:rsid w:val="00E37590"/>
    <w:pPr>
      <w:keepNext/>
      <w:spacing w:after="200" w:line="240" w:lineRule="auto"/>
    </w:pPr>
    <w:rPr>
      <w:rFonts w:eastAsia="Calibri" w:cs="Times New Roman"/>
      <w:i/>
      <w:iCs/>
      <w:color w:val="000000" w:themeColor="text1"/>
      <w:sz w:val="20"/>
      <w:szCs w:val="14"/>
    </w:rPr>
  </w:style>
  <w:style w:type="table" w:styleId="PlainTable3">
    <w:name w:val="Plain Table 3"/>
    <w:basedOn w:val="TableNormal"/>
    <w:uiPriority w:val="43"/>
    <w:rsid w:val="00E37590"/>
    <w:pPr>
      <w:spacing w:after="0" w:line="240" w:lineRule="auto"/>
    </w:pPr>
    <w:rPr>
      <w:rFonts w:eastAsiaTheme="minorEastAsia"/>
      <w:lang w:val="en-US"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E37590"/>
    <w:rPr>
      <w:color w:val="605E5C"/>
      <w:shd w:val="clear" w:color="auto" w:fill="E1DFDD"/>
    </w:rPr>
  </w:style>
  <w:style w:type="character" w:styleId="PageNumber">
    <w:name w:val="page number"/>
    <w:basedOn w:val="DefaultParagraphFont"/>
    <w:uiPriority w:val="99"/>
    <w:semiHidden/>
    <w:unhideWhenUsed/>
    <w:rsid w:val="00E37590"/>
  </w:style>
  <w:style w:type="table" w:customStyle="1" w:styleId="PlainTable31">
    <w:name w:val="Plain Table 31"/>
    <w:basedOn w:val="TableNormal"/>
    <w:next w:val="PlainTable3"/>
    <w:uiPriority w:val="43"/>
    <w:rsid w:val="00E37590"/>
    <w:pPr>
      <w:spacing w:after="0" w:line="240" w:lineRule="auto"/>
    </w:pPr>
    <w:rPr>
      <w:rFonts w:eastAsiaTheme="minorEastAsia"/>
      <w:lang w:val="en-US" w:eastAsia="zh-C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E37590"/>
    <w:rPr>
      <w:color w:val="954F72" w:themeColor="followedHyperlink"/>
      <w:u w:val="single"/>
    </w:rPr>
  </w:style>
  <w:style w:type="numbering" w:customStyle="1" w:styleId="ImportedStyle1">
    <w:name w:val="Imported Style 1"/>
    <w:rsid w:val="00E37590"/>
    <w:pPr>
      <w:numPr>
        <w:numId w:val="1"/>
      </w:numPr>
    </w:pPr>
  </w:style>
  <w:style w:type="table" w:styleId="TableGridLight">
    <w:name w:val="Grid Table Light"/>
    <w:basedOn w:val="TableNormal"/>
    <w:uiPriority w:val="40"/>
    <w:rsid w:val="00E37590"/>
    <w:pPr>
      <w:spacing w:after="0" w:line="240" w:lineRule="auto"/>
    </w:pPr>
    <w:rPr>
      <w:rFonts w:ascii="Calibri" w:eastAsia="Calibri" w:hAnsi="Calibri" w:cs="Times New Roman"/>
      <w:sz w:val="20"/>
      <w:szCs w:val="20"/>
      <w:lang w:val="en-US"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ocumentMap">
    <w:name w:val="Document Map"/>
    <w:basedOn w:val="Normal"/>
    <w:link w:val="DocumentMapChar"/>
    <w:uiPriority w:val="99"/>
    <w:semiHidden/>
    <w:unhideWhenUsed/>
    <w:rsid w:val="00E37590"/>
    <w:pPr>
      <w:spacing w:after="0" w:line="240" w:lineRule="auto"/>
    </w:pPr>
    <w:rPr>
      <w:rFonts w:ascii="Times New Roman" w:eastAsia="Calibri" w:hAnsi="Times New Roman" w:cs="Times New Roman"/>
    </w:rPr>
  </w:style>
  <w:style w:type="character" w:customStyle="1" w:styleId="DocumentMapChar">
    <w:name w:val="Document Map Char"/>
    <w:basedOn w:val="DefaultParagraphFont"/>
    <w:link w:val="DocumentMap"/>
    <w:uiPriority w:val="99"/>
    <w:semiHidden/>
    <w:rsid w:val="00E37590"/>
    <w:rPr>
      <w:rFonts w:ascii="Times New Roman" w:eastAsia="Calibri" w:hAnsi="Times New Roman" w:cs="Times New Roman"/>
      <w:sz w:val="24"/>
      <w:szCs w:val="24"/>
    </w:rPr>
  </w:style>
  <w:style w:type="character" w:customStyle="1" w:styleId="UnresolvedMention2">
    <w:name w:val="Unresolved Mention2"/>
    <w:basedOn w:val="DefaultParagraphFont"/>
    <w:uiPriority w:val="99"/>
    <w:semiHidden/>
    <w:unhideWhenUsed/>
    <w:rsid w:val="00E37590"/>
    <w:rPr>
      <w:color w:val="605E5C"/>
      <w:shd w:val="clear" w:color="auto" w:fill="E1DFDD"/>
    </w:rPr>
  </w:style>
  <w:style w:type="paragraph" w:styleId="NoSpacing">
    <w:name w:val="No Spacing"/>
    <w:aliases w:val="Table body"/>
    <w:basedOn w:val="Normal"/>
    <w:uiPriority w:val="1"/>
    <w:qFormat/>
    <w:rsid w:val="00EB2DF2"/>
    <w:rPr>
      <w:b/>
      <w:bCs/>
      <w:i/>
      <w:iCs/>
      <w:sz w:val="20"/>
      <w:szCs w:val="20"/>
      <w:lang w:val="en-US"/>
    </w:rPr>
  </w:style>
  <w:style w:type="table" w:styleId="GridTable5Dark-Accent5">
    <w:name w:val="Grid Table 5 Dark Accent 5"/>
    <w:basedOn w:val="TableNormal"/>
    <w:uiPriority w:val="50"/>
    <w:rsid w:val="00E37590"/>
    <w:pPr>
      <w:spacing w:after="0" w:line="240" w:lineRule="auto"/>
    </w:pPr>
    <w:rPr>
      <w:rFonts w:ascii="Calibri" w:eastAsia="Calibri" w:hAnsi="Calibri" w:cs="Times New Roman"/>
      <w:sz w:val="20"/>
      <w:szCs w:val="20"/>
      <w:lang w:val="en-US"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4-Accent5">
    <w:name w:val="List Table 4 Accent 5"/>
    <w:basedOn w:val="TableNormal"/>
    <w:uiPriority w:val="49"/>
    <w:rsid w:val="00E37590"/>
    <w:pPr>
      <w:spacing w:after="0" w:line="240" w:lineRule="auto"/>
    </w:pPr>
    <w:rPr>
      <w:rFonts w:ascii="Calibri" w:eastAsia="Calibri" w:hAnsi="Calibri" w:cs="Times New Roman"/>
      <w:sz w:val="20"/>
      <w:szCs w:val="20"/>
      <w:lang w:val="en-US" w:eastAsia="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rsid w:val="00E37590"/>
    <w:pPr>
      <w:spacing w:after="0" w:line="240" w:lineRule="auto"/>
    </w:pPr>
    <w:rPr>
      <w:rFonts w:ascii="Calibri" w:eastAsia="Calibri" w:hAnsi="Calibri" w:cs="Times New Roman"/>
      <w:sz w:val="20"/>
      <w:szCs w:val="20"/>
      <w:lang w:val="en-US"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zionenonrisolta1">
    <w:name w:val="Menzione non risolta1"/>
    <w:basedOn w:val="DefaultParagraphFont"/>
    <w:uiPriority w:val="99"/>
    <w:semiHidden/>
    <w:unhideWhenUsed/>
    <w:rsid w:val="00E37590"/>
    <w:rPr>
      <w:color w:val="605E5C"/>
      <w:shd w:val="clear" w:color="auto" w:fill="E1DFDD"/>
    </w:rPr>
  </w:style>
  <w:style w:type="table" w:styleId="PlainTable2">
    <w:name w:val="Plain Table 2"/>
    <w:basedOn w:val="TableNormal"/>
    <w:uiPriority w:val="42"/>
    <w:rsid w:val="00E73C3E"/>
    <w:pPr>
      <w:spacing w:before="40" w:after="0" w:line="360" w:lineRule="auto"/>
      <w:jc w:val="both"/>
    </w:pPr>
    <w:rPr>
      <w:rFonts w:ascii="Calibri" w:eastAsia="Calibri" w:hAnsi="Calibri" w:cs="Times New Roman"/>
      <w:sz w:val="20"/>
      <w:szCs w:val="20"/>
      <w:lang w:val="en-US"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uiPriority w:val="99"/>
    <w:unhideWhenUsed/>
    <w:rsid w:val="00E73C3E"/>
    <w:pPr>
      <w:spacing w:before="40" w:after="240"/>
    </w:pPr>
    <w:rPr>
      <w:rFonts w:eastAsia="Calibri" w:cs="Times New Roman"/>
    </w:rPr>
  </w:style>
  <w:style w:type="table" w:customStyle="1" w:styleId="TableGrid1">
    <w:name w:val="Table Grid1"/>
    <w:basedOn w:val="TableNormal"/>
    <w:next w:val="TableGrid"/>
    <w:uiPriority w:val="39"/>
    <w:rsid w:val="00E73C3E"/>
    <w:pPr>
      <w:spacing w:after="0" w:line="276" w:lineRule="auto"/>
      <w:ind w:right="-57" w:firstLine="284"/>
      <w:jc w:val="both"/>
    </w:pPr>
    <w:rPr>
      <w:rFonts w:ascii="Calibri" w:eastAsia="SimSun" w:hAnsi="Calibri" w:cs="Arial"/>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rsid w:val="006E688F"/>
    <w:pPr>
      <w:spacing w:after="0" w:line="240" w:lineRule="auto"/>
      <w:jc w:val="left"/>
    </w:pPr>
    <w:rPr>
      <w:rFonts w:asciiTheme="majorBidi" w:eastAsia="Times New Roman" w:hAnsiTheme="majorBidi" w:cstheme="majorBidi"/>
      <w:b/>
      <w:bCs/>
      <w:color w:val="000000"/>
      <w:sz w:val="20"/>
      <w:szCs w:val="20"/>
      <w:lang w:eastAsia="zh-CN"/>
    </w:rPr>
  </w:style>
  <w:style w:type="paragraph" w:customStyle="1" w:styleId="Figurecaption">
    <w:name w:val="Figure caption"/>
    <w:basedOn w:val="Normal"/>
    <w:next w:val="Normal"/>
    <w:uiPriority w:val="4"/>
    <w:qFormat/>
    <w:rsid w:val="00DB00A3"/>
    <w:pPr>
      <w:spacing w:before="240" w:after="240" w:line="276" w:lineRule="auto"/>
      <w:ind w:right="-57" w:firstLine="284"/>
      <w:jc w:val="center"/>
    </w:pPr>
    <w:rPr>
      <w:rFonts w:eastAsia="Times New Roman" w:cs="Times New Roman"/>
      <w:i/>
      <w:iCs/>
    </w:rPr>
  </w:style>
  <w:style w:type="paragraph" w:customStyle="1" w:styleId="Authors">
    <w:name w:val="Authors"/>
    <w:basedOn w:val="Normal"/>
    <w:qFormat/>
    <w:rsid w:val="00BA1A68"/>
    <w:pPr>
      <w:jc w:val="center"/>
    </w:pPr>
  </w:style>
  <w:style w:type="paragraph" w:customStyle="1" w:styleId="Bulletedlist">
    <w:name w:val="Bulleted list"/>
    <w:basedOn w:val="Normal"/>
    <w:next w:val="Normal"/>
    <w:qFormat/>
    <w:rsid w:val="00405763"/>
    <w:pPr>
      <w:numPr>
        <w:numId w:val="10"/>
      </w:numPr>
      <w:spacing w:before="240" w:after="240"/>
      <w:ind w:right="-57"/>
      <w:contextualSpacing/>
    </w:pPr>
    <w:rPr>
      <w:rFonts w:ascii="Times New Roman" w:eastAsia="Times New Roman" w:hAnsi="Times New Roman" w:cs="Times New Roman"/>
    </w:rPr>
  </w:style>
  <w:style w:type="paragraph" w:customStyle="1" w:styleId="Heading4Paragraph">
    <w:name w:val="Heading 4 + Paragraph"/>
    <w:basedOn w:val="Normal"/>
    <w:next w:val="Normal"/>
    <w:qFormat/>
    <w:rsid w:val="001418C0"/>
    <w:pPr>
      <w:spacing w:before="360" w:after="0"/>
      <w:ind w:right="-57" w:firstLine="284"/>
    </w:pPr>
    <w:rPr>
      <w:rFonts w:eastAsia="Times New Roman" w:cs="Times New Roman"/>
      <w:b/>
      <w:bCs/>
    </w:rPr>
  </w:style>
  <w:style w:type="paragraph" w:styleId="BodyText">
    <w:name w:val="Body Text"/>
    <w:basedOn w:val="Normal"/>
    <w:link w:val="BodyTextChar"/>
    <w:uiPriority w:val="99"/>
    <w:semiHidden/>
    <w:unhideWhenUsed/>
    <w:rsid w:val="00DC45F9"/>
    <w:pPr>
      <w:spacing w:after="120"/>
    </w:pPr>
  </w:style>
  <w:style w:type="character" w:customStyle="1" w:styleId="BodyTextChar">
    <w:name w:val="Body Text Char"/>
    <w:basedOn w:val="DefaultParagraphFont"/>
    <w:link w:val="BodyText"/>
    <w:uiPriority w:val="99"/>
    <w:semiHidden/>
    <w:rsid w:val="00DC45F9"/>
    <w:rPr>
      <w:rFonts w:ascii="Garamond" w:hAnsi="Garamond"/>
    </w:rPr>
  </w:style>
  <w:style w:type="character" w:styleId="CommentReference">
    <w:name w:val="annotation reference"/>
    <w:basedOn w:val="DefaultParagraphFont"/>
    <w:unhideWhenUsed/>
    <w:rsid w:val="00260702"/>
    <w:rPr>
      <w:sz w:val="16"/>
      <w:szCs w:val="16"/>
    </w:rPr>
  </w:style>
  <w:style w:type="paragraph" w:styleId="CommentText">
    <w:name w:val="annotation text"/>
    <w:basedOn w:val="Normal"/>
    <w:link w:val="CommentTextChar"/>
    <w:uiPriority w:val="99"/>
    <w:unhideWhenUsed/>
    <w:rsid w:val="00260702"/>
    <w:pPr>
      <w:spacing w:line="240" w:lineRule="auto"/>
    </w:pPr>
    <w:rPr>
      <w:sz w:val="20"/>
      <w:szCs w:val="20"/>
    </w:rPr>
  </w:style>
  <w:style w:type="character" w:customStyle="1" w:styleId="CommentTextChar">
    <w:name w:val="Comment Text Char"/>
    <w:basedOn w:val="DefaultParagraphFont"/>
    <w:link w:val="CommentText"/>
    <w:uiPriority w:val="99"/>
    <w:rsid w:val="00260702"/>
    <w:rPr>
      <w:rFonts w:ascii="Garamond" w:hAnsi="Garamond"/>
      <w:sz w:val="20"/>
      <w:szCs w:val="20"/>
    </w:rPr>
  </w:style>
  <w:style w:type="character" w:styleId="Emphasis">
    <w:name w:val="Emphasis"/>
    <w:basedOn w:val="FootnoteReference"/>
    <w:uiPriority w:val="20"/>
    <w:qFormat/>
    <w:rsid w:val="00EB2DF2"/>
    <w:rPr>
      <w:rFonts w:ascii="Garamond" w:hAnsi="Garamond"/>
      <w:sz w:val="24"/>
      <w:szCs w:val="24"/>
      <w:vertAlign w:val="superscript"/>
    </w:rPr>
  </w:style>
  <w:style w:type="paragraph" w:styleId="BalloonText">
    <w:name w:val="Balloon Text"/>
    <w:basedOn w:val="Normal"/>
    <w:link w:val="BalloonTextChar"/>
    <w:uiPriority w:val="99"/>
    <w:semiHidden/>
    <w:unhideWhenUsed/>
    <w:rsid w:val="00125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A3E"/>
    <w:rPr>
      <w:rFonts w:ascii="Segoe UI" w:hAnsi="Segoe UI" w:cs="Segoe UI"/>
      <w:sz w:val="18"/>
      <w:szCs w:val="18"/>
    </w:rPr>
  </w:style>
  <w:style w:type="paragraph" w:styleId="Header">
    <w:name w:val="header"/>
    <w:basedOn w:val="Normal"/>
    <w:link w:val="HeaderChar"/>
    <w:uiPriority w:val="99"/>
    <w:unhideWhenUsed/>
    <w:rsid w:val="00ED20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057"/>
    <w:rPr>
      <w:rFonts w:ascii="Garamond" w:hAnsi="Garamond"/>
    </w:rPr>
  </w:style>
  <w:style w:type="character" w:customStyle="1" w:styleId="UnresolvedMention3">
    <w:name w:val="Unresolved Mention3"/>
    <w:basedOn w:val="DefaultParagraphFont"/>
    <w:uiPriority w:val="99"/>
    <w:semiHidden/>
    <w:unhideWhenUsed/>
    <w:rsid w:val="00530F38"/>
    <w:rPr>
      <w:color w:val="605E5C"/>
      <w:shd w:val="clear" w:color="auto" w:fill="E1DFDD"/>
    </w:rPr>
  </w:style>
  <w:style w:type="character" w:customStyle="1" w:styleId="UnresolvedMention4">
    <w:name w:val="Unresolved Mention4"/>
    <w:basedOn w:val="DefaultParagraphFont"/>
    <w:uiPriority w:val="99"/>
    <w:semiHidden/>
    <w:unhideWhenUsed/>
    <w:rsid w:val="00315408"/>
    <w:rPr>
      <w:color w:val="605E5C"/>
      <w:shd w:val="clear" w:color="auto" w:fill="E1DFDD"/>
    </w:rPr>
  </w:style>
  <w:style w:type="paragraph" w:customStyle="1" w:styleId="Followingparagraph">
    <w:name w:val="Following paragraph"/>
    <w:basedOn w:val="Normal"/>
    <w:uiPriority w:val="2"/>
    <w:qFormat/>
    <w:rsid w:val="002754D8"/>
    <w:pPr>
      <w:spacing w:after="0" w:line="240" w:lineRule="auto"/>
      <w:ind w:firstLine="284"/>
    </w:pPr>
    <w:rPr>
      <w:rFonts w:ascii="Times New Roman" w:eastAsia="Times New Roman" w:hAnsi="Times New Roman" w:cs="Times New Roman"/>
    </w:rPr>
  </w:style>
  <w:style w:type="table" w:customStyle="1" w:styleId="TableGrid2">
    <w:name w:val="Table Grid2"/>
    <w:basedOn w:val="TableNormal"/>
    <w:next w:val="TableGrid"/>
    <w:uiPriority w:val="39"/>
    <w:rsid w:val="009B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B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B79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B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01016B"/>
    <w:pPr>
      <w:spacing w:after="0" w:line="240" w:lineRule="auto"/>
    </w:pPr>
    <w:rPr>
      <w:sz w:val="22"/>
      <w:szCs w:val="22"/>
    </w:rPr>
  </w:style>
  <w:style w:type="paragraph" w:customStyle="1" w:styleId="paragraph">
    <w:name w:val="paragraph"/>
    <w:basedOn w:val="Normal"/>
    <w:rsid w:val="00C34BEC"/>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rsid w:val="00C34BEC"/>
  </w:style>
  <w:style w:type="character" w:customStyle="1" w:styleId="eop">
    <w:name w:val="eop"/>
    <w:rsid w:val="00C34BEC"/>
  </w:style>
  <w:style w:type="paragraph" w:customStyle="1" w:styleId="Default">
    <w:name w:val="Default"/>
    <w:rsid w:val="00C34BEC"/>
    <w:pPr>
      <w:autoSpaceDE w:val="0"/>
      <w:autoSpaceDN w:val="0"/>
      <w:adjustRightInd w:val="0"/>
      <w:spacing w:after="0" w:line="240" w:lineRule="auto"/>
    </w:pPr>
    <w:rPr>
      <w:rFonts w:ascii="Calibri" w:eastAsia="Calibri" w:hAnsi="Calibri" w:cs="Calibri"/>
      <w:color w:val="000000"/>
      <w:sz w:val="24"/>
      <w:szCs w:val="24"/>
      <w:lang w:eastAsia="en-GB"/>
    </w:rPr>
  </w:style>
  <w:style w:type="character" w:styleId="EndnoteReference">
    <w:name w:val="endnote reference"/>
    <w:uiPriority w:val="99"/>
    <w:semiHidden/>
    <w:unhideWhenUsed/>
    <w:rsid w:val="00C34BEC"/>
    <w:rPr>
      <w:vertAlign w:val="superscript"/>
    </w:rPr>
  </w:style>
  <w:style w:type="paragraph" w:styleId="EndnoteText">
    <w:name w:val="endnote text"/>
    <w:basedOn w:val="Normal"/>
    <w:link w:val="EndnoteTextChar"/>
    <w:uiPriority w:val="99"/>
    <w:semiHidden/>
    <w:unhideWhenUsed/>
    <w:rsid w:val="00C34BEC"/>
    <w:pPr>
      <w:spacing w:after="0" w:line="240" w:lineRule="auto"/>
    </w:pPr>
    <w:rPr>
      <w:rFonts w:eastAsia="Calibri" w:cs="Times New Roman"/>
      <w:sz w:val="20"/>
      <w:szCs w:val="20"/>
      <w:lang w:eastAsia="en-US"/>
    </w:rPr>
  </w:style>
  <w:style w:type="character" w:customStyle="1" w:styleId="EndnoteTextChar">
    <w:name w:val="Endnote Text Char"/>
    <w:basedOn w:val="DefaultParagraphFont"/>
    <w:link w:val="EndnoteText"/>
    <w:uiPriority w:val="99"/>
    <w:semiHidden/>
    <w:rsid w:val="00C34BEC"/>
    <w:rPr>
      <w:rFonts w:ascii="Garamond" w:eastAsia="Calibri" w:hAnsi="Garamond" w:cs="Times New Roman"/>
      <w:sz w:val="20"/>
      <w:szCs w:val="20"/>
    </w:rPr>
  </w:style>
  <w:style w:type="character" w:styleId="PlaceholderText">
    <w:name w:val="Placeholder Text"/>
    <w:basedOn w:val="DefaultParagraphFont"/>
    <w:uiPriority w:val="99"/>
    <w:semiHidden/>
    <w:rsid w:val="00C34BEC"/>
    <w:rPr>
      <w:color w:val="808080"/>
    </w:rPr>
  </w:style>
  <w:style w:type="paragraph" w:styleId="Title">
    <w:name w:val="Title"/>
    <w:basedOn w:val="Normal"/>
    <w:next w:val="Normal"/>
    <w:link w:val="TitleChar"/>
    <w:uiPriority w:val="10"/>
    <w:qFormat/>
    <w:rsid w:val="00BA1A68"/>
    <w:pPr>
      <w:jc w:val="center"/>
    </w:pPr>
    <w:rPr>
      <w:b/>
      <w:bCs/>
      <w:sz w:val="40"/>
      <w:szCs w:val="40"/>
    </w:rPr>
  </w:style>
  <w:style w:type="character" w:customStyle="1" w:styleId="TitleChar">
    <w:name w:val="Title Char"/>
    <w:basedOn w:val="DefaultParagraphFont"/>
    <w:link w:val="Title"/>
    <w:uiPriority w:val="10"/>
    <w:rsid w:val="00BA1A68"/>
    <w:rPr>
      <w:rFonts w:ascii="Garamond" w:hAnsi="Garamond"/>
      <w:b/>
      <w:bCs/>
      <w:sz w:val="40"/>
      <w:szCs w:val="40"/>
      <w:lang w:eastAsia="en-GB"/>
    </w:rPr>
  </w:style>
  <w:style w:type="character" w:customStyle="1" w:styleId="spellingerror">
    <w:name w:val="spellingerror"/>
    <w:basedOn w:val="DefaultParagraphFont"/>
    <w:rsid w:val="00C34BEC"/>
  </w:style>
  <w:style w:type="character" w:customStyle="1" w:styleId="contextualspellingandgrammarerror">
    <w:name w:val="contextualspellingandgrammarerror"/>
    <w:basedOn w:val="DefaultParagraphFont"/>
    <w:rsid w:val="00C34BEC"/>
  </w:style>
  <w:style w:type="character" w:customStyle="1" w:styleId="apple-converted-space">
    <w:name w:val="apple-converted-space"/>
    <w:basedOn w:val="DefaultParagraphFont"/>
    <w:rsid w:val="00C34BEC"/>
  </w:style>
  <w:style w:type="paragraph" w:customStyle="1" w:styleId="Style1">
    <w:name w:val="Style1"/>
    <w:basedOn w:val="Heading1"/>
    <w:qFormat/>
    <w:rsid w:val="00C34BEC"/>
    <w:pPr>
      <w:keepNext/>
      <w:keepLines/>
      <w:numPr>
        <w:numId w:val="19"/>
      </w:numPr>
      <w:spacing w:after="0" w:line="240" w:lineRule="auto"/>
      <w:jc w:val="left"/>
    </w:pPr>
    <w:rPr>
      <w:rFonts w:asciiTheme="majorHAnsi" w:eastAsiaTheme="majorEastAsia" w:hAnsiTheme="majorHAnsi" w:cstheme="majorBidi"/>
      <w:b w:val="0"/>
      <w:color w:val="000000" w:themeColor="text1"/>
      <w:lang w:val="pt-BR" w:eastAsia="it-IT"/>
    </w:rPr>
  </w:style>
  <w:style w:type="character" w:styleId="Strong">
    <w:name w:val="Strong"/>
    <w:basedOn w:val="DefaultParagraphFont"/>
    <w:uiPriority w:val="22"/>
    <w:qFormat/>
    <w:rsid w:val="00C34BEC"/>
    <w:rPr>
      <w:b/>
      <w:bCs/>
    </w:rPr>
  </w:style>
  <w:style w:type="paragraph" w:customStyle="1" w:styleId="activity-body">
    <w:name w:val="activity-body"/>
    <w:basedOn w:val="Normal"/>
    <w:rsid w:val="00C34BEC"/>
    <w:pPr>
      <w:spacing w:before="100" w:beforeAutospacing="1" w:after="100" w:afterAutospacing="1" w:line="240" w:lineRule="auto"/>
      <w:jc w:val="left"/>
    </w:pPr>
    <w:rPr>
      <w:rFonts w:ascii="Times New Roman" w:eastAsia="Times New Roman" w:hAnsi="Times New Roman" w:cs="Times New Roman"/>
      <w:lang w:eastAsia="zh-CN"/>
    </w:rPr>
  </w:style>
  <w:style w:type="character" w:customStyle="1" w:styleId="fontstyle01">
    <w:name w:val="fontstyle01"/>
    <w:basedOn w:val="DefaultParagraphFont"/>
    <w:rsid w:val="00C34BEC"/>
    <w:rPr>
      <w:rFonts w:ascii="Times New Roman" w:hAnsi="Times New Roman" w:cs="Times New Roman" w:hint="default"/>
      <w:b w:val="0"/>
      <w:bCs w:val="0"/>
      <w:i/>
      <w:iCs/>
      <w:color w:val="000000"/>
      <w:sz w:val="24"/>
      <w:szCs w:val="24"/>
    </w:rPr>
  </w:style>
  <w:style w:type="character" w:customStyle="1" w:styleId="fontstyle21">
    <w:name w:val="fontstyle21"/>
    <w:basedOn w:val="DefaultParagraphFont"/>
    <w:rsid w:val="00C34BEC"/>
    <w:rPr>
      <w:rFonts w:ascii="Times New Roman" w:hAnsi="Times New Roman" w:cs="Times New Roman" w:hint="default"/>
      <w:b w:val="0"/>
      <w:bCs w:val="0"/>
      <w:i w:val="0"/>
      <w:iCs w:val="0"/>
      <w:color w:val="000000"/>
      <w:sz w:val="24"/>
      <w:szCs w:val="24"/>
    </w:rPr>
  </w:style>
  <w:style w:type="paragraph" w:styleId="Quote">
    <w:name w:val="Quote"/>
    <w:basedOn w:val="Normal"/>
    <w:next w:val="Normal"/>
    <w:link w:val="QuoteChar"/>
    <w:uiPriority w:val="29"/>
    <w:qFormat/>
    <w:rsid w:val="00C34BEC"/>
    <w:pPr>
      <w:spacing w:before="200"/>
      <w:ind w:left="864" w:right="864"/>
      <w:jc w:val="center"/>
    </w:pPr>
    <w:rPr>
      <w:rFonts w:eastAsia="Calibri" w:cs="Times New Roman"/>
      <w:i/>
      <w:iCs/>
      <w:sz w:val="22"/>
      <w:szCs w:val="22"/>
      <w:lang w:eastAsia="en-US"/>
    </w:rPr>
  </w:style>
  <w:style w:type="character" w:customStyle="1" w:styleId="QuoteChar">
    <w:name w:val="Quote Char"/>
    <w:basedOn w:val="DefaultParagraphFont"/>
    <w:link w:val="Quote"/>
    <w:uiPriority w:val="29"/>
    <w:rsid w:val="00C34BEC"/>
    <w:rPr>
      <w:rFonts w:ascii="Garamond" w:eastAsia="Calibri" w:hAnsi="Garamond" w:cs="Times New Roman"/>
      <w:i/>
      <w:iCs/>
    </w:rPr>
  </w:style>
  <w:style w:type="character" w:styleId="SubtleEmphasis">
    <w:name w:val="Subtle Emphasis"/>
    <w:uiPriority w:val="19"/>
    <w:qFormat/>
    <w:rsid w:val="00BA1A68"/>
    <w:rPr>
      <w:b/>
      <w:bCs/>
      <w:i/>
      <w:iCs/>
    </w:rPr>
  </w:style>
  <w:style w:type="table" w:customStyle="1" w:styleId="TableGrid7">
    <w:name w:val="Table Grid7"/>
    <w:basedOn w:val="TableNormal"/>
    <w:next w:val="TableGrid"/>
    <w:uiPriority w:val="39"/>
    <w:rsid w:val="00F00FB8"/>
    <w:pPr>
      <w:spacing w:before="40" w:after="0" w:line="360" w:lineRule="auto"/>
      <w:jc w:val="both"/>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C70E9"/>
    <w:rPr>
      <w:color w:val="605E5C"/>
      <w:shd w:val="clear" w:color="auto" w:fill="E1DFDD"/>
    </w:rPr>
  </w:style>
  <w:style w:type="table" w:customStyle="1" w:styleId="TableGrid8">
    <w:name w:val="Table Grid8"/>
    <w:basedOn w:val="TableNormal"/>
    <w:next w:val="TableGrid"/>
    <w:uiPriority w:val="39"/>
    <w:rsid w:val="00BE15A4"/>
    <w:pPr>
      <w:spacing w:after="0" w:line="276" w:lineRule="auto"/>
      <w:ind w:right="-57" w:firstLine="284"/>
      <w:jc w:val="both"/>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54B9E"/>
    <w:pPr>
      <w:spacing w:after="0" w:line="276" w:lineRule="auto"/>
      <w:ind w:right="-57" w:firstLine="284"/>
      <w:jc w:val="both"/>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275035">
      <w:bodyDiv w:val="1"/>
      <w:marLeft w:val="0"/>
      <w:marRight w:val="0"/>
      <w:marTop w:val="0"/>
      <w:marBottom w:val="0"/>
      <w:divBdr>
        <w:top w:val="none" w:sz="0" w:space="0" w:color="auto"/>
        <w:left w:val="none" w:sz="0" w:space="0" w:color="auto"/>
        <w:bottom w:val="none" w:sz="0" w:space="0" w:color="auto"/>
        <w:right w:val="none" w:sz="0" w:space="0" w:color="auto"/>
      </w:divBdr>
    </w:div>
    <w:div w:id="1379814786">
      <w:bodyDiv w:val="1"/>
      <w:marLeft w:val="0"/>
      <w:marRight w:val="0"/>
      <w:marTop w:val="0"/>
      <w:marBottom w:val="0"/>
      <w:divBdr>
        <w:top w:val="none" w:sz="0" w:space="0" w:color="auto"/>
        <w:left w:val="none" w:sz="0" w:space="0" w:color="auto"/>
        <w:bottom w:val="none" w:sz="0" w:space="0" w:color="auto"/>
        <w:right w:val="none" w:sz="0" w:space="0" w:color="auto"/>
      </w:divBdr>
    </w:div>
    <w:div w:id="1447195802">
      <w:bodyDiv w:val="1"/>
      <w:marLeft w:val="0"/>
      <w:marRight w:val="0"/>
      <w:marTop w:val="0"/>
      <w:marBottom w:val="0"/>
      <w:divBdr>
        <w:top w:val="none" w:sz="0" w:space="0" w:color="auto"/>
        <w:left w:val="none" w:sz="0" w:space="0" w:color="auto"/>
        <w:bottom w:val="none" w:sz="0" w:space="0" w:color="auto"/>
        <w:right w:val="none" w:sz="0" w:space="0" w:color="auto"/>
      </w:divBdr>
    </w:div>
    <w:div w:id="175408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bse.2940" TargetMode="External"/><Relationship Id="rId117" Type="http://schemas.openxmlformats.org/officeDocument/2006/relationships/hyperlink" Target="https://doi.org/10.1016/j.jclepro.2019.05.044" TargetMode="External"/><Relationship Id="rId21" Type="http://schemas.openxmlformats.org/officeDocument/2006/relationships/hyperlink" Target="https://doi.org/10.1108/IJOPM-12-2022-0765" TargetMode="External"/><Relationship Id="rId42" Type="http://schemas.openxmlformats.org/officeDocument/2006/relationships/hyperlink" Target="https://doi.org/10.1016/j.jclepro.2020.124339" TargetMode="External"/><Relationship Id="rId47" Type="http://schemas.openxmlformats.org/officeDocument/2006/relationships/footer" Target="footer5.xml"/><Relationship Id="rId63" Type="http://schemas.openxmlformats.org/officeDocument/2006/relationships/image" Target="media/image10.png"/><Relationship Id="rId68" Type="http://schemas.openxmlformats.org/officeDocument/2006/relationships/image" Target="media/image14.png"/><Relationship Id="rId84" Type="http://schemas.openxmlformats.org/officeDocument/2006/relationships/image" Target="media/image24.png"/><Relationship Id="rId89" Type="http://schemas.openxmlformats.org/officeDocument/2006/relationships/hyperlink" Target="https://doi.org/10.1016/j.jclepro.2022.133117" TargetMode="External"/><Relationship Id="rId112" Type="http://schemas.openxmlformats.org/officeDocument/2006/relationships/hyperlink" Target="https://eur-lex.europa.eu/legal-content/EN/TXT/?qid=1583933814386&amp;uri=COM:2020:98:FIN" TargetMode="External"/><Relationship Id="rId133" Type="http://schemas.openxmlformats.org/officeDocument/2006/relationships/hyperlink" Target="https://doi.org/10.1016/j.resconrec.2019.104517" TargetMode="External"/><Relationship Id="rId138" Type="http://schemas.openxmlformats.org/officeDocument/2006/relationships/hyperlink" Target="https://doi.org/10.1080/07421222.2001.11045662" TargetMode="External"/><Relationship Id="rId154" Type="http://schemas.openxmlformats.org/officeDocument/2006/relationships/image" Target="media/image30.png"/><Relationship Id="rId159" Type="http://schemas.openxmlformats.org/officeDocument/2006/relationships/image" Target="media/image35.png"/><Relationship Id="rId175" Type="http://schemas.openxmlformats.org/officeDocument/2006/relationships/diagramLayout" Target="diagrams/layout2.xml"/><Relationship Id="rId170" Type="http://schemas.openxmlformats.org/officeDocument/2006/relationships/diagramLayout" Target="diagrams/layout1.xml"/><Relationship Id="rId16" Type="http://schemas.openxmlformats.org/officeDocument/2006/relationships/footer" Target="footer2.xml"/><Relationship Id="rId107" Type="http://schemas.openxmlformats.org/officeDocument/2006/relationships/hyperlink" Target="https://doi.org/10.1002/bse.2940" TargetMode="External"/><Relationship Id="rId11" Type="http://schemas.openxmlformats.org/officeDocument/2006/relationships/hyperlink" Target="http://www.retrace-itn.eu/2020/04/24/globalised-world-a-reality-after-covid-19/" TargetMode="External"/><Relationship Id="rId32" Type="http://schemas.openxmlformats.org/officeDocument/2006/relationships/hyperlink" Target="https://doi.org/10.1016/j.jclepro.2017.10.046" TargetMode="External"/><Relationship Id="rId37" Type="http://schemas.openxmlformats.org/officeDocument/2006/relationships/hyperlink" Target="https://doi.org/10.1016/j.ecolecon.2017.06.041" TargetMode="External"/><Relationship Id="rId53" Type="http://schemas.openxmlformats.org/officeDocument/2006/relationships/footer" Target="footer9.xml"/><Relationship Id="rId58" Type="http://schemas.openxmlformats.org/officeDocument/2006/relationships/image" Target="media/image5.png"/><Relationship Id="rId74" Type="http://schemas.openxmlformats.org/officeDocument/2006/relationships/hyperlink" Target="https://doi.org/10.1016/j.im.2003.11.002" TargetMode="External"/><Relationship Id="rId79" Type="http://schemas.openxmlformats.org/officeDocument/2006/relationships/image" Target="media/image23.png"/><Relationship Id="rId102" Type="http://schemas.openxmlformats.org/officeDocument/2006/relationships/hyperlink" Target="https://doi.org/10.1016/j.resconrec.2018.07.001" TargetMode="External"/><Relationship Id="rId123" Type="http://schemas.openxmlformats.org/officeDocument/2006/relationships/hyperlink" Target="https://doi.org/10.1108/scm-01-2017-0004" TargetMode="External"/><Relationship Id="rId128" Type="http://schemas.openxmlformats.org/officeDocument/2006/relationships/hyperlink" Target="https://doi.org/10.1111/jscm.12013" TargetMode="External"/><Relationship Id="rId144" Type="http://schemas.openxmlformats.org/officeDocument/2006/relationships/hyperlink" Target="https://doi.org/10.1108/scm-07-2019-0251" TargetMode="External"/><Relationship Id="rId14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hyperlink" Target="https://doi.org/10.1016/j.jbusres.2021.12.011" TargetMode="External"/><Relationship Id="rId95" Type="http://schemas.openxmlformats.org/officeDocument/2006/relationships/hyperlink" Target="https://doi.org/10.1080/00207543.2018.1542176" TargetMode="External"/><Relationship Id="rId160" Type="http://schemas.openxmlformats.org/officeDocument/2006/relationships/image" Target="media/image36.png"/><Relationship Id="rId165" Type="http://schemas.openxmlformats.org/officeDocument/2006/relationships/chart" Target="charts/chart4.xml"/><Relationship Id="rId22" Type="http://schemas.openxmlformats.org/officeDocument/2006/relationships/hyperlink" Target="https://doi.org/10.1080/21681015.2016.1172124" TargetMode="External"/><Relationship Id="rId27" Type="http://schemas.openxmlformats.org/officeDocument/2006/relationships/hyperlink" Target="https://doi.org/10.1016/j.jclepro.2020.122966" TargetMode="External"/><Relationship Id="rId43" Type="http://schemas.openxmlformats.org/officeDocument/2006/relationships/hyperlink" Target="https://doi.org/10.1002/bse.2048" TargetMode="External"/><Relationship Id="rId48"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5.png"/><Relationship Id="rId113" Type="http://schemas.openxmlformats.org/officeDocument/2006/relationships/hyperlink" Target="https://doi.org/10.1016/j.jom.2009.06.001" TargetMode="External"/><Relationship Id="rId118" Type="http://schemas.openxmlformats.org/officeDocument/2006/relationships/hyperlink" Target="https://doi.org/10.1016/j.jclepro.2019.118528" TargetMode="External"/><Relationship Id="rId134" Type="http://schemas.openxmlformats.org/officeDocument/2006/relationships/hyperlink" Target="https://doi.org/10.1016/j.resconrec.2017.08.017" TargetMode="External"/><Relationship Id="rId139" Type="http://schemas.openxmlformats.org/officeDocument/2006/relationships/hyperlink" Target="https://doi.org/10.1093/icc/12.4.879" TargetMode="External"/><Relationship Id="rId80" Type="http://schemas.openxmlformats.org/officeDocument/2006/relationships/header" Target="header7.xml"/><Relationship Id="rId85" Type="http://schemas.openxmlformats.org/officeDocument/2006/relationships/image" Target="media/image25.png"/><Relationship Id="rId150" Type="http://schemas.openxmlformats.org/officeDocument/2006/relationships/image" Target="media/image27.png"/><Relationship Id="rId155" Type="http://schemas.openxmlformats.org/officeDocument/2006/relationships/image" Target="media/image31.png"/><Relationship Id="rId171" Type="http://schemas.openxmlformats.org/officeDocument/2006/relationships/diagramQuickStyle" Target="diagrams/quickStyle1.xml"/><Relationship Id="rId176" Type="http://schemas.openxmlformats.org/officeDocument/2006/relationships/diagramQuickStyle" Target="diagrams/quickStyle2.xml"/><Relationship Id="rId12" Type="http://schemas.openxmlformats.org/officeDocument/2006/relationships/hyperlink" Target="http://www.retrace-itn.eu/2022/02/23/the-environment-in-the-constitution-from-principles-to-formal-rules/" TargetMode="External"/><Relationship Id="rId17" Type="http://schemas.openxmlformats.org/officeDocument/2006/relationships/header" Target="header2.xml"/><Relationship Id="rId33" Type="http://schemas.openxmlformats.org/officeDocument/2006/relationships/hyperlink" Target="https://doi.org/10.1080/13563467.2019.1598964" TargetMode="External"/><Relationship Id="rId38" Type="http://schemas.openxmlformats.org/officeDocument/2006/relationships/hyperlink" Target="https://doi.org/10.1016/j.jclepro.2020.120859" TargetMode="External"/><Relationship Id="rId59" Type="http://schemas.openxmlformats.org/officeDocument/2006/relationships/image" Target="media/image6.png"/><Relationship Id="rId103" Type="http://schemas.openxmlformats.org/officeDocument/2006/relationships/hyperlink" Target="https://doi.org/10.1080/09537287.2018.1449244" TargetMode="External"/><Relationship Id="rId108" Type="http://schemas.openxmlformats.org/officeDocument/2006/relationships/hyperlink" Target="https://doi.org/10.1016/j.ijpe.2021.108400" TargetMode="External"/><Relationship Id="rId124" Type="http://schemas.openxmlformats.org/officeDocument/2006/relationships/hyperlink" Target="https://doi.org/10.1108/SCM-04-2021-0169" TargetMode="External"/><Relationship Id="rId129" Type="http://schemas.openxmlformats.org/officeDocument/2006/relationships/hyperlink" Target="https://doi.org/10.1108/IJPDLM-01-2017-0049" TargetMode="External"/><Relationship Id="rId54" Type="http://schemas.openxmlformats.org/officeDocument/2006/relationships/chart" Target="charts/chart1.xml"/><Relationship Id="rId70" Type="http://schemas.openxmlformats.org/officeDocument/2006/relationships/image" Target="media/image16.png"/><Relationship Id="rId75" Type="http://schemas.openxmlformats.org/officeDocument/2006/relationships/hyperlink" Target="https://doi.org/10.1080/07421222.2001.11045662" TargetMode="External"/><Relationship Id="rId91" Type="http://schemas.openxmlformats.org/officeDocument/2006/relationships/hyperlink" Target="https://doi.org/10.1108/IJOA-04-2020-2120" TargetMode="External"/><Relationship Id="rId96" Type="http://schemas.openxmlformats.org/officeDocument/2006/relationships/hyperlink" Target="https://doi.org/10.1016/j.ijpe.2021.108348" TargetMode="External"/><Relationship Id="rId140" Type="http://schemas.openxmlformats.org/officeDocument/2006/relationships/hyperlink" Target="https://doi.org/10.1016/j.ijpe.2021.108402" TargetMode="External"/><Relationship Id="rId145" Type="http://schemas.openxmlformats.org/officeDocument/2006/relationships/hyperlink" Target="https://doi.org/10.1108/SCM-04-2014-0120" TargetMode="External"/><Relationship Id="rId161" Type="http://schemas.openxmlformats.org/officeDocument/2006/relationships/image" Target="media/image37.png"/><Relationship Id="rId16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3390/su12104069" TargetMode="External"/><Relationship Id="rId28" Type="http://schemas.openxmlformats.org/officeDocument/2006/relationships/hyperlink" Target="https://doi.org/Article" TargetMode="External"/><Relationship Id="rId49" Type="http://schemas.openxmlformats.org/officeDocument/2006/relationships/footer" Target="footer6.xml"/><Relationship Id="rId114" Type="http://schemas.openxmlformats.org/officeDocument/2006/relationships/hyperlink" Target="https://doi.org/10.1016/S0272-6963(00)00055-3" TargetMode="External"/><Relationship Id="rId119" Type="http://schemas.openxmlformats.org/officeDocument/2006/relationships/hyperlink" Target="https://doi.org/10.1016/j.jclepro.2017.10.046" TargetMode="External"/><Relationship Id="rId10" Type="http://schemas.openxmlformats.org/officeDocument/2006/relationships/hyperlink" Target="http://www.retrace-itn.eu/2019/12/09/circular-economy-and-the-uk-general-election/" TargetMode="External"/><Relationship Id="rId31" Type="http://schemas.openxmlformats.org/officeDocument/2006/relationships/hyperlink" Target="https://doi.org/10.1080/00207543.2017.1402141" TargetMode="External"/><Relationship Id="rId44" Type="http://schemas.openxmlformats.org/officeDocument/2006/relationships/header" Target="header3.xml"/><Relationship Id="rId52" Type="http://schemas.openxmlformats.org/officeDocument/2006/relationships/header" Target="header6.xm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19.png"/><Relationship Id="rId78" Type="http://schemas.openxmlformats.org/officeDocument/2006/relationships/image" Target="media/image22.png"/><Relationship Id="rId81" Type="http://schemas.openxmlformats.org/officeDocument/2006/relationships/header" Target="header8.xml"/><Relationship Id="rId86" Type="http://schemas.openxmlformats.org/officeDocument/2006/relationships/hyperlink" Target="https://doi.org/10.1108/IJPDLM-12-2021-0514" TargetMode="External"/><Relationship Id="rId94" Type="http://schemas.openxmlformats.org/officeDocument/2006/relationships/hyperlink" Target="https://doi.org/10.1016/j.ijpe.2021.108317" TargetMode="External"/><Relationship Id="rId99" Type="http://schemas.openxmlformats.org/officeDocument/2006/relationships/hyperlink" Target="https://doi.org/10.1016/j.ijpe.2021.108216" TargetMode="External"/><Relationship Id="rId101" Type="http://schemas.openxmlformats.org/officeDocument/2006/relationships/hyperlink" Target="https://doi.org/10.1080/00207543.2014.935515" TargetMode="External"/><Relationship Id="rId122" Type="http://schemas.openxmlformats.org/officeDocument/2006/relationships/hyperlink" Target="https://doi.org/10.1002/bse.2593" TargetMode="External"/><Relationship Id="rId130" Type="http://schemas.openxmlformats.org/officeDocument/2006/relationships/hyperlink" Target="https://doi.org/10.1111/j.1530-9290.2011.00332.x" TargetMode="External"/><Relationship Id="rId135" Type="http://schemas.openxmlformats.org/officeDocument/2006/relationships/hyperlink" Target="https://doi.org/10.1016/j.resconrec.2017.08.027" TargetMode="External"/><Relationship Id="rId143" Type="http://schemas.openxmlformats.org/officeDocument/2006/relationships/hyperlink" Target="https://doi.org/10.1016/j.resconrec.2020.105046" TargetMode="External"/><Relationship Id="rId148" Type="http://schemas.openxmlformats.org/officeDocument/2006/relationships/hyperlink" Target="https://doi.org/10.1111/j.1530-9290.2011.00329.x" TargetMode="External"/><Relationship Id="rId151" Type="http://schemas.openxmlformats.org/officeDocument/2006/relationships/image" Target="media/image28.png"/><Relationship Id="rId156" Type="http://schemas.openxmlformats.org/officeDocument/2006/relationships/image" Target="media/image32.png"/><Relationship Id="rId164" Type="http://schemas.openxmlformats.org/officeDocument/2006/relationships/chart" Target="charts/chart3.xml"/><Relationship Id="rId169" Type="http://schemas.openxmlformats.org/officeDocument/2006/relationships/diagramData" Target="diagrams/data1.xml"/><Relationship Id="rId177"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diagramColors" Target="diagrams/colors1.xml"/><Relationship Id="rId180" Type="http://schemas.openxmlformats.org/officeDocument/2006/relationships/theme" Target="theme/theme1.xml"/><Relationship Id="rId13" Type="http://schemas.openxmlformats.org/officeDocument/2006/relationships/hyperlink" Target="https://www.youtube.com/watch?v=d8XcG8dJ_RE&amp;t=3092s" TargetMode="External"/><Relationship Id="rId18" Type="http://schemas.openxmlformats.org/officeDocument/2006/relationships/footer" Target="footer3.xml"/><Relationship Id="rId39" Type="http://schemas.openxmlformats.org/officeDocument/2006/relationships/hyperlink" Target="https://doi.org/10.1007/s10551-015-2693-2" TargetMode="External"/><Relationship Id="rId109" Type="http://schemas.openxmlformats.org/officeDocument/2006/relationships/hyperlink" Target="https://doi.org/10.1016/j.pursup.2017.07.001" TargetMode="External"/><Relationship Id="rId34" Type="http://schemas.openxmlformats.org/officeDocument/2006/relationships/hyperlink" Target="https://doi.org/10.1080/00207543.2018.1524166" TargetMode="External"/><Relationship Id="rId50" Type="http://schemas.openxmlformats.org/officeDocument/2006/relationships/footer" Target="footer7.xml"/><Relationship Id="rId55" Type="http://schemas.openxmlformats.org/officeDocument/2006/relationships/chart" Target="charts/chart2.xml"/><Relationship Id="rId76" Type="http://schemas.openxmlformats.org/officeDocument/2006/relationships/image" Target="media/image20.png"/><Relationship Id="rId97" Type="http://schemas.openxmlformats.org/officeDocument/2006/relationships/hyperlink" Target="https://doi.org/10.1007/s10551-008-9795-z" TargetMode="External"/><Relationship Id="rId104" Type="http://schemas.openxmlformats.org/officeDocument/2006/relationships/hyperlink" Target="https://doi.org/10.1016/j.ijpe.2023.108810" TargetMode="External"/><Relationship Id="rId120" Type="http://schemas.openxmlformats.org/officeDocument/2006/relationships/hyperlink" Target="https://doi.org/10.1007/s43615-021-00015-2" TargetMode="External"/><Relationship Id="rId125" Type="http://schemas.openxmlformats.org/officeDocument/2006/relationships/hyperlink" Target="https://doi.org/10.1016/j.jom.2006.05.010" TargetMode="External"/><Relationship Id="rId141" Type="http://schemas.openxmlformats.org/officeDocument/2006/relationships/hyperlink" Target="https://doi.org/10.1108/IJPDLM-05-2013-0106" TargetMode="External"/><Relationship Id="rId146" Type="http://schemas.openxmlformats.org/officeDocument/2006/relationships/hyperlink" Target="http://dx.doi.org/10.1016/j.jclepro.2016.10.093" TargetMode="External"/><Relationship Id="rId167"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hyperlink" Target="https://doi.org/10.1016/j.jclepro.2021.129511" TargetMode="External"/><Relationship Id="rId16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hyperlink" Target="https://doi.org/10.1016/j.jclepro.2019.04.303" TargetMode="External"/><Relationship Id="rId24" Type="http://schemas.openxmlformats.org/officeDocument/2006/relationships/hyperlink" Target="https://doi.org/10.1016/j.jclepro.2021.127616" TargetMode="External"/><Relationship Id="rId40" Type="http://schemas.openxmlformats.org/officeDocument/2006/relationships/hyperlink" Target="https://doi.org/10.1111/jscm.12037" TargetMode="External"/><Relationship Id="rId45" Type="http://schemas.openxmlformats.org/officeDocument/2006/relationships/header" Target="header4.xml"/><Relationship Id="rId66" Type="http://schemas.openxmlformats.org/officeDocument/2006/relationships/image" Target="media/image13.png"/><Relationship Id="rId87" Type="http://schemas.openxmlformats.org/officeDocument/2006/relationships/hyperlink" Target="https://doi.org/10.1002/bse.3108" TargetMode="External"/><Relationship Id="rId110" Type="http://schemas.openxmlformats.org/officeDocument/2006/relationships/hyperlink" Target="https://doi.org/10.1016/j.jclepro.2020.122966" TargetMode="External"/><Relationship Id="rId115" Type="http://schemas.openxmlformats.org/officeDocument/2006/relationships/hyperlink" Target="https://doi.org/10.1016/j.jclepro.2016.12.048" TargetMode="External"/><Relationship Id="rId131" Type="http://schemas.openxmlformats.org/officeDocument/2006/relationships/hyperlink" Target="https://doi.org/10.1016/j.ijpe.2019.03.022" TargetMode="External"/><Relationship Id="rId136" Type="http://schemas.openxmlformats.org/officeDocument/2006/relationships/hyperlink" Target="https://doi.org/10.1016/j.jclepro.2019.117696" TargetMode="External"/><Relationship Id="rId157" Type="http://schemas.openxmlformats.org/officeDocument/2006/relationships/image" Target="media/image33.png"/><Relationship Id="rId178" Type="http://schemas.microsoft.com/office/2007/relationships/diagramDrawing" Target="diagrams/drawing2.xml"/><Relationship Id="rId61" Type="http://schemas.openxmlformats.org/officeDocument/2006/relationships/image" Target="media/image8.png"/><Relationship Id="rId82" Type="http://schemas.openxmlformats.org/officeDocument/2006/relationships/footer" Target="footer10.xml"/><Relationship Id="rId152" Type="http://schemas.openxmlformats.org/officeDocument/2006/relationships/image" Target="media/image29.png"/><Relationship Id="rId173" Type="http://schemas.microsoft.com/office/2007/relationships/diagramDrawing" Target="diagrams/drawing1.xm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hyperlink" Target="https://doi.org/10.1080/10455752.2020.1763414" TargetMode="External"/><Relationship Id="rId35" Type="http://schemas.openxmlformats.org/officeDocument/2006/relationships/hyperlink" Target="https://doi.org/10.1108/SCM-04-2021-0169" TargetMode="External"/><Relationship Id="rId56" Type="http://schemas.openxmlformats.org/officeDocument/2006/relationships/image" Target="media/image4.png"/><Relationship Id="rId77" Type="http://schemas.openxmlformats.org/officeDocument/2006/relationships/image" Target="media/image21.png"/><Relationship Id="rId100" Type="http://schemas.openxmlformats.org/officeDocument/2006/relationships/hyperlink" Target="https://doi.org/10.1016/j.jclepro.2020.121968" TargetMode="External"/><Relationship Id="rId105" Type="http://schemas.openxmlformats.org/officeDocument/2006/relationships/hyperlink" Target="https://doi.org/10.1016/j.jclepro.2019.06.349" TargetMode="External"/><Relationship Id="rId126" Type="http://schemas.openxmlformats.org/officeDocument/2006/relationships/hyperlink" Target="https://doi.org/10.1016/j.ecolecon.2018.04.028" TargetMode="External"/><Relationship Id="rId147" Type="http://schemas.openxmlformats.org/officeDocument/2006/relationships/hyperlink" Target="https://doi.org/10.1016/j.jclepro.2010.09.017" TargetMode="External"/><Relationship Id="rId168" Type="http://schemas.openxmlformats.org/officeDocument/2006/relationships/chart" Target="charts/chart6.xml"/><Relationship Id="rId8" Type="http://schemas.openxmlformats.org/officeDocument/2006/relationships/image" Target="media/image1.jpg"/><Relationship Id="rId51" Type="http://schemas.openxmlformats.org/officeDocument/2006/relationships/footer" Target="footer8.xml"/><Relationship Id="rId72" Type="http://schemas.openxmlformats.org/officeDocument/2006/relationships/image" Target="media/image18.png"/><Relationship Id="rId93" Type="http://schemas.openxmlformats.org/officeDocument/2006/relationships/hyperlink" Target="https://doi.org/10.1016/j.ijpe.2022.108666" TargetMode="External"/><Relationship Id="rId98" Type="http://schemas.openxmlformats.org/officeDocument/2006/relationships/hyperlink" Target="https://doi.org/10.1016/j.jclepro.2021.127616" TargetMode="External"/><Relationship Id="rId121" Type="http://schemas.openxmlformats.org/officeDocument/2006/relationships/hyperlink" Target="https://doi.org/10.1016/j.jenvman.2020.110416" TargetMode="External"/><Relationship Id="rId142" Type="http://schemas.openxmlformats.org/officeDocument/2006/relationships/hyperlink" Target="https://doi.org/10.1016/j.resconrec.2020.104716" TargetMode="External"/><Relationship Id="rId163"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hyperlink" Target="https://doi.org/10.1080/09537287.2018.1449244" TargetMode="External"/><Relationship Id="rId46" Type="http://schemas.openxmlformats.org/officeDocument/2006/relationships/header" Target="header5.xml"/><Relationship Id="rId67" Type="http://schemas.openxmlformats.org/officeDocument/2006/relationships/hyperlink" Target="https://doi.org/10.1002/j.2158-1592.2009.tb00110.x" TargetMode="External"/><Relationship Id="rId116" Type="http://schemas.openxmlformats.org/officeDocument/2006/relationships/hyperlink" Target="https://doi.org/10.1016/j.wasman.2008.06.036" TargetMode="External"/><Relationship Id="rId137" Type="http://schemas.openxmlformats.org/officeDocument/2006/relationships/hyperlink" Target="https://doi.org/10.1016/j.pursup.2014.12.004" TargetMode="External"/><Relationship Id="rId158" Type="http://schemas.openxmlformats.org/officeDocument/2006/relationships/image" Target="media/image34.png"/><Relationship Id="rId20" Type="http://schemas.openxmlformats.org/officeDocument/2006/relationships/hyperlink" Target="https://doi.org/10.1080/09537287.2017.1343502" TargetMode="External"/><Relationship Id="rId41" Type="http://schemas.openxmlformats.org/officeDocument/2006/relationships/hyperlink" Target="https://doi.org/10.1016/j.resconrec.2019.104517" TargetMode="External"/><Relationship Id="rId62" Type="http://schemas.openxmlformats.org/officeDocument/2006/relationships/image" Target="media/image9.png"/><Relationship Id="rId83" Type="http://schemas.openxmlformats.org/officeDocument/2006/relationships/header" Target="header9.xml"/><Relationship Id="rId88" Type="http://schemas.openxmlformats.org/officeDocument/2006/relationships/hyperlink" Target="https://doi.org/10.1016/j.jclepro.2022.131738" TargetMode="External"/><Relationship Id="rId111" Type="http://schemas.openxmlformats.org/officeDocument/2006/relationships/hyperlink" Target="https://doi.org/10.1016/j.pursup.2016.08.005" TargetMode="External"/><Relationship Id="rId132" Type="http://schemas.openxmlformats.org/officeDocument/2006/relationships/hyperlink" Target="https://doi.org/10.1016/j.im.2003.11.002" TargetMode="External"/><Relationship Id="rId153" Type="http://schemas.openxmlformats.org/officeDocument/2006/relationships/footer" Target="footer11.xml"/><Relationship Id="rId174" Type="http://schemas.openxmlformats.org/officeDocument/2006/relationships/diagramData" Target="diagrams/data2.xml"/><Relationship Id="rId179" Type="http://schemas.openxmlformats.org/officeDocument/2006/relationships/fontTable" Target="fontTable.xml"/><Relationship Id="rId15" Type="http://schemas.openxmlformats.org/officeDocument/2006/relationships/footer" Target="footer1.xml"/><Relationship Id="rId36" Type="http://schemas.openxmlformats.org/officeDocument/2006/relationships/hyperlink" Target="https://doi.org/10.1016/j.ecolecon.2018.04.028" TargetMode="External"/><Relationship Id="rId57" Type="http://schemas.openxmlformats.org/officeDocument/2006/relationships/hyperlink" Target="https://doi.org/10.1111/jiec.12545" TargetMode="External"/><Relationship Id="rId106" Type="http://schemas.openxmlformats.org/officeDocument/2006/relationships/hyperlink" Target="https://doi.org/10.1002/bse.2940" TargetMode="External"/><Relationship Id="rId127" Type="http://schemas.openxmlformats.org/officeDocument/2006/relationships/hyperlink" Target="https://doi.org/10.1016/j.ecolecon.2017.06.04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g4tcal\Desktop\ReTraCE\SOP\Old%20DB\CE%20adoption%20-%20DB%20Top%2050%20MNEs%20(Europ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mg4tcal\Desktop\ReTraCE\Papers\SLR%20-%20CE%20indicators%20for%20supply%20chains\SLR%20CE%20Indicators%20Database_Novemb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g4tcal\Desktop\SLR%20March%202021\SLR%20CE%20Indicators%20Database_March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g4tcal\Desktop\ReTraCE\Papers\SLR%20-%20CE%20indicators%20for%20supply%20chains\SLR%20CE%20Indicators%20Database_November.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[CE adoption - DB Top 50 MNEs (Europe).xlsx]Sheet2!PivotTable1</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Sheet2!$B$3:$B$4</c:f>
              <c:strCache>
                <c:ptCount val="1"/>
                <c:pt idx="0">
                  <c:v>Agri-food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Citing GRI</c:v>
                </c:pt>
                <c:pt idx="1">
                  <c:v>GRI Compliant</c:v>
                </c:pt>
                <c:pt idx="2">
                  <c:v>"Non-GRI"</c:v>
                </c:pt>
              </c:strCache>
            </c:strRef>
          </c:cat>
          <c:val>
            <c:numRef>
              <c:f>Sheet2!$B$5:$B$8</c:f>
              <c:numCache>
                <c:formatCode>General</c:formatCode>
                <c:ptCount val="3"/>
                <c:pt idx="1">
                  <c:v>3</c:v>
                </c:pt>
                <c:pt idx="2">
                  <c:v>4</c:v>
                </c:pt>
              </c:numCache>
            </c:numRef>
          </c:val>
          <c:extLst>
            <c:ext xmlns:c16="http://schemas.microsoft.com/office/drawing/2014/chart" uri="{C3380CC4-5D6E-409C-BE32-E72D297353CC}">
              <c16:uniqueId val="{00000000-9B98-4C0E-808C-4A8A38C9C288}"/>
            </c:ext>
          </c:extLst>
        </c:ser>
        <c:ser>
          <c:idx val="1"/>
          <c:order val="1"/>
          <c:tx>
            <c:strRef>
              <c:f>Sheet2!$C$3:$C$4</c:f>
              <c:strCache>
                <c:ptCount val="1"/>
                <c:pt idx="0">
                  <c:v>Energy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Citing GRI</c:v>
                </c:pt>
                <c:pt idx="1">
                  <c:v>GRI Compliant</c:v>
                </c:pt>
                <c:pt idx="2">
                  <c:v>"Non-GRI"</c:v>
                </c:pt>
              </c:strCache>
            </c:strRef>
          </c:cat>
          <c:val>
            <c:numRef>
              <c:f>Sheet2!$C$5:$C$8</c:f>
              <c:numCache>
                <c:formatCode>General</c:formatCode>
                <c:ptCount val="3"/>
                <c:pt idx="0">
                  <c:v>1</c:v>
                </c:pt>
                <c:pt idx="1">
                  <c:v>7</c:v>
                </c:pt>
                <c:pt idx="2">
                  <c:v>1</c:v>
                </c:pt>
              </c:numCache>
            </c:numRef>
          </c:val>
          <c:extLst>
            <c:ext xmlns:c16="http://schemas.microsoft.com/office/drawing/2014/chart" uri="{C3380CC4-5D6E-409C-BE32-E72D297353CC}">
              <c16:uniqueId val="{00000001-9B98-4C0E-808C-4A8A38C9C288}"/>
            </c:ext>
          </c:extLst>
        </c:ser>
        <c:ser>
          <c:idx val="2"/>
          <c:order val="2"/>
          <c:tx>
            <c:strRef>
              <c:f>Sheet2!$D$3:$D$4</c:f>
              <c:strCache>
                <c:ptCount val="1"/>
                <c:pt idx="0">
                  <c:v>Manufacturing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Citing GRI</c:v>
                </c:pt>
                <c:pt idx="1">
                  <c:v>GRI Compliant</c:v>
                </c:pt>
                <c:pt idx="2">
                  <c:v>"Non-GRI"</c:v>
                </c:pt>
              </c:strCache>
            </c:strRef>
          </c:cat>
          <c:val>
            <c:numRef>
              <c:f>Sheet2!$D$5:$D$8</c:f>
              <c:numCache>
                <c:formatCode>General</c:formatCode>
                <c:ptCount val="3"/>
                <c:pt idx="0">
                  <c:v>1</c:v>
                </c:pt>
                <c:pt idx="1">
                  <c:v>11</c:v>
                </c:pt>
                <c:pt idx="2">
                  <c:v>1</c:v>
                </c:pt>
              </c:numCache>
            </c:numRef>
          </c:val>
          <c:extLst>
            <c:ext xmlns:c16="http://schemas.microsoft.com/office/drawing/2014/chart" uri="{C3380CC4-5D6E-409C-BE32-E72D297353CC}">
              <c16:uniqueId val="{00000002-9B98-4C0E-808C-4A8A38C9C288}"/>
            </c:ext>
          </c:extLst>
        </c:ser>
        <c:ser>
          <c:idx val="3"/>
          <c:order val="3"/>
          <c:tx>
            <c:strRef>
              <c:f>Sheet2!$E$3:$E$4</c:f>
              <c:strCache>
                <c:ptCount val="1"/>
                <c:pt idx="0">
                  <c:v>Services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Sheet2!$A$5:$A$8</c:f>
              <c:strCache>
                <c:ptCount val="3"/>
                <c:pt idx="0">
                  <c:v>Citing GRI</c:v>
                </c:pt>
                <c:pt idx="1">
                  <c:v>GRI Compliant</c:v>
                </c:pt>
                <c:pt idx="2">
                  <c:v>"Non-GRI"</c:v>
                </c:pt>
              </c:strCache>
            </c:strRef>
          </c:cat>
          <c:val>
            <c:numRef>
              <c:f>Sheet2!$E$5:$E$8</c:f>
              <c:numCache>
                <c:formatCode>General</c:formatCode>
                <c:ptCount val="3"/>
                <c:pt idx="0">
                  <c:v>6</c:v>
                </c:pt>
                <c:pt idx="1">
                  <c:v>6</c:v>
                </c:pt>
                <c:pt idx="2">
                  <c:v>9</c:v>
                </c:pt>
              </c:numCache>
            </c:numRef>
          </c:val>
          <c:extLst>
            <c:ext xmlns:c16="http://schemas.microsoft.com/office/drawing/2014/chart" uri="{C3380CC4-5D6E-409C-BE32-E72D297353CC}">
              <c16:uniqueId val="{00000003-9B98-4C0E-808C-4A8A38C9C288}"/>
            </c:ext>
          </c:extLst>
        </c:ser>
        <c:dLbls>
          <c:showLegendKey val="0"/>
          <c:showVal val="0"/>
          <c:showCatName val="0"/>
          <c:showSerName val="0"/>
          <c:showPercent val="0"/>
          <c:showBubbleSize val="0"/>
        </c:dLbls>
        <c:gapWidth val="219"/>
        <c:overlap val="-27"/>
        <c:axId val="489659376"/>
        <c:axId val="489654784"/>
      </c:barChart>
      <c:catAx>
        <c:axId val="489659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9654784"/>
        <c:crosses val="autoZero"/>
        <c:auto val="1"/>
        <c:lblAlgn val="ctr"/>
        <c:lblOffset val="100"/>
        <c:noMultiLvlLbl val="0"/>
      </c:catAx>
      <c:valAx>
        <c:axId val="48965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9659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'The sample'!$AD$61</c:f>
              <c:strCache>
                <c:ptCount val="1"/>
                <c:pt idx="0">
                  <c:v> Top-50 EU Organisations interest in the CE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'The sample'!$AC$62:$AC$67</c:f>
              <c:numCache>
                <c:formatCode>General</c:formatCode>
                <c:ptCount val="6"/>
                <c:pt idx="0">
                  <c:v>2013</c:v>
                </c:pt>
                <c:pt idx="1">
                  <c:v>2014</c:v>
                </c:pt>
                <c:pt idx="2">
                  <c:v>2015</c:v>
                </c:pt>
                <c:pt idx="3">
                  <c:v>2016</c:v>
                </c:pt>
                <c:pt idx="4">
                  <c:v>2017</c:v>
                </c:pt>
                <c:pt idx="5">
                  <c:v>2018</c:v>
                </c:pt>
              </c:numCache>
            </c:numRef>
          </c:cat>
          <c:val>
            <c:numRef>
              <c:f>'The sample'!$AD$62:$AD$67</c:f>
              <c:numCache>
                <c:formatCode>General</c:formatCode>
                <c:ptCount val="6"/>
                <c:pt idx="0">
                  <c:v>3</c:v>
                </c:pt>
                <c:pt idx="1">
                  <c:v>5</c:v>
                </c:pt>
                <c:pt idx="2">
                  <c:v>11</c:v>
                </c:pt>
                <c:pt idx="3">
                  <c:v>14</c:v>
                </c:pt>
                <c:pt idx="4">
                  <c:v>17</c:v>
                </c:pt>
                <c:pt idx="5">
                  <c:v>25</c:v>
                </c:pt>
              </c:numCache>
            </c:numRef>
          </c:val>
          <c:extLst>
            <c:ext xmlns:c16="http://schemas.microsoft.com/office/drawing/2014/chart" uri="{C3380CC4-5D6E-409C-BE32-E72D297353CC}">
              <c16:uniqueId val="{00000000-90BF-48C2-9764-34E9DCF10FFF}"/>
            </c:ext>
          </c:extLst>
        </c:ser>
        <c:dLbls>
          <c:showLegendKey val="0"/>
          <c:showVal val="0"/>
          <c:showCatName val="0"/>
          <c:showSerName val="0"/>
          <c:showPercent val="0"/>
          <c:showBubbleSize val="0"/>
        </c:dLbls>
        <c:gapWidth val="100"/>
        <c:overlap val="-24"/>
        <c:axId val="488011184"/>
        <c:axId val="488006264"/>
      </c:barChart>
      <c:catAx>
        <c:axId val="488011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8006264"/>
        <c:crosses val="autoZero"/>
        <c:auto val="1"/>
        <c:lblAlgn val="ctr"/>
        <c:lblOffset val="100"/>
        <c:noMultiLvlLbl val="0"/>
      </c:catAx>
      <c:valAx>
        <c:axId val="488006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801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[SLR CE Indicators Database_November.xlsx]Sheet1!PivotTable1</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Sheet1!$B$3</c:f>
              <c:strCache>
                <c:ptCount val="1"/>
                <c:pt idx="0">
                  <c:v>Total</c:v>
                </c:pt>
              </c:strCache>
            </c:strRef>
          </c:tx>
          <c:spPr>
            <a:solidFill>
              <a:schemeClr val="accent1"/>
            </a:solidFill>
            <a:ln>
              <a:noFill/>
            </a:ln>
            <a:effectLst/>
          </c:spPr>
          <c:invertIfNegative val="0"/>
          <c:cat>
            <c:strRef>
              <c:f>Sheet1!$A$4:$A$21</c:f>
              <c:strCache>
                <c:ptCount val="17"/>
                <c:pt idx="0">
                  <c:v>2002</c:v>
                </c:pt>
                <c:pt idx="1">
                  <c:v>2003</c:v>
                </c:pt>
                <c:pt idx="2">
                  <c:v>2004</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strCache>
            </c:strRef>
          </c:cat>
          <c:val>
            <c:numRef>
              <c:f>Sheet1!$B$4:$B$21</c:f>
              <c:numCache>
                <c:formatCode>General</c:formatCode>
                <c:ptCount val="17"/>
                <c:pt idx="0">
                  <c:v>2</c:v>
                </c:pt>
                <c:pt idx="1">
                  <c:v>3</c:v>
                </c:pt>
                <c:pt idx="2">
                  <c:v>2</c:v>
                </c:pt>
                <c:pt idx="3">
                  <c:v>2</c:v>
                </c:pt>
                <c:pt idx="4">
                  <c:v>2</c:v>
                </c:pt>
                <c:pt idx="5">
                  <c:v>3</c:v>
                </c:pt>
                <c:pt idx="6">
                  <c:v>3</c:v>
                </c:pt>
                <c:pt idx="7">
                  <c:v>8</c:v>
                </c:pt>
                <c:pt idx="8">
                  <c:v>6</c:v>
                </c:pt>
                <c:pt idx="9">
                  <c:v>6</c:v>
                </c:pt>
                <c:pt idx="10">
                  <c:v>6</c:v>
                </c:pt>
                <c:pt idx="11">
                  <c:v>6</c:v>
                </c:pt>
                <c:pt idx="12">
                  <c:v>13</c:v>
                </c:pt>
                <c:pt idx="13">
                  <c:v>21</c:v>
                </c:pt>
                <c:pt idx="14">
                  <c:v>32</c:v>
                </c:pt>
                <c:pt idx="15">
                  <c:v>42</c:v>
                </c:pt>
                <c:pt idx="16">
                  <c:v>47</c:v>
                </c:pt>
              </c:numCache>
            </c:numRef>
          </c:val>
          <c:extLst>
            <c:ext xmlns:c16="http://schemas.microsoft.com/office/drawing/2014/chart" uri="{C3380CC4-5D6E-409C-BE32-E72D297353CC}">
              <c16:uniqueId val="{00000000-2B9A-4424-84AB-D05427155A72}"/>
            </c:ext>
          </c:extLst>
        </c:ser>
        <c:dLbls>
          <c:showLegendKey val="0"/>
          <c:showVal val="0"/>
          <c:showCatName val="0"/>
          <c:showSerName val="0"/>
          <c:showPercent val="0"/>
          <c:showBubbleSize val="0"/>
        </c:dLbls>
        <c:gapWidth val="150"/>
        <c:axId val="395909160"/>
        <c:axId val="395908504"/>
      </c:barChart>
      <c:catAx>
        <c:axId val="39590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95908504"/>
        <c:crosses val="autoZero"/>
        <c:auto val="1"/>
        <c:lblAlgn val="ctr"/>
        <c:lblOffset val="100"/>
        <c:noMultiLvlLbl val="0"/>
      </c:catAx>
      <c:valAx>
        <c:axId val="395908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GB"/>
                  <a:t>Number of annual publications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9590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Garamond" panose="02020404030301010803"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tx>
            <c:strRef>
              <c:f>'Type of decision Table'!$B$13</c:f>
              <c:strCache>
                <c:ptCount val="1"/>
              </c:strCache>
            </c:strRef>
          </c:tx>
          <c:spPr>
            <a:solidFill>
              <a:schemeClr val="accent1"/>
            </a:solidFill>
            <a:ln>
              <a:noFill/>
            </a:ln>
            <a:effectLst/>
          </c:spPr>
          <c:invertIfNegative val="0"/>
          <c:cat>
            <c:strRef>
              <c:f>'Type of decision Table'!$A$14:$A$17</c:f>
              <c:strCache>
                <c:ptCount val="4"/>
                <c:pt idx="0">
                  <c:v>Unspecified</c:v>
                </c:pt>
                <c:pt idx="1">
                  <c:v>Strategic</c:v>
                </c:pt>
                <c:pt idx="2">
                  <c:v>Strategic and tactical</c:v>
                </c:pt>
                <c:pt idx="3">
                  <c:v>Tactical</c:v>
                </c:pt>
              </c:strCache>
            </c:strRef>
          </c:cat>
          <c:val>
            <c:numRef>
              <c:f>'Type of decision Table'!$B$14:$B$17</c:f>
              <c:numCache>
                <c:formatCode>General</c:formatCode>
                <c:ptCount val="4"/>
                <c:pt idx="0">
                  <c:v>65</c:v>
                </c:pt>
                <c:pt idx="1">
                  <c:v>108</c:v>
                </c:pt>
                <c:pt idx="2">
                  <c:v>4</c:v>
                </c:pt>
                <c:pt idx="3">
                  <c:v>29</c:v>
                </c:pt>
              </c:numCache>
            </c:numRef>
          </c:val>
          <c:extLst>
            <c:ext xmlns:c16="http://schemas.microsoft.com/office/drawing/2014/chart" uri="{C3380CC4-5D6E-409C-BE32-E72D297353CC}">
              <c16:uniqueId val="{00000000-36F6-47B1-8CB5-F535CB82B41B}"/>
            </c:ext>
          </c:extLst>
        </c:ser>
        <c:dLbls>
          <c:showLegendKey val="0"/>
          <c:showVal val="0"/>
          <c:showCatName val="0"/>
          <c:showSerName val="0"/>
          <c:showPercent val="0"/>
          <c:showBubbleSize val="0"/>
        </c:dLbls>
        <c:gapWidth val="150"/>
        <c:axId val="523070776"/>
        <c:axId val="523068152"/>
      </c:barChart>
      <c:catAx>
        <c:axId val="523070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3068152"/>
        <c:crosses val="autoZero"/>
        <c:auto val="1"/>
        <c:lblAlgn val="ctr"/>
        <c:lblOffset val="100"/>
        <c:noMultiLvlLbl val="0"/>
      </c:catAx>
      <c:valAx>
        <c:axId val="523068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GB"/>
                  <a:t>Number of publications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3070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[SLR CE Indicators Database_March18.xlsx]SLR paper rmethods!PivotTable2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'SLR paper rmethods'!$B$3</c:f>
              <c:strCache>
                <c:ptCount val="1"/>
                <c:pt idx="0">
                  <c:v>Total</c:v>
                </c:pt>
              </c:strCache>
            </c:strRef>
          </c:tx>
          <c:spPr>
            <a:solidFill>
              <a:schemeClr val="accent1"/>
            </a:solidFill>
            <a:ln>
              <a:noFill/>
            </a:ln>
            <a:effectLst/>
          </c:spPr>
          <c:invertIfNegative val="0"/>
          <c:cat>
            <c:multiLvlStrRef>
              <c:f>'SLR paper rmethods'!$A$4:$A$19</c:f>
              <c:multiLvlStrCache>
                <c:ptCount val="12"/>
                <c:lvl>
                  <c:pt idx="0">
                    <c:v>I/O</c:v>
                  </c:pt>
                  <c:pt idx="1">
                    <c:v>LCA</c:v>
                  </c:pt>
                  <c:pt idx="2">
                    <c:v>MCDM</c:v>
                  </c:pt>
                  <c:pt idx="3">
                    <c:v>MFA</c:v>
                  </c:pt>
                  <c:pt idx="4">
                    <c:v>Mix of analytical methods</c:v>
                  </c:pt>
                  <c:pt idx="5">
                    <c:v>Other Cost-based models</c:v>
                  </c:pt>
                  <c:pt idx="6">
                    <c:v>Multi-objective</c:v>
                  </c:pt>
                  <c:pt idx="7">
                    <c:v>Single-objective</c:v>
                  </c:pt>
                  <c:pt idx="8">
                    <c:v>Discrete Event Simulation</c:v>
                  </c:pt>
                  <c:pt idx="9">
                    <c:v>Monte-Carlo Simulation</c:v>
                  </c:pt>
                  <c:pt idx="10">
                    <c:v>Statistical Simulation approach</c:v>
                  </c:pt>
                  <c:pt idx="11">
                    <c:v>System Dynamics</c:v>
                  </c:pt>
                </c:lvl>
                <c:lvl>
                  <c:pt idx="0">
                    <c:v>Analytical method</c:v>
                  </c:pt>
                  <c:pt idx="6">
                    <c:v>Mathematical programming method</c:v>
                  </c:pt>
                  <c:pt idx="8">
                    <c:v>Simulation method</c:v>
                  </c:pt>
                </c:lvl>
              </c:multiLvlStrCache>
            </c:multiLvlStrRef>
          </c:cat>
          <c:val>
            <c:numRef>
              <c:f>'SLR paper rmethods'!$B$4:$B$19</c:f>
              <c:numCache>
                <c:formatCode>General</c:formatCode>
                <c:ptCount val="12"/>
                <c:pt idx="0">
                  <c:v>5</c:v>
                </c:pt>
                <c:pt idx="1">
                  <c:v>22</c:v>
                </c:pt>
                <c:pt idx="2">
                  <c:v>24</c:v>
                </c:pt>
                <c:pt idx="3">
                  <c:v>3</c:v>
                </c:pt>
                <c:pt idx="4">
                  <c:v>6</c:v>
                </c:pt>
                <c:pt idx="5">
                  <c:v>3</c:v>
                </c:pt>
                <c:pt idx="6">
                  <c:v>83</c:v>
                </c:pt>
                <c:pt idx="7">
                  <c:v>39</c:v>
                </c:pt>
                <c:pt idx="8">
                  <c:v>8</c:v>
                </c:pt>
                <c:pt idx="9">
                  <c:v>2</c:v>
                </c:pt>
                <c:pt idx="10">
                  <c:v>2</c:v>
                </c:pt>
                <c:pt idx="11">
                  <c:v>6</c:v>
                </c:pt>
              </c:numCache>
            </c:numRef>
          </c:val>
          <c:extLst>
            <c:ext xmlns:c16="http://schemas.microsoft.com/office/drawing/2014/chart" uri="{C3380CC4-5D6E-409C-BE32-E72D297353CC}">
              <c16:uniqueId val="{00000000-F52D-481F-A470-6BEDC877AFA7}"/>
            </c:ext>
          </c:extLst>
        </c:ser>
        <c:dLbls>
          <c:showLegendKey val="0"/>
          <c:showVal val="0"/>
          <c:showCatName val="0"/>
          <c:showSerName val="0"/>
          <c:showPercent val="0"/>
          <c:showBubbleSize val="0"/>
        </c:dLbls>
        <c:gapWidth val="150"/>
        <c:axId val="387736408"/>
        <c:axId val="387740672"/>
      </c:barChart>
      <c:catAx>
        <c:axId val="387736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87740672"/>
        <c:crosses val="autoZero"/>
        <c:auto val="1"/>
        <c:lblAlgn val="ctr"/>
        <c:lblOffset val="100"/>
        <c:noMultiLvlLbl val="0"/>
      </c:catAx>
      <c:valAx>
        <c:axId val="38774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GB"/>
                  <a:t>Number of publications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87736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'Sustainability dimensions'!$B$52</c:f>
              <c:strCache>
                <c:ptCount val="1"/>
                <c:pt idx="0">
                  <c:v>Single dimension</c:v>
                </c:pt>
              </c:strCache>
            </c:strRef>
          </c:tx>
          <c:spPr>
            <a:solidFill>
              <a:schemeClr val="accent2">
                <a:lumMod val="50000"/>
              </a:schemeClr>
            </a:solidFill>
            <a:ln>
              <a:noFill/>
            </a:ln>
            <a:effectLst/>
          </c:spPr>
          <c:invertIfNegative val="0"/>
          <c:cat>
            <c:numRef>
              <c:f>'Sustainability dimensions'!$A$53:$A$69</c:f>
              <c:numCache>
                <c:formatCode>General</c:formatCode>
                <c:ptCount val="17"/>
                <c:pt idx="0">
                  <c:v>2002</c:v>
                </c:pt>
                <c:pt idx="1">
                  <c:v>2003</c:v>
                </c:pt>
                <c:pt idx="2">
                  <c:v>2004</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'Sustainability dimensions'!$B$53:$B$69</c:f>
              <c:numCache>
                <c:formatCode>General</c:formatCode>
                <c:ptCount val="17"/>
                <c:pt idx="0">
                  <c:v>1</c:v>
                </c:pt>
                <c:pt idx="1">
                  <c:v>2</c:v>
                </c:pt>
                <c:pt idx="2">
                  <c:v>2</c:v>
                </c:pt>
                <c:pt idx="3">
                  <c:v>1</c:v>
                </c:pt>
                <c:pt idx="4">
                  <c:v>1</c:v>
                </c:pt>
                <c:pt idx="5">
                  <c:v>2</c:v>
                </c:pt>
                <c:pt idx="6">
                  <c:v>2</c:v>
                </c:pt>
                <c:pt idx="7">
                  <c:v>5</c:v>
                </c:pt>
                <c:pt idx="8">
                  <c:v>5</c:v>
                </c:pt>
                <c:pt idx="9">
                  <c:v>2</c:v>
                </c:pt>
                <c:pt idx="10">
                  <c:v>4</c:v>
                </c:pt>
                <c:pt idx="11">
                  <c:v>3</c:v>
                </c:pt>
                <c:pt idx="12">
                  <c:v>9</c:v>
                </c:pt>
                <c:pt idx="13">
                  <c:v>11</c:v>
                </c:pt>
                <c:pt idx="14">
                  <c:v>12</c:v>
                </c:pt>
                <c:pt idx="15">
                  <c:v>19</c:v>
                </c:pt>
                <c:pt idx="16">
                  <c:v>22</c:v>
                </c:pt>
              </c:numCache>
            </c:numRef>
          </c:val>
          <c:extLst>
            <c:ext xmlns:c16="http://schemas.microsoft.com/office/drawing/2014/chart" uri="{C3380CC4-5D6E-409C-BE32-E72D297353CC}">
              <c16:uniqueId val="{00000000-8080-4EF0-993B-9C49048FF159}"/>
            </c:ext>
          </c:extLst>
        </c:ser>
        <c:ser>
          <c:idx val="1"/>
          <c:order val="1"/>
          <c:tx>
            <c:strRef>
              <c:f>'Sustainability dimensions'!$C$52</c:f>
              <c:strCache>
                <c:ptCount val="1"/>
                <c:pt idx="0">
                  <c:v>Two dimensions</c:v>
                </c:pt>
              </c:strCache>
            </c:strRef>
          </c:tx>
          <c:spPr>
            <a:solidFill>
              <a:schemeClr val="accent6">
                <a:lumMod val="60000"/>
                <a:lumOff val="40000"/>
              </a:schemeClr>
            </a:solidFill>
            <a:ln>
              <a:noFill/>
            </a:ln>
            <a:effectLst/>
          </c:spPr>
          <c:invertIfNegative val="0"/>
          <c:cat>
            <c:numRef>
              <c:f>'Sustainability dimensions'!$A$53:$A$69</c:f>
              <c:numCache>
                <c:formatCode>General</c:formatCode>
                <c:ptCount val="17"/>
                <c:pt idx="0">
                  <c:v>2002</c:v>
                </c:pt>
                <c:pt idx="1">
                  <c:v>2003</c:v>
                </c:pt>
                <c:pt idx="2">
                  <c:v>2004</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'Sustainability dimensions'!$C$53:$C$69</c:f>
              <c:numCache>
                <c:formatCode>General</c:formatCode>
                <c:ptCount val="17"/>
                <c:pt idx="0">
                  <c:v>1</c:v>
                </c:pt>
                <c:pt idx="1">
                  <c:v>1</c:v>
                </c:pt>
                <c:pt idx="2">
                  <c:v>0</c:v>
                </c:pt>
                <c:pt idx="3">
                  <c:v>1</c:v>
                </c:pt>
                <c:pt idx="4">
                  <c:v>1</c:v>
                </c:pt>
                <c:pt idx="5">
                  <c:v>1</c:v>
                </c:pt>
                <c:pt idx="6">
                  <c:v>1</c:v>
                </c:pt>
                <c:pt idx="7">
                  <c:v>3</c:v>
                </c:pt>
                <c:pt idx="8">
                  <c:v>1</c:v>
                </c:pt>
                <c:pt idx="9">
                  <c:v>3</c:v>
                </c:pt>
                <c:pt idx="10">
                  <c:v>1</c:v>
                </c:pt>
                <c:pt idx="11">
                  <c:v>3</c:v>
                </c:pt>
                <c:pt idx="12">
                  <c:v>4</c:v>
                </c:pt>
                <c:pt idx="13">
                  <c:v>8</c:v>
                </c:pt>
                <c:pt idx="14">
                  <c:v>12</c:v>
                </c:pt>
                <c:pt idx="15">
                  <c:v>17</c:v>
                </c:pt>
                <c:pt idx="16">
                  <c:v>13</c:v>
                </c:pt>
              </c:numCache>
            </c:numRef>
          </c:val>
          <c:extLst>
            <c:ext xmlns:c16="http://schemas.microsoft.com/office/drawing/2014/chart" uri="{C3380CC4-5D6E-409C-BE32-E72D297353CC}">
              <c16:uniqueId val="{00000001-8080-4EF0-993B-9C49048FF159}"/>
            </c:ext>
          </c:extLst>
        </c:ser>
        <c:ser>
          <c:idx val="2"/>
          <c:order val="2"/>
          <c:tx>
            <c:strRef>
              <c:f>'Sustainability dimensions'!$D$52</c:f>
              <c:strCache>
                <c:ptCount val="1"/>
                <c:pt idx="0">
                  <c:v>Three dimensions</c:v>
                </c:pt>
              </c:strCache>
            </c:strRef>
          </c:tx>
          <c:spPr>
            <a:solidFill>
              <a:schemeClr val="accent6">
                <a:lumMod val="50000"/>
              </a:schemeClr>
            </a:solidFill>
            <a:ln>
              <a:noFill/>
            </a:ln>
            <a:effectLst/>
          </c:spPr>
          <c:invertIfNegative val="0"/>
          <c:cat>
            <c:numRef>
              <c:f>'Sustainability dimensions'!$A$53:$A$69</c:f>
              <c:numCache>
                <c:formatCode>General</c:formatCode>
                <c:ptCount val="17"/>
                <c:pt idx="0">
                  <c:v>2002</c:v>
                </c:pt>
                <c:pt idx="1">
                  <c:v>2003</c:v>
                </c:pt>
                <c:pt idx="2">
                  <c:v>2004</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numCache>
            </c:numRef>
          </c:cat>
          <c:val>
            <c:numRef>
              <c:f>'Sustainability dimensions'!$D$53:$D$69</c:f>
              <c:numCache>
                <c:formatCode>General</c:formatCode>
                <c:ptCount val="17"/>
                <c:pt idx="9">
                  <c:v>1</c:v>
                </c:pt>
                <c:pt idx="10">
                  <c:v>1</c:v>
                </c:pt>
                <c:pt idx="13">
                  <c:v>2</c:v>
                </c:pt>
                <c:pt idx="14">
                  <c:v>8</c:v>
                </c:pt>
                <c:pt idx="15">
                  <c:v>6</c:v>
                </c:pt>
                <c:pt idx="16">
                  <c:v>12</c:v>
                </c:pt>
              </c:numCache>
            </c:numRef>
          </c:val>
          <c:extLst>
            <c:ext xmlns:c16="http://schemas.microsoft.com/office/drawing/2014/chart" uri="{C3380CC4-5D6E-409C-BE32-E72D297353CC}">
              <c16:uniqueId val="{00000002-8080-4EF0-993B-9C49048FF159}"/>
            </c:ext>
          </c:extLst>
        </c:ser>
        <c:dLbls>
          <c:showLegendKey val="0"/>
          <c:showVal val="0"/>
          <c:showCatName val="0"/>
          <c:showSerName val="0"/>
          <c:showPercent val="0"/>
          <c:showBubbleSize val="0"/>
        </c:dLbls>
        <c:gapWidth val="95"/>
        <c:overlap val="100"/>
        <c:axId val="593702336"/>
        <c:axId val="593704960"/>
      </c:barChart>
      <c:catAx>
        <c:axId val="59370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93704960"/>
        <c:crosses val="autoZero"/>
        <c:auto val="1"/>
        <c:lblAlgn val="ctr"/>
        <c:lblOffset val="100"/>
        <c:noMultiLvlLbl val="0"/>
      </c:catAx>
      <c:valAx>
        <c:axId val="59370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en-GB"/>
                  <a:t>Number of publications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93702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153231-846F-48DC-8CC2-85DCA6AD0666}" type="doc">
      <dgm:prSet loTypeId="urn:microsoft.com/office/officeart/2005/8/layout/orgChart1" loCatId="hierarchy" qsTypeId="urn:microsoft.com/office/officeart/2005/8/quickstyle/simple1" qsCatId="simple" csTypeId="urn:microsoft.com/office/officeart/2005/8/colors/accent2_3" csCatId="accent2" phldr="1"/>
      <dgm:spPr/>
      <dgm:t>
        <a:bodyPr/>
        <a:lstStyle/>
        <a:p>
          <a:endParaRPr lang="en-US"/>
        </a:p>
      </dgm:t>
    </dgm:pt>
    <dgm:pt modelId="{4A6F09B0-8C69-474C-9E72-7540BC650359}">
      <dgm:prSet phldrT="[Text]" custT="1"/>
      <dgm:spPr/>
      <dgm:t>
        <a:bodyPr/>
        <a:lstStyle/>
        <a:p>
          <a:r>
            <a:rPr lang="en-US" sz="1050" b="1">
              <a:latin typeface="Garamond" panose="02020404030301010803" pitchFamily="18" charset="0"/>
            </a:rPr>
            <a:t>L-CEI</a:t>
          </a:r>
          <a:endParaRPr lang="en-US" sz="900" b="1">
            <a:latin typeface="Garamond" panose="02020404030301010803" pitchFamily="18" charset="0"/>
          </a:endParaRPr>
        </a:p>
      </dgm:t>
    </dgm:pt>
    <dgm:pt modelId="{ADCD6316-513E-4616-890F-25589102F72C}" type="parTrans" cxnId="{8A5BB3A6-269E-4748-8370-E0E54B951C59}">
      <dgm:prSet/>
      <dgm:spPr/>
      <dgm:t>
        <a:bodyPr/>
        <a:lstStyle/>
        <a:p>
          <a:endParaRPr lang="en-US">
            <a:latin typeface="Garamond" panose="02020404030301010803" pitchFamily="18" charset="0"/>
          </a:endParaRPr>
        </a:p>
      </dgm:t>
    </dgm:pt>
    <dgm:pt modelId="{6CC5CD4B-534C-42E5-BA49-BDB1AE2B9011}" type="sibTrans" cxnId="{8A5BB3A6-269E-4748-8370-E0E54B951C59}">
      <dgm:prSet/>
      <dgm:spPr/>
      <dgm:t>
        <a:bodyPr/>
        <a:lstStyle/>
        <a:p>
          <a:endParaRPr lang="en-US">
            <a:latin typeface="Garamond" panose="02020404030301010803" pitchFamily="18" charset="0"/>
          </a:endParaRPr>
        </a:p>
      </dgm:t>
    </dgm:pt>
    <dgm:pt modelId="{2D217AE5-1376-42C3-8F8B-A98E95CCCB80}">
      <dgm:prSet phldrT="[Text]" custT="1"/>
      <dgm:spPr/>
      <dgm:t>
        <a:bodyPr/>
        <a:lstStyle/>
        <a:p>
          <a:r>
            <a:rPr lang="en-US" sz="900" b="1">
              <a:latin typeface="Garamond" panose="02020404030301010803" pitchFamily="18" charset="0"/>
            </a:rPr>
            <a:t>Economic dimension</a:t>
          </a:r>
        </a:p>
        <a:p>
          <a:r>
            <a:rPr lang="en-US" sz="900" b="1">
              <a:latin typeface="Garamond" panose="02020404030301010803" pitchFamily="18" charset="0"/>
            </a:rPr>
            <a:t>0.49</a:t>
          </a:r>
        </a:p>
      </dgm:t>
    </dgm:pt>
    <dgm:pt modelId="{1661D477-6235-4EE4-AF4B-A0B62935FC11}" type="parTrans" cxnId="{C05A2E36-38ED-4663-9C36-1780FC66C57C}">
      <dgm:prSet/>
      <dgm:spPr/>
      <dgm:t>
        <a:bodyPr/>
        <a:lstStyle/>
        <a:p>
          <a:endParaRPr lang="en-US">
            <a:latin typeface="Garamond" panose="02020404030301010803" pitchFamily="18" charset="0"/>
          </a:endParaRPr>
        </a:p>
      </dgm:t>
    </dgm:pt>
    <dgm:pt modelId="{65A3A0D9-047E-4BA8-B6B2-55760BA54E5C}" type="sibTrans" cxnId="{C05A2E36-38ED-4663-9C36-1780FC66C57C}">
      <dgm:prSet/>
      <dgm:spPr/>
      <dgm:t>
        <a:bodyPr/>
        <a:lstStyle/>
        <a:p>
          <a:endParaRPr lang="en-US">
            <a:latin typeface="Garamond" panose="02020404030301010803" pitchFamily="18" charset="0"/>
          </a:endParaRPr>
        </a:p>
      </dgm:t>
    </dgm:pt>
    <dgm:pt modelId="{1B0B1176-E8F1-4CA1-B6C1-E3790B6C7A69}">
      <dgm:prSet phldrT="[Text]" custT="1"/>
      <dgm:spPr/>
      <dgm:t>
        <a:bodyPr/>
        <a:lstStyle/>
        <a:p>
          <a:r>
            <a:rPr lang="en-US" sz="900" b="1">
              <a:latin typeface="Garamond" panose="02020404030301010803" pitchFamily="18" charset="0"/>
            </a:rPr>
            <a:t>Environmental dimension</a:t>
          </a:r>
        </a:p>
        <a:p>
          <a:r>
            <a:rPr lang="en-US" sz="900" b="1">
              <a:latin typeface="Garamond" panose="02020404030301010803" pitchFamily="18" charset="0"/>
            </a:rPr>
            <a:t>0.40</a:t>
          </a:r>
        </a:p>
      </dgm:t>
    </dgm:pt>
    <dgm:pt modelId="{D42461E3-D036-4436-815E-78E21E24BB7B}" type="parTrans" cxnId="{9FA1504C-DB89-4C96-A873-BE9CDB18107B}">
      <dgm:prSet/>
      <dgm:spPr/>
      <dgm:t>
        <a:bodyPr/>
        <a:lstStyle/>
        <a:p>
          <a:endParaRPr lang="en-US">
            <a:latin typeface="Garamond" panose="02020404030301010803" pitchFamily="18" charset="0"/>
          </a:endParaRPr>
        </a:p>
      </dgm:t>
    </dgm:pt>
    <dgm:pt modelId="{2B7C4623-26C0-4A8A-886C-C8DB126CF72F}" type="sibTrans" cxnId="{9FA1504C-DB89-4C96-A873-BE9CDB18107B}">
      <dgm:prSet/>
      <dgm:spPr/>
      <dgm:t>
        <a:bodyPr/>
        <a:lstStyle/>
        <a:p>
          <a:endParaRPr lang="en-US">
            <a:latin typeface="Garamond" panose="02020404030301010803" pitchFamily="18" charset="0"/>
          </a:endParaRPr>
        </a:p>
      </dgm:t>
    </dgm:pt>
    <dgm:pt modelId="{5485AC5C-C3E6-4345-A2E1-F3C38E61D46C}">
      <dgm:prSet phldrT="[Text]" custT="1"/>
      <dgm:spPr/>
      <dgm:t>
        <a:bodyPr/>
        <a:lstStyle/>
        <a:p>
          <a:r>
            <a:rPr lang="en-US" sz="900" b="1">
              <a:latin typeface="Garamond" panose="02020404030301010803" pitchFamily="18" charset="0"/>
            </a:rPr>
            <a:t>Social </a:t>
          </a:r>
          <a:br>
            <a:rPr lang="en-US" sz="900" b="1">
              <a:latin typeface="Garamond" panose="02020404030301010803" pitchFamily="18" charset="0"/>
            </a:rPr>
          </a:br>
          <a:r>
            <a:rPr lang="en-US" sz="900" b="1">
              <a:latin typeface="Garamond" panose="02020404030301010803" pitchFamily="18" charset="0"/>
            </a:rPr>
            <a:t>dimension</a:t>
          </a:r>
        </a:p>
        <a:p>
          <a:r>
            <a:rPr lang="en-US" sz="900" b="1">
              <a:latin typeface="Garamond" panose="02020404030301010803" pitchFamily="18" charset="0"/>
            </a:rPr>
            <a:t>0.11</a:t>
          </a:r>
        </a:p>
      </dgm:t>
    </dgm:pt>
    <dgm:pt modelId="{E0EF8A1A-C83D-48F5-A4D6-8B2CEC91EA83}" type="parTrans" cxnId="{786EA2B1-CD60-4468-81F5-62C3CF04F88C}">
      <dgm:prSet/>
      <dgm:spPr/>
      <dgm:t>
        <a:bodyPr/>
        <a:lstStyle/>
        <a:p>
          <a:endParaRPr lang="en-US">
            <a:latin typeface="Garamond" panose="02020404030301010803" pitchFamily="18" charset="0"/>
          </a:endParaRPr>
        </a:p>
      </dgm:t>
    </dgm:pt>
    <dgm:pt modelId="{F5BAE5A2-B459-4FE5-AEAE-895C7B6452AB}" type="sibTrans" cxnId="{786EA2B1-CD60-4468-81F5-62C3CF04F88C}">
      <dgm:prSet/>
      <dgm:spPr/>
      <dgm:t>
        <a:bodyPr/>
        <a:lstStyle/>
        <a:p>
          <a:endParaRPr lang="en-US">
            <a:latin typeface="Garamond" panose="02020404030301010803" pitchFamily="18" charset="0"/>
          </a:endParaRPr>
        </a:p>
      </dgm:t>
    </dgm:pt>
    <dgm:pt modelId="{4EBFB426-2B9F-4D75-9762-4C101DFA56F2}">
      <dgm:prSet custT="1"/>
      <dgm:spPr/>
      <dgm:t>
        <a:bodyPr/>
        <a:lstStyle/>
        <a:p>
          <a:r>
            <a:rPr lang="en-US" sz="900">
              <a:latin typeface="Garamond" panose="02020404030301010803" pitchFamily="18" charset="0"/>
            </a:rPr>
            <a:t>CSC Cost</a:t>
          </a:r>
        </a:p>
        <a:p>
          <a:r>
            <a:rPr lang="en-US" sz="900">
              <a:latin typeface="Garamond" panose="02020404030301010803" pitchFamily="18" charset="0"/>
            </a:rPr>
            <a:t>0.31</a:t>
          </a:r>
        </a:p>
      </dgm:t>
    </dgm:pt>
    <dgm:pt modelId="{68AB90E3-B878-45BB-AD30-15948109DA72}" type="parTrans" cxnId="{175040F1-8069-4C25-A5E3-712303D8A893}">
      <dgm:prSet/>
      <dgm:spPr/>
      <dgm:t>
        <a:bodyPr/>
        <a:lstStyle/>
        <a:p>
          <a:endParaRPr lang="en-US">
            <a:latin typeface="Garamond" panose="02020404030301010803" pitchFamily="18" charset="0"/>
          </a:endParaRPr>
        </a:p>
      </dgm:t>
    </dgm:pt>
    <dgm:pt modelId="{3E470FC7-F9AC-4A53-A989-56228C2A42C8}" type="sibTrans" cxnId="{175040F1-8069-4C25-A5E3-712303D8A893}">
      <dgm:prSet/>
      <dgm:spPr/>
      <dgm:t>
        <a:bodyPr/>
        <a:lstStyle/>
        <a:p>
          <a:endParaRPr lang="en-US">
            <a:latin typeface="Garamond" panose="02020404030301010803" pitchFamily="18" charset="0"/>
          </a:endParaRPr>
        </a:p>
      </dgm:t>
    </dgm:pt>
    <dgm:pt modelId="{649B5601-189F-414F-8EEE-D0BAA4581BA3}">
      <dgm:prSet custT="1"/>
      <dgm:spPr/>
      <dgm:t>
        <a:bodyPr/>
        <a:lstStyle/>
        <a:p>
          <a:r>
            <a:rPr lang="en-US" sz="900">
              <a:latin typeface="Garamond" panose="02020404030301010803" pitchFamily="18" charset="0"/>
            </a:rPr>
            <a:t>CSC Profit</a:t>
          </a:r>
        </a:p>
        <a:p>
          <a:r>
            <a:rPr lang="en-US" sz="900">
              <a:latin typeface="Garamond" panose="02020404030301010803" pitchFamily="18" charset="0"/>
            </a:rPr>
            <a:t>0.13</a:t>
          </a:r>
        </a:p>
      </dgm:t>
    </dgm:pt>
    <dgm:pt modelId="{061C5DCC-107B-40F2-BCBB-70DB5D6BA830}" type="parTrans" cxnId="{F6AD2976-AB0A-4E53-BC56-A54A2B4C4969}">
      <dgm:prSet/>
      <dgm:spPr/>
      <dgm:t>
        <a:bodyPr/>
        <a:lstStyle/>
        <a:p>
          <a:endParaRPr lang="en-US">
            <a:latin typeface="Garamond" panose="02020404030301010803" pitchFamily="18" charset="0"/>
          </a:endParaRPr>
        </a:p>
      </dgm:t>
    </dgm:pt>
    <dgm:pt modelId="{853682E5-A762-473C-8DAA-7DF1F2ED72D9}" type="sibTrans" cxnId="{F6AD2976-AB0A-4E53-BC56-A54A2B4C4969}">
      <dgm:prSet/>
      <dgm:spPr/>
      <dgm:t>
        <a:bodyPr/>
        <a:lstStyle/>
        <a:p>
          <a:endParaRPr lang="en-US">
            <a:latin typeface="Garamond" panose="02020404030301010803" pitchFamily="18" charset="0"/>
          </a:endParaRPr>
        </a:p>
      </dgm:t>
    </dgm:pt>
    <dgm:pt modelId="{935DD476-66ED-4CF4-99D4-33C9B4F86929}">
      <dgm:prSet custT="1"/>
      <dgm:spPr/>
      <dgm:t>
        <a:bodyPr/>
        <a:lstStyle/>
        <a:p>
          <a:r>
            <a:rPr lang="en-US" sz="900">
              <a:latin typeface="Garamond" panose="02020404030301010803" pitchFamily="18" charset="0"/>
            </a:rPr>
            <a:t>Time Responsiveness</a:t>
          </a:r>
        </a:p>
        <a:p>
          <a:r>
            <a:rPr lang="en-US" sz="900">
              <a:latin typeface="Garamond" panose="02020404030301010803" pitchFamily="18" charset="0"/>
            </a:rPr>
            <a:t>0.05</a:t>
          </a:r>
        </a:p>
      </dgm:t>
    </dgm:pt>
    <dgm:pt modelId="{97A15CB0-02CE-48FF-BB26-1532B8382250}" type="parTrans" cxnId="{8FF8338F-C9A9-4E22-8524-8DD43F7AD9BB}">
      <dgm:prSet/>
      <dgm:spPr/>
      <dgm:t>
        <a:bodyPr/>
        <a:lstStyle/>
        <a:p>
          <a:endParaRPr lang="en-US">
            <a:latin typeface="Garamond" panose="02020404030301010803" pitchFamily="18" charset="0"/>
          </a:endParaRPr>
        </a:p>
      </dgm:t>
    </dgm:pt>
    <dgm:pt modelId="{C0EE1A88-AC03-4B2C-B0CE-DFEDA40A1A82}" type="sibTrans" cxnId="{8FF8338F-C9A9-4E22-8524-8DD43F7AD9BB}">
      <dgm:prSet/>
      <dgm:spPr/>
      <dgm:t>
        <a:bodyPr/>
        <a:lstStyle/>
        <a:p>
          <a:endParaRPr lang="en-US">
            <a:latin typeface="Garamond" panose="02020404030301010803" pitchFamily="18" charset="0"/>
          </a:endParaRPr>
        </a:p>
      </dgm:t>
    </dgm:pt>
    <dgm:pt modelId="{6A9FB7A8-8F7E-4382-898C-EC28D9102C4B}">
      <dgm:prSet custT="1"/>
      <dgm:spPr/>
      <dgm:t>
        <a:bodyPr/>
        <a:lstStyle/>
        <a:p>
          <a:r>
            <a:rPr lang="en-US" sz="900">
              <a:latin typeface="Garamond" panose="02020404030301010803" pitchFamily="18" charset="0"/>
            </a:rPr>
            <a:t>CO</a:t>
          </a:r>
          <a:r>
            <a:rPr lang="en-US" sz="900" baseline="-25000">
              <a:latin typeface="Garamond" panose="02020404030301010803" pitchFamily="18" charset="0"/>
            </a:rPr>
            <a:t>2</a:t>
          </a:r>
          <a:r>
            <a:rPr lang="en-US" sz="900" baseline="0">
              <a:latin typeface="Garamond" panose="02020404030301010803" pitchFamily="18" charset="0"/>
            </a:rPr>
            <a:t>eq. Emissions</a:t>
          </a:r>
        </a:p>
        <a:p>
          <a:r>
            <a:rPr lang="en-US" sz="900" baseline="0">
              <a:latin typeface="Garamond" panose="02020404030301010803" pitchFamily="18" charset="0"/>
            </a:rPr>
            <a:t>0.25</a:t>
          </a:r>
          <a:endParaRPr lang="en-US" sz="900">
            <a:latin typeface="Garamond" panose="02020404030301010803" pitchFamily="18" charset="0"/>
          </a:endParaRPr>
        </a:p>
      </dgm:t>
    </dgm:pt>
    <dgm:pt modelId="{94F666CF-3E13-4D3A-9478-285779BEE882}" type="parTrans" cxnId="{C65D0891-01DC-4FEF-91C8-E78657E2FBB2}">
      <dgm:prSet/>
      <dgm:spPr/>
      <dgm:t>
        <a:bodyPr/>
        <a:lstStyle/>
        <a:p>
          <a:endParaRPr lang="en-US">
            <a:latin typeface="Garamond" panose="02020404030301010803" pitchFamily="18" charset="0"/>
          </a:endParaRPr>
        </a:p>
      </dgm:t>
    </dgm:pt>
    <dgm:pt modelId="{60BDDD71-A76E-4176-B5CF-03E32A5D9F55}" type="sibTrans" cxnId="{C65D0891-01DC-4FEF-91C8-E78657E2FBB2}">
      <dgm:prSet/>
      <dgm:spPr/>
      <dgm:t>
        <a:bodyPr/>
        <a:lstStyle/>
        <a:p>
          <a:endParaRPr lang="en-US">
            <a:latin typeface="Garamond" panose="02020404030301010803" pitchFamily="18" charset="0"/>
          </a:endParaRPr>
        </a:p>
      </dgm:t>
    </dgm:pt>
    <dgm:pt modelId="{10EA82B2-C0D6-472E-AB92-3F8C65773293}">
      <dgm:prSet custT="1"/>
      <dgm:spPr/>
      <dgm:t>
        <a:bodyPr/>
        <a:lstStyle/>
        <a:p>
          <a:r>
            <a:rPr lang="en-US" sz="900">
              <a:latin typeface="Garamond" panose="02020404030301010803" pitchFamily="18" charset="0"/>
            </a:rPr>
            <a:t>Energy use</a:t>
          </a:r>
        </a:p>
        <a:p>
          <a:r>
            <a:rPr lang="en-US" sz="900">
              <a:latin typeface="Garamond" panose="02020404030301010803" pitchFamily="18" charset="0"/>
            </a:rPr>
            <a:t>0.08</a:t>
          </a:r>
        </a:p>
      </dgm:t>
    </dgm:pt>
    <dgm:pt modelId="{9FBA2F2D-D645-4483-8DE4-AAA3052EB024}" type="parTrans" cxnId="{E47FD07D-49A2-4B2B-B653-81D005194812}">
      <dgm:prSet/>
      <dgm:spPr/>
      <dgm:t>
        <a:bodyPr/>
        <a:lstStyle/>
        <a:p>
          <a:endParaRPr lang="en-US">
            <a:latin typeface="Garamond" panose="02020404030301010803" pitchFamily="18" charset="0"/>
          </a:endParaRPr>
        </a:p>
      </dgm:t>
    </dgm:pt>
    <dgm:pt modelId="{DBD34F36-979E-4CC0-B7CB-7A8F36861F17}" type="sibTrans" cxnId="{E47FD07D-49A2-4B2B-B653-81D005194812}">
      <dgm:prSet/>
      <dgm:spPr/>
      <dgm:t>
        <a:bodyPr/>
        <a:lstStyle/>
        <a:p>
          <a:endParaRPr lang="en-US">
            <a:latin typeface="Garamond" panose="02020404030301010803" pitchFamily="18" charset="0"/>
          </a:endParaRPr>
        </a:p>
      </dgm:t>
    </dgm:pt>
    <dgm:pt modelId="{83C448D7-0A29-486B-87F0-2C6EF1512119}">
      <dgm:prSet custT="1"/>
      <dgm:spPr/>
      <dgm:t>
        <a:bodyPr/>
        <a:lstStyle/>
        <a:p>
          <a:r>
            <a:rPr lang="en-US" sz="900">
              <a:latin typeface="Garamond" panose="02020404030301010803" pitchFamily="18" charset="0"/>
            </a:rPr>
            <a:t>CSC Jobs created</a:t>
          </a:r>
        </a:p>
        <a:p>
          <a:r>
            <a:rPr lang="en-US" sz="900">
              <a:latin typeface="Garamond" panose="02020404030301010803" pitchFamily="18" charset="0"/>
            </a:rPr>
            <a:t>0.05</a:t>
          </a:r>
        </a:p>
      </dgm:t>
    </dgm:pt>
    <dgm:pt modelId="{A773AFFC-06F5-4289-8F37-49FD0FBD5EE5}" type="parTrans" cxnId="{37696FBE-1D73-4D19-B260-530214346BC2}">
      <dgm:prSet/>
      <dgm:spPr/>
      <dgm:t>
        <a:bodyPr/>
        <a:lstStyle/>
        <a:p>
          <a:endParaRPr lang="en-US">
            <a:latin typeface="Garamond" panose="02020404030301010803" pitchFamily="18" charset="0"/>
          </a:endParaRPr>
        </a:p>
      </dgm:t>
    </dgm:pt>
    <dgm:pt modelId="{6BF7F285-CB40-4E1D-8B68-4521DC7CCE19}" type="sibTrans" cxnId="{37696FBE-1D73-4D19-B260-530214346BC2}">
      <dgm:prSet/>
      <dgm:spPr/>
      <dgm:t>
        <a:bodyPr/>
        <a:lstStyle/>
        <a:p>
          <a:endParaRPr lang="en-US">
            <a:latin typeface="Garamond" panose="02020404030301010803" pitchFamily="18" charset="0"/>
          </a:endParaRPr>
        </a:p>
      </dgm:t>
    </dgm:pt>
    <dgm:pt modelId="{3913BE52-DD71-4D1E-BBCA-414FB30BBC11}">
      <dgm:prSet custT="1"/>
      <dgm:spPr/>
      <dgm:t>
        <a:bodyPr/>
        <a:lstStyle/>
        <a:p>
          <a:r>
            <a:rPr lang="en-US" sz="900">
              <a:latin typeface="Garamond" panose="02020404030301010803" pitchFamily="18" charset="0"/>
            </a:rPr>
            <a:t>Health &amp; Safety Compliance</a:t>
          </a:r>
        </a:p>
        <a:p>
          <a:r>
            <a:rPr lang="en-US" sz="900">
              <a:latin typeface="Garamond" panose="02020404030301010803" pitchFamily="18" charset="0"/>
            </a:rPr>
            <a:t>0.03</a:t>
          </a:r>
        </a:p>
      </dgm:t>
    </dgm:pt>
    <dgm:pt modelId="{B3BAB6C2-A89E-4467-973D-EAEB1DB76DD3}" type="parTrans" cxnId="{E4D815D5-D49C-4834-A826-E01B3D794B23}">
      <dgm:prSet/>
      <dgm:spPr/>
      <dgm:t>
        <a:bodyPr/>
        <a:lstStyle/>
        <a:p>
          <a:endParaRPr lang="en-US">
            <a:latin typeface="Garamond" panose="02020404030301010803" pitchFamily="18" charset="0"/>
          </a:endParaRPr>
        </a:p>
      </dgm:t>
    </dgm:pt>
    <dgm:pt modelId="{75077C00-8F33-4E0F-9BA9-0BBFF68F73D2}" type="sibTrans" cxnId="{E4D815D5-D49C-4834-A826-E01B3D794B23}">
      <dgm:prSet/>
      <dgm:spPr/>
      <dgm:t>
        <a:bodyPr/>
        <a:lstStyle/>
        <a:p>
          <a:endParaRPr lang="en-US">
            <a:latin typeface="Garamond" panose="02020404030301010803" pitchFamily="18" charset="0"/>
          </a:endParaRPr>
        </a:p>
      </dgm:t>
    </dgm:pt>
    <dgm:pt modelId="{9DC06A39-B99C-4D36-A8A6-B4D0F4002CEF}">
      <dgm:prSet custT="1"/>
      <dgm:spPr/>
      <dgm:t>
        <a:bodyPr/>
        <a:lstStyle/>
        <a:p>
          <a:r>
            <a:rPr lang="en-US" sz="900">
              <a:latin typeface="Garamond" panose="02020404030301010803" pitchFamily="18" charset="0"/>
            </a:rPr>
            <a:t>Quality of work</a:t>
          </a:r>
        </a:p>
        <a:p>
          <a:r>
            <a:rPr lang="en-US" sz="900">
              <a:latin typeface="Garamond" panose="02020404030301010803" pitchFamily="18" charset="0"/>
            </a:rPr>
            <a:t>0.03</a:t>
          </a:r>
        </a:p>
      </dgm:t>
    </dgm:pt>
    <dgm:pt modelId="{C55F3D95-0595-442F-B873-348527B4943D}" type="parTrans" cxnId="{B409B78F-A7D5-451D-A67B-1ED708D2D5AF}">
      <dgm:prSet/>
      <dgm:spPr/>
      <dgm:t>
        <a:bodyPr/>
        <a:lstStyle/>
        <a:p>
          <a:endParaRPr lang="en-US">
            <a:latin typeface="Garamond" panose="02020404030301010803" pitchFamily="18" charset="0"/>
          </a:endParaRPr>
        </a:p>
      </dgm:t>
    </dgm:pt>
    <dgm:pt modelId="{D9AD66B9-3F59-4471-9D0A-4444FAC22EEE}" type="sibTrans" cxnId="{B409B78F-A7D5-451D-A67B-1ED708D2D5AF}">
      <dgm:prSet/>
      <dgm:spPr/>
      <dgm:t>
        <a:bodyPr/>
        <a:lstStyle/>
        <a:p>
          <a:endParaRPr lang="en-US">
            <a:latin typeface="Garamond" panose="02020404030301010803" pitchFamily="18" charset="0"/>
          </a:endParaRPr>
        </a:p>
      </dgm:t>
    </dgm:pt>
    <dgm:pt modelId="{1B7574F7-2CCB-44F6-A3D6-8100F5B37D60}">
      <dgm:prSet custT="1"/>
      <dgm:spPr/>
      <dgm:t>
        <a:bodyPr/>
        <a:lstStyle/>
        <a:p>
          <a:r>
            <a:rPr lang="en-US" sz="900">
              <a:latin typeface="Garamond" panose="02020404030301010803" pitchFamily="18" charset="0"/>
            </a:rPr>
            <a:t>Virgin Resource Use</a:t>
          </a:r>
        </a:p>
        <a:p>
          <a:r>
            <a:rPr lang="en-US" sz="900">
              <a:latin typeface="Garamond" panose="02020404030301010803" pitchFamily="18" charset="0"/>
            </a:rPr>
            <a:t>0.07</a:t>
          </a:r>
        </a:p>
      </dgm:t>
    </dgm:pt>
    <dgm:pt modelId="{CC6D63B6-1D11-4E39-9E72-8737C3B0D976}" type="parTrans" cxnId="{2E6B4611-61E5-449C-943D-5B82BF316184}">
      <dgm:prSet/>
      <dgm:spPr/>
      <dgm:t>
        <a:bodyPr/>
        <a:lstStyle/>
        <a:p>
          <a:endParaRPr lang="en-US">
            <a:latin typeface="Garamond" panose="02020404030301010803" pitchFamily="18" charset="0"/>
          </a:endParaRPr>
        </a:p>
      </dgm:t>
    </dgm:pt>
    <dgm:pt modelId="{37B8B74B-84D9-4C17-9CDF-92F2B08965D6}" type="sibTrans" cxnId="{2E6B4611-61E5-449C-943D-5B82BF316184}">
      <dgm:prSet/>
      <dgm:spPr/>
      <dgm:t>
        <a:bodyPr/>
        <a:lstStyle/>
        <a:p>
          <a:endParaRPr lang="en-US">
            <a:latin typeface="Garamond" panose="02020404030301010803" pitchFamily="18" charset="0"/>
          </a:endParaRPr>
        </a:p>
      </dgm:t>
    </dgm:pt>
    <dgm:pt modelId="{51ED6880-DD4A-4473-B393-2C86A622E625}" type="pres">
      <dgm:prSet presAssocID="{C1153231-846F-48DC-8CC2-85DCA6AD0666}" presName="hierChild1" presStyleCnt="0">
        <dgm:presLayoutVars>
          <dgm:orgChart val="1"/>
          <dgm:chPref val="1"/>
          <dgm:dir/>
          <dgm:animOne val="branch"/>
          <dgm:animLvl val="lvl"/>
          <dgm:resizeHandles/>
        </dgm:presLayoutVars>
      </dgm:prSet>
      <dgm:spPr/>
      <dgm:t>
        <a:bodyPr/>
        <a:lstStyle/>
        <a:p>
          <a:endParaRPr lang="en-US"/>
        </a:p>
      </dgm:t>
    </dgm:pt>
    <dgm:pt modelId="{5E6A214D-EE93-4FBD-A7A7-6558BCA91E84}" type="pres">
      <dgm:prSet presAssocID="{4A6F09B0-8C69-474C-9E72-7540BC650359}" presName="hierRoot1" presStyleCnt="0">
        <dgm:presLayoutVars>
          <dgm:hierBranch val="init"/>
        </dgm:presLayoutVars>
      </dgm:prSet>
      <dgm:spPr/>
    </dgm:pt>
    <dgm:pt modelId="{34CF3E5B-6ACD-4C5D-8089-75C50192963C}" type="pres">
      <dgm:prSet presAssocID="{4A6F09B0-8C69-474C-9E72-7540BC650359}" presName="rootComposite1" presStyleCnt="0"/>
      <dgm:spPr/>
    </dgm:pt>
    <dgm:pt modelId="{E3242534-625C-4657-9FD7-2C7B984108FC}" type="pres">
      <dgm:prSet presAssocID="{4A6F09B0-8C69-474C-9E72-7540BC650359}" presName="rootText1" presStyleLbl="node0" presStyleIdx="0" presStyleCnt="1" custLinFactNeighborX="-4504" custLinFactNeighborY="-172">
        <dgm:presLayoutVars>
          <dgm:chPref val="3"/>
        </dgm:presLayoutVars>
      </dgm:prSet>
      <dgm:spPr/>
      <dgm:t>
        <a:bodyPr/>
        <a:lstStyle/>
        <a:p>
          <a:endParaRPr lang="en-US"/>
        </a:p>
      </dgm:t>
    </dgm:pt>
    <dgm:pt modelId="{F8F40D6E-A567-4737-B249-787EE515D5EA}" type="pres">
      <dgm:prSet presAssocID="{4A6F09B0-8C69-474C-9E72-7540BC650359}" presName="rootConnector1" presStyleLbl="node1" presStyleIdx="0" presStyleCnt="0"/>
      <dgm:spPr/>
      <dgm:t>
        <a:bodyPr/>
        <a:lstStyle/>
        <a:p>
          <a:endParaRPr lang="en-US"/>
        </a:p>
      </dgm:t>
    </dgm:pt>
    <dgm:pt modelId="{C12C9A69-4757-46B3-B1C3-3DCBE5C73F70}" type="pres">
      <dgm:prSet presAssocID="{4A6F09B0-8C69-474C-9E72-7540BC650359}" presName="hierChild2" presStyleCnt="0"/>
      <dgm:spPr/>
    </dgm:pt>
    <dgm:pt modelId="{9240A010-1159-4C86-B770-DF9D7510C199}" type="pres">
      <dgm:prSet presAssocID="{1661D477-6235-4EE4-AF4B-A0B62935FC11}" presName="Name37" presStyleLbl="parChTrans1D2" presStyleIdx="0" presStyleCnt="3"/>
      <dgm:spPr/>
      <dgm:t>
        <a:bodyPr/>
        <a:lstStyle/>
        <a:p>
          <a:endParaRPr lang="en-US"/>
        </a:p>
      </dgm:t>
    </dgm:pt>
    <dgm:pt modelId="{FA167901-2C79-4BBA-9F6A-BE149ED86C3C}" type="pres">
      <dgm:prSet presAssocID="{2D217AE5-1376-42C3-8F8B-A98E95CCCB80}" presName="hierRoot2" presStyleCnt="0">
        <dgm:presLayoutVars>
          <dgm:hierBranch val="init"/>
        </dgm:presLayoutVars>
      </dgm:prSet>
      <dgm:spPr/>
    </dgm:pt>
    <dgm:pt modelId="{516B028E-AD94-4D52-A721-AADBDE2E352B}" type="pres">
      <dgm:prSet presAssocID="{2D217AE5-1376-42C3-8F8B-A98E95CCCB80}" presName="rootComposite" presStyleCnt="0"/>
      <dgm:spPr/>
    </dgm:pt>
    <dgm:pt modelId="{56F4348B-4F56-4D8D-BD00-1A2544A49873}" type="pres">
      <dgm:prSet presAssocID="{2D217AE5-1376-42C3-8F8B-A98E95CCCB80}" presName="rootText" presStyleLbl="node2" presStyleIdx="0" presStyleCnt="3">
        <dgm:presLayoutVars>
          <dgm:chPref val="3"/>
        </dgm:presLayoutVars>
      </dgm:prSet>
      <dgm:spPr/>
      <dgm:t>
        <a:bodyPr/>
        <a:lstStyle/>
        <a:p>
          <a:endParaRPr lang="en-US"/>
        </a:p>
      </dgm:t>
    </dgm:pt>
    <dgm:pt modelId="{0BB09D89-2391-45DA-85A2-9D069F03BBF9}" type="pres">
      <dgm:prSet presAssocID="{2D217AE5-1376-42C3-8F8B-A98E95CCCB80}" presName="rootConnector" presStyleLbl="node2" presStyleIdx="0" presStyleCnt="3"/>
      <dgm:spPr/>
      <dgm:t>
        <a:bodyPr/>
        <a:lstStyle/>
        <a:p>
          <a:endParaRPr lang="en-US"/>
        </a:p>
      </dgm:t>
    </dgm:pt>
    <dgm:pt modelId="{091DBC33-E39E-431E-9FF9-1FFBAF625E91}" type="pres">
      <dgm:prSet presAssocID="{2D217AE5-1376-42C3-8F8B-A98E95CCCB80}" presName="hierChild4" presStyleCnt="0"/>
      <dgm:spPr/>
    </dgm:pt>
    <dgm:pt modelId="{5EDEE751-C41A-4E46-A9A1-95A75B170EE5}" type="pres">
      <dgm:prSet presAssocID="{68AB90E3-B878-45BB-AD30-15948109DA72}" presName="Name37" presStyleLbl="parChTrans1D3" presStyleIdx="0" presStyleCnt="9"/>
      <dgm:spPr/>
      <dgm:t>
        <a:bodyPr/>
        <a:lstStyle/>
        <a:p>
          <a:endParaRPr lang="en-US"/>
        </a:p>
      </dgm:t>
    </dgm:pt>
    <dgm:pt modelId="{9B1A542A-135E-4CFB-AC79-25D164B58613}" type="pres">
      <dgm:prSet presAssocID="{4EBFB426-2B9F-4D75-9762-4C101DFA56F2}" presName="hierRoot2" presStyleCnt="0">
        <dgm:presLayoutVars>
          <dgm:hierBranch val="init"/>
        </dgm:presLayoutVars>
      </dgm:prSet>
      <dgm:spPr/>
    </dgm:pt>
    <dgm:pt modelId="{B44F34C8-3A29-4A6C-9CBE-545DC5967BC9}" type="pres">
      <dgm:prSet presAssocID="{4EBFB426-2B9F-4D75-9762-4C101DFA56F2}" presName="rootComposite" presStyleCnt="0"/>
      <dgm:spPr/>
    </dgm:pt>
    <dgm:pt modelId="{8190F667-5855-4D40-BD45-8D45E3DC2730}" type="pres">
      <dgm:prSet presAssocID="{4EBFB426-2B9F-4D75-9762-4C101DFA56F2}" presName="rootText" presStyleLbl="node3" presStyleIdx="0" presStyleCnt="9">
        <dgm:presLayoutVars>
          <dgm:chPref val="3"/>
        </dgm:presLayoutVars>
      </dgm:prSet>
      <dgm:spPr/>
      <dgm:t>
        <a:bodyPr/>
        <a:lstStyle/>
        <a:p>
          <a:endParaRPr lang="en-US"/>
        </a:p>
      </dgm:t>
    </dgm:pt>
    <dgm:pt modelId="{2B9BEA80-9D5D-4CDE-A4A4-05D2833740AB}" type="pres">
      <dgm:prSet presAssocID="{4EBFB426-2B9F-4D75-9762-4C101DFA56F2}" presName="rootConnector" presStyleLbl="node3" presStyleIdx="0" presStyleCnt="9"/>
      <dgm:spPr/>
      <dgm:t>
        <a:bodyPr/>
        <a:lstStyle/>
        <a:p>
          <a:endParaRPr lang="en-US"/>
        </a:p>
      </dgm:t>
    </dgm:pt>
    <dgm:pt modelId="{F55C52D0-C461-4AC8-9716-A1EC1BC91A76}" type="pres">
      <dgm:prSet presAssocID="{4EBFB426-2B9F-4D75-9762-4C101DFA56F2}" presName="hierChild4" presStyleCnt="0"/>
      <dgm:spPr/>
    </dgm:pt>
    <dgm:pt modelId="{E2213D00-634B-46A5-8E82-DDB63C0FEF94}" type="pres">
      <dgm:prSet presAssocID="{4EBFB426-2B9F-4D75-9762-4C101DFA56F2}" presName="hierChild5" presStyleCnt="0"/>
      <dgm:spPr/>
    </dgm:pt>
    <dgm:pt modelId="{5B7629B1-A88D-4B72-B552-9F82D15FEEBD}" type="pres">
      <dgm:prSet presAssocID="{061C5DCC-107B-40F2-BCBB-70DB5D6BA830}" presName="Name37" presStyleLbl="parChTrans1D3" presStyleIdx="1" presStyleCnt="9"/>
      <dgm:spPr/>
      <dgm:t>
        <a:bodyPr/>
        <a:lstStyle/>
        <a:p>
          <a:endParaRPr lang="en-US"/>
        </a:p>
      </dgm:t>
    </dgm:pt>
    <dgm:pt modelId="{E0D10191-5066-4FFF-ADD3-834FFD07BF3B}" type="pres">
      <dgm:prSet presAssocID="{649B5601-189F-414F-8EEE-D0BAA4581BA3}" presName="hierRoot2" presStyleCnt="0">
        <dgm:presLayoutVars>
          <dgm:hierBranch val="init"/>
        </dgm:presLayoutVars>
      </dgm:prSet>
      <dgm:spPr/>
    </dgm:pt>
    <dgm:pt modelId="{C99BBF25-6606-4380-A3DA-2F9118B4F4F0}" type="pres">
      <dgm:prSet presAssocID="{649B5601-189F-414F-8EEE-D0BAA4581BA3}" presName="rootComposite" presStyleCnt="0"/>
      <dgm:spPr/>
    </dgm:pt>
    <dgm:pt modelId="{42D7BF0E-C750-4B83-9435-3D70C4411BAA}" type="pres">
      <dgm:prSet presAssocID="{649B5601-189F-414F-8EEE-D0BAA4581BA3}" presName="rootText" presStyleLbl="node3" presStyleIdx="1" presStyleCnt="9">
        <dgm:presLayoutVars>
          <dgm:chPref val="3"/>
        </dgm:presLayoutVars>
      </dgm:prSet>
      <dgm:spPr/>
      <dgm:t>
        <a:bodyPr/>
        <a:lstStyle/>
        <a:p>
          <a:endParaRPr lang="en-US"/>
        </a:p>
      </dgm:t>
    </dgm:pt>
    <dgm:pt modelId="{96AC68FD-6B39-4CAC-AAFA-E09C499694BC}" type="pres">
      <dgm:prSet presAssocID="{649B5601-189F-414F-8EEE-D0BAA4581BA3}" presName="rootConnector" presStyleLbl="node3" presStyleIdx="1" presStyleCnt="9"/>
      <dgm:spPr/>
      <dgm:t>
        <a:bodyPr/>
        <a:lstStyle/>
        <a:p>
          <a:endParaRPr lang="en-US"/>
        </a:p>
      </dgm:t>
    </dgm:pt>
    <dgm:pt modelId="{DB4ABF17-0DE0-40A1-BC83-579002296743}" type="pres">
      <dgm:prSet presAssocID="{649B5601-189F-414F-8EEE-D0BAA4581BA3}" presName="hierChild4" presStyleCnt="0"/>
      <dgm:spPr/>
    </dgm:pt>
    <dgm:pt modelId="{CA4675B9-E9C8-4F18-A06F-19B3723A1CAF}" type="pres">
      <dgm:prSet presAssocID="{649B5601-189F-414F-8EEE-D0BAA4581BA3}" presName="hierChild5" presStyleCnt="0"/>
      <dgm:spPr/>
    </dgm:pt>
    <dgm:pt modelId="{AB090943-4845-4160-8EEF-1A44BF6D58A8}" type="pres">
      <dgm:prSet presAssocID="{97A15CB0-02CE-48FF-BB26-1532B8382250}" presName="Name37" presStyleLbl="parChTrans1D3" presStyleIdx="2" presStyleCnt="9"/>
      <dgm:spPr/>
      <dgm:t>
        <a:bodyPr/>
        <a:lstStyle/>
        <a:p>
          <a:endParaRPr lang="en-US"/>
        </a:p>
      </dgm:t>
    </dgm:pt>
    <dgm:pt modelId="{7D07F1AA-3F50-4AA5-B6C4-97197D88FA0C}" type="pres">
      <dgm:prSet presAssocID="{935DD476-66ED-4CF4-99D4-33C9B4F86929}" presName="hierRoot2" presStyleCnt="0">
        <dgm:presLayoutVars>
          <dgm:hierBranch val="init"/>
        </dgm:presLayoutVars>
      </dgm:prSet>
      <dgm:spPr/>
    </dgm:pt>
    <dgm:pt modelId="{9CF2A0FF-B114-4A3C-ADEF-D61B2B11AF07}" type="pres">
      <dgm:prSet presAssocID="{935DD476-66ED-4CF4-99D4-33C9B4F86929}" presName="rootComposite" presStyleCnt="0"/>
      <dgm:spPr/>
    </dgm:pt>
    <dgm:pt modelId="{1FFA54A7-09B8-45E4-ACE3-E605EF600CCE}" type="pres">
      <dgm:prSet presAssocID="{935DD476-66ED-4CF4-99D4-33C9B4F86929}" presName="rootText" presStyleLbl="node3" presStyleIdx="2" presStyleCnt="9">
        <dgm:presLayoutVars>
          <dgm:chPref val="3"/>
        </dgm:presLayoutVars>
      </dgm:prSet>
      <dgm:spPr/>
      <dgm:t>
        <a:bodyPr/>
        <a:lstStyle/>
        <a:p>
          <a:endParaRPr lang="en-US"/>
        </a:p>
      </dgm:t>
    </dgm:pt>
    <dgm:pt modelId="{EABE5564-BC11-4568-A487-650559A6C09E}" type="pres">
      <dgm:prSet presAssocID="{935DD476-66ED-4CF4-99D4-33C9B4F86929}" presName="rootConnector" presStyleLbl="node3" presStyleIdx="2" presStyleCnt="9"/>
      <dgm:spPr/>
      <dgm:t>
        <a:bodyPr/>
        <a:lstStyle/>
        <a:p>
          <a:endParaRPr lang="en-US"/>
        </a:p>
      </dgm:t>
    </dgm:pt>
    <dgm:pt modelId="{E1F91F3B-CB4E-4310-93F1-64C1D6352FD5}" type="pres">
      <dgm:prSet presAssocID="{935DD476-66ED-4CF4-99D4-33C9B4F86929}" presName="hierChild4" presStyleCnt="0"/>
      <dgm:spPr/>
    </dgm:pt>
    <dgm:pt modelId="{09C32C40-58BA-4D1A-8575-2C9B0F2B98CF}" type="pres">
      <dgm:prSet presAssocID="{935DD476-66ED-4CF4-99D4-33C9B4F86929}" presName="hierChild5" presStyleCnt="0"/>
      <dgm:spPr/>
    </dgm:pt>
    <dgm:pt modelId="{6090E363-1E3A-45E5-865E-5CF3646325F3}" type="pres">
      <dgm:prSet presAssocID="{2D217AE5-1376-42C3-8F8B-A98E95CCCB80}" presName="hierChild5" presStyleCnt="0"/>
      <dgm:spPr/>
    </dgm:pt>
    <dgm:pt modelId="{47EA3172-0869-471F-B966-659E27E1BF4B}" type="pres">
      <dgm:prSet presAssocID="{D42461E3-D036-4436-815E-78E21E24BB7B}" presName="Name37" presStyleLbl="parChTrans1D2" presStyleIdx="1" presStyleCnt="3"/>
      <dgm:spPr/>
      <dgm:t>
        <a:bodyPr/>
        <a:lstStyle/>
        <a:p>
          <a:endParaRPr lang="en-US"/>
        </a:p>
      </dgm:t>
    </dgm:pt>
    <dgm:pt modelId="{DE49BFC3-3BFC-4C82-AA85-C939387ABD1D}" type="pres">
      <dgm:prSet presAssocID="{1B0B1176-E8F1-4CA1-B6C1-E3790B6C7A69}" presName="hierRoot2" presStyleCnt="0">
        <dgm:presLayoutVars>
          <dgm:hierBranch val="init"/>
        </dgm:presLayoutVars>
      </dgm:prSet>
      <dgm:spPr/>
    </dgm:pt>
    <dgm:pt modelId="{C69240C4-4F59-4840-9BB1-D1934FA479B1}" type="pres">
      <dgm:prSet presAssocID="{1B0B1176-E8F1-4CA1-B6C1-E3790B6C7A69}" presName="rootComposite" presStyleCnt="0"/>
      <dgm:spPr/>
    </dgm:pt>
    <dgm:pt modelId="{E82BEE86-0F83-460D-B1FD-A1B2558E67EC}" type="pres">
      <dgm:prSet presAssocID="{1B0B1176-E8F1-4CA1-B6C1-E3790B6C7A69}" presName="rootText" presStyleLbl="node2" presStyleIdx="1" presStyleCnt="3">
        <dgm:presLayoutVars>
          <dgm:chPref val="3"/>
        </dgm:presLayoutVars>
      </dgm:prSet>
      <dgm:spPr/>
      <dgm:t>
        <a:bodyPr/>
        <a:lstStyle/>
        <a:p>
          <a:endParaRPr lang="en-US"/>
        </a:p>
      </dgm:t>
    </dgm:pt>
    <dgm:pt modelId="{21D5242F-8459-4826-8BDC-2338B1ECE0B2}" type="pres">
      <dgm:prSet presAssocID="{1B0B1176-E8F1-4CA1-B6C1-E3790B6C7A69}" presName="rootConnector" presStyleLbl="node2" presStyleIdx="1" presStyleCnt="3"/>
      <dgm:spPr/>
      <dgm:t>
        <a:bodyPr/>
        <a:lstStyle/>
        <a:p>
          <a:endParaRPr lang="en-US"/>
        </a:p>
      </dgm:t>
    </dgm:pt>
    <dgm:pt modelId="{CBFF7FBB-4473-4E8D-BAE7-D7D3613D5196}" type="pres">
      <dgm:prSet presAssocID="{1B0B1176-E8F1-4CA1-B6C1-E3790B6C7A69}" presName="hierChild4" presStyleCnt="0"/>
      <dgm:spPr/>
    </dgm:pt>
    <dgm:pt modelId="{677E3461-7CD1-44BD-A6FF-3FF2AD16A75A}" type="pres">
      <dgm:prSet presAssocID="{94F666CF-3E13-4D3A-9478-285779BEE882}" presName="Name37" presStyleLbl="parChTrans1D3" presStyleIdx="3" presStyleCnt="9"/>
      <dgm:spPr/>
      <dgm:t>
        <a:bodyPr/>
        <a:lstStyle/>
        <a:p>
          <a:endParaRPr lang="en-US"/>
        </a:p>
      </dgm:t>
    </dgm:pt>
    <dgm:pt modelId="{363B6E15-7E09-4A1A-8C9B-366E189306C0}" type="pres">
      <dgm:prSet presAssocID="{6A9FB7A8-8F7E-4382-898C-EC28D9102C4B}" presName="hierRoot2" presStyleCnt="0">
        <dgm:presLayoutVars>
          <dgm:hierBranch val="init"/>
        </dgm:presLayoutVars>
      </dgm:prSet>
      <dgm:spPr/>
    </dgm:pt>
    <dgm:pt modelId="{79A4C4ED-3ACC-4E25-8603-CDF9C3BAFBFB}" type="pres">
      <dgm:prSet presAssocID="{6A9FB7A8-8F7E-4382-898C-EC28D9102C4B}" presName="rootComposite" presStyleCnt="0"/>
      <dgm:spPr/>
    </dgm:pt>
    <dgm:pt modelId="{2EF81D41-5739-4240-9CD3-0E05B765B21E}" type="pres">
      <dgm:prSet presAssocID="{6A9FB7A8-8F7E-4382-898C-EC28D9102C4B}" presName="rootText" presStyleLbl="node3" presStyleIdx="3" presStyleCnt="9">
        <dgm:presLayoutVars>
          <dgm:chPref val="3"/>
        </dgm:presLayoutVars>
      </dgm:prSet>
      <dgm:spPr/>
      <dgm:t>
        <a:bodyPr/>
        <a:lstStyle/>
        <a:p>
          <a:endParaRPr lang="en-US"/>
        </a:p>
      </dgm:t>
    </dgm:pt>
    <dgm:pt modelId="{BEDEEA29-9413-44E4-96E0-15EC7526974A}" type="pres">
      <dgm:prSet presAssocID="{6A9FB7A8-8F7E-4382-898C-EC28D9102C4B}" presName="rootConnector" presStyleLbl="node3" presStyleIdx="3" presStyleCnt="9"/>
      <dgm:spPr/>
      <dgm:t>
        <a:bodyPr/>
        <a:lstStyle/>
        <a:p>
          <a:endParaRPr lang="en-US"/>
        </a:p>
      </dgm:t>
    </dgm:pt>
    <dgm:pt modelId="{9E40B906-445E-4573-9CE2-B11CF87D9073}" type="pres">
      <dgm:prSet presAssocID="{6A9FB7A8-8F7E-4382-898C-EC28D9102C4B}" presName="hierChild4" presStyleCnt="0"/>
      <dgm:spPr/>
    </dgm:pt>
    <dgm:pt modelId="{2B2610DB-1E48-45C6-A6AF-666549E8B3A5}" type="pres">
      <dgm:prSet presAssocID="{6A9FB7A8-8F7E-4382-898C-EC28D9102C4B}" presName="hierChild5" presStyleCnt="0"/>
      <dgm:spPr/>
    </dgm:pt>
    <dgm:pt modelId="{3300E448-1A5D-4ACD-ADF8-CAF9C7706B9B}" type="pres">
      <dgm:prSet presAssocID="{9FBA2F2D-D645-4483-8DE4-AAA3052EB024}" presName="Name37" presStyleLbl="parChTrans1D3" presStyleIdx="4" presStyleCnt="9"/>
      <dgm:spPr/>
      <dgm:t>
        <a:bodyPr/>
        <a:lstStyle/>
        <a:p>
          <a:endParaRPr lang="en-US"/>
        </a:p>
      </dgm:t>
    </dgm:pt>
    <dgm:pt modelId="{76080269-CEA8-44FA-A7D6-AAF447452EE1}" type="pres">
      <dgm:prSet presAssocID="{10EA82B2-C0D6-472E-AB92-3F8C65773293}" presName="hierRoot2" presStyleCnt="0">
        <dgm:presLayoutVars>
          <dgm:hierBranch val="init"/>
        </dgm:presLayoutVars>
      </dgm:prSet>
      <dgm:spPr/>
    </dgm:pt>
    <dgm:pt modelId="{A10FCBC7-B38B-45B0-979D-CBEF901AB1F9}" type="pres">
      <dgm:prSet presAssocID="{10EA82B2-C0D6-472E-AB92-3F8C65773293}" presName="rootComposite" presStyleCnt="0"/>
      <dgm:spPr/>
    </dgm:pt>
    <dgm:pt modelId="{64A02EFE-4A48-40D2-A024-C12F8614B428}" type="pres">
      <dgm:prSet presAssocID="{10EA82B2-C0D6-472E-AB92-3F8C65773293}" presName="rootText" presStyleLbl="node3" presStyleIdx="4" presStyleCnt="9">
        <dgm:presLayoutVars>
          <dgm:chPref val="3"/>
        </dgm:presLayoutVars>
      </dgm:prSet>
      <dgm:spPr/>
      <dgm:t>
        <a:bodyPr/>
        <a:lstStyle/>
        <a:p>
          <a:endParaRPr lang="en-US"/>
        </a:p>
      </dgm:t>
    </dgm:pt>
    <dgm:pt modelId="{BFF479F4-3FDE-4E99-9047-20804CD1005A}" type="pres">
      <dgm:prSet presAssocID="{10EA82B2-C0D6-472E-AB92-3F8C65773293}" presName="rootConnector" presStyleLbl="node3" presStyleIdx="4" presStyleCnt="9"/>
      <dgm:spPr/>
      <dgm:t>
        <a:bodyPr/>
        <a:lstStyle/>
        <a:p>
          <a:endParaRPr lang="en-US"/>
        </a:p>
      </dgm:t>
    </dgm:pt>
    <dgm:pt modelId="{4FED577D-AF6F-462C-A967-E009B1428133}" type="pres">
      <dgm:prSet presAssocID="{10EA82B2-C0D6-472E-AB92-3F8C65773293}" presName="hierChild4" presStyleCnt="0"/>
      <dgm:spPr/>
    </dgm:pt>
    <dgm:pt modelId="{467466B9-A096-4D20-B971-6B771476A506}" type="pres">
      <dgm:prSet presAssocID="{10EA82B2-C0D6-472E-AB92-3F8C65773293}" presName="hierChild5" presStyleCnt="0"/>
      <dgm:spPr/>
    </dgm:pt>
    <dgm:pt modelId="{21E5B0FC-DB05-47A0-A61C-834F3AACD8E0}" type="pres">
      <dgm:prSet presAssocID="{CC6D63B6-1D11-4E39-9E72-8737C3B0D976}" presName="Name37" presStyleLbl="parChTrans1D3" presStyleIdx="5" presStyleCnt="9"/>
      <dgm:spPr/>
      <dgm:t>
        <a:bodyPr/>
        <a:lstStyle/>
        <a:p>
          <a:endParaRPr lang="en-US"/>
        </a:p>
      </dgm:t>
    </dgm:pt>
    <dgm:pt modelId="{BEBF127D-83EB-4A7E-BB9C-69D1F6B255B1}" type="pres">
      <dgm:prSet presAssocID="{1B7574F7-2CCB-44F6-A3D6-8100F5B37D60}" presName="hierRoot2" presStyleCnt="0">
        <dgm:presLayoutVars>
          <dgm:hierBranch val="init"/>
        </dgm:presLayoutVars>
      </dgm:prSet>
      <dgm:spPr/>
    </dgm:pt>
    <dgm:pt modelId="{AA76C6FD-E71A-472B-ABB7-7E2F8E1E78E1}" type="pres">
      <dgm:prSet presAssocID="{1B7574F7-2CCB-44F6-A3D6-8100F5B37D60}" presName="rootComposite" presStyleCnt="0"/>
      <dgm:spPr/>
    </dgm:pt>
    <dgm:pt modelId="{2E9C1B9F-DF5C-45F4-8F07-7C19FC95FF1A}" type="pres">
      <dgm:prSet presAssocID="{1B7574F7-2CCB-44F6-A3D6-8100F5B37D60}" presName="rootText" presStyleLbl="node3" presStyleIdx="5" presStyleCnt="9">
        <dgm:presLayoutVars>
          <dgm:chPref val="3"/>
        </dgm:presLayoutVars>
      </dgm:prSet>
      <dgm:spPr/>
      <dgm:t>
        <a:bodyPr/>
        <a:lstStyle/>
        <a:p>
          <a:endParaRPr lang="en-US"/>
        </a:p>
      </dgm:t>
    </dgm:pt>
    <dgm:pt modelId="{BA4B3120-7E15-4B82-AA75-C372636AC8EA}" type="pres">
      <dgm:prSet presAssocID="{1B7574F7-2CCB-44F6-A3D6-8100F5B37D60}" presName="rootConnector" presStyleLbl="node3" presStyleIdx="5" presStyleCnt="9"/>
      <dgm:spPr/>
      <dgm:t>
        <a:bodyPr/>
        <a:lstStyle/>
        <a:p>
          <a:endParaRPr lang="en-US"/>
        </a:p>
      </dgm:t>
    </dgm:pt>
    <dgm:pt modelId="{CE0CCCF3-A441-4C60-BFEA-9526F697EDC3}" type="pres">
      <dgm:prSet presAssocID="{1B7574F7-2CCB-44F6-A3D6-8100F5B37D60}" presName="hierChild4" presStyleCnt="0"/>
      <dgm:spPr/>
    </dgm:pt>
    <dgm:pt modelId="{E9DA3619-E438-44BC-8A6B-7DF02C352309}" type="pres">
      <dgm:prSet presAssocID="{1B7574F7-2CCB-44F6-A3D6-8100F5B37D60}" presName="hierChild5" presStyleCnt="0"/>
      <dgm:spPr/>
    </dgm:pt>
    <dgm:pt modelId="{7EA7A242-E435-4936-96B5-2EC27BD6E37F}" type="pres">
      <dgm:prSet presAssocID="{1B0B1176-E8F1-4CA1-B6C1-E3790B6C7A69}" presName="hierChild5" presStyleCnt="0"/>
      <dgm:spPr/>
    </dgm:pt>
    <dgm:pt modelId="{4C6A9182-35B5-4155-81B4-F48E21C3297D}" type="pres">
      <dgm:prSet presAssocID="{E0EF8A1A-C83D-48F5-A4D6-8B2CEC91EA83}" presName="Name37" presStyleLbl="parChTrans1D2" presStyleIdx="2" presStyleCnt="3"/>
      <dgm:spPr/>
      <dgm:t>
        <a:bodyPr/>
        <a:lstStyle/>
        <a:p>
          <a:endParaRPr lang="en-US"/>
        </a:p>
      </dgm:t>
    </dgm:pt>
    <dgm:pt modelId="{9156D1AC-8ACD-4B66-8BD2-341EE0ABA78B}" type="pres">
      <dgm:prSet presAssocID="{5485AC5C-C3E6-4345-A2E1-F3C38E61D46C}" presName="hierRoot2" presStyleCnt="0">
        <dgm:presLayoutVars>
          <dgm:hierBranch val="init"/>
        </dgm:presLayoutVars>
      </dgm:prSet>
      <dgm:spPr/>
    </dgm:pt>
    <dgm:pt modelId="{62F319BC-2C23-4BE5-A045-1CB9EECA0044}" type="pres">
      <dgm:prSet presAssocID="{5485AC5C-C3E6-4345-A2E1-F3C38E61D46C}" presName="rootComposite" presStyleCnt="0"/>
      <dgm:spPr/>
    </dgm:pt>
    <dgm:pt modelId="{94E96053-2390-4AD6-853B-189CADE8B145}" type="pres">
      <dgm:prSet presAssocID="{5485AC5C-C3E6-4345-A2E1-F3C38E61D46C}" presName="rootText" presStyleLbl="node2" presStyleIdx="2" presStyleCnt="3">
        <dgm:presLayoutVars>
          <dgm:chPref val="3"/>
        </dgm:presLayoutVars>
      </dgm:prSet>
      <dgm:spPr/>
      <dgm:t>
        <a:bodyPr/>
        <a:lstStyle/>
        <a:p>
          <a:endParaRPr lang="en-US"/>
        </a:p>
      </dgm:t>
    </dgm:pt>
    <dgm:pt modelId="{A97AB77B-66A0-4A2C-B81D-ED22E7FAAAF6}" type="pres">
      <dgm:prSet presAssocID="{5485AC5C-C3E6-4345-A2E1-F3C38E61D46C}" presName="rootConnector" presStyleLbl="node2" presStyleIdx="2" presStyleCnt="3"/>
      <dgm:spPr/>
      <dgm:t>
        <a:bodyPr/>
        <a:lstStyle/>
        <a:p>
          <a:endParaRPr lang="en-US"/>
        </a:p>
      </dgm:t>
    </dgm:pt>
    <dgm:pt modelId="{56FDAAC8-5391-4A60-A53F-06FAB038DA04}" type="pres">
      <dgm:prSet presAssocID="{5485AC5C-C3E6-4345-A2E1-F3C38E61D46C}" presName="hierChild4" presStyleCnt="0"/>
      <dgm:spPr/>
    </dgm:pt>
    <dgm:pt modelId="{D5179C69-1697-48C6-B7BD-3F411F9FE3A8}" type="pres">
      <dgm:prSet presAssocID="{A773AFFC-06F5-4289-8F37-49FD0FBD5EE5}" presName="Name37" presStyleLbl="parChTrans1D3" presStyleIdx="6" presStyleCnt="9"/>
      <dgm:spPr/>
      <dgm:t>
        <a:bodyPr/>
        <a:lstStyle/>
        <a:p>
          <a:endParaRPr lang="en-US"/>
        </a:p>
      </dgm:t>
    </dgm:pt>
    <dgm:pt modelId="{B6C5F9F7-35FE-4146-9451-598FD33D0833}" type="pres">
      <dgm:prSet presAssocID="{83C448D7-0A29-486B-87F0-2C6EF1512119}" presName="hierRoot2" presStyleCnt="0">
        <dgm:presLayoutVars>
          <dgm:hierBranch val="init"/>
        </dgm:presLayoutVars>
      </dgm:prSet>
      <dgm:spPr/>
    </dgm:pt>
    <dgm:pt modelId="{BC37EB95-92DD-43B1-8EB5-9471AEB8B194}" type="pres">
      <dgm:prSet presAssocID="{83C448D7-0A29-486B-87F0-2C6EF1512119}" presName="rootComposite" presStyleCnt="0"/>
      <dgm:spPr/>
    </dgm:pt>
    <dgm:pt modelId="{AAA5E3D3-A99E-4713-805B-577C50788D8A}" type="pres">
      <dgm:prSet presAssocID="{83C448D7-0A29-486B-87F0-2C6EF1512119}" presName="rootText" presStyleLbl="node3" presStyleIdx="6" presStyleCnt="9">
        <dgm:presLayoutVars>
          <dgm:chPref val="3"/>
        </dgm:presLayoutVars>
      </dgm:prSet>
      <dgm:spPr/>
      <dgm:t>
        <a:bodyPr/>
        <a:lstStyle/>
        <a:p>
          <a:endParaRPr lang="en-US"/>
        </a:p>
      </dgm:t>
    </dgm:pt>
    <dgm:pt modelId="{BD14EFAB-7D97-411E-9094-38CCFFCE7385}" type="pres">
      <dgm:prSet presAssocID="{83C448D7-0A29-486B-87F0-2C6EF1512119}" presName="rootConnector" presStyleLbl="node3" presStyleIdx="6" presStyleCnt="9"/>
      <dgm:spPr/>
      <dgm:t>
        <a:bodyPr/>
        <a:lstStyle/>
        <a:p>
          <a:endParaRPr lang="en-US"/>
        </a:p>
      </dgm:t>
    </dgm:pt>
    <dgm:pt modelId="{2A85F7CF-1761-4F9F-8642-2992F5323B06}" type="pres">
      <dgm:prSet presAssocID="{83C448D7-0A29-486B-87F0-2C6EF1512119}" presName="hierChild4" presStyleCnt="0"/>
      <dgm:spPr/>
    </dgm:pt>
    <dgm:pt modelId="{359EEA5B-A28D-4A37-AC17-BF814376E58A}" type="pres">
      <dgm:prSet presAssocID="{83C448D7-0A29-486B-87F0-2C6EF1512119}" presName="hierChild5" presStyleCnt="0"/>
      <dgm:spPr/>
    </dgm:pt>
    <dgm:pt modelId="{CA72CFD7-DF83-4A6A-97A6-349A3D9D5EC2}" type="pres">
      <dgm:prSet presAssocID="{B3BAB6C2-A89E-4467-973D-EAEB1DB76DD3}" presName="Name37" presStyleLbl="parChTrans1D3" presStyleIdx="7" presStyleCnt="9"/>
      <dgm:spPr/>
      <dgm:t>
        <a:bodyPr/>
        <a:lstStyle/>
        <a:p>
          <a:endParaRPr lang="en-US"/>
        </a:p>
      </dgm:t>
    </dgm:pt>
    <dgm:pt modelId="{002D58AD-3941-44A4-A4F8-05E8E56B20DA}" type="pres">
      <dgm:prSet presAssocID="{3913BE52-DD71-4D1E-BBCA-414FB30BBC11}" presName="hierRoot2" presStyleCnt="0">
        <dgm:presLayoutVars>
          <dgm:hierBranch val="init"/>
        </dgm:presLayoutVars>
      </dgm:prSet>
      <dgm:spPr/>
    </dgm:pt>
    <dgm:pt modelId="{50052595-1830-4331-B33D-F0679FB6D1C4}" type="pres">
      <dgm:prSet presAssocID="{3913BE52-DD71-4D1E-BBCA-414FB30BBC11}" presName="rootComposite" presStyleCnt="0"/>
      <dgm:spPr/>
    </dgm:pt>
    <dgm:pt modelId="{A8A69D67-68AD-41EA-A899-7BFED09BF97D}" type="pres">
      <dgm:prSet presAssocID="{3913BE52-DD71-4D1E-BBCA-414FB30BBC11}" presName="rootText" presStyleLbl="node3" presStyleIdx="7" presStyleCnt="9">
        <dgm:presLayoutVars>
          <dgm:chPref val="3"/>
        </dgm:presLayoutVars>
      </dgm:prSet>
      <dgm:spPr/>
      <dgm:t>
        <a:bodyPr/>
        <a:lstStyle/>
        <a:p>
          <a:endParaRPr lang="en-US"/>
        </a:p>
      </dgm:t>
    </dgm:pt>
    <dgm:pt modelId="{B4E49922-1E0B-47F5-AFB1-72E4D19D1361}" type="pres">
      <dgm:prSet presAssocID="{3913BE52-DD71-4D1E-BBCA-414FB30BBC11}" presName="rootConnector" presStyleLbl="node3" presStyleIdx="7" presStyleCnt="9"/>
      <dgm:spPr/>
      <dgm:t>
        <a:bodyPr/>
        <a:lstStyle/>
        <a:p>
          <a:endParaRPr lang="en-US"/>
        </a:p>
      </dgm:t>
    </dgm:pt>
    <dgm:pt modelId="{5AA35242-05E1-4ECF-98A1-FB85B611F9BD}" type="pres">
      <dgm:prSet presAssocID="{3913BE52-DD71-4D1E-BBCA-414FB30BBC11}" presName="hierChild4" presStyleCnt="0"/>
      <dgm:spPr/>
    </dgm:pt>
    <dgm:pt modelId="{9A8FD69B-8B0B-4BCF-B130-B3D80C131769}" type="pres">
      <dgm:prSet presAssocID="{3913BE52-DD71-4D1E-BBCA-414FB30BBC11}" presName="hierChild5" presStyleCnt="0"/>
      <dgm:spPr/>
    </dgm:pt>
    <dgm:pt modelId="{11B71225-B134-4A67-8CCB-6C1B860200C1}" type="pres">
      <dgm:prSet presAssocID="{C55F3D95-0595-442F-B873-348527B4943D}" presName="Name37" presStyleLbl="parChTrans1D3" presStyleIdx="8" presStyleCnt="9"/>
      <dgm:spPr/>
      <dgm:t>
        <a:bodyPr/>
        <a:lstStyle/>
        <a:p>
          <a:endParaRPr lang="en-US"/>
        </a:p>
      </dgm:t>
    </dgm:pt>
    <dgm:pt modelId="{6B5FCEF1-DBAF-406C-B014-C357644DCE0D}" type="pres">
      <dgm:prSet presAssocID="{9DC06A39-B99C-4D36-A8A6-B4D0F4002CEF}" presName="hierRoot2" presStyleCnt="0">
        <dgm:presLayoutVars>
          <dgm:hierBranch val="init"/>
        </dgm:presLayoutVars>
      </dgm:prSet>
      <dgm:spPr/>
    </dgm:pt>
    <dgm:pt modelId="{B46648CA-C7C3-4C85-96A4-058930201224}" type="pres">
      <dgm:prSet presAssocID="{9DC06A39-B99C-4D36-A8A6-B4D0F4002CEF}" presName="rootComposite" presStyleCnt="0"/>
      <dgm:spPr/>
    </dgm:pt>
    <dgm:pt modelId="{BA9F1F37-44A7-470F-8552-C1C642344EC0}" type="pres">
      <dgm:prSet presAssocID="{9DC06A39-B99C-4D36-A8A6-B4D0F4002CEF}" presName="rootText" presStyleLbl="node3" presStyleIdx="8" presStyleCnt="9">
        <dgm:presLayoutVars>
          <dgm:chPref val="3"/>
        </dgm:presLayoutVars>
      </dgm:prSet>
      <dgm:spPr/>
      <dgm:t>
        <a:bodyPr/>
        <a:lstStyle/>
        <a:p>
          <a:endParaRPr lang="en-US"/>
        </a:p>
      </dgm:t>
    </dgm:pt>
    <dgm:pt modelId="{FB857D2F-0139-4858-B80F-01BCC8AC8ED2}" type="pres">
      <dgm:prSet presAssocID="{9DC06A39-B99C-4D36-A8A6-B4D0F4002CEF}" presName="rootConnector" presStyleLbl="node3" presStyleIdx="8" presStyleCnt="9"/>
      <dgm:spPr/>
      <dgm:t>
        <a:bodyPr/>
        <a:lstStyle/>
        <a:p>
          <a:endParaRPr lang="en-US"/>
        </a:p>
      </dgm:t>
    </dgm:pt>
    <dgm:pt modelId="{81FEF7C9-F28A-4FC8-BA3F-30F9A835FD79}" type="pres">
      <dgm:prSet presAssocID="{9DC06A39-B99C-4D36-A8A6-B4D0F4002CEF}" presName="hierChild4" presStyleCnt="0"/>
      <dgm:spPr/>
    </dgm:pt>
    <dgm:pt modelId="{B8274ADA-A2D8-4314-B7EC-8AE54C43872D}" type="pres">
      <dgm:prSet presAssocID="{9DC06A39-B99C-4D36-A8A6-B4D0F4002CEF}" presName="hierChild5" presStyleCnt="0"/>
      <dgm:spPr/>
    </dgm:pt>
    <dgm:pt modelId="{0D0EB34F-B28A-45A8-8FE3-96C192442CC2}" type="pres">
      <dgm:prSet presAssocID="{5485AC5C-C3E6-4345-A2E1-F3C38E61D46C}" presName="hierChild5" presStyleCnt="0"/>
      <dgm:spPr/>
    </dgm:pt>
    <dgm:pt modelId="{A432E03A-D1F6-4CEA-B428-23E53AA756BD}" type="pres">
      <dgm:prSet presAssocID="{4A6F09B0-8C69-474C-9E72-7540BC650359}" presName="hierChild3" presStyleCnt="0"/>
      <dgm:spPr/>
    </dgm:pt>
  </dgm:ptLst>
  <dgm:cxnLst>
    <dgm:cxn modelId="{C27249F5-C533-4BE7-A732-11A7F3323386}" type="presOf" srcId="{2D217AE5-1376-42C3-8F8B-A98E95CCCB80}" destId="{56F4348B-4F56-4D8D-BD00-1A2544A49873}" srcOrd="0" destOrd="0" presId="urn:microsoft.com/office/officeart/2005/8/layout/orgChart1"/>
    <dgm:cxn modelId="{099A086E-0089-4500-9CAF-DED11A226BB0}" type="presOf" srcId="{97A15CB0-02CE-48FF-BB26-1532B8382250}" destId="{AB090943-4845-4160-8EEF-1A44BF6D58A8}" srcOrd="0" destOrd="0" presId="urn:microsoft.com/office/officeart/2005/8/layout/orgChart1"/>
    <dgm:cxn modelId="{DFA9C3B0-D02B-4237-88F2-246B61014193}" type="presOf" srcId="{9DC06A39-B99C-4D36-A8A6-B4D0F4002CEF}" destId="{FB857D2F-0139-4858-B80F-01BCC8AC8ED2}" srcOrd="1" destOrd="0" presId="urn:microsoft.com/office/officeart/2005/8/layout/orgChart1"/>
    <dgm:cxn modelId="{2E6B4611-61E5-449C-943D-5B82BF316184}" srcId="{1B0B1176-E8F1-4CA1-B6C1-E3790B6C7A69}" destId="{1B7574F7-2CCB-44F6-A3D6-8100F5B37D60}" srcOrd="2" destOrd="0" parTransId="{CC6D63B6-1D11-4E39-9E72-8737C3B0D976}" sibTransId="{37B8B74B-84D9-4C17-9CDF-92F2B08965D6}"/>
    <dgm:cxn modelId="{0186B961-CEB8-436F-B7DB-1EE21F047B18}" type="presOf" srcId="{83C448D7-0A29-486B-87F0-2C6EF1512119}" destId="{AAA5E3D3-A99E-4713-805B-577C50788D8A}" srcOrd="0" destOrd="0" presId="urn:microsoft.com/office/officeart/2005/8/layout/orgChart1"/>
    <dgm:cxn modelId="{8FF8338F-C9A9-4E22-8524-8DD43F7AD9BB}" srcId="{2D217AE5-1376-42C3-8F8B-A98E95CCCB80}" destId="{935DD476-66ED-4CF4-99D4-33C9B4F86929}" srcOrd="2" destOrd="0" parTransId="{97A15CB0-02CE-48FF-BB26-1532B8382250}" sibTransId="{C0EE1A88-AC03-4B2C-B0CE-DFEDA40A1A82}"/>
    <dgm:cxn modelId="{8A5BB3A6-269E-4748-8370-E0E54B951C59}" srcId="{C1153231-846F-48DC-8CC2-85DCA6AD0666}" destId="{4A6F09B0-8C69-474C-9E72-7540BC650359}" srcOrd="0" destOrd="0" parTransId="{ADCD6316-513E-4616-890F-25589102F72C}" sibTransId="{6CC5CD4B-534C-42E5-BA49-BDB1AE2B9011}"/>
    <dgm:cxn modelId="{E47FD07D-49A2-4B2B-B653-81D005194812}" srcId="{1B0B1176-E8F1-4CA1-B6C1-E3790B6C7A69}" destId="{10EA82B2-C0D6-472E-AB92-3F8C65773293}" srcOrd="1" destOrd="0" parTransId="{9FBA2F2D-D645-4483-8DE4-AAA3052EB024}" sibTransId="{DBD34F36-979E-4CC0-B7CB-7A8F36861F17}"/>
    <dgm:cxn modelId="{175040F1-8069-4C25-A5E3-712303D8A893}" srcId="{2D217AE5-1376-42C3-8F8B-A98E95CCCB80}" destId="{4EBFB426-2B9F-4D75-9762-4C101DFA56F2}" srcOrd="0" destOrd="0" parTransId="{68AB90E3-B878-45BB-AD30-15948109DA72}" sibTransId="{3E470FC7-F9AC-4A53-A989-56228C2A42C8}"/>
    <dgm:cxn modelId="{9FA1504C-DB89-4C96-A873-BE9CDB18107B}" srcId="{4A6F09B0-8C69-474C-9E72-7540BC650359}" destId="{1B0B1176-E8F1-4CA1-B6C1-E3790B6C7A69}" srcOrd="1" destOrd="0" parTransId="{D42461E3-D036-4436-815E-78E21E24BB7B}" sibTransId="{2B7C4623-26C0-4A8A-886C-C8DB126CF72F}"/>
    <dgm:cxn modelId="{C6D47102-46E4-4295-BA33-47F627843C95}" type="presOf" srcId="{10EA82B2-C0D6-472E-AB92-3F8C65773293}" destId="{64A02EFE-4A48-40D2-A024-C12F8614B428}" srcOrd="0" destOrd="0" presId="urn:microsoft.com/office/officeart/2005/8/layout/orgChart1"/>
    <dgm:cxn modelId="{AFC474F8-650E-47BA-9AAE-C83728BAE24D}" type="presOf" srcId="{3913BE52-DD71-4D1E-BBCA-414FB30BBC11}" destId="{A8A69D67-68AD-41EA-A899-7BFED09BF97D}" srcOrd="0" destOrd="0" presId="urn:microsoft.com/office/officeart/2005/8/layout/orgChart1"/>
    <dgm:cxn modelId="{4F57A6EC-CEC8-4B0B-BA87-0F0B28E3F758}" type="presOf" srcId="{1B7574F7-2CCB-44F6-A3D6-8100F5B37D60}" destId="{BA4B3120-7E15-4B82-AA75-C372636AC8EA}" srcOrd="1" destOrd="0" presId="urn:microsoft.com/office/officeart/2005/8/layout/orgChart1"/>
    <dgm:cxn modelId="{F6AD2976-AB0A-4E53-BC56-A54A2B4C4969}" srcId="{2D217AE5-1376-42C3-8F8B-A98E95CCCB80}" destId="{649B5601-189F-414F-8EEE-D0BAA4581BA3}" srcOrd="1" destOrd="0" parTransId="{061C5DCC-107B-40F2-BCBB-70DB5D6BA830}" sibTransId="{853682E5-A762-473C-8DAA-7DF1F2ED72D9}"/>
    <dgm:cxn modelId="{9724ABA3-7DF2-4780-89EA-BEC61FCDC2FE}" type="presOf" srcId="{1661D477-6235-4EE4-AF4B-A0B62935FC11}" destId="{9240A010-1159-4C86-B770-DF9D7510C199}" srcOrd="0" destOrd="0" presId="urn:microsoft.com/office/officeart/2005/8/layout/orgChart1"/>
    <dgm:cxn modelId="{50F6548A-6004-4DC3-BE5C-84CE22CCC147}" type="presOf" srcId="{C55F3D95-0595-442F-B873-348527B4943D}" destId="{11B71225-B134-4A67-8CCB-6C1B860200C1}" srcOrd="0" destOrd="0" presId="urn:microsoft.com/office/officeart/2005/8/layout/orgChart1"/>
    <dgm:cxn modelId="{BD248E79-54DD-40F5-935D-FDCB52A49D44}" type="presOf" srcId="{649B5601-189F-414F-8EEE-D0BAA4581BA3}" destId="{42D7BF0E-C750-4B83-9435-3D70C4411BAA}" srcOrd="0" destOrd="0" presId="urn:microsoft.com/office/officeart/2005/8/layout/orgChart1"/>
    <dgm:cxn modelId="{854009E8-5583-4214-AE4B-7A229EFC4919}" type="presOf" srcId="{649B5601-189F-414F-8EEE-D0BAA4581BA3}" destId="{96AC68FD-6B39-4CAC-AAFA-E09C499694BC}" srcOrd="1" destOrd="0" presId="urn:microsoft.com/office/officeart/2005/8/layout/orgChart1"/>
    <dgm:cxn modelId="{46B09A2D-4C97-46B9-96B2-3E6B09F9D040}" type="presOf" srcId="{68AB90E3-B878-45BB-AD30-15948109DA72}" destId="{5EDEE751-C41A-4E46-A9A1-95A75B170EE5}" srcOrd="0" destOrd="0" presId="urn:microsoft.com/office/officeart/2005/8/layout/orgChart1"/>
    <dgm:cxn modelId="{15CBB256-148F-40D8-967D-2EB5D2B809B4}" type="presOf" srcId="{9DC06A39-B99C-4D36-A8A6-B4D0F4002CEF}" destId="{BA9F1F37-44A7-470F-8552-C1C642344EC0}" srcOrd="0" destOrd="0" presId="urn:microsoft.com/office/officeart/2005/8/layout/orgChart1"/>
    <dgm:cxn modelId="{E4D815D5-D49C-4834-A826-E01B3D794B23}" srcId="{5485AC5C-C3E6-4345-A2E1-F3C38E61D46C}" destId="{3913BE52-DD71-4D1E-BBCA-414FB30BBC11}" srcOrd="1" destOrd="0" parTransId="{B3BAB6C2-A89E-4467-973D-EAEB1DB76DD3}" sibTransId="{75077C00-8F33-4E0F-9BA9-0BBFF68F73D2}"/>
    <dgm:cxn modelId="{42A63B06-805B-4F9A-A4F7-37C06DB15E33}" type="presOf" srcId="{2D217AE5-1376-42C3-8F8B-A98E95CCCB80}" destId="{0BB09D89-2391-45DA-85A2-9D069F03BBF9}" srcOrd="1" destOrd="0" presId="urn:microsoft.com/office/officeart/2005/8/layout/orgChart1"/>
    <dgm:cxn modelId="{049274F2-133B-4492-A61B-3F001447D816}" type="presOf" srcId="{061C5DCC-107B-40F2-BCBB-70DB5D6BA830}" destId="{5B7629B1-A88D-4B72-B552-9F82D15FEEBD}" srcOrd="0" destOrd="0" presId="urn:microsoft.com/office/officeart/2005/8/layout/orgChart1"/>
    <dgm:cxn modelId="{2CF73DED-E9EB-49CE-9597-1F1E71AA494D}" type="presOf" srcId="{935DD476-66ED-4CF4-99D4-33C9B4F86929}" destId="{1FFA54A7-09B8-45E4-ACE3-E605EF600CCE}" srcOrd="0" destOrd="0" presId="urn:microsoft.com/office/officeart/2005/8/layout/orgChart1"/>
    <dgm:cxn modelId="{74767567-6112-49CB-AC4A-DB2A447122EA}" type="presOf" srcId="{4A6F09B0-8C69-474C-9E72-7540BC650359}" destId="{F8F40D6E-A567-4737-B249-787EE515D5EA}" srcOrd="1" destOrd="0" presId="urn:microsoft.com/office/officeart/2005/8/layout/orgChart1"/>
    <dgm:cxn modelId="{86A48F38-DDAB-48BE-8D54-27EFE750C0DF}" type="presOf" srcId="{5485AC5C-C3E6-4345-A2E1-F3C38E61D46C}" destId="{A97AB77B-66A0-4A2C-B81D-ED22E7FAAAF6}" srcOrd="1" destOrd="0" presId="urn:microsoft.com/office/officeart/2005/8/layout/orgChart1"/>
    <dgm:cxn modelId="{9EFCEB57-B0C9-4143-8BA7-5F519B4E9838}" type="presOf" srcId="{B3BAB6C2-A89E-4467-973D-EAEB1DB76DD3}" destId="{CA72CFD7-DF83-4A6A-97A6-349A3D9D5EC2}" srcOrd="0" destOrd="0" presId="urn:microsoft.com/office/officeart/2005/8/layout/orgChart1"/>
    <dgm:cxn modelId="{F7E5C772-B9AA-4CBC-B866-E697C904CCAA}" type="presOf" srcId="{1B0B1176-E8F1-4CA1-B6C1-E3790B6C7A69}" destId="{21D5242F-8459-4826-8BDC-2338B1ECE0B2}" srcOrd="1" destOrd="0" presId="urn:microsoft.com/office/officeart/2005/8/layout/orgChart1"/>
    <dgm:cxn modelId="{C05A2E36-38ED-4663-9C36-1780FC66C57C}" srcId="{4A6F09B0-8C69-474C-9E72-7540BC650359}" destId="{2D217AE5-1376-42C3-8F8B-A98E95CCCB80}" srcOrd="0" destOrd="0" parTransId="{1661D477-6235-4EE4-AF4B-A0B62935FC11}" sibTransId="{65A3A0D9-047E-4BA8-B6B2-55760BA54E5C}"/>
    <dgm:cxn modelId="{9F3B727B-5114-4BEE-B946-B16EA45E6317}" type="presOf" srcId="{94F666CF-3E13-4D3A-9478-285779BEE882}" destId="{677E3461-7CD1-44BD-A6FF-3FF2AD16A75A}" srcOrd="0" destOrd="0" presId="urn:microsoft.com/office/officeart/2005/8/layout/orgChart1"/>
    <dgm:cxn modelId="{7F219DEF-2D69-4C5F-97C9-F5C970744EB8}" type="presOf" srcId="{10EA82B2-C0D6-472E-AB92-3F8C65773293}" destId="{BFF479F4-3FDE-4E99-9047-20804CD1005A}" srcOrd="1" destOrd="0" presId="urn:microsoft.com/office/officeart/2005/8/layout/orgChart1"/>
    <dgm:cxn modelId="{F9E45882-ABEC-402A-81ED-39C983A50DA4}" type="presOf" srcId="{4EBFB426-2B9F-4D75-9762-4C101DFA56F2}" destId="{2B9BEA80-9D5D-4CDE-A4A4-05D2833740AB}" srcOrd="1" destOrd="0" presId="urn:microsoft.com/office/officeart/2005/8/layout/orgChart1"/>
    <dgm:cxn modelId="{DD2D3B38-9120-417C-BE31-78D741B75712}" type="presOf" srcId="{C1153231-846F-48DC-8CC2-85DCA6AD0666}" destId="{51ED6880-DD4A-4473-B393-2C86A622E625}" srcOrd="0" destOrd="0" presId="urn:microsoft.com/office/officeart/2005/8/layout/orgChart1"/>
    <dgm:cxn modelId="{53D91073-3B71-4E92-ABCC-9AA0F2DFBC10}" type="presOf" srcId="{E0EF8A1A-C83D-48F5-A4D6-8B2CEC91EA83}" destId="{4C6A9182-35B5-4155-81B4-F48E21C3297D}" srcOrd="0" destOrd="0" presId="urn:microsoft.com/office/officeart/2005/8/layout/orgChart1"/>
    <dgm:cxn modelId="{B34DC203-6AE4-435A-B022-3B67FE99D7B3}" type="presOf" srcId="{9FBA2F2D-D645-4483-8DE4-AAA3052EB024}" destId="{3300E448-1A5D-4ACD-ADF8-CAF9C7706B9B}" srcOrd="0" destOrd="0" presId="urn:microsoft.com/office/officeart/2005/8/layout/orgChart1"/>
    <dgm:cxn modelId="{C97FCFA6-B598-4A0F-8411-625017C45333}" type="presOf" srcId="{D42461E3-D036-4436-815E-78E21E24BB7B}" destId="{47EA3172-0869-471F-B966-659E27E1BF4B}" srcOrd="0" destOrd="0" presId="urn:microsoft.com/office/officeart/2005/8/layout/orgChart1"/>
    <dgm:cxn modelId="{37696FBE-1D73-4D19-B260-530214346BC2}" srcId="{5485AC5C-C3E6-4345-A2E1-F3C38E61D46C}" destId="{83C448D7-0A29-486B-87F0-2C6EF1512119}" srcOrd="0" destOrd="0" parTransId="{A773AFFC-06F5-4289-8F37-49FD0FBD5EE5}" sibTransId="{6BF7F285-CB40-4E1D-8B68-4521DC7CCE19}"/>
    <dgm:cxn modelId="{F7294D05-C87E-497E-B920-1F5C5F286F8D}" type="presOf" srcId="{6A9FB7A8-8F7E-4382-898C-EC28D9102C4B}" destId="{2EF81D41-5739-4240-9CD3-0E05B765B21E}" srcOrd="0" destOrd="0" presId="urn:microsoft.com/office/officeart/2005/8/layout/orgChart1"/>
    <dgm:cxn modelId="{4485C47F-931E-45F9-8F0B-1CB12E363B5C}" type="presOf" srcId="{5485AC5C-C3E6-4345-A2E1-F3C38E61D46C}" destId="{94E96053-2390-4AD6-853B-189CADE8B145}" srcOrd="0" destOrd="0" presId="urn:microsoft.com/office/officeart/2005/8/layout/orgChart1"/>
    <dgm:cxn modelId="{A78AA67D-85FE-4DDE-9764-FEF472F6C2D6}" type="presOf" srcId="{935DD476-66ED-4CF4-99D4-33C9B4F86929}" destId="{EABE5564-BC11-4568-A487-650559A6C09E}" srcOrd="1" destOrd="0" presId="urn:microsoft.com/office/officeart/2005/8/layout/orgChart1"/>
    <dgm:cxn modelId="{B409B78F-A7D5-451D-A67B-1ED708D2D5AF}" srcId="{5485AC5C-C3E6-4345-A2E1-F3C38E61D46C}" destId="{9DC06A39-B99C-4D36-A8A6-B4D0F4002CEF}" srcOrd="2" destOrd="0" parTransId="{C55F3D95-0595-442F-B873-348527B4943D}" sibTransId="{D9AD66B9-3F59-4471-9D0A-4444FAC22EEE}"/>
    <dgm:cxn modelId="{C65D0891-01DC-4FEF-91C8-E78657E2FBB2}" srcId="{1B0B1176-E8F1-4CA1-B6C1-E3790B6C7A69}" destId="{6A9FB7A8-8F7E-4382-898C-EC28D9102C4B}" srcOrd="0" destOrd="0" parTransId="{94F666CF-3E13-4D3A-9478-285779BEE882}" sibTransId="{60BDDD71-A76E-4176-B5CF-03E32A5D9F55}"/>
    <dgm:cxn modelId="{2B71A9BE-F445-423B-AD8C-3C85F33DC360}" type="presOf" srcId="{83C448D7-0A29-486B-87F0-2C6EF1512119}" destId="{BD14EFAB-7D97-411E-9094-38CCFFCE7385}" srcOrd="1" destOrd="0" presId="urn:microsoft.com/office/officeart/2005/8/layout/orgChart1"/>
    <dgm:cxn modelId="{CF4D7A4F-7B35-4EB3-A280-E88B0523CC69}" type="presOf" srcId="{1B0B1176-E8F1-4CA1-B6C1-E3790B6C7A69}" destId="{E82BEE86-0F83-460D-B1FD-A1B2558E67EC}" srcOrd="0" destOrd="0" presId="urn:microsoft.com/office/officeart/2005/8/layout/orgChart1"/>
    <dgm:cxn modelId="{8F81588D-6E3D-41A6-A25C-6BCA29AA8DA5}" type="presOf" srcId="{1B7574F7-2CCB-44F6-A3D6-8100F5B37D60}" destId="{2E9C1B9F-DF5C-45F4-8F07-7C19FC95FF1A}" srcOrd="0" destOrd="0" presId="urn:microsoft.com/office/officeart/2005/8/layout/orgChart1"/>
    <dgm:cxn modelId="{964C1216-0192-44D8-B912-75D247405F71}" type="presOf" srcId="{4EBFB426-2B9F-4D75-9762-4C101DFA56F2}" destId="{8190F667-5855-4D40-BD45-8D45E3DC2730}" srcOrd="0" destOrd="0" presId="urn:microsoft.com/office/officeart/2005/8/layout/orgChart1"/>
    <dgm:cxn modelId="{D045013A-B9A4-4ED6-B952-200764611EDD}" type="presOf" srcId="{CC6D63B6-1D11-4E39-9E72-8737C3B0D976}" destId="{21E5B0FC-DB05-47A0-A61C-834F3AACD8E0}" srcOrd="0" destOrd="0" presId="urn:microsoft.com/office/officeart/2005/8/layout/orgChart1"/>
    <dgm:cxn modelId="{2D826EE8-4B35-41FC-9AD1-39A7916C6F92}" type="presOf" srcId="{4A6F09B0-8C69-474C-9E72-7540BC650359}" destId="{E3242534-625C-4657-9FD7-2C7B984108FC}" srcOrd="0" destOrd="0" presId="urn:microsoft.com/office/officeart/2005/8/layout/orgChart1"/>
    <dgm:cxn modelId="{786EA2B1-CD60-4468-81F5-62C3CF04F88C}" srcId="{4A6F09B0-8C69-474C-9E72-7540BC650359}" destId="{5485AC5C-C3E6-4345-A2E1-F3C38E61D46C}" srcOrd="2" destOrd="0" parTransId="{E0EF8A1A-C83D-48F5-A4D6-8B2CEC91EA83}" sibTransId="{F5BAE5A2-B459-4FE5-AEAE-895C7B6452AB}"/>
    <dgm:cxn modelId="{5CDB8C74-9333-451E-8824-9D879A9F63F3}" type="presOf" srcId="{3913BE52-DD71-4D1E-BBCA-414FB30BBC11}" destId="{B4E49922-1E0B-47F5-AFB1-72E4D19D1361}" srcOrd="1" destOrd="0" presId="urn:microsoft.com/office/officeart/2005/8/layout/orgChart1"/>
    <dgm:cxn modelId="{02D2C99F-25B1-4EB8-AFC0-F119B8B1E96F}" type="presOf" srcId="{A773AFFC-06F5-4289-8F37-49FD0FBD5EE5}" destId="{D5179C69-1697-48C6-B7BD-3F411F9FE3A8}" srcOrd="0" destOrd="0" presId="urn:microsoft.com/office/officeart/2005/8/layout/orgChart1"/>
    <dgm:cxn modelId="{4873A789-9508-4468-96CB-5F997C6A5DC5}" type="presOf" srcId="{6A9FB7A8-8F7E-4382-898C-EC28D9102C4B}" destId="{BEDEEA29-9413-44E4-96E0-15EC7526974A}" srcOrd="1" destOrd="0" presId="urn:microsoft.com/office/officeart/2005/8/layout/orgChart1"/>
    <dgm:cxn modelId="{904DB177-E343-401D-8618-6A13A9F2E532}" type="presParOf" srcId="{51ED6880-DD4A-4473-B393-2C86A622E625}" destId="{5E6A214D-EE93-4FBD-A7A7-6558BCA91E84}" srcOrd="0" destOrd="0" presId="urn:microsoft.com/office/officeart/2005/8/layout/orgChart1"/>
    <dgm:cxn modelId="{8F310A82-E263-4715-B8E9-DAE5F6E71B07}" type="presParOf" srcId="{5E6A214D-EE93-4FBD-A7A7-6558BCA91E84}" destId="{34CF3E5B-6ACD-4C5D-8089-75C50192963C}" srcOrd="0" destOrd="0" presId="urn:microsoft.com/office/officeart/2005/8/layout/orgChart1"/>
    <dgm:cxn modelId="{E292EDB9-E25D-4474-9473-B7878F07B889}" type="presParOf" srcId="{34CF3E5B-6ACD-4C5D-8089-75C50192963C}" destId="{E3242534-625C-4657-9FD7-2C7B984108FC}" srcOrd="0" destOrd="0" presId="urn:microsoft.com/office/officeart/2005/8/layout/orgChart1"/>
    <dgm:cxn modelId="{E9E9EAD8-EF17-434B-9FB0-B9BA8030F061}" type="presParOf" srcId="{34CF3E5B-6ACD-4C5D-8089-75C50192963C}" destId="{F8F40D6E-A567-4737-B249-787EE515D5EA}" srcOrd="1" destOrd="0" presId="urn:microsoft.com/office/officeart/2005/8/layout/orgChart1"/>
    <dgm:cxn modelId="{565BD382-C521-43A2-B637-6CB557720B75}" type="presParOf" srcId="{5E6A214D-EE93-4FBD-A7A7-6558BCA91E84}" destId="{C12C9A69-4757-46B3-B1C3-3DCBE5C73F70}" srcOrd="1" destOrd="0" presId="urn:microsoft.com/office/officeart/2005/8/layout/orgChart1"/>
    <dgm:cxn modelId="{B16F2020-C2B5-4083-98E2-D3A430BC8B46}" type="presParOf" srcId="{C12C9A69-4757-46B3-B1C3-3DCBE5C73F70}" destId="{9240A010-1159-4C86-B770-DF9D7510C199}" srcOrd="0" destOrd="0" presId="urn:microsoft.com/office/officeart/2005/8/layout/orgChart1"/>
    <dgm:cxn modelId="{C03454DD-0752-4790-B357-AA85A640B05B}" type="presParOf" srcId="{C12C9A69-4757-46B3-B1C3-3DCBE5C73F70}" destId="{FA167901-2C79-4BBA-9F6A-BE149ED86C3C}" srcOrd="1" destOrd="0" presId="urn:microsoft.com/office/officeart/2005/8/layout/orgChart1"/>
    <dgm:cxn modelId="{B86C3371-0B2C-47E2-AC66-72527B0EA7CA}" type="presParOf" srcId="{FA167901-2C79-4BBA-9F6A-BE149ED86C3C}" destId="{516B028E-AD94-4D52-A721-AADBDE2E352B}" srcOrd="0" destOrd="0" presId="urn:microsoft.com/office/officeart/2005/8/layout/orgChart1"/>
    <dgm:cxn modelId="{2720C080-7226-4881-8199-22A59CE31974}" type="presParOf" srcId="{516B028E-AD94-4D52-A721-AADBDE2E352B}" destId="{56F4348B-4F56-4D8D-BD00-1A2544A49873}" srcOrd="0" destOrd="0" presId="urn:microsoft.com/office/officeart/2005/8/layout/orgChart1"/>
    <dgm:cxn modelId="{B52D24CB-0AD7-4357-9C3D-EC9841C46C76}" type="presParOf" srcId="{516B028E-AD94-4D52-A721-AADBDE2E352B}" destId="{0BB09D89-2391-45DA-85A2-9D069F03BBF9}" srcOrd="1" destOrd="0" presId="urn:microsoft.com/office/officeart/2005/8/layout/orgChart1"/>
    <dgm:cxn modelId="{A951BADA-40F1-4014-B541-EE30ED3FE316}" type="presParOf" srcId="{FA167901-2C79-4BBA-9F6A-BE149ED86C3C}" destId="{091DBC33-E39E-431E-9FF9-1FFBAF625E91}" srcOrd="1" destOrd="0" presId="urn:microsoft.com/office/officeart/2005/8/layout/orgChart1"/>
    <dgm:cxn modelId="{5D9EF1E6-EFAC-4B0C-9732-57E340F1F4BD}" type="presParOf" srcId="{091DBC33-E39E-431E-9FF9-1FFBAF625E91}" destId="{5EDEE751-C41A-4E46-A9A1-95A75B170EE5}" srcOrd="0" destOrd="0" presId="urn:microsoft.com/office/officeart/2005/8/layout/orgChart1"/>
    <dgm:cxn modelId="{0CEFA395-A6E3-454E-A06B-F8811F259A6A}" type="presParOf" srcId="{091DBC33-E39E-431E-9FF9-1FFBAF625E91}" destId="{9B1A542A-135E-4CFB-AC79-25D164B58613}" srcOrd="1" destOrd="0" presId="urn:microsoft.com/office/officeart/2005/8/layout/orgChart1"/>
    <dgm:cxn modelId="{FE56704D-466E-428A-B7E9-A166471DD998}" type="presParOf" srcId="{9B1A542A-135E-4CFB-AC79-25D164B58613}" destId="{B44F34C8-3A29-4A6C-9CBE-545DC5967BC9}" srcOrd="0" destOrd="0" presId="urn:microsoft.com/office/officeart/2005/8/layout/orgChart1"/>
    <dgm:cxn modelId="{BB92F781-2507-4C48-A13A-E7E512FF9E04}" type="presParOf" srcId="{B44F34C8-3A29-4A6C-9CBE-545DC5967BC9}" destId="{8190F667-5855-4D40-BD45-8D45E3DC2730}" srcOrd="0" destOrd="0" presId="urn:microsoft.com/office/officeart/2005/8/layout/orgChart1"/>
    <dgm:cxn modelId="{55E9024E-6D38-4909-84A7-DCFF24CE4AA7}" type="presParOf" srcId="{B44F34C8-3A29-4A6C-9CBE-545DC5967BC9}" destId="{2B9BEA80-9D5D-4CDE-A4A4-05D2833740AB}" srcOrd="1" destOrd="0" presId="urn:microsoft.com/office/officeart/2005/8/layout/orgChart1"/>
    <dgm:cxn modelId="{2668D204-43BD-4046-AE99-82D6B1425514}" type="presParOf" srcId="{9B1A542A-135E-4CFB-AC79-25D164B58613}" destId="{F55C52D0-C461-4AC8-9716-A1EC1BC91A76}" srcOrd="1" destOrd="0" presId="urn:microsoft.com/office/officeart/2005/8/layout/orgChart1"/>
    <dgm:cxn modelId="{94F8C663-2BBA-4C94-9A52-3FF08E2CE535}" type="presParOf" srcId="{9B1A542A-135E-4CFB-AC79-25D164B58613}" destId="{E2213D00-634B-46A5-8E82-DDB63C0FEF94}" srcOrd="2" destOrd="0" presId="urn:microsoft.com/office/officeart/2005/8/layout/orgChart1"/>
    <dgm:cxn modelId="{C5D21FE6-FD5A-4804-A427-FB13A76FA31E}" type="presParOf" srcId="{091DBC33-E39E-431E-9FF9-1FFBAF625E91}" destId="{5B7629B1-A88D-4B72-B552-9F82D15FEEBD}" srcOrd="2" destOrd="0" presId="urn:microsoft.com/office/officeart/2005/8/layout/orgChart1"/>
    <dgm:cxn modelId="{4CE3728C-515A-4317-8254-4EC22C87D4D4}" type="presParOf" srcId="{091DBC33-E39E-431E-9FF9-1FFBAF625E91}" destId="{E0D10191-5066-4FFF-ADD3-834FFD07BF3B}" srcOrd="3" destOrd="0" presId="urn:microsoft.com/office/officeart/2005/8/layout/orgChart1"/>
    <dgm:cxn modelId="{5CD264B7-3C32-48F5-9D02-103D9275AE82}" type="presParOf" srcId="{E0D10191-5066-4FFF-ADD3-834FFD07BF3B}" destId="{C99BBF25-6606-4380-A3DA-2F9118B4F4F0}" srcOrd="0" destOrd="0" presId="urn:microsoft.com/office/officeart/2005/8/layout/orgChart1"/>
    <dgm:cxn modelId="{72BDD7ED-C24D-4A24-B3B0-D051D1915FCA}" type="presParOf" srcId="{C99BBF25-6606-4380-A3DA-2F9118B4F4F0}" destId="{42D7BF0E-C750-4B83-9435-3D70C4411BAA}" srcOrd="0" destOrd="0" presId="urn:microsoft.com/office/officeart/2005/8/layout/orgChart1"/>
    <dgm:cxn modelId="{8F34D2E4-EAC4-45FD-A5FD-609C43A79CF8}" type="presParOf" srcId="{C99BBF25-6606-4380-A3DA-2F9118B4F4F0}" destId="{96AC68FD-6B39-4CAC-AAFA-E09C499694BC}" srcOrd="1" destOrd="0" presId="urn:microsoft.com/office/officeart/2005/8/layout/orgChart1"/>
    <dgm:cxn modelId="{CFBC44F7-0443-4114-9075-770DF6EC4DDF}" type="presParOf" srcId="{E0D10191-5066-4FFF-ADD3-834FFD07BF3B}" destId="{DB4ABF17-0DE0-40A1-BC83-579002296743}" srcOrd="1" destOrd="0" presId="urn:microsoft.com/office/officeart/2005/8/layout/orgChart1"/>
    <dgm:cxn modelId="{9B9EC4CF-BFA1-43FD-BAA2-B4895BC0710C}" type="presParOf" srcId="{E0D10191-5066-4FFF-ADD3-834FFD07BF3B}" destId="{CA4675B9-E9C8-4F18-A06F-19B3723A1CAF}" srcOrd="2" destOrd="0" presId="urn:microsoft.com/office/officeart/2005/8/layout/orgChart1"/>
    <dgm:cxn modelId="{5988C6A3-015B-4134-A348-895DA578A56E}" type="presParOf" srcId="{091DBC33-E39E-431E-9FF9-1FFBAF625E91}" destId="{AB090943-4845-4160-8EEF-1A44BF6D58A8}" srcOrd="4" destOrd="0" presId="urn:microsoft.com/office/officeart/2005/8/layout/orgChart1"/>
    <dgm:cxn modelId="{6368A26E-A928-4B80-A08E-4FF3A0728715}" type="presParOf" srcId="{091DBC33-E39E-431E-9FF9-1FFBAF625E91}" destId="{7D07F1AA-3F50-4AA5-B6C4-97197D88FA0C}" srcOrd="5" destOrd="0" presId="urn:microsoft.com/office/officeart/2005/8/layout/orgChart1"/>
    <dgm:cxn modelId="{A8A71E5E-FCE6-428D-94E2-E40EBC433891}" type="presParOf" srcId="{7D07F1AA-3F50-4AA5-B6C4-97197D88FA0C}" destId="{9CF2A0FF-B114-4A3C-ADEF-D61B2B11AF07}" srcOrd="0" destOrd="0" presId="urn:microsoft.com/office/officeart/2005/8/layout/orgChart1"/>
    <dgm:cxn modelId="{6A75D76D-D986-42A6-A83D-9D8566585152}" type="presParOf" srcId="{9CF2A0FF-B114-4A3C-ADEF-D61B2B11AF07}" destId="{1FFA54A7-09B8-45E4-ACE3-E605EF600CCE}" srcOrd="0" destOrd="0" presId="urn:microsoft.com/office/officeart/2005/8/layout/orgChart1"/>
    <dgm:cxn modelId="{9F5847C6-47CD-40E1-B3CB-108127A01A4B}" type="presParOf" srcId="{9CF2A0FF-B114-4A3C-ADEF-D61B2B11AF07}" destId="{EABE5564-BC11-4568-A487-650559A6C09E}" srcOrd="1" destOrd="0" presId="urn:microsoft.com/office/officeart/2005/8/layout/orgChart1"/>
    <dgm:cxn modelId="{B4D971C9-A321-4A8D-97D5-9BB032B426D4}" type="presParOf" srcId="{7D07F1AA-3F50-4AA5-B6C4-97197D88FA0C}" destId="{E1F91F3B-CB4E-4310-93F1-64C1D6352FD5}" srcOrd="1" destOrd="0" presId="urn:microsoft.com/office/officeart/2005/8/layout/orgChart1"/>
    <dgm:cxn modelId="{57292931-09A3-4DC8-BC16-7ECA4A4EE902}" type="presParOf" srcId="{7D07F1AA-3F50-4AA5-B6C4-97197D88FA0C}" destId="{09C32C40-58BA-4D1A-8575-2C9B0F2B98CF}" srcOrd="2" destOrd="0" presId="urn:microsoft.com/office/officeart/2005/8/layout/orgChart1"/>
    <dgm:cxn modelId="{F87A9CD9-638F-4986-A364-24D60A331763}" type="presParOf" srcId="{FA167901-2C79-4BBA-9F6A-BE149ED86C3C}" destId="{6090E363-1E3A-45E5-865E-5CF3646325F3}" srcOrd="2" destOrd="0" presId="urn:microsoft.com/office/officeart/2005/8/layout/orgChart1"/>
    <dgm:cxn modelId="{0B85336D-A6BD-43C5-B753-51D0AD6D63E5}" type="presParOf" srcId="{C12C9A69-4757-46B3-B1C3-3DCBE5C73F70}" destId="{47EA3172-0869-471F-B966-659E27E1BF4B}" srcOrd="2" destOrd="0" presId="urn:microsoft.com/office/officeart/2005/8/layout/orgChart1"/>
    <dgm:cxn modelId="{8869E22A-8930-45B6-9324-10D56B116429}" type="presParOf" srcId="{C12C9A69-4757-46B3-B1C3-3DCBE5C73F70}" destId="{DE49BFC3-3BFC-4C82-AA85-C939387ABD1D}" srcOrd="3" destOrd="0" presId="urn:microsoft.com/office/officeart/2005/8/layout/orgChart1"/>
    <dgm:cxn modelId="{AD6BDC4D-FCB2-44B5-837B-10DC3B171375}" type="presParOf" srcId="{DE49BFC3-3BFC-4C82-AA85-C939387ABD1D}" destId="{C69240C4-4F59-4840-9BB1-D1934FA479B1}" srcOrd="0" destOrd="0" presId="urn:microsoft.com/office/officeart/2005/8/layout/orgChart1"/>
    <dgm:cxn modelId="{3CFFC61A-BDF9-48D4-9521-CC1891EDE802}" type="presParOf" srcId="{C69240C4-4F59-4840-9BB1-D1934FA479B1}" destId="{E82BEE86-0F83-460D-B1FD-A1B2558E67EC}" srcOrd="0" destOrd="0" presId="urn:microsoft.com/office/officeart/2005/8/layout/orgChart1"/>
    <dgm:cxn modelId="{ECEFCDC8-C83E-468C-897A-0767D9F7431B}" type="presParOf" srcId="{C69240C4-4F59-4840-9BB1-D1934FA479B1}" destId="{21D5242F-8459-4826-8BDC-2338B1ECE0B2}" srcOrd="1" destOrd="0" presId="urn:microsoft.com/office/officeart/2005/8/layout/orgChart1"/>
    <dgm:cxn modelId="{30F0FDF2-80AB-474D-A518-9D3CD835491F}" type="presParOf" srcId="{DE49BFC3-3BFC-4C82-AA85-C939387ABD1D}" destId="{CBFF7FBB-4473-4E8D-BAE7-D7D3613D5196}" srcOrd="1" destOrd="0" presId="urn:microsoft.com/office/officeart/2005/8/layout/orgChart1"/>
    <dgm:cxn modelId="{93F080A1-588B-46C4-9AEE-47B4D2BD8251}" type="presParOf" srcId="{CBFF7FBB-4473-4E8D-BAE7-D7D3613D5196}" destId="{677E3461-7CD1-44BD-A6FF-3FF2AD16A75A}" srcOrd="0" destOrd="0" presId="urn:microsoft.com/office/officeart/2005/8/layout/orgChart1"/>
    <dgm:cxn modelId="{9E8C2156-2558-45E9-BDFB-CB80C89F1EA9}" type="presParOf" srcId="{CBFF7FBB-4473-4E8D-BAE7-D7D3613D5196}" destId="{363B6E15-7E09-4A1A-8C9B-366E189306C0}" srcOrd="1" destOrd="0" presId="urn:microsoft.com/office/officeart/2005/8/layout/orgChart1"/>
    <dgm:cxn modelId="{C2881303-B9EB-46E9-8C76-E01276C0B4F4}" type="presParOf" srcId="{363B6E15-7E09-4A1A-8C9B-366E189306C0}" destId="{79A4C4ED-3ACC-4E25-8603-CDF9C3BAFBFB}" srcOrd="0" destOrd="0" presId="urn:microsoft.com/office/officeart/2005/8/layout/orgChart1"/>
    <dgm:cxn modelId="{7581DE02-8193-458C-B9DC-E7862E137B23}" type="presParOf" srcId="{79A4C4ED-3ACC-4E25-8603-CDF9C3BAFBFB}" destId="{2EF81D41-5739-4240-9CD3-0E05B765B21E}" srcOrd="0" destOrd="0" presId="urn:microsoft.com/office/officeart/2005/8/layout/orgChart1"/>
    <dgm:cxn modelId="{43DF08EC-C4B3-41C6-92D5-298D341AB1F5}" type="presParOf" srcId="{79A4C4ED-3ACC-4E25-8603-CDF9C3BAFBFB}" destId="{BEDEEA29-9413-44E4-96E0-15EC7526974A}" srcOrd="1" destOrd="0" presId="urn:microsoft.com/office/officeart/2005/8/layout/orgChart1"/>
    <dgm:cxn modelId="{8CD94A4B-2AFD-4CB4-BC72-F0E934C26EE7}" type="presParOf" srcId="{363B6E15-7E09-4A1A-8C9B-366E189306C0}" destId="{9E40B906-445E-4573-9CE2-B11CF87D9073}" srcOrd="1" destOrd="0" presId="urn:microsoft.com/office/officeart/2005/8/layout/orgChart1"/>
    <dgm:cxn modelId="{9F053F3E-F0EF-4591-A8B5-DCCA6997A4DE}" type="presParOf" srcId="{363B6E15-7E09-4A1A-8C9B-366E189306C0}" destId="{2B2610DB-1E48-45C6-A6AF-666549E8B3A5}" srcOrd="2" destOrd="0" presId="urn:microsoft.com/office/officeart/2005/8/layout/orgChart1"/>
    <dgm:cxn modelId="{7066F487-FF56-4D1E-8D54-DA2A6CABC1FB}" type="presParOf" srcId="{CBFF7FBB-4473-4E8D-BAE7-D7D3613D5196}" destId="{3300E448-1A5D-4ACD-ADF8-CAF9C7706B9B}" srcOrd="2" destOrd="0" presId="urn:microsoft.com/office/officeart/2005/8/layout/orgChart1"/>
    <dgm:cxn modelId="{BE7F5CA9-D7F7-4326-9361-168125D59C21}" type="presParOf" srcId="{CBFF7FBB-4473-4E8D-BAE7-D7D3613D5196}" destId="{76080269-CEA8-44FA-A7D6-AAF447452EE1}" srcOrd="3" destOrd="0" presId="urn:microsoft.com/office/officeart/2005/8/layout/orgChart1"/>
    <dgm:cxn modelId="{64571869-73EA-40EB-A76C-6A358A7A1EE2}" type="presParOf" srcId="{76080269-CEA8-44FA-A7D6-AAF447452EE1}" destId="{A10FCBC7-B38B-45B0-979D-CBEF901AB1F9}" srcOrd="0" destOrd="0" presId="urn:microsoft.com/office/officeart/2005/8/layout/orgChart1"/>
    <dgm:cxn modelId="{CA66095E-3AF4-43EC-BB66-E7D8FCB5F32E}" type="presParOf" srcId="{A10FCBC7-B38B-45B0-979D-CBEF901AB1F9}" destId="{64A02EFE-4A48-40D2-A024-C12F8614B428}" srcOrd="0" destOrd="0" presId="urn:microsoft.com/office/officeart/2005/8/layout/orgChart1"/>
    <dgm:cxn modelId="{291B20B2-0B51-46A9-BC2F-0616567E55EF}" type="presParOf" srcId="{A10FCBC7-B38B-45B0-979D-CBEF901AB1F9}" destId="{BFF479F4-3FDE-4E99-9047-20804CD1005A}" srcOrd="1" destOrd="0" presId="urn:microsoft.com/office/officeart/2005/8/layout/orgChart1"/>
    <dgm:cxn modelId="{35F7A06F-FF17-45E1-B749-5F0CA34956EC}" type="presParOf" srcId="{76080269-CEA8-44FA-A7D6-AAF447452EE1}" destId="{4FED577D-AF6F-462C-A967-E009B1428133}" srcOrd="1" destOrd="0" presId="urn:microsoft.com/office/officeart/2005/8/layout/orgChart1"/>
    <dgm:cxn modelId="{BE046522-1A12-42A2-AF63-D0567AC63A47}" type="presParOf" srcId="{76080269-CEA8-44FA-A7D6-AAF447452EE1}" destId="{467466B9-A096-4D20-B971-6B771476A506}" srcOrd="2" destOrd="0" presId="urn:microsoft.com/office/officeart/2005/8/layout/orgChart1"/>
    <dgm:cxn modelId="{36175E96-7CBB-41F4-8AFB-D8FC016B20AA}" type="presParOf" srcId="{CBFF7FBB-4473-4E8D-BAE7-D7D3613D5196}" destId="{21E5B0FC-DB05-47A0-A61C-834F3AACD8E0}" srcOrd="4" destOrd="0" presId="urn:microsoft.com/office/officeart/2005/8/layout/orgChart1"/>
    <dgm:cxn modelId="{10400196-AE69-4547-99B9-1ED3DFA68F7F}" type="presParOf" srcId="{CBFF7FBB-4473-4E8D-BAE7-D7D3613D5196}" destId="{BEBF127D-83EB-4A7E-BB9C-69D1F6B255B1}" srcOrd="5" destOrd="0" presId="urn:microsoft.com/office/officeart/2005/8/layout/orgChart1"/>
    <dgm:cxn modelId="{3CCBFF0D-BA17-4485-8DE2-4FFF5DB41F33}" type="presParOf" srcId="{BEBF127D-83EB-4A7E-BB9C-69D1F6B255B1}" destId="{AA76C6FD-E71A-472B-ABB7-7E2F8E1E78E1}" srcOrd="0" destOrd="0" presId="urn:microsoft.com/office/officeart/2005/8/layout/orgChart1"/>
    <dgm:cxn modelId="{809AE046-9361-4422-AD94-0A163EE398B6}" type="presParOf" srcId="{AA76C6FD-E71A-472B-ABB7-7E2F8E1E78E1}" destId="{2E9C1B9F-DF5C-45F4-8F07-7C19FC95FF1A}" srcOrd="0" destOrd="0" presId="urn:microsoft.com/office/officeart/2005/8/layout/orgChart1"/>
    <dgm:cxn modelId="{7E88C228-A469-4D91-B886-5928AC50C9F1}" type="presParOf" srcId="{AA76C6FD-E71A-472B-ABB7-7E2F8E1E78E1}" destId="{BA4B3120-7E15-4B82-AA75-C372636AC8EA}" srcOrd="1" destOrd="0" presId="urn:microsoft.com/office/officeart/2005/8/layout/orgChart1"/>
    <dgm:cxn modelId="{CD3338D4-A537-4031-A15F-95451C2719E8}" type="presParOf" srcId="{BEBF127D-83EB-4A7E-BB9C-69D1F6B255B1}" destId="{CE0CCCF3-A441-4C60-BFEA-9526F697EDC3}" srcOrd="1" destOrd="0" presId="urn:microsoft.com/office/officeart/2005/8/layout/orgChart1"/>
    <dgm:cxn modelId="{EFF1A5EE-9F0E-4EAB-A153-17196C14B352}" type="presParOf" srcId="{BEBF127D-83EB-4A7E-BB9C-69D1F6B255B1}" destId="{E9DA3619-E438-44BC-8A6B-7DF02C352309}" srcOrd="2" destOrd="0" presId="urn:microsoft.com/office/officeart/2005/8/layout/orgChart1"/>
    <dgm:cxn modelId="{61549896-524D-4556-B2C6-C5ECD029BE54}" type="presParOf" srcId="{DE49BFC3-3BFC-4C82-AA85-C939387ABD1D}" destId="{7EA7A242-E435-4936-96B5-2EC27BD6E37F}" srcOrd="2" destOrd="0" presId="urn:microsoft.com/office/officeart/2005/8/layout/orgChart1"/>
    <dgm:cxn modelId="{082D69A2-AF3B-4A4C-BA0B-0D769E5E7744}" type="presParOf" srcId="{C12C9A69-4757-46B3-B1C3-3DCBE5C73F70}" destId="{4C6A9182-35B5-4155-81B4-F48E21C3297D}" srcOrd="4" destOrd="0" presId="urn:microsoft.com/office/officeart/2005/8/layout/orgChart1"/>
    <dgm:cxn modelId="{107006B2-7A51-4C93-A341-F8E808B5BA22}" type="presParOf" srcId="{C12C9A69-4757-46B3-B1C3-3DCBE5C73F70}" destId="{9156D1AC-8ACD-4B66-8BD2-341EE0ABA78B}" srcOrd="5" destOrd="0" presId="urn:microsoft.com/office/officeart/2005/8/layout/orgChart1"/>
    <dgm:cxn modelId="{E0FBB25E-E028-4CF6-B502-00C0720EFF09}" type="presParOf" srcId="{9156D1AC-8ACD-4B66-8BD2-341EE0ABA78B}" destId="{62F319BC-2C23-4BE5-A045-1CB9EECA0044}" srcOrd="0" destOrd="0" presId="urn:microsoft.com/office/officeart/2005/8/layout/orgChart1"/>
    <dgm:cxn modelId="{05290710-CEB9-43EB-A58B-A8A9E7DFFE86}" type="presParOf" srcId="{62F319BC-2C23-4BE5-A045-1CB9EECA0044}" destId="{94E96053-2390-4AD6-853B-189CADE8B145}" srcOrd="0" destOrd="0" presId="urn:microsoft.com/office/officeart/2005/8/layout/orgChart1"/>
    <dgm:cxn modelId="{6EFD74FD-4AD0-435C-9EF4-B0FB57FAA722}" type="presParOf" srcId="{62F319BC-2C23-4BE5-A045-1CB9EECA0044}" destId="{A97AB77B-66A0-4A2C-B81D-ED22E7FAAAF6}" srcOrd="1" destOrd="0" presId="urn:microsoft.com/office/officeart/2005/8/layout/orgChart1"/>
    <dgm:cxn modelId="{F4C71E2D-F05A-4D8F-8F63-54ADF09F9B98}" type="presParOf" srcId="{9156D1AC-8ACD-4B66-8BD2-341EE0ABA78B}" destId="{56FDAAC8-5391-4A60-A53F-06FAB038DA04}" srcOrd="1" destOrd="0" presId="urn:microsoft.com/office/officeart/2005/8/layout/orgChart1"/>
    <dgm:cxn modelId="{50F2D8D0-3879-4C74-93DC-DD8009DF56AB}" type="presParOf" srcId="{56FDAAC8-5391-4A60-A53F-06FAB038DA04}" destId="{D5179C69-1697-48C6-B7BD-3F411F9FE3A8}" srcOrd="0" destOrd="0" presId="urn:microsoft.com/office/officeart/2005/8/layout/orgChart1"/>
    <dgm:cxn modelId="{4C82FD26-E0F6-44D8-9D89-98DA524E836B}" type="presParOf" srcId="{56FDAAC8-5391-4A60-A53F-06FAB038DA04}" destId="{B6C5F9F7-35FE-4146-9451-598FD33D0833}" srcOrd="1" destOrd="0" presId="urn:microsoft.com/office/officeart/2005/8/layout/orgChart1"/>
    <dgm:cxn modelId="{342895D9-F07C-4818-9786-68B0B50CF941}" type="presParOf" srcId="{B6C5F9F7-35FE-4146-9451-598FD33D0833}" destId="{BC37EB95-92DD-43B1-8EB5-9471AEB8B194}" srcOrd="0" destOrd="0" presId="urn:microsoft.com/office/officeart/2005/8/layout/orgChart1"/>
    <dgm:cxn modelId="{91FC87BB-3831-4C41-A256-39B1F4515955}" type="presParOf" srcId="{BC37EB95-92DD-43B1-8EB5-9471AEB8B194}" destId="{AAA5E3D3-A99E-4713-805B-577C50788D8A}" srcOrd="0" destOrd="0" presId="urn:microsoft.com/office/officeart/2005/8/layout/orgChart1"/>
    <dgm:cxn modelId="{AA9FA985-73E4-4AE9-A44A-701E8521F268}" type="presParOf" srcId="{BC37EB95-92DD-43B1-8EB5-9471AEB8B194}" destId="{BD14EFAB-7D97-411E-9094-38CCFFCE7385}" srcOrd="1" destOrd="0" presId="urn:microsoft.com/office/officeart/2005/8/layout/orgChart1"/>
    <dgm:cxn modelId="{41AEC216-4250-4184-96E8-A3B0B39B0151}" type="presParOf" srcId="{B6C5F9F7-35FE-4146-9451-598FD33D0833}" destId="{2A85F7CF-1761-4F9F-8642-2992F5323B06}" srcOrd="1" destOrd="0" presId="urn:microsoft.com/office/officeart/2005/8/layout/orgChart1"/>
    <dgm:cxn modelId="{7B124C46-3D64-48BF-8BDB-C09B16F8B669}" type="presParOf" srcId="{B6C5F9F7-35FE-4146-9451-598FD33D0833}" destId="{359EEA5B-A28D-4A37-AC17-BF814376E58A}" srcOrd="2" destOrd="0" presId="urn:microsoft.com/office/officeart/2005/8/layout/orgChart1"/>
    <dgm:cxn modelId="{D178CC73-93A8-45AE-8529-A67D223A02E9}" type="presParOf" srcId="{56FDAAC8-5391-4A60-A53F-06FAB038DA04}" destId="{CA72CFD7-DF83-4A6A-97A6-349A3D9D5EC2}" srcOrd="2" destOrd="0" presId="urn:microsoft.com/office/officeart/2005/8/layout/orgChart1"/>
    <dgm:cxn modelId="{0BD690F5-C414-47EA-BF3D-48FF729ED107}" type="presParOf" srcId="{56FDAAC8-5391-4A60-A53F-06FAB038DA04}" destId="{002D58AD-3941-44A4-A4F8-05E8E56B20DA}" srcOrd="3" destOrd="0" presId="urn:microsoft.com/office/officeart/2005/8/layout/orgChart1"/>
    <dgm:cxn modelId="{CDDC8BBC-8E41-4537-AB6C-5B8F9293DC89}" type="presParOf" srcId="{002D58AD-3941-44A4-A4F8-05E8E56B20DA}" destId="{50052595-1830-4331-B33D-F0679FB6D1C4}" srcOrd="0" destOrd="0" presId="urn:microsoft.com/office/officeart/2005/8/layout/orgChart1"/>
    <dgm:cxn modelId="{37F69897-48C6-43D4-AD91-C476C9ECBCE7}" type="presParOf" srcId="{50052595-1830-4331-B33D-F0679FB6D1C4}" destId="{A8A69D67-68AD-41EA-A899-7BFED09BF97D}" srcOrd="0" destOrd="0" presId="urn:microsoft.com/office/officeart/2005/8/layout/orgChart1"/>
    <dgm:cxn modelId="{93F30CD5-CFB9-439A-B2FF-BBB400CBCF3D}" type="presParOf" srcId="{50052595-1830-4331-B33D-F0679FB6D1C4}" destId="{B4E49922-1E0B-47F5-AFB1-72E4D19D1361}" srcOrd="1" destOrd="0" presId="urn:microsoft.com/office/officeart/2005/8/layout/orgChart1"/>
    <dgm:cxn modelId="{BD41BEF0-56EA-4470-8DFD-835989567F0E}" type="presParOf" srcId="{002D58AD-3941-44A4-A4F8-05E8E56B20DA}" destId="{5AA35242-05E1-4ECF-98A1-FB85B611F9BD}" srcOrd="1" destOrd="0" presId="urn:microsoft.com/office/officeart/2005/8/layout/orgChart1"/>
    <dgm:cxn modelId="{BC72BC4A-5EC5-403A-85DB-5153CAFCDFF5}" type="presParOf" srcId="{002D58AD-3941-44A4-A4F8-05E8E56B20DA}" destId="{9A8FD69B-8B0B-4BCF-B130-B3D80C131769}" srcOrd="2" destOrd="0" presId="urn:microsoft.com/office/officeart/2005/8/layout/orgChart1"/>
    <dgm:cxn modelId="{CDC22E31-5A8A-4DA7-B0FD-FB5DDAF2C1B9}" type="presParOf" srcId="{56FDAAC8-5391-4A60-A53F-06FAB038DA04}" destId="{11B71225-B134-4A67-8CCB-6C1B860200C1}" srcOrd="4" destOrd="0" presId="urn:microsoft.com/office/officeart/2005/8/layout/orgChart1"/>
    <dgm:cxn modelId="{B79D60C0-0204-4E36-B6C1-6D4AE6E02EE7}" type="presParOf" srcId="{56FDAAC8-5391-4A60-A53F-06FAB038DA04}" destId="{6B5FCEF1-DBAF-406C-B014-C357644DCE0D}" srcOrd="5" destOrd="0" presId="urn:microsoft.com/office/officeart/2005/8/layout/orgChart1"/>
    <dgm:cxn modelId="{3EE29577-C16C-430F-BEFF-FB743DCCBD09}" type="presParOf" srcId="{6B5FCEF1-DBAF-406C-B014-C357644DCE0D}" destId="{B46648CA-C7C3-4C85-96A4-058930201224}" srcOrd="0" destOrd="0" presId="urn:microsoft.com/office/officeart/2005/8/layout/orgChart1"/>
    <dgm:cxn modelId="{A4FD0D4C-B290-4333-B5A9-618B71FC9185}" type="presParOf" srcId="{B46648CA-C7C3-4C85-96A4-058930201224}" destId="{BA9F1F37-44A7-470F-8552-C1C642344EC0}" srcOrd="0" destOrd="0" presId="urn:microsoft.com/office/officeart/2005/8/layout/orgChart1"/>
    <dgm:cxn modelId="{83CED797-A87C-47DB-8E80-83FE7E39C04C}" type="presParOf" srcId="{B46648CA-C7C3-4C85-96A4-058930201224}" destId="{FB857D2F-0139-4858-B80F-01BCC8AC8ED2}" srcOrd="1" destOrd="0" presId="urn:microsoft.com/office/officeart/2005/8/layout/orgChart1"/>
    <dgm:cxn modelId="{6E99F56C-A308-4B10-8C35-27BB3E69B2FC}" type="presParOf" srcId="{6B5FCEF1-DBAF-406C-B014-C357644DCE0D}" destId="{81FEF7C9-F28A-4FC8-BA3F-30F9A835FD79}" srcOrd="1" destOrd="0" presId="urn:microsoft.com/office/officeart/2005/8/layout/orgChart1"/>
    <dgm:cxn modelId="{B033CEC9-830A-4F5E-9E67-A2A361964844}" type="presParOf" srcId="{6B5FCEF1-DBAF-406C-B014-C357644DCE0D}" destId="{B8274ADA-A2D8-4314-B7EC-8AE54C43872D}" srcOrd="2" destOrd="0" presId="urn:microsoft.com/office/officeart/2005/8/layout/orgChart1"/>
    <dgm:cxn modelId="{9FCA7813-64E9-4026-B167-51CEC72AEDE5}" type="presParOf" srcId="{9156D1AC-8ACD-4B66-8BD2-341EE0ABA78B}" destId="{0D0EB34F-B28A-45A8-8FE3-96C192442CC2}" srcOrd="2" destOrd="0" presId="urn:microsoft.com/office/officeart/2005/8/layout/orgChart1"/>
    <dgm:cxn modelId="{3A8DF114-D6ED-4E8A-B277-A922EA448B9D}" type="presParOf" srcId="{5E6A214D-EE93-4FBD-A7A7-6558BCA91E84}" destId="{A432E03A-D1F6-4CEA-B428-23E53AA756BD}" srcOrd="2" destOrd="0" presId="urn:microsoft.com/office/officeart/2005/8/layout/orgChart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153231-846F-48DC-8CC2-85DCA6AD0666}"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en-US"/>
        </a:p>
      </dgm:t>
    </dgm:pt>
    <dgm:pt modelId="{4A6F09B0-8C69-474C-9E72-7540BC650359}">
      <dgm:prSet phldrT="[Text]" custT="1"/>
      <dgm:spPr/>
      <dgm:t>
        <a:bodyPr/>
        <a:lstStyle/>
        <a:p>
          <a:r>
            <a:rPr lang="en-US" sz="1000" b="1">
              <a:latin typeface="Garamond" panose="02020404030301010803" pitchFamily="18" charset="0"/>
            </a:rPr>
            <a:t>I-CEI</a:t>
          </a:r>
          <a:endParaRPr lang="en-US" sz="800" b="1">
            <a:latin typeface="Garamond" panose="02020404030301010803" pitchFamily="18" charset="0"/>
          </a:endParaRPr>
        </a:p>
      </dgm:t>
    </dgm:pt>
    <dgm:pt modelId="{ADCD6316-513E-4616-890F-25589102F72C}" type="parTrans" cxnId="{8A5BB3A6-269E-4748-8370-E0E54B951C59}">
      <dgm:prSet/>
      <dgm:spPr/>
      <dgm:t>
        <a:bodyPr/>
        <a:lstStyle/>
        <a:p>
          <a:endParaRPr lang="en-US">
            <a:latin typeface="Garamond" panose="02020404030301010803" pitchFamily="18" charset="0"/>
          </a:endParaRPr>
        </a:p>
      </dgm:t>
    </dgm:pt>
    <dgm:pt modelId="{6CC5CD4B-534C-42E5-BA49-BDB1AE2B9011}" type="sibTrans" cxnId="{8A5BB3A6-269E-4748-8370-E0E54B951C59}">
      <dgm:prSet/>
      <dgm:spPr/>
      <dgm:t>
        <a:bodyPr/>
        <a:lstStyle/>
        <a:p>
          <a:endParaRPr lang="en-US">
            <a:latin typeface="Garamond" panose="02020404030301010803" pitchFamily="18" charset="0"/>
          </a:endParaRPr>
        </a:p>
      </dgm:t>
    </dgm:pt>
    <dgm:pt modelId="{2D217AE5-1376-42C3-8F8B-A98E95CCCB80}">
      <dgm:prSet phldrT="[Text]" custT="1"/>
      <dgm:spPr/>
      <dgm:t>
        <a:bodyPr/>
        <a:lstStyle/>
        <a:p>
          <a:r>
            <a:rPr lang="en-US" sz="900" b="1">
              <a:latin typeface="Garamond" panose="02020404030301010803" pitchFamily="18" charset="0"/>
            </a:rPr>
            <a:t>Economic dimension</a:t>
          </a:r>
        </a:p>
        <a:p>
          <a:r>
            <a:rPr lang="en-US" sz="900" b="1">
              <a:latin typeface="Garamond" panose="02020404030301010803" pitchFamily="18" charset="0"/>
            </a:rPr>
            <a:t>0.27</a:t>
          </a:r>
        </a:p>
      </dgm:t>
    </dgm:pt>
    <dgm:pt modelId="{1661D477-6235-4EE4-AF4B-A0B62935FC11}" type="parTrans" cxnId="{C05A2E36-38ED-4663-9C36-1780FC66C57C}">
      <dgm:prSet/>
      <dgm:spPr/>
      <dgm:t>
        <a:bodyPr/>
        <a:lstStyle/>
        <a:p>
          <a:endParaRPr lang="en-US">
            <a:latin typeface="Garamond" panose="02020404030301010803" pitchFamily="18" charset="0"/>
          </a:endParaRPr>
        </a:p>
      </dgm:t>
    </dgm:pt>
    <dgm:pt modelId="{65A3A0D9-047E-4BA8-B6B2-55760BA54E5C}" type="sibTrans" cxnId="{C05A2E36-38ED-4663-9C36-1780FC66C57C}">
      <dgm:prSet/>
      <dgm:spPr/>
      <dgm:t>
        <a:bodyPr/>
        <a:lstStyle/>
        <a:p>
          <a:endParaRPr lang="en-US">
            <a:latin typeface="Garamond" panose="02020404030301010803" pitchFamily="18" charset="0"/>
          </a:endParaRPr>
        </a:p>
      </dgm:t>
    </dgm:pt>
    <dgm:pt modelId="{1B0B1176-E8F1-4CA1-B6C1-E3790B6C7A69}">
      <dgm:prSet phldrT="[Text]" custT="1"/>
      <dgm:spPr/>
      <dgm:t>
        <a:bodyPr/>
        <a:lstStyle/>
        <a:p>
          <a:r>
            <a:rPr lang="en-US" sz="900" b="1">
              <a:latin typeface="Garamond" panose="02020404030301010803" pitchFamily="18" charset="0"/>
            </a:rPr>
            <a:t>Environmental dimension</a:t>
          </a:r>
        </a:p>
        <a:p>
          <a:r>
            <a:rPr lang="en-US" sz="900" b="1">
              <a:latin typeface="Garamond" panose="02020404030301010803" pitchFamily="18" charset="0"/>
            </a:rPr>
            <a:t>0.67</a:t>
          </a:r>
        </a:p>
      </dgm:t>
    </dgm:pt>
    <dgm:pt modelId="{D42461E3-D036-4436-815E-78E21E24BB7B}" type="parTrans" cxnId="{9FA1504C-DB89-4C96-A873-BE9CDB18107B}">
      <dgm:prSet/>
      <dgm:spPr/>
      <dgm:t>
        <a:bodyPr/>
        <a:lstStyle/>
        <a:p>
          <a:endParaRPr lang="en-US">
            <a:latin typeface="Garamond" panose="02020404030301010803" pitchFamily="18" charset="0"/>
          </a:endParaRPr>
        </a:p>
      </dgm:t>
    </dgm:pt>
    <dgm:pt modelId="{2B7C4623-26C0-4A8A-886C-C8DB126CF72F}" type="sibTrans" cxnId="{9FA1504C-DB89-4C96-A873-BE9CDB18107B}">
      <dgm:prSet/>
      <dgm:spPr/>
      <dgm:t>
        <a:bodyPr/>
        <a:lstStyle/>
        <a:p>
          <a:endParaRPr lang="en-US">
            <a:latin typeface="Garamond" panose="02020404030301010803" pitchFamily="18" charset="0"/>
          </a:endParaRPr>
        </a:p>
      </dgm:t>
    </dgm:pt>
    <dgm:pt modelId="{5485AC5C-C3E6-4345-A2E1-F3C38E61D46C}">
      <dgm:prSet phldrT="[Text]" custT="1"/>
      <dgm:spPr/>
      <dgm:t>
        <a:bodyPr/>
        <a:lstStyle/>
        <a:p>
          <a:r>
            <a:rPr lang="en-US" sz="900" b="1">
              <a:latin typeface="Garamond" panose="02020404030301010803" pitchFamily="18" charset="0"/>
            </a:rPr>
            <a:t>Social </a:t>
          </a:r>
          <a:br>
            <a:rPr lang="en-US" sz="900" b="1">
              <a:latin typeface="Garamond" panose="02020404030301010803" pitchFamily="18" charset="0"/>
            </a:rPr>
          </a:br>
          <a:r>
            <a:rPr lang="en-US" sz="900" b="1">
              <a:latin typeface="Garamond" panose="02020404030301010803" pitchFamily="18" charset="0"/>
            </a:rPr>
            <a:t>dimension</a:t>
          </a:r>
        </a:p>
        <a:p>
          <a:r>
            <a:rPr lang="en-US" sz="900" b="1">
              <a:latin typeface="Garamond" panose="02020404030301010803" pitchFamily="18" charset="0"/>
            </a:rPr>
            <a:t>0.06</a:t>
          </a:r>
        </a:p>
      </dgm:t>
    </dgm:pt>
    <dgm:pt modelId="{E0EF8A1A-C83D-48F5-A4D6-8B2CEC91EA83}" type="parTrans" cxnId="{786EA2B1-CD60-4468-81F5-62C3CF04F88C}">
      <dgm:prSet/>
      <dgm:spPr/>
      <dgm:t>
        <a:bodyPr/>
        <a:lstStyle/>
        <a:p>
          <a:endParaRPr lang="en-US">
            <a:latin typeface="Garamond" panose="02020404030301010803" pitchFamily="18" charset="0"/>
          </a:endParaRPr>
        </a:p>
      </dgm:t>
    </dgm:pt>
    <dgm:pt modelId="{F5BAE5A2-B459-4FE5-AEAE-895C7B6452AB}" type="sibTrans" cxnId="{786EA2B1-CD60-4468-81F5-62C3CF04F88C}">
      <dgm:prSet/>
      <dgm:spPr/>
      <dgm:t>
        <a:bodyPr/>
        <a:lstStyle/>
        <a:p>
          <a:endParaRPr lang="en-US">
            <a:latin typeface="Garamond" panose="02020404030301010803" pitchFamily="18" charset="0"/>
          </a:endParaRPr>
        </a:p>
      </dgm:t>
    </dgm:pt>
    <dgm:pt modelId="{4EBFB426-2B9F-4D75-9762-4C101DFA56F2}">
      <dgm:prSet/>
      <dgm:spPr/>
      <dgm:t>
        <a:bodyPr/>
        <a:lstStyle/>
        <a:p>
          <a:r>
            <a:rPr lang="en-US">
              <a:latin typeface="Garamond" panose="02020404030301010803" pitchFamily="18" charset="0"/>
            </a:rPr>
            <a:t>Revenues from 'green products' </a:t>
          </a:r>
        </a:p>
        <a:p>
          <a:r>
            <a:rPr lang="en-US">
              <a:latin typeface="Garamond" panose="02020404030301010803" pitchFamily="18" charset="0"/>
            </a:rPr>
            <a:t>0.03</a:t>
          </a:r>
        </a:p>
      </dgm:t>
    </dgm:pt>
    <dgm:pt modelId="{68AB90E3-B878-45BB-AD30-15948109DA72}" type="parTrans" cxnId="{175040F1-8069-4C25-A5E3-712303D8A893}">
      <dgm:prSet/>
      <dgm:spPr/>
      <dgm:t>
        <a:bodyPr/>
        <a:lstStyle/>
        <a:p>
          <a:endParaRPr lang="en-US">
            <a:latin typeface="Garamond" panose="02020404030301010803" pitchFamily="18" charset="0"/>
          </a:endParaRPr>
        </a:p>
      </dgm:t>
    </dgm:pt>
    <dgm:pt modelId="{3E470FC7-F9AC-4A53-A989-56228C2A42C8}" type="sibTrans" cxnId="{175040F1-8069-4C25-A5E3-712303D8A893}">
      <dgm:prSet/>
      <dgm:spPr/>
      <dgm:t>
        <a:bodyPr/>
        <a:lstStyle/>
        <a:p>
          <a:endParaRPr lang="en-US">
            <a:latin typeface="Garamond" panose="02020404030301010803" pitchFamily="18" charset="0"/>
          </a:endParaRPr>
        </a:p>
      </dgm:t>
    </dgm:pt>
    <dgm:pt modelId="{649B5601-189F-414F-8EEE-D0BAA4581BA3}">
      <dgm:prSet/>
      <dgm:spPr/>
      <dgm:t>
        <a:bodyPr/>
        <a:lstStyle/>
        <a:p>
          <a:r>
            <a:rPr lang="en-US">
              <a:latin typeface="Garamond" panose="02020404030301010803" pitchFamily="18" charset="0"/>
            </a:rPr>
            <a:t>Investments in sustainable solutions</a:t>
          </a:r>
        </a:p>
        <a:p>
          <a:r>
            <a:rPr lang="en-US">
              <a:latin typeface="Garamond" panose="02020404030301010803" pitchFamily="18" charset="0"/>
            </a:rPr>
            <a:t>0.15</a:t>
          </a:r>
        </a:p>
      </dgm:t>
    </dgm:pt>
    <dgm:pt modelId="{061C5DCC-107B-40F2-BCBB-70DB5D6BA830}" type="parTrans" cxnId="{F6AD2976-AB0A-4E53-BC56-A54A2B4C4969}">
      <dgm:prSet/>
      <dgm:spPr/>
      <dgm:t>
        <a:bodyPr/>
        <a:lstStyle/>
        <a:p>
          <a:endParaRPr lang="en-US">
            <a:latin typeface="Garamond" panose="02020404030301010803" pitchFamily="18" charset="0"/>
          </a:endParaRPr>
        </a:p>
      </dgm:t>
    </dgm:pt>
    <dgm:pt modelId="{853682E5-A762-473C-8DAA-7DF1F2ED72D9}" type="sibTrans" cxnId="{F6AD2976-AB0A-4E53-BC56-A54A2B4C4969}">
      <dgm:prSet/>
      <dgm:spPr/>
      <dgm:t>
        <a:bodyPr/>
        <a:lstStyle/>
        <a:p>
          <a:endParaRPr lang="en-US">
            <a:latin typeface="Garamond" panose="02020404030301010803" pitchFamily="18" charset="0"/>
          </a:endParaRPr>
        </a:p>
      </dgm:t>
    </dgm:pt>
    <dgm:pt modelId="{6A9FB7A8-8F7E-4382-898C-EC28D9102C4B}">
      <dgm:prSet/>
      <dgm:spPr/>
      <dgm:t>
        <a:bodyPr/>
        <a:lstStyle/>
        <a:p>
          <a:r>
            <a:rPr lang="en-US">
              <a:latin typeface="Garamond" panose="02020404030301010803" pitchFamily="18" charset="0"/>
            </a:rPr>
            <a:t>CO</a:t>
          </a:r>
          <a:r>
            <a:rPr lang="en-US" baseline="-25000">
              <a:latin typeface="Garamond" panose="02020404030301010803" pitchFamily="18" charset="0"/>
            </a:rPr>
            <a:t>2</a:t>
          </a:r>
          <a:r>
            <a:rPr lang="en-US" baseline="0">
              <a:latin typeface="Garamond" panose="02020404030301010803" pitchFamily="18" charset="0"/>
            </a:rPr>
            <a:t>eq. Emissions</a:t>
          </a:r>
        </a:p>
        <a:p>
          <a:r>
            <a:rPr lang="en-US">
              <a:latin typeface="Garamond" panose="02020404030301010803" pitchFamily="18" charset="0"/>
            </a:rPr>
            <a:t>0.23</a:t>
          </a:r>
        </a:p>
      </dgm:t>
    </dgm:pt>
    <dgm:pt modelId="{94F666CF-3E13-4D3A-9478-285779BEE882}" type="parTrans" cxnId="{C65D0891-01DC-4FEF-91C8-E78657E2FBB2}">
      <dgm:prSet/>
      <dgm:spPr/>
      <dgm:t>
        <a:bodyPr/>
        <a:lstStyle/>
        <a:p>
          <a:endParaRPr lang="en-US">
            <a:latin typeface="Garamond" panose="02020404030301010803" pitchFamily="18" charset="0"/>
          </a:endParaRPr>
        </a:p>
      </dgm:t>
    </dgm:pt>
    <dgm:pt modelId="{60BDDD71-A76E-4176-B5CF-03E32A5D9F55}" type="sibTrans" cxnId="{C65D0891-01DC-4FEF-91C8-E78657E2FBB2}">
      <dgm:prSet/>
      <dgm:spPr/>
      <dgm:t>
        <a:bodyPr/>
        <a:lstStyle/>
        <a:p>
          <a:endParaRPr lang="en-US">
            <a:latin typeface="Garamond" panose="02020404030301010803" pitchFamily="18" charset="0"/>
          </a:endParaRPr>
        </a:p>
      </dgm:t>
    </dgm:pt>
    <dgm:pt modelId="{10EA82B2-C0D6-472E-AB92-3F8C65773293}">
      <dgm:prSet/>
      <dgm:spPr/>
      <dgm:t>
        <a:bodyPr/>
        <a:lstStyle/>
        <a:p>
          <a:r>
            <a:rPr lang="en-US">
              <a:latin typeface="Garamond" panose="02020404030301010803" pitchFamily="18" charset="0"/>
            </a:rPr>
            <a:t>Energy use</a:t>
          </a:r>
        </a:p>
        <a:p>
          <a:r>
            <a:rPr lang="en-US">
              <a:latin typeface="Garamond" panose="02020404030301010803" pitchFamily="18" charset="0"/>
            </a:rPr>
            <a:t>0.23</a:t>
          </a:r>
        </a:p>
      </dgm:t>
    </dgm:pt>
    <dgm:pt modelId="{9FBA2F2D-D645-4483-8DE4-AAA3052EB024}" type="parTrans" cxnId="{E47FD07D-49A2-4B2B-B653-81D005194812}">
      <dgm:prSet/>
      <dgm:spPr/>
      <dgm:t>
        <a:bodyPr/>
        <a:lstStyle/>
        <a:p>
          <a:endParaRPr lang="en-US">
            <a:latin typeface="Garamond" panose="02020404030301010803" pitchFamily="18" charset="0"/>
          </a:endParaRPr>
        </a:p>
      </dgm:t>
    </dgm:pt>
    <dgm:pt modelId="{DBD34F36-979E-4CC0-B7CB-7A8F36861F17}" type="sibTrans" cxnId="{E47FD07D-49A2-4B2B-B653-81D005194812}">
      <dgm:prSet/>
      <dgm:spPr/>
      <dgm:t>
        <a:bodyPr/>
        <a:lstStyle/>
        <a:p>
          <a:endParaRPr lang="en-US">
            <a:latin typeface="Garamond" panose="02020404030301010803" pitchFamily="18" charset="0"/>
          </a:endParaRPr>
        </a:p>
      </dgm:t>
    </dgm:pt>
    <dgm:pt modelId="{83C448D7-0A29-486B-87F0-2C6EF1512119}">
      <dgm:prSet/>
      <dgm:spPr/>
      <dgm:t>
        <a:bodyPr/>
        <a:lstStyle/>
        <a:p>
          <a:r>
            <a:rPr lang="en-US">
              <a:latin typeface="Garamond" panose="02020404030301010803" pitchFamily="18" charset="0"/>
            </a:rPr>
            <a:t>'green' jobs created</a:t>
          </a:r>
        </a:p>
        <a:p>
          <a:r>
            <a:rPr lang="en-US">
              <a:latin typeface="Garamond" panose="02020404030301010803" pitchFamily="18" charset="0"/>
            </a:rPr>
            <a:t>0.06</a:t>
          </a:r>
        </a:p>
      </dgm:t>
    </dgm:pt>
    <dgm:pt modelId="{A773AFFC-06F5-4289-8F37-49FD0FBD5EE5}" type="parTrans" cxnId="{37696FBE-1D73-4D19-B260-530214346BC2}">
      <dgm:prSet/>
      <dgm:spPr/>
      <dgm:t>
        <a:bodyPr/>
        <a:lstStyle/>
        <a:p>
          <a:endParaRPr lang="en-US">
            <a:latin typeface="Garamond" panose="02020404030301010803" pitchFamily="18" charset="0"/>
          </a:endParaRPr>
        </a:p>
      </dgm:t>
    </dgm:pt>
    <dgm:pt modelId="{6BF7F285-CB40-4E1D-8B68-4521DC7CCE19}" type="sibTrans" cxnId="{37696FBE-1D73-4D19-B260-530214346BC2}">
      <dgm:prSet/>
      <dgm:spPr/>
      <dgm:t>
        <a:bodyPr/>
        <a:lstStyle/>
        <a:p>
          <a:endParaRPr lang="en-US">
            <a:latin typeface="Garamond" panose="02020404030301010803" pitchFamily="18" charset="0"/>
          </a:endParaRPr>
        </a:p>
      </dgm:t>
    </dgm:pt>
    <dgm:pt modelId="{1B7574F7-2CCB-44F6-A3D6-8100F5B37D60}">
      <dgm:prSet/>
      <dgm:spPr/>
      <dgm:t>
        <a:bodyPr/>
        <a:lstStyle/>
        <a:p>
          <a:r>
            <a:rPr lang="en-US">
              <a:latin typeface="Garamond" panose="02020404030301010803" pitchFamily="18" charset="0"/>
            </a:rPr>
            <a:t>Water Use</a:t>
          </a:r>
        </a:p>
        <a:p>
          <a:r>
            <a:rPr lang="en-US">
              <a:latin typeface="Garamond" panose="02020404030301010803" pitchFamily="18" charset="0"/>
            </a:rPr>
            <a:t>0.21</a:t>
          </a:r>
        </a:p>
      </dgm:t>
    </dgm:pt>
    <dgm:pt modelId="{CC6D63B6-1D11-4E39-9E72-8737C3B0D976}" type="parTrans" cxnId="{2E6B4611-61E5-449C-943D-5B82BF316184}">
      <dgm:prSet/>
      <dgm:spPr/>
      <dgm:t>
        <a:bodyPr/>
        <a:lstStyle/>
        <a:p>
          <a:endParaRPr lang="en-US">
            <a:latin typeface="Garamond" panose="02020404030301010803" pitchFamily="18" charset="0"/>
          </a:endParaRPr>
        </a:p>
      </dgm:t>
    </dgm:pt>
    <dgm:pt modelId="{37B8B74B-84D9-4C17-9CDF-92F2B08965D6}" type="sibTrans" cxnId="{2E6B4611-61E5-449C-943D-5B82BF316184}">
      <dgm:prSet/>
      <dgm:spPr/>
      <dgm:t>
        <a:bodyPr/>
        <a:lstStyle/>
        <a:p>
          <a:endParaRPr lang="en-US">
            <a:latin typeface="Garamond" panose="02020404030301010803" pitchFamily="18" charset="0"/>
          </a:endParaRPr>
        </a:p>
      </dgm:t>
    </dgm:pt>
    <dgm:pt modelId="{D66D9862-9AFA-4C09-BD67-56BD2385233E}">
      <dgm:prSet/>
      <dgm:spPr/>
      <dgm:t>
        <a:bodyPr/>
        <a:lstStyle/>
        <a:p>
          <a:r>
            <a:rPr lang="en-US">
              <a:latin typeface="Garamond" panose="02020404030301010803" pitchFamily="18" charset="0"/>
            </a:rPr>
            <a:t>Capital dis-invested from C-I-S</a:t>
          </a:r>
        </a:p>
        <a:p>
          <a:r>
            <a:rPr lang="en-US">
              <a:latin typeface="Garamond" panose="02020404030301010803" pitchFamily="18" charset="0"/>
            </a:rPr>
            <a:t>0.09</a:t>
          </a:r>
        </a:p>
      </dgm:t>
    </dgm:pt>
    <dgm:pt modelId="{7BAD667E-8BBA-4488-B3B3-B902EF183D2D}" type="parTrans" cxnId="{DF55EBB7-762C-4542-8748-45BA4E891B14}">
      <dgm:prSet/>
      <dgm:spPr/>
      <dgm:t>
        <a:bodyPr/>
        <a:lstStyle/>
        <a:p>
          <a:endParaRPr lang="en-US">
            <a:latin typeface="Garamond" panose="02020404030301010803" pitchFamily="18" charset="0"/>
          </a:endParaRPr>
        </a:p>
      </dgm:t>
    </dgm:pt>
    <dgm:pt modelId="{BAF189A2-8513-4337-84F9-E9CF2EE88BDF}" type="sibTrans" cxnId="{DF55EBB7-762C-4542-8748-45BA4E891B14}">
      <dgm:prSet/>
      <dgm:spPr/>
      <dgm:t>
        <a:bodyPr/>
        <a:lstStyle/>
        <a:p>
          <a:endParaRPr lang="en-US">
            <a:latin typeface="Garamond" panose="02020404030301010803" pitchFamily="18" charset="0"/>
          </a:endParaRPr>
        </a:p>
      </dgm:t>
    </dgm:pt>
    <dgm:pt modelId="{995F5E1B-26F4-4E7A-B44E-1C63A287ADBB}" type="pres">
      <dgm:prSet presAssocID="{C1153231-846F-48DC-8CC2-85DCA6AD0666}" presName="hierChild1" presStyleCnt="0">
        <dgm:presLayoutVars>
          <dgm:orgChart val="1"/>
          <dgm:chPref val="1"/>
          <dgm:dir/>
          <dgm:animOne val="branch"/>
          <dgm:animLvl val="lvl"/>
          <dgm:resizeHandles/>
        </dgm:presLayoutVars>
      </dgm:prSet>
      <dgm:spPr/>
      <dgm:t>
        <a:bodyPr/>
        <a:lstStyle/>
        <a:p>
          <a:endParaRPr lang="en-US"/>
        </a:p>
      </dgm:t>
    </dgm:pt>
    <dgm:pt modelId="{C446D801-1343-475F-A862-851834EF9455}" type="pres">
      <dgm:prSet presAssocID="{4A6F09B0-8C69-474C-9E72-7540BC650359}" presName="hierRoot1" presStyleCnt="0">
        <dgm:presLayoutVars>
          <dgm:hierBranch val="init"/>
        </dgm:presLayoutVars>
      </dgm:prSet>
      <dgm:spPr/>
    </dgm:pt>
    <dgm:pt modelId="{641A816B-5439-42EA-A48D-42D482E6F8F0}" type="pres">
      <dgm:prSet presAssocID="{4A6F09B0-8C69-474C-9E72-7540BC650359}" presName="rootComposite1" presStyleCnt="0"/>
      <dgm:spPr/>
    </dgm:pt>
    <dgm:pt modelId="{47151BDF-802C-4A0D-B6F9-A8ED238CD863}" type="pres">
      <dgm:prSet presAssocID="{4A6F09B0-8C69-474C-9E72-7540BC650359}" presName="rootText1" presStyleLbl="node0" presStyleIdx="0" presStyleCnt="1">
        <dgm:presLayoutVars>
          <dgm:chPref val="3"/>
        </dgm:presLayoutVars>
      </dgm:prSet>
      <dgm:spPr/>
      <dgm:t>
        <a:bodyPr/>
        <a:lstStyle/>
        <a:p>
          <a:endParaRPr lang="en-US"/>
        </a:p>
      </dgm:t>
    </dgm:pt>
    <dgm:pt modelId="{BCC33B28-17C8-4E96-B50E-628B2B89E021}" type="pres">
      <dgm:prSet presAssocID="{4A6F09B0-8C69-474C-9E72-7540BC650359}" presName="rootConnector1" presStyleLbl="node1" presStyleIdx="0" presStyleCnt="0"/>
      <dgm:spPr/>
      <dgm:t>
        <a:bodyPr/>
        <a:lstStyle/>
        <a:p>
          <a:endParaRPr lang="en-US"/>
        </a:p>
      </dgm:t>
    </dgm:pt>
    <dgm:pt modelId="{CBBA413F-BC57-421A-A0E7-9AFB8DFC7294}" type="pres">
      <dgm:prSet presAssocID="{4A6F09B0-8C69-474C-9E72-7540BC650359}" presName="hierChild2" presStyleCnt="0"/>
      <dgm:spPr/>
    </dgm:pt>
    <dgm:pt modelId="{F5ABA7D8-30B9-4D1A-AA8A-1EFABEBF187F}" type="pres">
      <dgm:prSet presAssocID="{1661D477-6235-4EE4-AF4B-A0B62935FC11}" presName="Name37" presStyleLbl="parChTrans1D2" presStyleIdx="0" presStyleCnt="3"/>
      <dgm:spPr/>
      <dgm:t>
        <a:bodyPr/>
        <a:lstStyle/>
        <a:p>
          <a:endParaRPr lang="en-US"/>
        </a:p>
      </dgm:t>
    </dgm:pt>
    <dgm:pt modelId="{489F4CB7-37A3-4796-8C29-1ED12EC10E5E}" type="pres">
      <dgm:prSet presAssocID="{2D217AE5-1376-42C3-8F8B-A98E95CCCB80}" presName="hierRoot2" presStyleCnt="0">
        <dgm:presLayoutVars>
          <dgm:hierBranch val="init"/>
        </dgm:presLayoutVars>
      </dgm:prSet>
      <dgm:spPr/>
    </dgm:pt>
    <dgm:pt modelId="{F2A0FFBA-4EFD-4582-8A98-90DD508F322A}" type="pres">
      <dgm:prSet presAssocID="{2D217AE5-1376-42C3-8F8B-A98E95CCCB80}" presName="rootComposite" presStyleCnt="0"/>
      <dgm:spPr/>
    </dgm:pt>
    <dgm:pt modelId="{DC018765-1844-42BF-96F4-C673E6C4D4FF}" type="pres">
      <dgm:prSet presAssocID="{2D217AE5-1376-42C3-8F8B-A98E95CCCB80}" presName="rootText" presStyleLbl="node2" presStyleIdx="0" presStyleCnt="3">
        <dgm:presLayoutVars>
          <dgm:chPref val="3"/>
        </dgm:presLayoutVars>
      </dgm:prSet>
      <dgm:spPr/>
      <dgm:t>
        <a:bodyPr/>
        <a:lstStyle/>
        <a:p>
          <a:endParaRPr lang="en-US"/>
        </a:p>
      </dgm:t>
    </dgm:pt>
    <dgm:pt modelId="{87ADA416-6013-4CA9-8329-39B6F18C3E8D}" type="pres">
      <dgm:prSet presAssocID="{2D217AE5-1376-42C3-8F8B-A98E95CCCB80}" presName="rootConnector" presStyleLbl="node2" presStyleIdx="0" presStyleCnt="3"/>
      <dgm:spPr/>
      <dgm:t>
        <a:bodyPr/>
        <a:lstStyle/>
        <a:p>
          <a:endParaRPr lang="en-US"/>
        </a:p>
      </dgm:t>
    </dgm:pt>
    <dgm:pt modelId="{10F36120-B9C3-46DE-9506-7E020706AA8A}" type="pres">
      <dgm:prSet presAssocID="{2D217AE5-1376-42C3-8F8B-A98E95CCCB80}" presName="hierChild4" presStyleCnt="0"/>
      <dgm:spPr/>
    </dgm:pt>
    <dgm:pt modelId="{51BAF832-787A-4D3B-9DC7-885740A0B147}" type="pres">
      <dgm:prSet presAssocID="{68AB90E3-B878-45BB-AD30-15948109DA72}" presName="Name37" presStyleLbl="parChTrans1D3" presStyleIdx="0" presStyleCnt="7"/>
      <dgm:spPr/>
      <dgm:t>
        <a:bodyPr/>
        <a:lstStyle/>
        <a:p>
          <a:endParaRPr lang="en-US"/>
        </a:p>
      </dgm:t>
    </dgm:pt>
    <dgm:pt modelId="{2215B6AD-C6D2-40E3-B5B8-847398A2A3D1}" type="pres">
      <dgm:prSet presAssocID="{4EBFB426-2B9F-4D75-9762-4C101DFA56F2}" presName="hierRoot2" presStyleCnt="0">
        <dgm:presLayoutVars>
          <dgm:hierBranch val="init"/>
        </dgm:presLayoutVars>
      </dgm:prSet>
      <dgm:spPr/>
    </dgm:pt>
    <dgm:pt modelId="{71D68289-A07D-415B-8A8E-59816548D04B}" type="pres">
      <dgm:prSet presAssocID="{4EBFB426-2B9F-4D75-9762-4C101DFA56F2}" presName="rootComposite" presStyleCnt="0"/>
      <dgm:spPr/>
    </dgm:pt>
    <dgm:pt modelId="{8ED271F8-2244-450E-8361-09B4DF1CED5F}" type="pres">
      <dgm:prSet presAssocID="{4EBFB426-2B9F-4D75-9762-4C101DFA56F2}" presName="rootText" presStyleLbl="node3" presStyleIdx="0" presStyleCnt="7">
        <dgm:presLayoutVars>
          <dgm:chPref val="3"/>
        </dgm:presLayoutVars>
      </dgm:prSet>
      <dgm:spPr/>
      <dgm:t>
        <a:bodyPr/>
        <a:lstStyle/>
        <a:p>
          <a:endParaRPr lang="en-US"/>
        </a:p>
      </dgm:t>
    </dgm:pt>
    <dgm:pt modelId="{7CED69B3-6C67-42AC-B164-97D22764736A}" type="pres">
      <dgm:prSet presAssocID="{4EBFB426-2B9F-4D75-9762-4C101DFA56F2}" presName="rootConnector" presStyleLbl="node3" presStyleIdx="0" presStyleCnt="7"/>
      <dgm:spPr/>
      <dgm:t>
        <a:bodyPr/>
        <a:lstStyle/>
        <a:p>
          <a:endParaRPr lang="en-US"/>
        </a:p>
      </dgm:t>
    </dgm:pt>
    <dgm:pt modelId="{DBFAE237-DDE9-4C11-A0BF-E4FBDD8D32C7}" type="pres">
      <dgm:prSet presAssocID="{4EBFB426-2B9F-4D75-9762-4C101DFA56F2}" presName="hierChild4" presStyleCnt="0"/>
      <dgm:spPr/>
    </dgm:pt>
    <dgm:pt modelId="{7D2CAF4D-0726-44FB-B26B-83DCA499E15D}" type="pres">
      <dgm:prSet presAssocID="{4EBFB426-2B9F-4D75-9762-4C101DFA56F2}" presName="hierChild5" presStyleCnt="0"/>
      <dgm:spPr/>
    </dgm:pt>
    <dgm:pt modelId="{0359B919-F69E-4C15-AE2C-1A2E088BB123}" type="pres">
      <dgm:prSet presAssocID="{061C5DCC-107B-40F2-BCBB-70DB5D6BA830}" presName="Name37" presStyleLbl="parChTrans1D3" presStyleIdx="1" presStyleCnt="7"/>
      <dgm:spPr/>
      <dgm:t>
        <a:bodyPr/>
        <a:lstStyle/>
        <a:p>
          <a:endParaRPr lang="en-US"/>
        </a:p>
      </dgm:t>
    </dgm:pt>
    <dgm:pt modelId="{778984E1-2A78-4369-B937-9950E3BAD903}" type="pres">
      <dgm:prSet presAssocID="{649B5601-189F-414F-8EEE-D0BAA4581BA3}" presName="hierRoot2" presStyleCnt="0">
        <dgm:presLayoutVars>
          <dgm:hierBranch val="init"/>
        </dgm:presLayoutVars>
      </dgm:prSet>
      <dgm:spPr/>
    </dgm:pt>
    <dgm:pt modelId="{79361F3A-D281-4C99-8000-126C13F1D421}" type="pres">
      <dgm:prSet presAssocID="{649B5601-189F-414F-8EEE-D0BAA4581BA3}" presName="rootComposite" presStyleCnt="0"/>
      <dgm:spPr/>
    </dgm:pt>
    <dgm:pt modelId="{08332F49-33C6-4904-9FD9-A1347FAA5E6D}" type="pres">
      <dgm:prSet presAssocID="{649B5601-189F-414F-8EEE-D0BAA4581BA3}" presName="rootText" presStyleLbl="node3" presStyleIdx="1" presStyleCnt="7">
        <dgm:presLayoutVars>
          <dgm:chPref val="3"/>
        </dgm:presLayoutVars>
      </dgm:prSet>
      <dgm:spPr/>
      <dgm:t>
        <a:bodyPr/>
        <a:lstStyle/>
        <a:p>
          <a:endParaRPr lang="en-US"/>
        </a:p>
      </dgm:t>
    </dgm:pt>
    <dgm:pt modelId="{95AF12A2-F8B2-4C0B-BD56-AF7EE49483CB}" type="pres">
      <dgm:prSet presAssocID="{649B5601-189F-414F-8EEE-D0BAA4581BA3}" presName="rootConnector" presStyleLbl="node3" presStyleIdx="1" presStyleCnt="7"/>
      <dgm:spPr/>
      <dgm:t>
        <a:bodyPr/>
        <a:lstStyle/>
        <a:p>
          <a:endParaRPr lang="en-US"/>
        </a:p>
      </dgm:t>
    </dgm:pt>
    <dgm:pt modelId="{60EAAA4B-2BAF-4B2F-80F5-12FE3FDDF178}" type="pres">
      <dgm:prSet presAssocID="{649B5601-189F-414F-8EEE-D0BAA4581BA3}" presName="hierChild4" presStyleCnt="0"/>
      <dgm:spPr/>
    </dgm:pt>
    <dgm:pt modelId="{704DE77D-6F6C-430D-9420-6923D30DE059}" type="pres">
      <dgm:prSet presAssocID="{649B5601-189F-414F-8EEE-D0BAA4581BA3}" presName="hierChild5" presStyleCnt="0"/>
      <dgm:spPr/>
    </dgm:pt>
    <dgm:pt modelId="{837636BA-72A7-4334-ABE8-E0DBC2D9874C}" type="pres">
      <dgm:prSet presAssocID="{7BAD667E-8BBA-4488-B3B3-B902EF183D2D}" presName="Name37" presStyleLbl="parChTrans1D3" presStyleIdx="2" presStyleCnt="7"/>
      <dgm:spPr/>
      <dgm:t>
        <a:bodyPr/>
        <a:lstStyle/>
        <a:p>
          <a:endParaRPr lang="en-US"/>
        </a:p>
      </dgm:t>
    </dgm:pt>
    <dgm:pt modelId="{D8608987-BABE-43FA-BBFE-BC50D4089A6C}" type="pres">
      <dgm:prSet presAssocID="{D66D9862-9AFA-4C09-BD67-56BD2385233E}" presName="hierRoot2" presStyleCnt="0">
        <dgm:presLayoutVars>
          <dgm:hierBranch val="init"/>
        </dgm:presLayoutVars>
      </dgm:prSet>
      <dgm:spPr/>
    </dgm:pt>
    <dgm:pt modelId="{20F858EE-6B2D-424E-BB03-9F9DF3FA859A}" type="pres">
      <dgm:prSet presAssocID="{D66D9862-9AFA-4C09-BD67-56BD2385233E}" presName="rootComposite" presStyleCnt="0"/>
      <dgm:spPr/>
    </dgm:pt>
    <dgm:pt modelId="{E1029BA6-CF90-4704-A2D6-9254F89DBB10}" type="pres">
      <dgm:prSet presAssocID="{D66D9862-9AFA-4C09-BD67-56BD2385233E}" presName="rootText" presStyleLbl="node3" presStyleIdx="2" presStyleCnt="7">
        <dgm:presLayoutVars>
          <dgm:chPref val="3"/>
        </dgm:presLayoutVars>
      </dgm:prSet>
      <dgm:spPr/>
      <dgm:t>
        <a:bodyPr/>
        <a:lstStyle/>
        <a:p>
          <a:endParaRPr lang="en-US"/>
        </a:p>
      </dgm:t>
    </dgm:pt>
    <dgm:pt modelId="{0EAFE2F1-2E44-4E23-AC0F-49AC10A084D7}" type="pres">
      <dgm:prSet presAssocID="{D66D9862-9AFA-4C09-BD67-56BD2385233E}" presName="rootConnector" presStyleLbl="node3" presStyleIdx="2" presStyleCnt="7"/>
      <dgm:spPr/>
      <dgm:t>
        <a:bodyPr/>
        <a:lstStyle/>
        <a:p>
          <a:endParaRPr lang="en-US"/>
        </a:p>
      </dgm:t>
    </dgm:pt>
    <dgm:pt modelId="{030DDE45-B220-4608-8556-DC34873ACBF8}" type="pres">
      <dgm:prSet presAssocID="{D66D9862-9AFA-4C09-BD67-56BD2385233E}" presName="hierChild4" presStyleCnt="0"/>
      <dgm:spPr/>
    </dgm:pt>
    <dgm:pt modelId="{3446D8FA-BDD4-41C4-89EA-CCB9AC577525}" type="pres">
      <dgm:prSet presAssocID="{D66D9862-9AFA-4C09-BD67-56BD2385233E}" presName="hierChild5" presStyleCnt="0"/>
      <dgm:spPr/>
    </dgm:pt>
    <dgm:pt modelId="{15CE6BCD-679B-4B1E-979A-107B2609E251}" type="pres">
      <dgm:prSet presAssocID="{2D217AE5-1376-42C3-8F8B-A98E95CCCB80}" presName="hierChild5" presStyleCnt="0"/>
      <dgm:spPr/>
    </dgm:pt>
    <dgm:pt modelId="{B9E521D1-9CEA-48E2-9C0D-6790B633063C}" type="pres">
      <dgm:prSet presAssocID="{D42461E3-D036-4436-815E-78E21E24BB7B}" presName="Name37" presStyleLbl="parChTrans1D2" presStyleIdx="1" presStyleCnt="3"/>
      <dgm:spPr/>
      <dgm:t>
        <a:bodyPr/>
        <a:lstStyle/>
        <a:p>
          <a:endParaRPr lang="en-US"/>
        </a:p>
      </dgm:t>
    </dgm:pt>
    <dgm:pt modelId="{D3C3884D-D1F6-4A70-8F5F-10AD4A650898}" type="pres">
      <dgm:prSet presAssocID="{1B0B1176-E8F1-4CA1-B6C1-E3790B6C7A69}" presName="hierRoot2" presStyleCnt="0">
        <dgm:presLayoutVars>
          <dgm:hierBranch val="init"/>
        </dgm:presLayoutVars>
      </dgm:prSet>
      <dgm:spPr/>
    </dgm:pt>
    <dgm:pt modelId="{2A60D0FF-EFA7-416D-949A-66E3E3EC008B}" type="pres">
      <dgm:prSet presAssocID="{1B0B1176-E8F1-4CA1-B6C1-E3790B6C7A69}" presName="rootComposite" presStyleCnt="0"/>
      <dgm:spPr/>
    </dgm:pt>
    <dgm:pt modelId="{FE94E73D-F4D6-4161-9306-3064D4F61FEC}" type="pres">
      <dgm:prSet presAssocID="{1B0B1176-E8F1-4CA1-B6C1-E3790B6C7A69}" presName="rootText" presStyleLbl="node2" presStyleIdx="1" presStyleCnt="3">
        <dgm:presLayoutVars>
          <dgm:chPref val="3"/>
        </dgm:presLayoutVars>
      </dgm:prSet>
      <dgm:spPr/>
      <dgm:t>
        <a:bodyPr/>
        <a:lstStyle/>
        <a:p>
          <a:endParaRPr lang="en-US"/>
        </a:p>
      </dgm:t>
    </dgm:pt>
    <dgm:pt modelId="{9F84A1C4-B366-4B01-9B07-043AE7EBAB97}" type="pres">
      <dgm:prSet presAssocID="{1B0B1176-E8F1-4CA1-B6C1-E3790B6C7A69}" presName="rootConnector" presStyleLbl="node2" presStyleIdx="1" presStyleCnt="3"/>
      <dgm:spPr/>
      <dgm:t>
        <a:bodyPr/>
        <a:lstStyle/>
        <a:p>
          <a:endParaRPr lang="en-US"/>
        </a:p>
      </dgm:t>
    </dgm:pt>
    <dgm:pt modelId="{89B5781E-34BA-46B8-BA41-CB18E0A85D3C}" type="pres">
      <dgm:prSet presAssocID="{1B0B1176-E8F1-4CA1-B6C1-E3790B6C7A69}" presName="hierChild4" presStyleCnt="0"/>
      <dgm:spPr/>
    </dgm:pt>
    <dgm:pt modelId="{F740C8C4-E97D-406E-92D8-4423B2ED43F7}" type="pres">
      <dgm:prSet presAssocID="{94F666CF-3E13-4D3A-9478-285779BEE882}" presName="Name37" presStyleLbl="parChTrans1D3" presStyleIdx="3" presStyleCnt="7"/>
      <dgm:spPr/>
      <dgm:t>
        <a:bodyPr/>
        <a:lstStyle/>
        <a:p>
          <a:endParaRPr lang="en-US"/>
        </a:p>
      </dgm:t>
    </dgm:pt>
    <dgm:pt modelId="{ED003E6F-28AF-4FCB-A801-F17A48D8DCBE}" type="pres">
      <dgm:prSet presAssocID="{6A9FB7A8-8F7E-4382-898C-EC28D9102C4B}" presName="hierRoot2" presStyleCnt="0">
        <dgm:presLayoutVars>
          <dgm:hierBranch val="init"/>
        </dgm:presLayoutVars>
      </dgm:prSet>
      <dgm:spPr/>
    </dgm:pt>
    <dgm:pt modelId="{B266F877-19A3-4C80-A06A-BD943F9FE506}" type="pres">
      <dgm:prSet presAssocID="{6A9FB7A8-8F7E-4382-898C-EC28D9102C4B}" presName="rootComposite" presStyleCnt="0"/>
      <dgm:spPr/>
    </dgm:pt>
    <dgm:pt modelId="{53FDF560-156D-4315-8657-C7E9127D22B2}" type="pres">
      <dgm:prSet presAssocID="{6A9FB7A8-8F7E-4382-898C-EC28D9102C4B}" presName="rootText" presStyleLbl="node3" presStyleIdx="3" presStyleCnt="7">
        <dgm:presLayoutVars>
          <dgm:chPref val="3"/>
        </dgm:presLayoutVars>
      </dgm:prSet>
      <dgm:spPr/>
      <dgm:t>
        <a:bodyPr/>
        <a:lstStyle/>
        <a:p>
          <a:endParaRPr lang="en-US"/>
        </a:p>
      </dgm:t>
    </dgm:pt>
    <dgm:pt modelId="{EEEB28C4-D2B8-4C81-878A-106A9FC61D31}" type="pres">
      <dgm:prSet presAssocID="{6A9FB7A8-8F7E-4382-898C-EC28D9102C4B}" presName="rootConnector" presStyleLbl="node3" presStyleIdx="3" presStyleCnt="7"/>
      <dgm:spPr/>
      <dgm:t>
        <a:bodyPr/>
        <a:lstStyle/>
        <a:p>
          <a:endParaRPr lang="en-US"/>
        </a:p>
      </dgm:t>
    </dgm:pt>
    <dgm:pt modelId="{A8B5BEA4-B6F6-41D2-944D-CC9B4B52E7E6}" type="pres">
      <dgm:prSet presAssocID="{6A9FB7A8-8F7E-4382-898C-EC28D9102C4B}" presName="hierChild4" presStyleCnt="0"/>
      <dgm:spPr/>
    </dgm:pt>
    <dgm:pt modelId="{0BFA6022-5A04-4762-84F6-020BB080F0DA}" type="pres">
      <dgm:prSet presAssocID="{6A9FB7A8-8F7E-4382-898C-EC28D9102C4B}" presName="hierChild5" presStyleCnt="0"/>
      <dgm:spPr/>
    </dgm:pt>
    <dgm:pt modelId="{16FD96F4-515B-4C8B-96C8-D75CE4E0F871}" type="pres">
      <dgm:prSet presAssocID="{9FBA2F2D-D645-4483-8DE4-AAA3052EB024}" presName="Name37" presStyleLbl="parChTrans1D3" presStyleIdx="4" presStyleCnt="7"/>
      <dgm:spPr/>
      <dgm:t>
        <a:bodyPr/>
        <a:lstStyle/>
        <a:p>
          <a:endParaRPr lang="en-US"/>
        </a:p>
      </dgm:t>
    </dgm:pt>
    <dgm:pt modelId="{FDD2AF84-00A7-439E-92CE-D26EA4C8DC63}" type="pres">
      <dgm:prSet presAssocID="{10EA82B2-C0D6-472E-AB92-3F8C65773293}" presName="hierRoot2" presStyleCnt="0">
        <dgm:presLayoutVars>
          <dgm:hierBranch val="init"/>
        </dgm:presLayoutVars>
      </dgm:prSet>
      <dgm:spPr/>
    </dgm:pt>
    <dgm:pt modelId="{768788B4-BCD8-4834-A7D3-E0CF4D86C650}" type="pres">
      <dgm:prSet presAssocID="{10EA82B2-C0D6-472E-AB92-3F8C65773293}" presName="rootComposite" presStyleCnt="0"/>
      <dgm:spPr/>
    </dgm:pt>
    <dgm:pt modelId="{DFEAF9A7-4D3D-41C5-925D-3B50FB31124E}" type="pres">
      <dgm:prSet presAssocID="{10EA82B2-C0D6-472E-AB92-3F8C65773293}" presName="rootText" presStyleLbl="node3" presStyleIdx="4" presStyleCnt="7">
        <dgm:presLayoutVars>
          <dgm:chPref val="3"/>
        </dgm:presLayoutVars>
      </dgm:prSet>
      <dgm:spPr/>
      <dgm:t>
        <a:bodyPr/>
        <a:lstStyle/>
        <a:p>
          <a:endParaRPr lang="en-US"/>
        </a:p>
      </dgm:t>
    </dgm:pt>
    <dgm:pt modelId="{161C04AB-2BFA-4AED-8C7D-C7A50CCA2514}" type="pres">
      <dgm:prSet presAssocID="{10EA82B2-C0D6-472E-AB92-3F8C65773293}" presName="rootConnector" presStyleLbl="node3" presStyleIdx="4" presStyleCnt="7"/>
      <dgm:spPr/>
      <dgm:t>
        <a:bodyPr/>
        <a:lstStyle/>
        <a:p>
          <a:endParaRPr lang="en-US"/>
        </a:p>
      </dgm:t>
    </dgm:pt>
    <dgm:pt modelId="{FB97650D-BBAB-4E2C-BA4D-1DE5684BEEE6}" type="pres">
      <dgm:prSet presAssocID="{10EA82B2-C0D6-472E-AB92-3F8C65773293}" presName="hierChild4" presStyleCnt="0"/>
      <dgm:spPr/>
    </dgm:pt>
    <dgm:pt modelId="{E1ADD2D2-EC6E-4888-9514-9A14F1AFA2A9}" type="pres">
      <dgm:prSet presAssocID="{10EA82B2-C0D6-472E-AB92-3F8C65773293}" presName="hierChild5" presStyleCnt="0"/>
      <dgm:spPr/>
    </dgm:pt>
    <dgm:pt modelId="{C8CF74C0-5B33-4C7E-A6C6-0FF7DC580E01}" type="pres">
      <dgm:prSet presAssocID="{CC6D63B6-1D11-4E39-9E72-8737C3B0D976}" presName="Name37" presStyleLbl="parChTrans1D3" presStyleIdx="5" presStyleCnt="7"/>
      <dgm:spPr/>
      <dgm:t>
        <a:bodyPr/>
        <a:lstStyle/>
        <a:p>
          <a:endParaRPr lang="en-US"/>
        </a:p>
      </dgm:t>
    </dgm:pt>
    <dgm:pt modelId="{2C39B88D-86EB-4A07-963A-6609F28139C6}" type="pres">
      <dgm:prSet presAssocID="{1B7574F7-2CCB-44F6-A3D6-8100F5B37D60}" presName="hierRoot2" presStyleCnt="0">
        <dgm:presLayoutVars>
          <dgm:hierBranch val="init"/>
        </dgm:presLayoutVars>
      </dgm:prSet>
      <dgm:spPr/>
    </dgm:pt>
    <dgm:pt modelId="{5DC9486A-84E4-48BC-B820-2087D360F46E}" type="pres">
      <dgm:prSet presAssocID="{1B7574F7-2CCB-44F6-A3D6-8100F5B37D60}" presName="rootComposite" presStyleCnt="0"/>
      <dgm:spPr/>
    </dgm:pt>
    <dgm:pt modelId="{FB57A35E-3F8E-480C-9C4D-7111B641985A}" type="pres">
      <dgm:prSet presAssocID="{1B7574F7-2CCB-44F6-A3D6-8100F5B37D60}" presName="rootText" presStyleLbl="node3" presStyleIdx="5" presStyleCnt="7">
        <dgm:presLayoutVars>
          <dgm:chPref val="3"/>
        </dgm:presLayoutVars>
      </dgm:prSet>
      <dgm:spPr/>
      <dgm:t>
        <a:bodyPr/>
        <a:lstStyle/>
        <a:p>
          <a:endParaRPr lang="en-US"/>
        </a:p>
      </dgm:t>
    </dgm:pt>
    <dgm:pt modelId="{76454080-0420-44F2-9C08-C63ED76A07E0}" type="pres">
      <dgm:prSet presAssocID="{1B7574F7-2CCB-44F6-A3D6-8100F5B37D60}" presName="rootConnector" presStyleLbl="node3" presStyleIdx="5" presStyleCnt="7"/>
      <dgm:spPr/>
      <dgm:t>
        <a:bodyPr/>
        <a:lstStyle/>
        <a:p>
          <a:endParaRPr lang="en-US"/>
        </a:p>
      </dgm:t>
    </dgm:pt>
    <dgm:pt modelId="{B7991123-7945-4020-B4D5-7B37B2D1F3EB}" type="pres">
      <dgm:prSet presAssocID="{1B7574F7-2CCB-44F6-A3D6-8100F5B37D60}" presName="hierChild4" presStyleCnt="0"/>
      <dgm:spPr/>
    </dgm:pt>
    <dgm:pt modelId="{E31F59D9-9475-41C8-A6E9-23DE2C054CF9}" type="pres">
      <dgm:prSet presAssocID="{1B7574F7-2CCB-44F6-A3D6-8100F5B37D60}" presName="hierChild5" presStyleCnt="0"/>
      <dgm:spPr/>
    </dgm:pt>
    <dgm:pt modelId="{E46572E6-1DF9-4E26-A798-7F3FB7DC106E}" type="pres">
      <dgm:prSet presAssocID="{1B0B1176-E8F1-4CA1-B6C1-E3790B6C7A69}" presName="hierChild5" presStyleCnt="0"/>
      <dgm:spPr/>
    </dgm:pt>
    <dgm:pt modelId="{D0CBF469-AD76-4649-BC6B-532B17817043}" type="pres">
      <dgm:prSet presAssocID="{E0EF8A1A-C83D-48F5-A4D6-8B2CEC91EA83}" presName="Name37" presStyleLbl="parChTrans1D2" presStyleIdx="2" presStyleCnt="3"/>
      <dgm:spPr/>
      <dgm:t>
        <a:bodyPr/>
        <a:lstStyle/>
        <a:p>
          <a:endParaRPr lang="en-US"/>
        </a:p>
      </dgm:t>
    </dgm:pt>
    <dgm:pt modelId="{FE04CE20-C9BC-4EDA-BA6E-B27711EB97D1}" type="pres">
      <dgm:prSet presAssocID="{5485AC5C-C3E6-4345-A2E1-F3C38E61D46C}" presName="hierRoot2" presStyleCnt="0">
        <dgm:presLayoutVars>
          <dgm:hierBranch val="init"/>
        </dgm:presLayoutVars>
      </dgm:prSet>
      <dgm:spPr/>
    </dgm:pt>
    <dgm:pt modelId="{3059E6D3-D6CE-40E7-87F4-0EBC8F8DE0BA}" type="pres">
      <dgm:prSet presAssocID="{5485AC5C-C3E6-4345-A2E1-F3C38E61D46C}" presName="rootComposite" presStyleCnt="0"/>
      <dgm:spPr/>
    </dgm:pt>
    <dgm:pt modelId="{54FF1939-3263-440B-B5D1-06AED47A13FE}" type="pres">
      <dgm:prSet presAssocID="{5485AC5C-C3E6-4345-A2E1-F3C38E61D46C}" presName="rootText" presStyleLbl="node2" presStyleIdx="2" presStyleCnt="3">
        <dgm:presLayoutVars>
          <dgm:chPref val="3"/>
        </dgm:presLayoutVars>
      </dgm:prSet>
      <dgm:spPr/>
      <dgm:t>
        <a:bodyPr/>
        <a:lstStyle/>
        <a:p>
          <a:endParaRPr lang="en-US"/>
        </a:p>
      </dgm:t>
    </dgm:pt>
    <dgm:pt modelId="{B6599E78-9366-4B03-8764-DAF578340D5F}" type="pres">
      <dgm:prSet presAssocID="{5485AC5C-C3E6-4345-A2E1-F3C38E61D46C}" presName="rootConnector" presStyleLbl="node2" presStyleIdx="2" presStyleCnt="3"/>
      <dgm:spPr/>
      <dgm:t>
        <a:bodyPr/>
        <a:lstStyle/>
        <a:p>
          <a:endParaRPr lang="en-US"/>
        </a:p>
      </dgm:t>
    </dgm:pt>
    <dgm:pt modelId="{C80BC340-CB6E-4C20-8FFF-C0C5205325F0}" type="pres">
      <dgm:prSet presAssocID="{5485AC5C-C3E6-4345-A2E1-F3C38E61D46C}" presName="hierChild4" presStyleCnt="0"/>
      <dgm:spPr/>
    </dgm:pt>
    <dgm:pt modelId="{0A7AA4C0-1DB8-4DDD-8649-CABAAF41475F}" type="pres">
      <dgm:prSet presAssocID="{A773AFFC-06F5-4289-8F37-49FD0FBD5EE5}" presName="Name37" presStyleLbl="parChTrans1D3" presStyleIdx="6" presStyleCnt="7"/>
      <dgm:spPr/>
      <dgm:t>
        <a:bodyPr/>
        <a:lstStyle/>
        <a:p>
          <a:endParaRPr lang="en-US"/>
        </a:p>
      </dgm:t>
    </dgm:pt>
    <dgm:pt modelId="{8268915B-947E-4F21-9BC4-5BF4D303857F}" type="pres">
      <dgm:prSet presAssocID="{83C448D7-0A29-486B-87F0-2C6EF1512119}" presName="hierRoot2" presStyleCnt="0">
        <dgm:presLayoutVars>
          <dgm:hierBranch val="init"/>
        </dgm:presLayoutVars>
      </dgm:prSet>
      <dgm:spPr/>
    </dgm:pt>
    <dgm:pt modelId="{04641E0E-CA12-4642-9673-1D2A9A51DD8E}" type="pres">
      <dgm:prSet presAssocID="{83C448D7-0A29-486B-87F0-2C6EF1512119}" presName="rootComposite" presStyleCnt="0"/>
      <dgm:spPr/>
    </dgm:pt>
    <dgm:pt modelId="{0DC4AE16-3F79-4884-B666-1A44F6BFD8C3}" type="pres">
      <dgm:prSet presAssocID="{83C448D7-0A29-486B-87F0-2C6EF1512119}" presName="rootText" presStyleLbl="node3" presStyleIdx="6" presStyleCnt="7">
        <dgm:presLayoutVars>
          <dgm:chPref val="3"/>
        </dgm:presLayoutVars>
      </dgm:prSet>
      <dgm:spPr/>
      <dgm:t>
        <a:bodyPr/>
        <a:lstStyle/>
        <a:p>
          <a:endParaRPr lang="en-US"/>
        </a:p>
      </dgm:t>
    </dgm:pt>
    <dgm:pt modelId="{B9E43E30-D91E-4A8E-A91F-BDD6BF9FB782}" type="pres">
      <dgm:prSet presAssocID="{83C448D7-0A29-486B-87F0-2C6EF1512119}" presName="rootConnector" presStyleLbl="node3" presStyleIdx="6" presStyleCnt="7"/>
      <dgm:spPr/>
      <dgm:t>
        <a:bodyPr/>
        <a:lstStyle/>
        <a:p>
          <a:endParaRPr lang="en-US"/>
        </a:p>
      </dgm:t>
    </dgm:pt>
    <dgm:pt modelId="{B525B8ED-7D0A-4767-ADF3-39F161D68949}" type="pres">
      <dgm:prSet presAssocID="{83C448D7-0A29-486B-87F0-2C6EF1512119}" presName="hierChild4" presStyleCnt="0"/>
      <dgm:spPr/>
    </dgm:pt>
    <dgm:pt modelId="{E09EB42E-98AA-49BB-9A54-227B132BB9DF}" type="pres">
      <dgm:prSet presAssocID="{83C448D7-0A29-486B-87F0-2C6EF1512119}" presName="hierChild5" presStyleCnt="0"/>
      <dgm:spPr/>
    </dgm:pt>
    <dgm:pt modelId="{687D4197-FE07-4897-B0BA-3E1BF1EAD07D}" type="pres">
      <dgm:prSet presAssocID="{5485AC5C-C3E6-4345-A2E1-F3C38E61D46C}" presName="hierChild5" presStyleCnt="0"/>
      <dgm:spPr/>
    </dgm:pt>
    <dgm:pt modelId="{42A7CD36-8D15-4002-97DB-761CC80C7F1D}" type="pres">
      <dgm:prSet presAssocID="{4A6F09B0-8C69-474C-9E72-7540BC650359}" presName="hierChild3" presStyleCnt="0"/>
      <dgm:spPr/>
    </dgm:pt>
  </dgm:ptLst>
  <dgm:cxnLst>
    <dgm:cxn modelId="{F0215D63-1295-4512-AC5D-2751546EB873}" type="presOf" srcId="{4EBFB426-2B9F-4D75-9762-4C101DFA56F2}" destId="{8ED271F8-2244-450E-8361-09B4DF1CED5F}" srcOrd="0" destOrd="0" presId="urn:microsoft.com/office/officeart/2005/8/layout/orgChart1"/>
    <dgm:cxn modelId="{2E6B4611-61E5-449C-943D-5B82BF316184}" srcId="{1B0B1176-E8F1-4CA1-B6C1-E3790B6C7A69}" destId="{1B7574F7-2CCB-44F6-A3D6-8100F5B37D60}" srcOrd="2" destOrd="0" parTransId="{CC6D63B6-1D11-4E39-9E72-8737C3B0D976}" sibTransId="{37B8B74B-84D9-4C17-9CDF-92F2B08965D6}"/>
    <dgm:cxn modelId="{173BD05A-2F0D-4153-8CA8-6D305D49351C}" type="presOf" srcId="{649B5601-189F-414F-8EEE-D0BAA4581BA3}" destId="{95AF12A2-F8B2-4C0B-BD56-AF7EE49483CB}" srcOrd="1" destOrd="0" presId="urn:microsoft.com/office/officeart/2005/8/layout/orgChart1"/>
    <dgm:cxn modelId="{02795A91-B9E3-45E2-AD3D-ADFE399601D3}" type="presOf" srcId="{68AB90E3-B878-45BB-AD30-15948109DA72}" destId="{51BAF832-787A-4D3B-9DC7-885740A0B147}" srcOrd="0" destOrd="0" presId="urn:microsoft.com/office/officeart/2005/8/layout/orgChart1"/>
    <dgm:cxn modelId="{D02AC53A-75B0-4B64-BEBD-C864ED720E0B}" type="presOf" srcId="{4EBFB426-2B9F-4D75-9762-4C101DFA56F2}" destId="{7CED69B3-6C67-42AC-B164-97D22764736A}" srcOrd="1" destOrd="0" presId="urn:microsoft.com/office/officeart/2005/8/layout/orgChart1"/>
    <dgm:cxn modelId="{914A458E-F210-4959-9939-B9E88E2C954D}" type="presOf" srcId="{4A6F09B0-8C69-474C-9E72-7540BC650359}" destId="{BCC33B28-17C8-4E96-B50E-628B2B89E021}" srcOrd="1" destOrd="0" presId="urn:microsoft.com/office/officeart/2005/8/layout/orgChart1"/>
    <dgm:cxn modelId="{8A5BB3A6-269E-4748-8370-E0E54B951C59}" srcId="{C1153231-846F-48DC-8CC2-85DCA6AD0666}" destId="{4A6F09B0-8C69-474C-9E72-7540BC650359}" srcOrd="0" destOrd="0" parTransId="{ADCD6316-513E-4616-890F-25589102F72C}" sibTransId="{6CC5CD4B-534C-42E5-BA49-BDB1AE2B9011}"/>
    <dgm:cxn modelId="{E47FD07D-49A2-4B2B-B653-81D005194812}" srcId="{1B0B1176-E8F1-4CA1-B6C1-E3790B6C7A69}" destId="{10EA82B2-C0D6-472E-AB92-3F8C65773293}" srcOrd="1" destOrd="0" parTransId="{9FBA2F2D-D645-4483-8DE4-AAA3052EB024}" sibTransId="{DBD34F36-979E-4CC0-B7CB-7A8F36861F17}"/>
    <dgm:cxn modelId="{60A6B124-9FB8-4D20-B285-29BA6F04A4D6}" type="presOf" srcId="{D66D9862-9AFA-4C09-BD67-56BD2385233E}" destId="{0EAFE2F1-2E44-4E23-AC0F-49AC10A084D7}" srcOrd="1" destOrd="0" presId="urn:microsoft.com/office/officeart/2005/8/layout/orgChart1"/>
    <dgm:cxn modelId="{175040F1-8069-4C25-A5E3-712303D8A893}" srcId="{2D217AE5-1376-42C3-8F8B-A98E95CCCB80}" destId="{4EBFB426-2B9F-4D75-9762-4C101DFA56F2}" srcOrd="0" destOrd="0" parTransId="{68AB90E3-B878-45BB-AD30-15948109DA72}" sibTransId="{3E470FC7-F9AC-4A53-A989-56228C2A42C8}"/>
    <dgm:cxn modelId="{3B94BF4D-34F7-4EDF-B3DA-A7A60BE6A36C}" type="presOf" srcId="{2D217AE5-1376-42C3-8F8B-A98E95CCCB80}" destId="{87ADA416-6013-4CA9-8329-39B6F18C3E8D}" srcOrd="1" destOrd="0" presId="urn:microsoft.com/office/officeart/2005/8/layout/orgChart1"/>
    <dgm:cxn modelId="{9FA1504C-DB89-4C96-A873-BE9CDB18107B}" srcId="{4A6F09B0-8C69-474C-9E72-7540BC650359}" destId="{1B0B1176-E8F1-4CA1-B6C1-E3790B6C7A69}" srcOrd="1" destOrd="0" parTransId="{D42461E3-D036-4436-815E-78E21E24BB7B}" sibTransId="{2B7C4623-26C0-4A8A-886C-C8DB126CF72F}"/>
    <dgm:cxn modelId="{F647B314-336C-454D-8A8F-D4B42DCF3F18}" type="presOf" srcId="{649B5601-189F-414F-8EEE-D0BAA4581BA3}" destId="{08332F49-33C6-4904-9FD9-A1347FAA5E6D}" srcOrd="0" destOrd="0" presId="urn:microsoft.com/office/officeart/2005/8/layout/orgChart1"/>
    <dgm:cxn modelId="{36CE841B-72DF-46E2-BD0D-F60E343795BB}" type="presOf" srcId="{CC6D63B6-1D11-4E39-9E72-8737C3B0D976}" destId="{C8CF74C0-5B33-4C7E-A6C6-0FF7DC580E01}" srcOrd="0" destOrd="0" presId="urn:microsoft.com/office/officeart/2005/8/layout/orgChart1"/>
    <dgm:cxn modelId="{0076DEE1-2C4E-4C02-B374-136762D9F593}" type="presOf" srcId="{1661D477-6235-4EE4-AF4B-A0B62935FC11}" destId="{F5ABA7D8-30B9-4D1A-AA8A-1EFABEBF187F}" srcOrd="0" destOrd="0" presId="urn:microsoft.com/office/officeart/2005/8/layout/orgChart1"/>
    <dgm:cxn modelId="{F6AD2976-AB0A-4E53-BC56-A54A2B4C4969}" srcId="{2D217AE5-1376-42C3-8F8B-A98E95CCCB80}" destId="{649B5601-189F-414F-8EEE-D0BAA4581BA3}" srcOrd="1" destOrd="0" parTransId="{061C5DCC-107B-40F2-BCBB-70DB5D6BA830}" sibTransId="{853682E5-A762-473C-8DAA-7DF1F2ED72D9}"/>
    <dgm:cxn modelId="{FFF9C100-9A09-4C3D-B0E0-048F04C13465}" type="presOf" srcId="{83C448D7-0A29-486B-87F0-2C6EF1512119}" destId="{B9E43E30-D91E-4A8E-A91F-BDD6BF9FB782}" srcOrd="1" destOrd="0" presId="urn:microsoft.com/office/officeart/2005/8/layout/orgChart1"/>
    <dgm:cxn modelId="{886F5A20-4EE8-4251-891C-B487EEAE52D9}" type="presOf" srcId="{1B0B1176-E8F1-4CA1-B6C1-E3790B6C7A69}" destId="{FE94E73D-F4D6-4161-9306-3064D4F61FEC}" srcOrd="0" destOrd="0" presId="urn:microsoft.com/office/officeart/2005/8/layout/orgChart1"/>
    <dgm:cxn modelId="{1B73E4B8-76DA-4ECF-BEFE-5DE44C1B98AA}" type="presOf" srcId="{7BAD667E-8BBA-4488-B3B3-B902EF183D2D}" destId="{837636BA-72A7-4334-ABE8-E0DBC2D9874C}" srcOrd="0" destOrd="0" presId="urn:microsoft.com/office/officeart/2005/8/layout/orgChart1"/>
    <dgm:cxn modelId="{99071BFB-D797-4940-9EBA-FD823875D492}" type="presOf" srcId="{4A6F09B0-8C69-474C-9E72-7540BC650359}" destId="{47151BDF-802C-4A0D-B6F9-A8ED238CD863}" srcOrd="0" destOrd="0" presId="urn:microsoft.com/office/officeart/2005/8/layout/orgChart1"/>
    <dgm:cxn modelId="{5F4079E3-68CC-4AEC-B489-31B954AEF725}" type="presOf" srcId="{1B7574F7-2CCB-44F6-A3D6-8100F5B37D60}" destId="{FB57A35E-3F8E-480C-9C4D-7111B641985A}" srcOrd="0" destOrd="0" presId="urn:microsoft.com/office/officeart/2005/8/layout/orgChart1"/>
    <dgm:cxn modelId="{C7FA3C4A-840B-4CDA-A1BF-8D628666239D}" type="presOf" srcId="{83C448D7-0A29-486B-87F0-2C6EF1512119}" destId="{0DC4AE16-3F79-4884-B666-1A44F6BFD8C3}" srcOrd="0" destOrd="0" presId="urn:microsoft.com/office/officeart/2005/8/layout/orgChart1"/>
    <dgm:cxn modelId="{4A0C8A82-0E5B-4BE4-BCBC-EB9ED8EAE90D}" type="presOf" srcId="{5485AC5C-C3E6-4345-A2E1-F3C38E61D46C}" destId="{54FF1939-3263-440B-B5D1-06AED47A13FE}" srcOrd="0" destOrd="0" presId="urn:microsoft.com/office/officeart/2005/8/layout/orgChart1"/>
    <dgm:cxn modelId="{8C5A60E9-2A78-4745-84AA-6C68E6A9AD73}" type="presOf" srcId="{1B7574F7-2CCB-44F6-A3D6-8100F5B37D60}" destId="{76454080-0420-44F2-9C08-C63ED76A07E0}" srcOrd="1" destOrd="0" presId="urn:microsoft.com/office/officeart/2005/8/layout/orgChart1"/>
    <dgm:cxn modelId="{9D0B6E31-E520-4897-B266-1D6938DB58A7}" type="presOf" srcId="{94F666CF-3E13-4D3A-9478-285779BEE882}" destId="{F740C8C4-E97D-406E-92D8-4423B2ED43F7}" srcOrd="0" destOrd="0" presId="urn:microsoft.com/office/officeart/2005/8/layout/orgChart1"/>
    <dgm:cxn modelId="{7D34F16A-F45B-4212-9322-33BF292E0A57}" type="presOf" srcId="{6A9FB7A8-8F7E-4382-898C-EC28D9102C4B}" destId="{EEEB28C4-D2B8-4C81-878A-106A9FC61D31}" srcOrd="1" destOrd="0" presId="urn:microsoft.com/office/officeart/2005/8/layout/orgChart1"/>
    <dgm:cxn modelId="{16809AD5-5357-4715-8260-828219C05272}" type="presOf" srcId="{10EA82B2-C0D6-472E-AB92-3F8C65773293}" destId="{DFEAF9A7-4D3D-41C5-925D-3B50FB31124E}" srcOrd="0" destOrd="0" presId="urn:microsoft.com/office/officeart/2005/8/layout/orgChart1"/>
    <dgm:cxn modelId="{C05A2E36-38ED-4663-9C36-1780FC66C57C}" srcId="{4A6F09B0-8C69-474C-9E72-7540BC650359}" destId="{2D217AE5-1376-42C3-8F8B-A98E95CCCB80}" srcOrd="0" destOrd="0" parTransId="{1661D477-6235-4EE4-AF4B-A0B62935FC11}" sibTransId="{65A3A0D9-047E-4BA8-B6B2-55760BA54E5C}"/>
    <dgm:cxn modelId="{CB8EA043-B55E-4912-A4B6-E13F119EED4F}" type="presOf" srcId="{2D217AE5-1376-42C3-8F8B-A98E95CCCB80}" destId="{DC018765-1844-42BF-96F4-C673E6C4D4FF}" srcOrd="0" destOrd="0" presId="urn:microsoft.com/office/officeart/2005/8/layout/orgChart1"/>
    <dgm:cxn modelId="{A950D6E9-5DCF-44C1-BCC6-8EBFA18BD9B5}" type="presOf" srcId="{1B0B1176-E8F1-4CA1-B6C1-E3790B6C7A69}" destId="{9F84A1C4-B366-4B01-9B07-043AE7EBAB97}" srcOrd="1" destOrd="0" presId="urn:microsoft.com/office/officeart/2005/8/layout/orgChart1"/>
    <dgm:cxn modelId="{5FB09FBD-FB0E-4E5A-9943-9911B162355A}" type="presOf" srcId="{10EA82B2-C0D6-472E-AB92-3F8C65773293}" destId="{161C04AB-2BFA-4AED-8C7D-C7A50CCA2514}" srcOrd="1" destOrd="0" presId="urn:microsoft.com/office/officeart/2005/8/layout/orgChart1"/>
    <dgm:cxn modelId="{78A9F636-D146-4030-BF05-27004ECAB924}" type="presOf" srcId="{9FBA2F2D-D645-4483-8DE4-AAA3052EB024}" destId="{16FD96F4-515B-4C8B-96C8-D75CE4E0F871}" srcOrd="0" destOrd="0" presId="urn:microsoft.com/office/officeart/2005/8/layout/orgChart1"/>
    <dgm:cxn modelId="{37696FBE-1D73-4D19-B260-530214346BC2}" srcId="{5485AC5C-C3E6-4345-A2E1-F3C38E61D46C}" destId="{83C448D7-0A29-486B-87F0-2C6EF1512119}" srcOrd="0" destOrd="0" parTransId="{A773AFFC-06F5-4289-8F37-49FD0FBD5EE5}" sibTransId="{6BF7F285-CB40-4E1D-8B68-4521DC7CCE19}"/>
    <dgm:cxn modelId="{DF55EBB7-762C-4542-8748-45BA4E891B14}" srcId="{2D217AE5-1376-42C3-8F8B-A98E95CCCB80}" destId="{D66D9862-9AFA-4C09-BD67-56BD2385233E}" srcOrd="2" destOrd="0" parTransId="{7BAD667E-8BBA-4488-B3B3-B902EF183D2D}" sibTransId="{BAF189A2-8513-4337-84F9-E9CF2EE88BDF}"/>
    <dgm:cxn modelId="{0EB784E3-329D-42BD-9587-4BEA49D745FE}" type="presOf" srcId="{C1153231-846F-48DC-8CC2-85DCA6AD0666}" destId="{995F5E1B-26F4-4E7A-B44E-1C63A287ADBB}" srcOrd="0" destOrd="0" presId="urn:microsoft.com/office/officeart/2005/8/layout/orgChart1"/>
    <dgm:cxn modelId="{91F126AF-9BDC-436D-B387-6A92F5B5A7A4}" type="presOf" srcId="{E0EF8A1A-C83D-48F5-A4D6-8B2CEC91EA83}" destId="{D0CBF469-AD76-4649-BC6B-532B17817043}" srcOrd="0" destOrd="0" presId="urn:microsoft.com/office/officeart/2005/8/layout/orgChart1"/>
    <dgm:cxn modelId="{486C351E-5305-4803-99BC-EF8B7EDC09CD}" type="presOf" srcId="{5485AC5C-C3E6-4345-A2E1-F3C38E61D46C}" destId="{B6599E78-9366-4B03-8764-DAF578340D5F}" srcOrd="1" destOrd="0" presId="urn:microsoft.com/office/officeart/2005/8/layout/orgChart1"/>
    <dgm:cxn modelId="{824653F2-8D05-40A3-A554-37767F299D87}" type="presOf" srcId="{061C5DCC-107B-40F2-BCBB-70DB5D6BA830}" destId="{0359B919-F69E-4C15-AE2C-1A2E088BB123}" srcOrd="0" destOrd="0" presId="urn:microsoft.com/office/officeart/2005/8/layout/orgChart1"/>
    <dgm:cxn modelId="{C65D0891-01DC-4FEF-91C8-E78657E2FBB2}" srcId="{1B0B1176-E8F1-4CA1-B6C1-E3790B6C7A69}" destId="{6A9FB7A8-8F7E-4382-898C-EC28D9102C4B}" srcOrd="0" destOrd="0" parTransId="{94F666CF-3E13-4D3A-9478-285779BEE882}" sibTransId="{60BDDD71-A76E-4176-B5CF-03E32A5D9F55}"/>
    <dgm:cxn modelId="{9FFE0671-4B1A-42B7-9720-9F05F7B81214}" type="presOf" srcId="{D66D9862-9AFA-4C09-BD67-56BD2385233E}" destId="{E1029BA6-CF90-4704-A2D6-9254F89DBB10}" srcOrd="0" destOrd="0" presId="urn:microsoft.com/office/officeart/2005/8/layout/orgChart1"/>
    <dgm:cxn modelId="{68FA1709-352C-4510-ADDB-AFC4C851690B}" type="presOf" srcId="{D42461E3-D036-4436-815E-78E21E24BB7B}" destId="{B9E521D1-9CEA-48E2-9C0D-6790B633063C}" srcOrd="0" destOrd="0" presId="urn:microsoft.com/office/officeart/2005/8/layout/orgChart1"/>
    <dgm:cxn modelId="{786EA2B1-CD60-4468-81F5-62C3CF04F88C}" srcId="{4A6F09B0-8C69-474C-9E72-7540BC650359}" destId="{5485AC5C-C3E6-4345-A2E1-F3C38E61D46C}" srcOrd="2" destOrd="0" parTransId="{E0EF8A1A-C83D-48F5-A4D6-8B2CEC91EA83}" sibTransId="{F5BAE5A2-B459-4FE5-AEAE-895C7B6452AB}"/>
    <dgm:cxn modelId="{51C5EF36-06AF-4AF1-A016-BEAAB249FDF3}" type="presOf" srcId="{A773AFFC-06F5-4289-8F37-49FD0FBD5EE5}" destId="{0A7AA4C0-1DB8-4DDD-8649-CABAAF41475F}" srcOrd="0" destOrd="0" presId="urn:microsoft.com/office/officeart/2005/8/layout/orgChart1"/>
    <dgm:cxn modelId="{163D255E-F490-4EE9-AA97-F3730F4786AD}" type="presOf" srcId="{6A9FB7A8-8F7E-4382-898C-EC28D9102C4B}" destId="{53FDF560-156D-4315-8657-C7E9127D22B2}" srcOrd="0" destOrd="0" presId="urn:microsoft.com/office/officeart/2005/8/layout/orgChart1"/>
    <dgm:cxn modelId="{041A1186-0C56-48C2-9657-30F0B96B9903}" type="presParOf" srcId="{995F5E1B-26F4-4E7A-B44E-1C63A287ADBB}" destId="{C446D801-1343-475F-A862-851834EF9455}" srcOrd="0" destOrd="0" presId="urn:microsoft.com/office/officeart/2005/8/layout/orgChart1"/>
    <dgm:cxn modelId="{67A00AE5-2281-4911-A148-6AE30D0455BA}" type="presParOf" srcId="{C446D801-1343-475F-A862-851834EF9455}" destId="{641A816B-5439-42EA-A48D-42D482E6F8F0}" srcOrd="0" destOrd="0" presId="urn:microsoft.com/office/officeart/2005/8/layout/orgChart1"/>
    <dgm:cxn modelId="{42181504-4630-4CF5-9883-F82071F3A0FE}" type="presParOf" srcId="{641A816B-5439-42EA-A48D-42D482E6F8F0}" destId="{47151BDF-802C-4A0D-B6F9-A8ED238CD863}" srcOrd="0" destOrd="0" presId="urn:microsoft.com/office/officeart/2005/8/layout/orgChart1"/>
    <dgm:cxn modelId="{2C356259-A0FF-42F3-B663-8D36B37EEF14}" type="presParOf" srcId="{641A816B-5439-42EA-A48D-42D482E6F8F0}" destId="{BCC33B28-17C8-4E96-B50E-628B2B89E021}" srcOrd="1" destOrd="0" presId="urn:microsoft.com/office/officeart/2005/8/layout/orgChart1"/>
    <dgm:cxn modelId="{39C26021-16A8-4B10-9ED2-B60A47CD1302}" type="presParOf" srcId="{C446D801-1343-475F-A862-851834EF9455}" destId="{CBBA413F-BC57-421A-A0E7-9AFB8DFC7294}" srcOrd="1" destOrd="0" presId="urn:microsoft.com/office/officeart/2005/8/layout/orgChart1"/>
    <dgm:cxn modelId="{E5601451-85F7-4ACF-A3A6-E37F862784B4}" type="presParOf" srcId="{CBBA413F-BC57-421A-A0E7-9AFB8DFC7294}" destId="{F5ABA7D8-30B9-4D1A-AA8A-1EFABEBF187F}" srcOrd="0" destOrd="0" presId="urn:microsoft.com/office/officeart/2005/8/layout/orgChart1"/>
    <dgm:cxn modelId="{37DCFA0E-333E-473B-B6A9-C6704873939E}" type="presParOf" srcId="{CBBA413F-BC57-421A-A0E7-9AFB8DFC7294}" destId="{489F4CB7-37A3-4796-8C29-1ED12EC10E5E}" srcOrd="1" destOrd="0" presId="urn:microsoft.com/office/officeart/2005/8/layout/orgChart1"/>
    <dgm:cxn modelId="{69572C12-E045-4B70-BC83-F45C2A6074B2}" type="presParOf" srcId="{489F4CB7-37A3-4796-8C29-1ED12EC10E5E}" destId="{F2A0FFBA-4EFD-4582-8A98-90DD508F322A}" srcOrd="0" destOrd="0" presId="urn:microsoft.com/office/officeart/2005/8/layout/orgChart1"/>
    <dgm:cxn modelId="{021BE78E-DE1E-4F1D-AFC0-435F17BBCAEF}" type="presParOf" srcId="{F2A0FFBA-4EFD-4582-8A98-90DD508F322A}" destId="{DC018765-1844-42BF-96F4-C673E6C4D4FF}" srcOrd="0" destOrd="0" presId="urn:microsoft.com/office/officeart/2005/8/layout/orgChart1"/>
    <dgm:cxn modelId="{1FEE8F52-7EBD-439A-B6AE-33D254BE6F03}" type="presParOf" srcId="{F2A0FFBA-4EFD-4582-8A98-90DD508F322A}" destId="{87ADA416-6013-4CA9-8329-39B6F18C3E8D}" srcOrd="1" destOrd="0" presId="urn:microsoft.com/office/officeart/2005/8/layout/orgChart1"/>
    <dgm:cxn modelId="{406EE862-1679-4B07-8425-2E12EF9661AD}" type="presParOf" srcId="{489F4CB7-37A3-4796-8C29-1ED12EC10E5E}" destId="{10F36120-B9C3-46DE-9506-7E020706AA8A}" srcOrd="1" destOrd="0" presId="urn:microsoft.com/office/officeart/2005/8/layout/orgChart1"/>
    <dgm:cxn modelId="{8C78CEFC-8A6C-468D-936C-0CA01066BDFC}" type="presParOf" srcId="{10F36120-B9C3-46DE-9506-7E020706AA8A}" destId="{51BAF832-787A-4D3B-9DC7-885740A0B147}" srcOrd="0" destOrd="0" presId="urn:microsoft.com/office/officeart/2005/8/layout/orgChart1"/>
    <dgm:cxn modelId="{1C9D4747-7CCA-4DDF-A8C2-6FE4F9613C01}" type="presParOf" srcId="{10F36120-B9C3-46DE-9506-7E020706AA8A}" destId="{2215B6AD-C6D2-40E3-B5B8-847398A2A3D1}" srcOrd="1" destOrd="0" presId="urn:microsoft.com/office/officeart/2005/8/layout/orgChart1"/>
    <dgm:cxn modelId="{25F9E1A6-3842-42D9-A68F-7A46E18C43A2}" type="presParOf" srcId="{2215B6AD-C6D2-40E3-B5B8-847398A2A3D1}" destId="{71D68289-A07D-415B-8A8E-59816548D04B}" srcOrd="0" destOrd="0" presId="urn:microsoft.com/office/officeart/2005/8/layout/orgChart1"/>
    <dgm:cxn modelId="{A3C9E67E-7ED6-481D-9F58-5FFD7B23F8A5}" type="presParOf" srcId="{71D68289-A07D-415B-8A8E-59816548D04B}" destId="{8ED271F8-2244-450E-8361-09B4DF1CED5F}" srcOrd="0" destOrd="0" presId="urn:microsoft.com/office/officeart/2005/8/layout/orgChart1"/>
    <dgm:cxn modelId="{919C3564-BB7F-4109-8F67-29C31D136DA2}" type="presParOf" srcId="{71D68289-A07D-415B-8A8E-59816548D04B}" destId="{7CED69B3-6C67-42AC-B164-97D22764736A}" srcOrd="1" destOrd="0" presId="urn:microsoft.com/office/officeart/2005/8/layout/orgChart1"/>
    <dgm:cxn modelId="{083084DB-1EC9-42E0-A880-6DCDB0F7B09B}" type="presParOf" srcId="{2215B6AD-C6D2-40E3-B5B8-847398A2A3D1}" destId="{DBFAE237-DDE9-4C11-A0BF-E4FBDD8D32C7}" srcOrd="1" destOrd="0" presId="urn:microsoft.com/office/officeart/2005/8/layout/orgChart1"/>
    <dgm:cxn modelId="{15482037-27D9-47E9-945A-42F5A677DA26}" type="presParOf" srcId="{2215B6AD-C6D2-40E3-B5B8-847398A2A3D1}" destId="{7D2CAF4D-0726-44FB-B26B-83DCA499E15D}" srcOrd="2" destOrd="0" presId="urn:microsoft.com/office/officeart/2005/8/layout/orgChart1"/>
    <dgm:cxn modelId="{20AF2BCE-94E9-4238-BC2D-43AEB1D8F67F}" type="presParOf" srcId="{10F36120-B9C3-46DE-9506-7E020706AA8A}" destId="{0359B919-F69E-4C15-AE2C-1A2E088BB123}" srcOrd="2" destOrd="0" presId="urn:microsoft.com/office/officeart/2005/8/layout/orgChart1"/>
    <dgm:cxn modelId="{4AE83E88-3914-461D-AA15-0B2F0A379A13}" type="presParOf" srcId="{10F36120-B9C3-46DE-9506-7E020706AA8A}" destId="{778984E1-2A78-4369-B937-9950E3BAD903}" srcOrd="3" destOrd="0" presId="urn:microsoft.com/office/officeart/2005/8/layout/orgChart1"/>
    <dgm:cxn modelId="{1A2DDD37-58C5-491B-B71D-B3E6C51E0407}" type="presParOf" srcId="{778984E1-2A78-4369-B937-9950E3BAD903}" destId="{79361F3A-D281-4C99-8000-126C13F1D421}" srcOrd="0" destOrd="0" presId="urn:microsoft.com/office/officeart/2005/8/layout/orgChart1"/>
    <dgm:cxn modelId="{863D7864-D7A8-400A-B479-FA49F4951829}" type="presParOf" srcId="{79361F3A-D281-4C99-8000-126C13F1D421}" destId="{08332F49-33C6-4904-9FD9-A1347FAA5E6D}" srcOrd="0" destOrd="0" presId="urn:microsoft.com/office/officeart/2005/8/layout/orgChart1"/>
    <dgm:cxn modelId="{8565FA8D-FB71-4139-8199-1CC332D63821}" type="presParOf" srcId="{79361F3A-D281-4C99-8000-126C13F1D421}" destId="{95AF12A2-F8B2-4C0B-BD56-AF7EE49483CB}" srcOrd="1" destOrd="0" presId="urn:microsoft.com/office/officeart/2005/8/layout/orgChart1"/>
    <dgm:cxn modelId="{8F505110-B94C-4142-9E1E-4B151C6AAB2E}" type="presParOf" srcId="{778984E1-2A78-4369-B937-9950E3BAD903}" destId="{60EAAA4B-2BAF-4B2F-80F5-12FE3FDDF178}" srcOrd="1" destOrd="0" presId="urn:microsoft.com/office/officeart/2005/8/layout/orgChart1"/>
    <dgm:cxn modelId="{D63190A5-64C9-4A30-A31F-7E5794DC1BE2}" type="presParOf" srcId="{778984E1-2A78-4369-B937-9950E3BAD903}" destId="{704DE77D-6F6C-430D-9420-6923D30DE059}" srcOrd="2" destOrd="0" presId="urn:microsoft.com/office/officeart/2005/8/layout/orgChart1"/>
    <dgm:cxn modelId="{4328B311-A0CB-444C-A7E8-83C610E21F7C}" type="presParOf" srcId="{10F36120-B9C3-46DE-9506-7E020706AA8A}" destId="{837636BA-72A7-4334-ABE8-E0DBC2D9874C}" srcOrd="4" destOrd="0" presId="urn:microsoft.com/office/officeart/2005/8/layout/orgChart1"/>
    <dgm:cxn modelId="{D6BB9DF8-E6DA-40DC-A158-1760598D75CF}" type="presParOf" srcId="{10F36120-B9C3-46DE-9506-7E020706AA8A}" destId="{D8608987-BABE-43FA-BBFE-BC50D4089A6C}" srcOrd="5" destOrd="0" presId="urn:microsoft.com/office/officeart/2005/8/layout/orgChart1"/>
    <dgm:cxn modelId="{509A6214-AFEE-415B-BD62-4122A1B0C49C}" type="presParOf" srcId="{D8608987-BABE-43FA-BBFE-BC50D4089A6C}" destId="{20F858EE-6B2D-424E-BB03-9F9DF3FA859A}" srcOrd="0" destOrd="0" presId="urn:microsoft.com/office/officeart/2005/8/layout/orgChart1"/>
    <dgm:cxn modelId="{B6C9BFC8-6286-403E-B524-24519C46A78C}" type="presParOf" srcId="{20F858EE-6B2D-424E-BB03-9F9DF3FA859A}" destId="{E1029BA6-CF90-4704-A2D6-9254F89DBB10}" srcOrd="0" destOrd="0" presId="urn:microsoft.com/office/officeart/2005/8/layout/orgChart1"/>
    <dgm:cxn modelId="{B42C7668-8E43-4D20-AC82-10DC2D9C0CFD}" type="presParOf" srcId="{20F858EE-6B2D-424E-BB03-9F9DF3FA859A}" destId="{0EAFE2F1-2E44-4E23-AC0F-49AC10A084D7}" srcOrd="1" destOrd="0" presId="urn:microsoft.com/office/officeart/2005/8/layout/orgChart1"/>
    <dgm:cxn modelId="{E3AE0744-F026-40B5-870F-ED707AF0DA3C}" type="presParOf" srcId="{D8608987-BABE-43FA-BBFE-BC50D4089A6C}" destId="{030DDE45-B220-4608-8556-DC34873ACBF8}" srcOrd="1" destOrd="0" presId="urn:microsoft.com/office/officeart/2005/8/layout/orgChart1"/>
    <dgm:cxn modelId="{F71F46E1-EA06-4C3F-9433-98F6B80CFD16}" type="presParOf" srcId="{D8608987-BABE-43FA-BBFE-BC50D4089A6C}" destId="{3446D8FA-BDD4-41C4-89EA-CCB9AC577525}" srcOrd="2" destOrd="0" presId="urn:microsoft.com/office/officeart/2005/8/layout/orgChart1"/>
    <dgm:cxn modelId="{022FBFFB-91E7-4895-B0DF-21EF47BABD0A}" type="presParOf" srcId="{489F4CB7-37A3-4796-8C29-1ED12EC10E5E}" destId="{15CE6BCD-679B-4B1E-979A-107B2609E251}" srcOrd="2" destOrd="0" presId="urn:microsoft.com/office/officeart/2005/8/layout/orgChart1"/>
    <dgm:cxn modelId="{843E266F-8653-40F5-A2A9-BF0AF0CCCB04}" type="presParOf" srcId="{CBBA413F-BC57-421A-A0E7-9AFB8DFC7294}" destId="{B9E521D1-9CEA-48E2-9C0D-6790B633063C}" srcOrd="2" destOrd="0" presId="urn:microsoft.com/office/officeart/2005/8/layout/orgChart1"/>
    <dgm:cxn modelId="{1D5A853C-093E-43D2-9C18-E953E555A1F8}" type="presParOf" srcId="{CBBA413F-BC57-421A-A0E7-9AFB8DFC7294}" destId="{D3C3884D-D1F6-4A70-8F5F-10AD4A650898}" srcOrd="3" destOrd="0" presId="urn:microsoft.com/office/officeart/2005/8/layout/orgChart1"/>
    <dgm:cxn modelId="{452D3232-186C-47CD-BBCE-E729479AA953}" type="presParOf" srcId="{D3C3884D-D1F6-4A70-8F5F-10AD4A650898}" destId="{2A60D0FF-EFA7-416D-949A-66E3E3EC008B}" srcOrd="0" destOrd="0" presId="urn:microsoft.com/office/officeart/2005/8/layout/orgChart1"/>
    <dgm:cxn modelId="{707AB1CA-BC5C-4B91-AD38-3414F09C7C42}" type="presParOf" srcId="{2A60D0FF-EFA7-416D-949A-66E3E3EC008B}" destId="{FE94E73D-F4D6-4161-9306-3064D4F61FEC}" srcOrd="0" destOrd="0" presId="urn:microsoft.com/office/officeart/2005/8/layout/orgChart1"/>
    <dgm:cxn modelId="{8D8A7EA2-0EFD-4A70-AEA9-D2B04001E0FF}" type="presParOf" srcId="{2A60D0FF-EFA7-416D-949A-66E3E3EC008B}" destId="{9F84A1C4-B366-4B01-9B07-043AE7EBAB97}" srcOrd="1" destOrd="0" presId="urn:microsoft.com/office/officeart/2005/8/layout/orgChart1"/>
    <dgm:cxn modelId="{92261492-F600-4949-922E-EFD5B05BB8C6}" type="presParOf" srcId="{D3C3884D-D1F6-4A70-8F5F-10AD4A650898}" destId="{89B5781E-34BA-46B8-BA41-CB18E0A85D3C}" srcOrd="1" destOrd="0" presId="urn:microsoft.com/office/officeart/2005/8/layout/orgChart1"/>
    <dgm:cxn modelId="{CF7697F7-AE54-4067-98E3-5FC254CC6279}" type="presParOf" srcId="{89B5781E-34BA-46B8-BA41-CB18E0A85D3C}" destId="{F740C8C4-E97D-406E-92D8-4423B2ED43F7}" srcOrd="0" destOrd="0" presId="urn:microsoft.com/office/officeart/2005/8/layout/orgChart1"/>
    <dgm:cxn modelId="{777A337B-68D9-4118-A4B7-116F3790924E}" type="presParOf" srcId="{89B5781E-34BA-46B8-BA41-CB18E0A85D3C}" destId="{ED003E6F-28AF-4FCB-A801-F17A48D8DCBE}" srcOrd="1" destOrd="0" presId="urn:microsoft.com/office/officeart/2005/8/layout/orgChart1"/>
    <dgm:cxn modelId="{0988895E-FFED-41A9-BBF7-8A1A67FC985B}" type="presParOf" srcId="{ED003E6F-28AF-4FCB-A801-F17A48D8DCBE}" destId="{B266F877-19A3-4C80-A06A-BD943F9FE506}" srcOrd="0" destOrd="0" presId="urn:microsoft.com/office/officeart/2005/8/layout/orgChart1"/>
    <dgm:cxn modelId="{A82CAF89-D4AE-4436-A3C1-FC84D757E330}" type="presParOf" srcId="{B266F877-19A3-4C80-A06A-BD943F9FE506}" destId="{53FDF560-156D-4315-8657-C7E9127D22B2}" srcOrd="0" destOrd="0" presId="urn:microsoft.com/office/officeart/2005/8/layout/orgChart1"/>
    <dgm:cxn modelId="{2F63F674-5D1F-45C2-8D42-DF465622DC74}" type="presParOf" srcId="{B266F877-19A3-4C80-A06A-BD943F9FE506}" destId="{EEEB28C4-D2B8-4C81-878A-106A9FC61D31}" srcOrd="1" destOrd="0" presId="urn:microsoft.com/office/officeart/2005/8/layout/orgChart1"/>
    <dgm:cxn modelId="{8BFA8490-76E2-448B-B1D9-2C8B0516F5A9}" type="presParOf" srcId="{ED003E6F-28AF-4FCB-A801-F17A48D8DCBE}" destId="{A8B5BEA4-B6F6-41D2-944D-CC9B4B52E7E6}" srcOrd="1" destOrd="0" presId="urn:microsoft.com/office/officeart/2005/8/layout/orgChart1"/>
    <dgm:cxn modelId="{2B82DA99-6E03-409A-88EE-77B7F248E8AC}" type="presParOf" srcId="{ED003E6F-28AF-4FCB-A801-F17A48D8DCBE}" destId="{0BFA6022-5A04-4762-84F6-020BB080F0DA}" srcOrd="2" destOrd="0" presId="urn:microsoft.com/office/officeart/2005/8/layout/orgChart1"/>
    <dgm:cxn modelId="{FD536E76-42CE-499E-A813-BF4F511F333E}" type="presParOf" srcId="{89B5781E-34BA-46B8-BA41-CB18E0A85D3C}" destId="{16FD96F4-515B-4C8B-96C8-D75CE4E0F871}" srcOrd="2" destOrd="0" presId="urn:microsoft.com/office/officeart/2005/8/layout/orgChart1"/>
    <dgm:cxn modelId="{769F4C4B-EB1D-4817-B2F5-360D7E250021}" type="presParOf" srcId="{89B5781E-34BA-46B8-BA41-CB18E0A85D3C}" destId="{FDD2AF84-00A7-439E-92CE-D26EA4C8DC63}" srcOrd="3" destOrd="0" presId="urn:microsoft.com/office/officeart/2005/8/layout/orgChart1"/>
    <dgm:cxn modelId="{D945EFA3-D8C6-43AD-AA14-E89F271CAF14}" type="presParOf" srcId="{FDD2AF84-00A7-439E-92CE-D26EA4C8DC63}" destId="{768788B4-BCD8-4834-A7D3-E0CF4D86C650}" srcOrd="0" destOrd="0" presId="urn:microsoft.com/office/officeart/2005/8/layout/orgChart1"/>
    <dgm:cxn modelId="{A22B8AA3-4F5F-4F2F-860A-EC2BB590EA51}" type="presParOf" srcId="{768788B4-BCD8-4834-A7D3-E0CF4D86C650}" destId="{DFEAF9A7-4D3D-41C5-925D-3B50FB31124E}" srcOrd="0" destOrd="0" presId="urn:microsoft.com/office/officeart/2005/8/layout/orgChart1"/>
    <dgm:cxn modelId="{C9532E04-C9F4-4CE0-AF41-97227FCB89A9}" type="presParOf" srcId="{768788B4-BCD8-4834-A7D3-E0CF4D86C650}" destId="{161C04AB-2BFA-4AED-8C7D-C7A50CCA2514}" srcOrd="1" destOrd="0" presId="urn:microsoft.com/office/officeart/2005/8/layout/orgChart1"/>
    <dgm:cxn modelId="{E39B6FFD-DD1F-4189-8F98-7AD535EA69B3}" type="presParOf" srcId="{FDD2AF84-00A7-439E-92CE-D26EA4C8DC63}" destId="{FB97650D-BBAB-4E2C-BA4D-1DE5684BEEE6}" srcOrd="1" destOrd="0" presId="urn:microsoft.com/office/officeart/2005/8/layout/orgChart1"/>
    <dgm:cxn modelId="{D2DD7745-868E-4868-AD70-76DB6603FC3E}" type="presParOf" srcId="{FDD2AF84-00A7-439E-92CE-D26EA4C8DC63}" destId="{E1ADD2D2-EC6E-4888-9514-9A14F1AFA2A9}" srcOrd="2" destOrd="0" presId="urn:microsoft.com/office/officeart/2005/8/layout/orgChart1"/>
    <dgm:cxn modelId="{D53295A6-2B0E-4EC1-9973-0956D023C450}" type="presParOf" srcId="{89B5781E-34BA-46B8-BA41-CB18E0A85D3C}" destId="{C8CF74C0-5B33-4C7E-A6C6-0FF7DC580E01}" srcOrd="4" destOrd="0" presId="urn:microsoft.com/office/officeart/2005/8/layout/orgChart1"/>
    <dgm:cxn modelId="{B4490FF7-8CE2-4295-8A9D-CA1ACEF73B8C}" type="presParOf" srcId="{89B5781E-34BA-46B8-BA41-CB18E0A85D3C}" destId="{2C39B88D-86EB-4A07-963A-6609F28139C6}" srcOrd="5" destOrd="0" presId="urn:microsoft.com/office/officeart/2005/8/layout/orgChart1"/>
    <dgm:cxn modelId="{99F6FCEE-179E-4399-A379-DE8B94B81337}" type="presParOf" srcId="{2C39B88D-86EB-4A07-963A-6609F28139C6}" destId="{5DC9486A-84E4-48BC-B820-2087D360F46E}" srcOrd="0" destOrd="0" presId="urn:microsoft.com/office/officeart/2005/8/layout/orgChart1"/>
    <dgm:cxn modelId="{9A0B8B2E-787B-4D2E-95AE-F7CA47F6F8E8}" type="presParOf" srcId="{5DC9486A-84E4-48BC-B820-2087D360F46E}" destId="{FB57A35E-3F8E-480C-9C4D-7111B641985A}" srcOrd="0" destOrd="0" presId="urn:microsoft.com/office/officeart/2005/8/layout/orgChart1"/>
    <dgm:cxn modelId="{05B667B1-1310-4BB3-8121-55653B6CE6BB}" type="presParOf" srcId="{5DC9486A-84E4-48BC-B820-2087D360F46E}" destId="{76454080-0420-44F2-9C08-C63ED76A07E0}" srcOrd="1" destOrd="0" presId="urn:microsoft.com/office/officeart/2005/8/layout/orgChart1"/>
    <dgm:cxn modelId="{BA88A1B8-6B3F-46CF-9100-27B323DCDD86}" type="presParOf" srcId="{2C39B88D-86EB-4A07-963A-6609F28139C6}" destId="{B7991123-7945-4020-B4D5-7B37B2D1F3EB}" srcOrd="1" destOrd="0" presId="urn:microsoft.com/office/officeart/2005/8/layout/orgChart1"/>
    <dgm:cxn modelId="{979F093D-573E-4B35-99E1-98738BAC2C25}" type="presParOf" srcId="{2C39B88D-86EB-4A07-963A-6609F28139C6}" destId="{E31F59D9-9475-41C8-A6E9-23DE2C054CF9}" srcOrd="2" destOrd="0" presId="urn:microsoft.com/office/officeart/2005/8/layout/orgChart1"/>
    <dgm:cxn modelId="{3DD240D4-AD70-4F4A-8676-6BD12154A1FA}" type="presParOf" srcId="{D3C3884D-D1F6-4A70-8F5F-10AD4A650898}" destId="{E46572E6-1DF9-4E26-A798-7F3FB7DC106E}" srcOrd="2" destOrd="0" presId="urn:microsoft.com/office/officeart/2005/8/layout/orgChart1"/>
    <dgm:cxn modelId="{9AD5D714-0EBC-4C5E-86B0-A734D027513C}" type="presParOf" srcId="{CBBA413F-BC57-421A-A0E7-9AFB8DFC7294}" destId="{D0CBF469-AD76-4649-BC6B-532B17817043}" srcOrd="4" destOrd="0" presId="urn:microsoft.com/office/officeart/2005/8/layout/orgChart1"/>
    <dgm:cxn modelId="{EF3F6508-CD56-4363-BF44-5339B38C1987}" type="presParOf" srcId="{CBBA413F-BC57-421A-A0E7-9AFB8DFC7294}" destId="{FE04CE20-C9BC-4EDA-BA6E-B27711EB97D1}" srcOrd="5" destOrd="0" presId="urn:microsoft.com/office/officeart/2005/8/layout/orgChart1"/>
    <dgm:cxn modelId="{E8675028-0491-46FD-BE82-3931F5887917}" type="presParOf" srcId="{FE04CE20-C9BC-4EDA-BA6E-B27711EB97D1}" destId="{3059E6D3-D6CE-40E7-87F4-0EBC8F8DE0BA}" srcOrd="0" destOrd="0" presId="urn:microsoft.com/office/officeart/2005/8/layout/orgChart1"/>
    <dgm:cxn modelId="{2D4956C3-B54E-4913-89F6-7667FB9E58A1}" type="presParOf" srcId="{3059E6D3-D6CE-40E7-87F4-0EBC8F8DE0BA}" destId="{54FF1939-3263-440B-B5D1-06AED47A13FE}" srcOrd="0" destOrd="0" presId="urn:microsoft.com/office/officeart/2005/8/layout/orgChart1"/>
    <dgm:cxn modelId="{730AB9B0-9A2A-4963-8300-5C8CE35E2647}" type="presParOf" srcId="{3059E6D3-D6CE-40E7-87F4-0EBC8F8DE0BA}" destId="{B6599E78-9366-4B03-8764-DAF578340D5F}" srcOrd="1" destOrd="0" presId="urn:microsoft.com/office/officeart/2005/8/layout/orgChart1"/>
    <dgm:cxn modelId="{EAC35813-D19E-477E-BEBA-8B1EBE19CDF4}" type="presParOf" srcId="{FE04CE20-C9BC-4EDA-BA6E-B27711EB97D1}" destId="{C80BC340-CB6E-4C20-8FFF-C0C5205325F0}" srcOrd="1" destOrd="0" presId="urn:microsoft.com/office/officeart/2005/8/layout/orgChart1"/>
    <dgm:cxn modelId="{5B5A415A-0002-4D08-8B71-835B1C93858C}" type="presParOf" srcId="{C80BC340-CB6E-4C20-8FFF-C0C5205325F0}" destId="{0A7AA4C0-1DB8-4DDD-8649-CABAAF41475F}" srcOrd="0" destOrd="0" presId="urn:microsoft.com/office/officeart/2005/8/layout/orgChart1"/>
    <dgm:cxn modelId="{AF3996F1-39F6-4B04-A07A-3FCD36D32D6A}" type="presParOf" srcId="{C80BC340-CB6E-4C20-8FFF-C0C5205325F0}" destId="{8268915B-947E-4F21-9BC4-5BF4D303857F}" srcOrd="1" destOrd="0" presId="urn:microsoft.com/office/officeart/2005/8/layout/orgChart1"/>
    <dgm:cxn modelId="{FDF929AF-6B95-4ADC-AF18-1B4F770DA348}" type="presParOf" srcId="{8268915B-947E-4F21-9BC4-5BF4D303857F}" destId="{04641E0E-CA12-4642-9673-1D2A9A51DD8E}" srcOrd="0" destOrd="0" presId="urn:microsoft.com/office/officeart/2005/8/layout/orgChart1"/>
    <dgm:cxn modelId="{9D4DF055-BAC0-4787-8B73-7CB57305D38E}" type="presParOf" srcId="{04641E0E-CA12-4642-9673-1D2A9A51DD8E}" destId="{0DC4AE16-3F79-4884-B666-1A44F6BFD8C3}" srcOrd="0" destOrd="0" presId="urn:microsoft.com/office/officeart/2005/8/layout/orgChart1"/>
    <dgm:cxn modelId="{75E5001B-BA09-4504-B90B-BB8A18DE7845}" type="presParOf" srcId="{04641E0E-CA12-4642-9673-1D2A9A51DD8E}" destId="{B9E43E30-D91E-4A8E-A91F-BDD6BF9FB782}" srcOrd="1" destOrd="0" presId="urn:microsoft.com/office/officeart/2005/8/layout/orgChart1"/>
    <dgm:cxn modelId="{18A6396D-6A8B-4C9D-A774-63216E868B65}" type="presParOf" srcId="{8268915B-947E-4F21-9BC4-5BF4D303857F}" destId="{B525B8ED-7D0A-4767-ADF3-39F161D68949}" srcOrd="1" destOrd="0" presId="urn:microsoft.com/office/officeart/2005/8/layout/orgChart1"/>
    <dgm:cxn modelId="{EAF340B6-EE95-4438-8E03-9DB9B1067F5C}" type="presParOf" srcId="{8268915B-947E-4F21-9BC4-5BF4D303857F}" destId="{E09EB42E-98AA-49BB-9A54-227B132BB9DF}" srcOrd="2" destOrd="0" presId="urn:microsoft.com/office/officeart/2005/8/layout/orgChart1"/>
    <dgm:cxn modelId="{2A0A5F38-BB1D-4D59-A853-635F2B6C0A3A}" type="presParOf" srcId="{FE04CE20-C9BC-4EDA-BA6E-B27711EB97D1}" destId="{687D4197-FE07-4897-B0BA-3E1BF1EAD07D}" srcOrd="2" destOrd="0" presId="urn:microsoft.com/office/officeart/2005/8/layout/orgChart1"/>
    <dgm:cxn modelId="{02EB6176-875F-43C3-BBB3-4111B81B84BC}" type="presParOf" srcId="{C446D801-1343-475F-A862-851834EF9455}" destId="{42A7CD36-8D15-4002-97DB-761CC80C7F1D}" srcOrd="2" destOrd="0" presId="urn:microsoft.com/office/officeart/2005/8/layout/orgChart1"/>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B71225-B134-4A67-8CCB-6C1B860200C1}">
      <dsp:nvSpPr>
        <dsp:cNvPr id="0" name=""/>
        <dsp:cNvSpPr/>
      </dsp:nvSpPr>
      <dsp:spPr>
        <a:xfrm>
          <a:off x="3399230"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72CFD7-DF83-4A6A-97A6-349A3D9D5EC2}">
      <dsp:nvSpPr>
        <dsp:cNvPr id="0" name=""/>
        <dsp:cNvSpPr/>
      </dsp:nvSpPr>
      <dsp:spPr>
        <a:xfrm>
          <a:off x="3399230"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179C69-1697-48C6-B7BD-3F411F9FE3A8}">
      <dsp:nvSpPr>
        <dsp:cNvPr id="0" name=""/>
        <dsp:cNvSpPr/>
      </dsp:nvSpPr>
      <dsp:spPr>
        <a:xfrm>
          <a:off x="3399230"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A9182-35B5-4155-81B4-F48E21C3297D}">
      <dsp:nvSpPr>
        <dsp:cNvPr id="0" name=""/>
        <dsp:cNvSpPr/>
      </dsp:nvSpPr>
      <dsp:spPr>
        <a:xfrm>
          <a:off x="2580351" y="478856"/>
          <a:ext cx="1201963" cy="201942"/>
        </a:xfrm>
        <a:custGeom>
          <a:avLst/>
          <a:gdLst/>
          <a:ahLst/>
          <a:cxnLst/>
          <a:rect l="0" t="0" r="0" b="0"/>
          <a:pathLst>
            <a:path>
              <a:moveTo>
                <a:pt x="0" y="0"/>
              </a:moveTo>
              <a:lnTo>
                <a:pt x="0" y="101383"/>
              </a:lnTo>
              <a:lnTo>
                <a:pt x="1201963" y="101383"/>
              </a:lnTo>
              <a:lnTo>
                <a:pt x="1201963" y="201942"/>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E5B0FC-DB05-47A0-A61C-834F3AACD8E0}">
      <dsp:nvSpPr>
        <dsp:cNvPr id="0" name=""/>
        <dsp:cNvSpPr/>
      </dsp:nvSpPr>
      <dsp:spPr>
        <a:xfrm>
          <a:off x="2240402"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00E448-1A5D-4ACD-ADF8-CAF9C7706B9B}">
      <dsp:nvSpPr>
        <dsp:cNvPr id="0" name=""/>
        <dsp:cNvSpPr/>
      </dsp:nvSpPr>
      <dsp:spPr>
        <a:xfrm>
          <a:off x="2240402"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7E3461-7CD1-44BD-A6FF-3FF2AD16A75A}">
      <dsp:nvSpPr>
        <dsp:cNvPr id="0" name=""/>
        <dsp:cNvSpPr/>
      </dsp:nvSpPr>
      <dsp:spPr>
        <a:xfrm>
          <a:off x="2240402"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A3172-0869-471F-B966-659E27E1BF4B}">
      <dsp:nvSpPr>
        <dsp:cNvPr id="0" name=""/>
        <dsp:cNvSpPr/>
      </dsp:nvSpPr>
      <dsp:spPr>
        <a:xfrm>
          <a:off x="2534631" y="478856"/>
          <a:ext cx="91440" cy="201942"/>
        </a:xfrm>
        <a:custGeom>
          <a:avLst/>
          <a:gdLst/>
          <a:ahLst/>
          <a:cxnLst/>
          <a:rect l="0" t="0" r="0" b="0"/>
          <a:pathLst>
            <a:path>
              <a:moveTo>
                <a:pt x="45720" y="0"/>
              </a:moveTo>
              <a:lnTo>
                <a:pt x="45720" y="101383"/>
              </a:lnTo>
              <a:lnTo>
                <a:pt x="88855" y="101383"/>
              </a:lnTo>
              <a:lnTo>
                <a:pt x="88855" y="201942"/>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090943-4845-4160-8EEF-1A44BF6D58A8}">
      <dsp:nvSpPr>
        <dsp:cNvPr id="0" name=""/>
        <dsp:cNvSpPr/>
      </dsp:nvSpPr>
      <dsp:spPr>
        <a:xfrm>
          <a:off x="1081574"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629B1-A88D-4B72-B552-9F82D15FEEBD}">
      <dsp:nvSpPr>
        <dsp:cNvPr id="0" name=""/>
        <dsp:cNvSpPr/>
      </dsp:nvSpPr>
      <dsp:spPr>
        <a:xfrm>
          <a:off x="1081574"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DEE751-C41A-4E46-A9A1-95A75B170EE5}">
      <dsp:nvSpPr>
        <dsp:cNvPr id="0" name=""/>
        <dsp:cNvSpPr/>
      </dsp:nvSpPr>
      <dsp:spPr>
        <a:xfrm>
          <a:off x="1081574"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2">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40A010-1159-4C86-B770-DF9D7510C199}">
      <dsp:nvSpPr>
        <dsp:cNvPr id="0" name=""/>
        <dsp:cNvSpPr/>
      </dsp:nvSpPr>
      <dsp:spPr>
        <a:xfrm>
          <a:off x="1464658" y="478856"/>
          <a:ext cx="1115692" cy="201942"/>
        </a:xfrm>
        <a:custGeom>
          <a:avLst/>
          <a:gdLst/>
          <a:ahLst/>
          <a:cxnLst/>
          <a:rect l="0" t="0" r="0" b="0"/>
          <a:pathLst>
            <a:path>
              <a:moveTo>
                <a:pt x="1115692" y="0"/>
              </a:moveTo>
              <a:lnTo>
                <a:pt x="1115692" y="101383"/>
              </a:lnTo>
              <a:lnTo>
                <a:pt x="0" y="101383"/>
              </a:lnTo>
              <a:lnTo>
                <a:pt x="0" y="201942"/>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242534-625C-4657-9FD7-2C7B984108FC}">
      <dsp:nvSpPr>
        <dsp:cNvPr id="0" name=""/>
        <dsp:cNvSpPr/>
      </dsp:nvSpPr>
      <dsp:spPr>
        <a:xfrm>
          <a:off x="2101496" y="2"/>
          <a:ext cx="957708" cy="478854"/>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latin typeface="Garamond" panose="02020404030301010803" pitchFamily="18" charset="0"/>
            </a:rPr>
            <a:t>L-CEI</a:t>
          </a:r>
          <a:endParaRPr lang="en-US" sz="900" b="1" kern="1200">
            <a:latin typeface="Garamond" panose="02020404030301010803" pitchFamily="18" charset="0"/>
          </a:endParaRPr>
        </a:p>
      </dsp:txBody>
      <dsp:txXfrm>
        <a:off x="2101496" y="2"/>
        <a:ext cx="957708" cy="478854"/>
      </dsp:txXfrm>
    </dsp:sp>
    <dsp:sp modelId="{56F4348B-4F56-4D8D-BD00-1A2544A49873}">
      <dsp:nvSpPr>
        <dsp:cNvPr id="0" name=""/>
        <dsp:cNvSpPr/>
      </dsp:nvSpPr>
      <dsp:spPr>
        <a:xfrm>
          <a:off x="985804" y="680799"/>
          <a:ext cx="957708" cy="478854"/>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panose="02020404030301010803" pitchFamily="18" charset="0"/>
            </a:rPr>
            <a:t>Economic dimension</a:t>
          </a:r>
        </a:p>
        <a:p>
          <a:pPr lvl="0" algn="ctr" defTabSz="400050">
            <a:lnSpc>
              <a:spcPct val="90000"/>
            </a:lnSpc>
            <a:spcBef>
              <a:spcPct val="0"/>
            </a:spcBef>
            <a:spcAft>
              <a:spcPct val="35000"/>
            </a:spcAft>
          </a:pPr>
          <a:r>
            <a:rPr lang="en-US" sz="900" b="1" kern="1200">
              <a:latin typeface="Garamond" panose="02020404030301010803" pitchFamily="18" charset="0"/>
            </a:rPr>
            <a:t>0.49</a:t>
          </a:r>
        </a:p>
      </dsp:txBody>
      <dsp:txXfrm>
        <a:off x="985804" y="680799"/>
        <a:ext cx="957708" cy="478854"/>
      </dsp:txXfrm>
    </dsp:sp>
    <dsp:sp modelId="{8190F667-5855-4D40-BD45-8D45E3DC2730}">
      <dsp:nvSpPr>
        <dsp:cNvPr id="0" name=""/>
        <dsp:cNvSpPr/>
      </dsp:nvSpPr>
      <dsp:spPr>
        <a:xfrm>
          <a:off x="1225231" y="1360772"/>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CSC Cost</a:t>
          </a:r>
        </a:p>
        <a:p>
          <a:pPr lvl="0" algn="ctr" defTabSz="400050">
            <a:lnSpc>
              <a:spcPct val="90000"/>
            </a:lnSpc>
            <a:spcBef>
              <a:spcPct val="0"/>
            </a:spcBef>
            <a:spcAft>
              <a:spcPct val="35000"/>
            </a:spcAft>
          </a:pPr>
          <a:r>
            <a:rPr lang="en-US" sz="900" kern="1200">
              <a:latin typeface="Garamond" panose="02020404030301010803" pitchFamily="18" charset="0"/>
            </a:rPr>
            <a:t>0.31</a:t>
          </a:r>
        </a:p>
      </dsp:txBody>
      <dsp:txXfrm>
        <a:off x="1225231" y="1360772"/>
        <a:ext cx="957708" cy="478854"/>
      </dsp:txXfrm>
    </dsp:sp>
    <dsp:sp modelId="{42D7BF0E-C750-4B83-9435-3D70C4411BAA}">
      <dsp:nvSpPr>
        <dsp:cNvPr id="0" name=""/>
        <dsp:cNvSpPr/>
      </dsp:nvSpPr>
      <dsp:spPr>
        <a:xfrm>
          <a:off x="1225231" y="2040746"/>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CSC Profit</a:t>
          </a:r>
        </a:p>
        <a:p>
          <a:pPr lvl="0" algn="ctr" defTabSz="400050">
            <a:lnSpc>
              <a:spcPct val="90000"/>
            </a:lnSpc>
            <a:spcBef>
              <a:spcPct val="0"/>
            </a:spcBef>
            <a:spcAft>
              <a:spcPct val="35000"/>
            </a:spcAft>
          </a:pPr>
          <a:r>
            <a:rPr lang="en-US" sz="900" kern="1200">
              <a:latin typeface="Garamond" panose="02020404030301010803" pitchFamily="18" charset="0"/>
            </a:rPr>
            <a:t>0.13</a:t>
          </a:r>
        </a:p>
      </dsp:txBody>
      <dsp:txXfrm>
        <a:off x="1225231" y="2040746"/>
        <a:ext cx="957708" cy="478854"/>
      </dsp:txXfrm>
    </dsp:sp>
    <dsp:sp modelId="{1FFA54A7-09B8-45E4-ACE3-E605EF600CCE}">
      <dsp:nvSpPr>
        <dsp:cNvPr id="0" name=""/>
        <dsp:cNvSpPr/>
      </dsp:nvSpPr>
      <dsp:spPr>
        <a:xfrm>
          <a:off x="1225231" y="2720719"/>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Time Responsiveness</a:t>
          </a:r>
        </a:p>
        <a:p>
          <a:pPr lvl="0" algn="ctr" defTabSz="400050">
            <a:lnSpc>
              <a:spcPct val="90000"/>
            </a:lnSpc>
            <a:spcBef>
              <a:spcPct val="0"/>
            </a:spcBef>
            <a:spcAft>
              <a:spcPct val="35000"/>
            </a:spcAft>
          </a:pPr>
          <a:r>
            <a:rPr lang="en-US" sz="900" kern="1200">
              <a:latin typeface="Garamond" panose="02020404030301010803" pitchFamily="18" charset="0"/>
            </a:rPr>
            <a:t>0.05</a:t>
          </a:r>
        </a:p>
      </dsp:txBody>
      <dsp:txXfrm>
        <a:off x="1225231" y="2720719"/>
        <a:ext cx="957708" cy="478854"/>
      </dsp:txXfrm>
    </dsp:sp>
    <dsp:sp modelId="{E82BEE86-0F83-460D-B1FD-A1B2558E67EC}">
      <dsp:nvSpPr>
        <dsp:cNvPr id="0" name=""/>
        <dsp:cNvSpPr/>
      </dsp:nvSpPr>
      <dsp:spPr>
        <a:xfrm>
          <a:off x="2144631" y="680799"/>
          <a:ext cx="957708" cy="478854"/>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panose="02020404030301010803" pitchFamily="18" charset="0"/>
            </a:rPr>
            <a:t>Environmental dimension</a:t>
          </a:r>
        </a:p>
        <a:p>
          <a:pPr lvl="0" algn="ctr" defTabSz="400050">
            <a:lnSpc>
              <a:spcPct val="90000"/>
            </a:lnSpc>
            <a:spcBef>
              <a:spcPct val="0"/>
            </a:spcBef>
            <a:spcAft>
              <a:spcPct val="35000"/>
            </a:spcAft>
          </a:pPr>
          <a:r>
            <a:rPr lang="en-US" sz="900" b="1" kern="1200">
              <a:latin typeface="Garamond" panose="02020404030301010803" pitchFamily="18" charset="0"/>
            </a:rPr>
            <a:t>0.40</a:t>
          </a:r>
        </a:p>
      </dsp:txBody>
      <dsp:txXfrm>
        <a:off x="2144631" y="680799"/>
        <a:ext cx="957708" cy="478854"/>
      </dsp:txXfrm>
    </dsp:sp>
    <dsp:sp modelId="{2EF81D41-5739-4240-9CD3-0E05B765B21E}">
      <dsp:nvSpPr>
        <dsp:cNvPr id="0" name=""/>
        <dsp:cNvSpPr/>
      </dsp:nvSpPr>
      <dsp:spPr>
        <a:xfrm>
          <a:off x="2384059" y="1360772"/>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CO</a:t>
          </a:r>
          <a:r>
            <a:rPr lang="en-US" sz="900" kern="1200" baseline="-25000">
              <a:latin typeface="Garamond" panose="02020404030301010803" pitchFamily="18" charset="0"/>
            </a:rPr>
            <a:t>2</a:t>
          </a:r>
          <a:r>
            <a:rPr lang="en-US" sz="900" kern="1200" baseline="0">
              <a:latin typeface="Garamond" panose="02020404030301010803" pitchFamily="18" charset="0"/>
            </a:rPr>
            <a:t>eq. Emissions</a:t>
          </a:r>
        </a:p>
        <a:p>
          <a:pPr lvl="0" algn="ctr" defTabSz="400050">
            <a:lnSpc>
              <a:spcPct val="90000"/>
            </a:lnSpc>
            <a:spcBef>
              <a:spcPct val="0"/>
            </a:spcBef>
            <a:spcAft>
              <a:spcPct val="35000"/>
            </a:spcAft>
          </a:pPr>
          <a:r>
            <a:rPr lang="en-US" sz="900" kern="1200" baseline="0">
              <a:latin typeface="Garamond" panose="02020404030301010803" pitchFamily="18" charset="0"/>
            </a:rPr>
            <a:t>0.25</a:t>
          </a:r>
          <a:endParaRPr lang="en-US" sz="900" kern="1200">
            <a:latin typeface="Garamond" panose="02020404030301010803" pitchFamily="18" charset="0"/>
          </a:endParaRPr>
        </a:p>
      </dsp:txBody>
      <dsp:txXfrm>
        <a:off x="2384059" y="1360772"/>
        <a:ext cx="957708" cy="478854"/>
      </dsp:txXfrm>
    </dsp:sp>
    <dsp:sp modelId="{64A02EFE-4A48-40D2-A024-C12F8614B428}">
      <dsp:nvSpPr>
        <dsp:cNvPr id="0" name=""/>
        <dsp:cNvSpPr/>
      </dsp:nvSpPr>
      <dsp:spPr>
        <a:xfrm>
          <a:off x="2384059" y="2040746"/>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Energy use</a:t>
          </a:r>
        </a:p>
        <a:p>
          <a:pPr lvl="0" algn="ctr" defTabSz="400050">
            <a:lnSpc>
              <a:spcPct val="90000"/>
            </a:lnSpc>
            <a:spcBef>
              <a:spcPct val="0"/>
            </a:spcBef>
            <a:spcAft>
              <a:spcPct val="35000"/>
            </a:spcAft>
          </a:pPr>
          <a:r>
            <a:rPr lang="en-US" sz="900" kern="1200">
              <a:latin typeface="Garamond" panose="02020404030301010803" pitchFamily="18" charset="0"/>
            </a:rPr>
            <a:t>0.08</a:t>
          </a:r>
        </a:p>
      </dsp:txBody>
      <dsp:txXfrm>
        <a:off x="2384059" y="2040746"/>
        <a:ext cx="957708" cy="478854"/>
      </dsp:txXfrm>
    </dsp:sp>
    <dsp:sp modelId="{2E9C1B9F-DF5C-45F4-8F07-7C19FC95FF1A}">
      <dsp:nvSpPr>
        <dsp:cNvPr id="0" name=""/>
        <dsp:cNvSpPr/>
      </dsp:nvSpPr>
      <dsp:spPr>
        <a:xfrm>
          <a:off x="2384059" y="2720719"/>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Virgin Resource Use</a:t>
          </a:r>
        </a:p>
        <a:p>
          <a:pPr lvl="0" algn="ctr" defTabSz="400050">
            <a:lnSpc>
              <a:spcPct val="90000"/>
            </a:lnSpc>
            <a:spcBef>
              <a:spcPct val="0"/>
            </a:spcBef>
            <a:spcAft>
              <a:spcPct val="35000"/>
            </a:spcAft>
          </a:pPr>
          <a:r>
            <a:rPr lang="en-US" sz="900" kern="1200">
              <a:latin typeface="Garamond" panose="02020404030301010803" pitchFamily="18" charset="0"/>
            </a:rPr>
            <a:t>0.07</a:t>
          </a:r>
        </a:p>
      </dsp:txBody>
      <dsp:txXfrm>
        <a:off x="2384059" y="2720719"/>
        <a:ext cx="957708" cy="478854"/>
      </dsp:txXfrm>
    </dsp:sp>
    <dsp:sp modelId="{94E96053-2390-4AD6-853B-189CADE8B145}">
      <dsp:nvSpPr>
        <dsp:cNvPr id="0" name=""/>
        <dsp:cNvSpPr/>
      </dsp:nvSpPr>
      <dsp:spPr>
        <a:xfrm>
          <a:off x="3303459" y="680799"/>
          <a:ext cx="957708" cy="478854"/>
        </a:xfrm>
        <a:prstGeom prst="rect">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panose="02020404030301010803" pitchFamily="18" charset="0"/>
            </a:rPr>
            <a:t>Social </a:t>
          </a:r>
          <a:br>
            <a:rPr lang="en-US" sz="900" b="1" kern="1200">
              <a:latin typeface="Garamond" panose="02020404030301010803" pitchFamily="18" charset="0"/>
            </a:rPr>
          </a:br>
          <a:r>
            <a:rPr lang="en-US" sz="900" b="1" kern="1200">
              <a:latin typeface="Garamond" panose="02020404030301010803" pitchFamily="18" charset="0"/>
            </a:rPr>
            <a:t>dimension</a:t>
          </a:r>
        </a:p>
        <a:p>
          <a:pPr lvl="0" algn="ctr" defTabSz="400050">
            <a:lnSpc>
              <a:spcPct val="90000"/>
            </a:lnSpc>
            <a:spcBef>
              <a:spcPct val="0"/>
            </a:spcBef>
            <a:spcAft>
              <a:spcPct val="35000"/>
            </a:spcAft>
          </a:pPr>
          <a:r>
            <a:rPr lang="en-US" sz="900" b="1" kern="1200">
              <a:latin typeface="Garamond" panose="02020404030301010803" pitchFamily="18" charset="0"/>
            </a:rPr>
            <a:t>0.11</a:t>
          </a:r>
        </a:p>
      </dsp:txBody>
      <dsp:txXfrm>
        <a:off x="3303459" y="680799"/>
        <a:ext cx="957708" cy="478854"/>
      </dsp:txXfrm>
    </dsp:sp>
    <dsp:sp modelId="{AAA5E3D3-A99E-4713-805B-577C50788D8A}">
      <dsp:nvSpPr>
        <dsp:cNvPr id="0" name=""/>
        <dsp:cNvSpPr/>
      </dsp:nvSpPr>
      <dsp:spPr>
        <a:xfrm>
          <a:off x="3542887" y="1360772"/>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CSC Jobs created</a:t>
          </a:r>
        </a:p>
        <a:p>
          <a:pPr lvl="0" algn="ctr" defTabSz="400050">
            <a:lnSpc>
              <a:spcPct val="90000"/>
            </a:lnSpc>
            <a:spcBef>
              <a:spcPct val="0"/>
            </a:spcBef>
            <a:spcAft>
              <a:spcPct val="35000"/>
            </a:spcAft>
          </a:pPr>
          <a:r>
            <a:rPr lang="en-US" sz="900" kern="1200">
              <a:latin typeface="Garamond" panose="02020404030301010803" pitchFamily="18" charset="0"/>
            </a:rPr>
            <a:t>0.05</a:t>
          </a:r>
        </a:p>
      </dsp:txBody>
      <dsp:txXfrm>
        <a:off x="3542887" y="1360772"/>
        <a:ext cx="957708" cy="478854"/>
      </dsp:txXfrm>
    </dsp:sp>
    <dsp:sp modelId="{A8A69D67-68AD-41EA-A899-7BFED09BF97D}">
      <dsp:nvSpPr>
        <dsp:cNvPr id="0" name=""/>
        <dsp:cNvSpPr/>
      </dsp:nvSpPr>
      <dsp:spPr>
        <a:xfrm>
          <a:off x="3542887" y="2040746"/>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Health &amp; Safety Compliance</a:t>
          </a:r>
        </a:p>
        <a:p>
          <a:pPr lvl="0" algn="ctr" defTabSz="400050">
            <a:lnSpc>
              <a:spcPct val="90000"/>
            </a:lnSpc>
            <a:spcBef>
              <a:spcPct val="0"/>
            </a:spcBef>
            <a:spcAft>
              <a:spcPct val="35000"/>
            </a:spcAft>
          </a:pPr>
          <a:r>
            <a:rPr lang="en-US" sz="900" kern="1200">
              <a:latin typeface="Garamond" panose="02020404030301010803" pitchFamily="18" charset="0"/>
            </a:rPr>
            <a:t>0.03</a:t>
          </a:r>
        </a:p>
      </dsp:txBody>
      <dsp:txXfrm>
        <a:off x="3542887" y="2040746"/>
        <a:ext cx="957708" cy="478854"/>
      </dsp:txXfrm>
    </dsp:sp>
    <dsp:sp modelId="{BA9F1F37-44A7-470F-8552-C1C642344EC0}">
      <dsp:nvSpPr>
        <dsp:cNvPr id="0" name=""/>
        <dsp:cNvSpPr/>
      </dsp:nvSpPr>
      <dsp:spPr>
        <a:xfrm>
          <a:off x="3542887" y="2720719"/>
          <a:ext cx="957708" cy="478854"/>
        </a:xfrm>
        <a:prstGeom prst="rect">
          <a:avLst/>
        </a:prstGeom>
        <a:solidFill>
          <a:schemeClr val="accent2">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Quality of work</a:t>
          </a:r>
        </a:p>
        <a:p>
          <a:pPr lvl="0" algn="ctr" defTabSz="400050">
            <a:lnSpc>
              <a:spcPct val="90000"/>
            </a:lnSpc>
            <a:spcBef>
              <a:spcPct val="0"/>
            </a:spcBef>
            <a:spcAft>
              <a:spcPct val="35000"/>
            </a:spcAft>
          </a:pPr>
          <a:r>
            <a:rPr lang="en-US" sz="900" kern="1200">
              <a:latin typeface="Garamond" panose="02020404030301010803" pitchFamily="18" charset="0"/>
            </a:rPr>
            <a:t>0.03</a:t>
          </a:r>
        </a:p>
      </dsp:txBody>
      <dsp:txXfrm>
        <a:off x="3542887" y="2720719"/>
        <a:ext cx="957708" cy="4788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7AA4C0-1DB8-4DDD-8649-CABAAF41475F}">
      <dsp:nvSpPr>
        <dsp:cNvPr id="0" name=""/>
        <dsp:cNvSpPr/>
      </dsp:nvSpPr>
      <dsp:spPr>
        <a:xfrm>
          <a:off x="3399230"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CBF469-AD76-4649-BC6B-532B17817043}">
      <dsp:nvSpPr>
        <dsp:cNvPr id="0" name=""/>
        <dsp:cNvSpPr/>
      </dsp:nvSpPr>
      <dsp:spPr>
        <a:xfrm>
          <a:off x="2623486" y="479680"/>
          <a:ext cx="1158827" cy="201118"/>
        </a:xfrm>
        <a:custGeom>
          <a:avLst/>
          <a:gdLst/>
          <a:ahLst/>
          <a:cxnLst/>
          <a:rect l="0" t="0" r="0" b="0"/>
          <a:pathLst>
            <a:path>
              <a:moveTo>
                <a:pt x="0" y="0"/>
              </a:moveTo>
              <a:lnTo>
                <a:pt x="0" y="100559"/>
              </a:lnTo>
              <a:lnTo>
                <a:pt x="1158827" y="100559"/>
              </a:lnTo>
              <a:lnTo>
                <a:pt x="1158827" y="20111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CF74C0-5B33-4C7E-A6C6-0FF7DC580E01}">
      <dsp:nvSpPr>
        <dsp:cNvPr id="0" name=""/>
        <dsp:cNvSpPr/>
      </dsp:nvSpPr>
      <dsp:spPr>
        <a:xfrm>
          <a:off x="2240402"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FD96F4-515B-4C8B-96C8-D75CE4E0F871}">
      <dsp:nvSpPr>
        <dsp:cNvPr id="0" name=""/>
        <dsp:cNvSpPr/>
      </dsp:nvSpPr>
      <dsp:spPr>
        <a:xfrm>
          <a:off x="2240402"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40C8C4-E97D-406E-92D8-4423B2ED43F7}">
      <dsp:nvSpPr>
        <dsp:cNvPr id="0" name=""/>
        <dsp:cNvSpPr/>
      </dsp:nvSpPr>
      <dsp:spPr>
        <a:xfrm>
          <a:off x="2240402"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E521D1-9CEA-48E2-9C0D-6790B633063C}">
      <dsp:nvSpPr>
        <dsp:cNvPr id="0" name=""/>
        <dsp:cNvSpPr/>
      </dsp:nvSpPr>
      <dsp:spPr>
        <a:xfrm>
          <a:off x="2577766" y="479680"/>
          <a:ext cx="91440" cy="201118"/>
        </a:xfrm>
        <a:custGeom>
          <a:avLst/>
          <a:gdLst/>
          <a:ahLst/>
          <a:cxnLst/>
          <a:rect l="0" t="0" r="0" b="0"/>
          <a:pathLst>
            <a:path>
              <a:moveTo>
                <a:pt x="45720" y="0"/>
              </a:moveTo>
              <a:lnTo>
                <a:pt x="45720" y="20111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7636BA-72A7-4334-ABE8-E0DBC2D9874C}">
      <dsp:nvSpPr>
        <dsp:cNvPr id="0" name=""/>
        <dsp:cNvSpPr/>
      </dsp:nvSpPr>
      <dsp:spPr>
        <a:xfrm>
          <a:off x="1081574" y="1159653"/>
          <a:ext cx="143656" cy="1800492"/>
        </a:xfrm>
        <a:custGeom>
          <a:avLst/>
          <a:gdLst/>
          <a:ahLst/>
          <a:cxnLst/>
          <a:rect l="0" t="0" r="0" b="0"/>
          <a:pathLst>
            <a:path>
              <a:moveTo>
                <a:pt x="0" y="0"/>
              </a:moveTo>
              <a:lnTo>
                <a:pt x="0" y="1800492"/>
              </a:lnTo>
              <a:lnTo>
                <a:pt x="143656" y="1800492"/>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59B919-F69E-4C15-AE2C-1A2E088BB123}">
      <dsp:nvSpPr>
        <dsp:cNvPr id="0" name=""/>
        <dsp:cNvSpPr/>
      </dsp:nvSpPr>
      <dsp:spPr>
        <a:xfrm>
          <a:off x="1081574" y="1159653"/>
          <a:ext cx="143656" cy="1120519"/>
        </a:xfrm>
        <a:custGeom>
          <a:avLst/>
          <a:gdLst/>
          <a:ahLst/>
          <a:cxnLst/>
          <a:rect l="0" t="0" r="0" b="0"/>
          <a:pathLst>
            <a:path>
              <a:moveTo>
                <a:pt x="0" y="0"/>
              </a:moveTo>
              <a:lnTo>
                <a:pt x="0" y="1120519"/>
              </a:lnTo>
              <a:lnTo>
                <a:pt x="143656" y="112051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BAF832-787A-4D3B-9DC7-885740A0B147}">
      <dsp:nvSpPr>
        <dsp:cNvPr id="0" name=""/>
        <dsp:cNvSpPr/>
      </dsp:nvSpPr>
      <dsp:spPr>
        <a:xfrm>
          <a:off x="1081574" y="1159653"/>
          <a:ext cx="143656" cy="440546"/>
        </a:xfrm>
        <a:custGeom>
          <a:avLst/>
          <a:gdLst/>
          <a:ahLst/>
          <a:cxnLst/>
          <a:rect l="0" t="0" r="0" b="0"/>
          <a:pathLst>
            <a:path>
              <a:moveTo>
                <a:pt x="0" y="0"/>
              </a:moveTo>
              <a:lnTo>
                <a:pt x="0" y="440546"/>
              </a:lnTo>
              <a:lnTo>
                <a:pt x="143656" y="440546"/>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ABA7D8-30B9-4D1A-AA8A-1EFABEBF187F}">
      <dsp:nvSpPr>
        <dsp:cNvPr id="0" name=""/>
        <dsp:cNvSpPr/>
      </dsp:nvSpPr>
      <dsp:spPr>
        <a:xfrm>
          <a:off x="1464658" y="479680"/>
          <a:ext cx="1158827" cy="201118"/>
        </a:xfrm>
        <a:custGeom>
          <a:avLst/>
          <a:gdLst/>
          <a:ahLst/>
          <a:cxnLst/>
          <a:rect l="0" t="0" r="0" b="0"/>
          <a:pathLst>
            <a:path>
              <a:moveTo>
                <a:pt x="1158827" y="0"/>
              </a:moveTo>
              <a:lnTo>
                <a:pt x="1158827" y="100559"/>
              </a:lnTo>
              <a:lnTo>
                <a:pt x="0" y="100559"/>
              </a:lnTo>
              <a:lnTo>
                <a:pt x="0" y="201118"/>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151BDF-802C-4A0D-B6F9-A8ED238CD863}">
      <dsp:nvSpPr>
        <dsp:cNvPr id="0" name=""/>
        <dsp:cNvSpPr/>
      </dsp:nvSpPr>
      <dsp:spPr>
        <a:xfrm>
          <a:off x="2144631" y="825"/>
          <a:ext cx="957708" cy="478854"/>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Garamond" panose="02020404030301010803" pitchFamily="18" charset="0"/>
            </a:rPr>
            <a:t>I-CEI</a:t>
          </a:r>
          <a:endParaRPr lang="en-US" sz="800" b="1" kern="1200">
            <a:latin typeface="Garamond" panose="02020404030301010803" pitchFamily="18" charset="0"/>
          </a:endParaRPr>
        </a:p>
      </dsp:txBody>
      <dsp:txXfrm>
        <a:off x="2144631" y="825"/>
        <a:ext cx="957708" cy="478854"/>
      </dsp:txXfrm>
    </dsp:sp>
    <dsp:sp modelId="{DC018765-1844-42BF-96F4-C673E6C4D4FF}">
      <dsp:nvSpPr>
        <dsp:cNvPr id="0" name=""/>
        <dsp:cNvSpPr/>
      </dsp:nvSpPr>
      <dsp:spPr>
        <a:xfrm>
          <a:off x="985804" y="680799"/>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panose="02020404030301010803" pitchFamily="18" charset="0"/>
            </a:rPr>
            <a:t>Economic dimension</a:t>
          </a:r>
        </a:p>
        <a:p>
          <a:pPr lvl="0" algn="ctr" defTabSz="400050">
            <a:lnSpc>
              <a:spcPct val="90000"/>
            </a:lnSpc>
            <a:spcBef>
              <a:spcPct val="0"/>
            </a:spcBef>
            <a:spcAft>
              <a:spcPct val="35000"/>
            </a:spcAft>
          </a:pPr>
          <a:r>
            <a:rPr lang="en-US" sz="900" b="1" kern="1200">
              <a:latin typeface="Garamond" panose="02020404030301010803" pitchFamily="18" charset="0"/>
            </a:rPr>
            <a:t>0.27</a:t>
          </a:r>
        </a:p>
      </dsp:txBody>
      <dsp:txXfrm>
        <a:off x="985804" y="680799"/>
        <a:ext cx="957708" cy="478854"/>
      </dsp:txXfrm>
    </dsp:sp>
    <dsp:sp modelId="{8ED271F8-2244-450E-8361-09B4DF1CED5F}">
      <dsp:nvSpPr>
        <dsp:cNvPr id="0" name=""/>
        <dsp:cNvSpPr/>
      </dsp:nvSpPr>
      <dsp:spPr>
        <a:xfrm>
          <a:off x="1225231" y="1360772"/>
          <a:ext cx="957708" cy="478854"/>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Revenues from 'green products' </a:t>
          </a:r>
        </a:p>
        <a:p>
          <a:pPr lvl="0" algn="ctr" defTabSz="400050">
            <a:lnSpc>
              <a:spcPct val="90000"/>
            </a:lnSpc>
            <a:spcBef>
              <a:spcPct val="0"/>
            </a:spcBef>
            <a:spcAft>
              <a:spcPct val="35000"/>
            </a:spcAft>
          </a:pPr>
          <a:r>
            <a:rPr lang="en-US" sz="900" kern="1200">
              <a:latin typeface="Garamond" panose="02020404030301010803" pitchFamily="18" charset="0"/>
            </a:rPr>
            <a:t>0.03</a:t>
          </a:r>
        </a:p>
      </dsp:txBody>
      <dsp:txXfrm>
        <a:off x="1225231" y="1360772"/>
        <a:ext cx="957708" cy="478854"/>
      </dsp:txXfrm>
    </dsp:sp>
    <dsp:sp modelId="{08332F49-33C6-4904-9FD9-A1347FAA5E6D}">
      <dsp:nvSpPr>
        <dsp:cNvPr id="0" name=""/>
        <dsp:cNvSpPr/>
      </dsp:nvSpPr>
      <dsp:spPr>
        <a:xfrm>
          <a:off x="1225231" y="2040746"/>
          <a:ext cx="957708" cy="478854"/>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Investments in sustainable solutions</a:t>
          </a:r>
        </a:p>
        <a:p>
          <a:pPr lvl="0" algn="ctr" defTabSz="400050">
            <a:lnSpc>
              <a:spcPct val="90000"/>
            </a:lnSpc>
            <a:spcBef>
              <a:spcPct val="0"/>
            </a:spcBef>
            <a:spcAft>
              <a:spcPct val="35000"/>
            </a:spcAft>
          </a:pPr>
          <a:r>
            <a:rPr lang="en-US" sz="900" kern="1200">
              <a:latin typeface="Garamond" panose="02020404030301010803" pitchFamily="18" charset="0"/>
            </a:rPr>
            <a:t>0.15</a:t>
          </a:r>
        </a:p>
      </dsp:txBody>
      <dsp:txXfrm>
        <a:off x="1225231" y="2040746"/>
        <a:ext cx="957708" cy="478854"/>
      </dsp:txXfrm>
    </dsp:sp>
    <dsp:sp modelId="{E1029BA6-CF90-4704-A2D6-9254F89DBB10}">
      <dsp:nvSpPr>
        <dsp:cNvPr id="0" name=""/>
        <dsp:cNvSpPr/>
      </dsp:nvSpPr>
      <dsp:spPr>
        <a:xfrm>
          <a:off x="1225231" y="2720719"/>
          <a:ext cx="957708" cy="478854"/>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Capital dis-invested from C-I-S</a:t>
          </a:r>
        </a:p>
        <a:p>
          <a:pPr lvl="0" algn="ctr" defTabSz="400050">
            <a:lnSpc>
              <a:spcPct val="90000"/>
            </a:lnSpc>
            <a:spcBef>
              <a:spcPct val="0"/>
            </a:spcBef>
            <a:spcAft>
              <a:spcPct val="35000"/>
            </a:spcAft>
          </a:pPr>
          <a:r>
            <a:rPr lang="en-US" sz="900" kern="1200">
              <a:latin typeface="Garamond" panose="02020404030301010803" pitchFamily="18" charset="0"/>
            </a:rPr>
            <a:t>0.09</a:t>
          </a:r>
        </a:p>
      </dsp:txBody>
      <dsp:txXfrm>
        <a:off x="1225231" y="2720719"/>
        <a:ext cx="957708" cy="478854"/>
      </dsp:txXfrm>
    </dsp:sp>
    <dsp:sp modelId="{FE94E73D-F4D6-4161-9306-3064D4F61FEC}">
      <dsp:nvSpPr>
        <dsp:cNvPr id="0" name=""/>
        <dsp:cNvSpPr/>
      </dsp:nvSpPr>
      <dsp:spPr>
        <a:xfrm>
          <a:off x="2144631" y="680799"/>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panose="02020404030301010803" pitchFamily="18" charset="0"/>
            </a:rPr>
            <a:t>Environmental dimension</a:t>
          </a:r>
        </a:p>
        <a:p>
          <a:pPr lvl="0" algn="ctr" defTabSz="400050">
            <a:lnSpc>
              <a:spcPct val="90000"/>
            </a:lnSpc>
            <a:spcBef>
              <a:spcPct val="0"/>
            </a:spcBef>
            <a:spcAft>
              <a:spcPct val="35000"/>
            </a:spcAft>
          </a:pPr>
          <a:r>
            <a:rPr lang="en-US" sz="900" b="1" kern="1200">
              <a:latin typeface="Garamond" panose="02020404030301010803" pitchFamily="18" charset="0"/>
            </a:rPr>
            <a:t>0.67</a:t>
          </a:r>
        </a:p>
      </dsp:txBody>
      <dsp:txXfrm>
        <a:off x="2144631" y="680799"/>
        <a:ext cx="957708" cy="478854"/>
      </dsp:txXfrm>
    </dsp:sp>
    <dsp:sp modelId="{53FDF560-156D-4315-8657-C7E9127D22B2}">
      <dsp:nvSpPr>
        <dsp:cNvPr id="0" name=""/>
        <dsp:cNvSpPr/>
      </dsp:nvSpPr>
      <dsp:spPr>
        <a:xfrm>
          <a:off x="2384059" y="1360772"/>
          <a:ext cx="957708" cy="478854"/>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CO</a:t>
          </a:r>
          <a:r>
            <a:rPr lang="en-US" sz="900" kern="1200" baseline="-25000">
              <a:latin typeface="Garamond" panose="02020404030301010803" pitchFamily="18" charset="0"/>
            </a:rPr>
            <a:t>2</a:t>
          </a:r>
          <a:r>
            <a:rPr lang="en-US" sz="900" kern="1200" baseline="0">
              <a:latin typeface="Garamond" panose="02020404030301010803" pitchFamily="18" charset="0"/>
            </a:rPr>
            <a:t>eq. Emissions</a:t>
          </a:r>
        </a:p>
        <a:p>
          <a:pPr lvl="0" algn="ctr" defTabSz="400050">
            <a:lnSpc>
              <a:spcPct val="90000"/>
            </a:lnSpc>
            <a:spcBef>
              <a:spcPct val="0"/>
            </a:spcBef>
            <a:spcAft>
              <a:spcPct val="35000"/>
            </a:spcAft>
          </a:pPr>
          <a:r>
            <a:rPr lang="en-US" sz="900" kern="1200">
              <a:latin typeface="Garamond" panose="02020404030301010803" pitchFamily="18" charset="0"/>
            </a:rPr>
            <a:t>0.23</a:t>
          </a:r>
        </a:p>
      </dsp:txBody>
      <dsp:txXfrm>
        <a:off x="2384059" y="1360772"/>
        <a:ext cx="957708" cy="478854"/>
      </dsp:txXfrm>
    </dsp:sp>
    <dsp:sp modelId="{DFEAF9A7-4D3D-41C5-925D-3B50FB31124E}">
      <dsp:nvSpPr>
        <dsp:cNvPr id="0" name=""/>
        <dsp:cNvSpPr/>
      </dsp:nvSpPr>
      <dsp:spPr>
        <a:xfrm>
          <a:off x="2384059" y="2040746"/>
          <a:ext cx="957708" cy="478854"/>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Energy use</a:t>
          </a:r>
        </a:p>
        <a:p>
          <a:pPr lvl="0" algn="ctr" defTabSz="400050">
            <a:lnSpc>
              <a:spcPct val="90000"/>
            </a:lnSpc>
            <a:spcBef>
              <a:spcPct val="0"/>
            </a:spcBef>
            <a:spcAft>
              <a:spcPct val="35000"/>
            </a:spcAft>
          </a:pPr>
          <a:r>
            <a:rPr lang="en-US" sz="900" kern="1200">
              <a:latin typeface="Garamond" panose="02020404030301010803" pitchFamily="18" charset="0"/>
            </a:rPr>
            <a:t>0.23</a:t>
          </a:r>
        </a:p>
      </dsp:txBody>
      <dsp:txXfrm>
        <a:off x="2384059" y="2040746"/>
        <a:ext cx="957708" cy="478854"/>
      </dsp:txXfrm>
    </dsp:sp>
    <dsp:sp modelId="{FB57A35E-3F8E-480C-9C4D-7111B641985A}">
      <dsp:nvSpPr>
        <dsp:cNvPr id="0" name=""/>
        <dsp:cNvSpPr/>
      </dsp:nvSpPr>
      <dsp:spPr>
        <a:xfrm>
          <a:off x="2384059" y="2720719"/>
          <a:ext cx="957708" cy="478854"/>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Water Use</a:t>
          </a:r>
        </a:p>
        <a:p>
          <a:pPr lvl="0" algn="ctr" defTabSz="400050">
            <a:lnSpc>
              <a:spcPct val="90000"/>
            </a:lnSpc>
            <a:spcBef>
              <a:spcPct val="0"/>
            </a:spcBef>
            <a:spcAft>
              <a:spcPct val="35000"/>
            </a:spcAft>
          </a:pPr>
          <a:r>
            <a:rPr lang="en-US" sz="900" kern="1200">
              <a:latin typeface="Garamond" panose="02020404030301010803" pitchFamily="18" charset="0"/>
            </a:rPr>
            <a:t>0.21</a:t>
          </a:r>
        </a:p>
      </dsp:txBody>
      <dsp:txXfrm>
        <a:off x="2384059" y="2720719"/>
        <a:ext cx="957708" cy="478854"/>
      </dsp:txXfrm>
    </dsp:sp>
    <dsp:sp modelId="{54FF1939-3263-440B-B5D1-06AED47A13FE}">
      <dsp:nvSpPr>
        <dsp:cNvPr id="0" name=""/>
        <dsp:cNvSpPr/>
      </dsp:nvSpPr>
      <dsp:spPr>
        <a:xfrm>
          <a:off x="3303459" y="680799"/>
          <a:ext cx="957708" cy="478854"/>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Garamond" panose="02020404030301010803" pitchFamily="18" charset="0"/>
            </a:rPr>
            <a:t>Social </a:t>
          </a:r>
          <a:br>
            <a:rPr lang="en-US" sz="900" b="1" kern="1200">
              <a:latin typeface="Garamond" panose="02020404030301010803" pitchFamily="18" charset="0"/>
            </a:rPr>
          </a:br>
          <a:r>
            <a:rPr lang="en-US" sz="900" b="1" kern="1200">
              <a:latin typeface="Garamond" panose="02020404030301010803" pitchFamily="18" charset="0"/>
            </a:rPr>
            <a:t>dimension</a:t>
          </a:r>
        </a:p>
        <a:p>
          <a:pPr lvl="0" algn="ctr" defTabSz="400050">
            <a:lnSpc>
              <a:spcPct val="90000"/>
            </a:lnSpc>
            <a:spcBef>
              <a:spcPct val="0"/>
            </a:spcBef>
            <a:spcAft>
              <a:spcPct val="35000"/>
            </a:spcAft>
          </a:pPr>
          <a:r>
            <a:rPr lang="en-US" sz="900" b="1" kern="1200">
              <a:latin typeface="Garamond" panose="02020404030301010803" pitchFamily="18" charset="0"/>
            </a:rPr>
            <a:t>0.06</a:t>
          </a:r>
        </a:p>
      </dsp:txBody>
      <dsp:txXfrm>
        <a:off x="3303459" y="680799"/>
        <a:ext cx="957708" cy="478854"/>
      </dsp:txXfrm>
    </dsp:sp>
    <dsp:sp modelId="{0DC4AE16-3F79-4884-B666-1A44F6BFD8C3}">
      <dsp:nvSpPr>
        <dsp:cNvPr id="0" name=""/>
        <dsp:cNvSpPr/>
      </dsp:nvSpPr>
      <dsp:spPr>
        <a:xfrm>
          <a:off x="3542887" y="1360772"/>
          <a:ext cx="957708" cy="478854"/>
        </a:xfrm>
        <a:prstGeom prst="rect">
          <a:avLst/>
        </a:prstGeom>
        <a:solidFill>
          <a:schemeClr val="accent1">
            <a:tint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Garamond" panose="02020404030301010803" pitchFamily="18" charset="0"/>
            </a:rPr>
            <a:t>'green' jobs created</a:t>
          </a:r>
        </a:p>
        <a:p>
          <a:pPr lvl="0" algn="ctr" defTabSz="400050">
            <a:lnSpc>
              <a:spcPct val="90000"/>
            </a:lnSpc>
            <a:spcBef>
              <a:spcPct val="0"/>
            </a:spcBef>
            <a:spcAft>
              <a:spcPct val="35000"/>
            </a:spcAft>
          </a:pPr>
          <a:r>
            <a:rPr lang="en-US" sz="900" kern="1200">
              <a:latin typeface="Garamond" panose="02020404030301010803" pitchFamily="18" charset="0"/>
            </a:rPr>
            <a:t>0.06</a:t>
          </a:r>
        </a:p>
      </dsp:txBody>
      <dsp:txXfrm>
        <a:off x="3542887" y="1360772"/>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0.31528</cdr:x>
      <cdr:y>0.0787</cdr:y>
    </cdr:from>
    <cdr:to>
      <cdr:x>0.51528</cdr:x>
      <cdr:y>0.41204</cdr:y>
    </cdr:to>
    <cdr:sp macro="" textlink="">
      <cdr:nvSpPr>
        <cdr:cNvPr id="2" name="Text Box 1"/>
        <cdr:cNvSpPr txBox="1"/>
      </cdr:nvSpPr>
      <cdr:spPr>
        <a:xfrm xmlns:a="http://schemas.openxmlformats.org/drawingml/2006/main">
          <a:off x="1441450" y="215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0.16196</cdr:x>
      <cdr:y>0.02778</cdr:y>
    </cdr:from>
    <cdr:to>
      <cdr:x>0.85673</cdr:x>
      <cdr:y>0.11658</cdr:y>
    </cdr:to>
    <cdr:sp macro="" textlink="">
      <cdr:nvSpPr>
        <cdr:cNvPr id="3" name="Text Box 2"/>
        <cdr:cNvSpPr txBox="1"/>
      </cdr:nvSpPr>
      <cdr:spPr>
        <a:xfrm xmlns:a="http://schemas.openxmlformats.org/drawingml/2006/main">
          <a:off x="710670" y="68092"/>
          <a:ext cx="3048530" cy="21765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GB" sz="1000">
              <a:latin typeface="Times New Roman" panose="02020603050405020304" pitchFamily="18" charset="0"/>
              <a:cs typeface="Times New Roman" panose="02020603050405020304" pitchFamily="18" charset="0"/>
            </a:rPr>
            <a:t>MNEs mentioning CE in their sustainability report  </a:t>
          </a:r>
        </a:p>
        <a:p xmlns:a="http://schemas.openxmlformats.org/drawingml/2006/main">
          <a:endParaRPr lang="en-GB"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3E850-3DB8-446E-8C5E-2A26F6AD9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283</Pages>
  <Words>259197</Words>
  <Characters>1477427</Characters>
  <Application>Microsoft Office Word</Application>
  <DocSecurity>0</DocSecurity>
  <Lines>12311</Lines>
  <Paragraphs>3466</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1733158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Genovese</dc:creator>
  <cp:keywords/>
  <dc:description/>
  <cp:lastModifiedBy>Tommaso Calzolari</cp:lastModifiedBy>
  <cp:revision>9</cp:revision>
  <dcterms:created xsi:type="dcterms:W3CDTF">2024-01-31T17:33:00Z</dcterms:created>
  <dcterms:modified xsi:type="dcterms:W3CDTF">2024-04-05T11:35:00Z</dcterms:modified>
</cp:coreProperties>
</file>